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6.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8.xml" ContentType="application/vnd.openxmlformats-officedocument.wordprocessingml.footer+xml"/>
  <Override PartName="/word/header2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6070CB" w:rsidRPr="006070CB" w:rsidRDefault="006070CB" w:rsidP="006070CB">
      <w:pPr>
        <w:tabs>
          <w:tab w:val="left" w:pos="2127"/>
        </w:tabs>
        <w:spacing w:before="0" w:after="200" w:line="276" w:lineRule="auto"/>
        <w:rPr>
          <w:rFonts w:asciiTheme="minorHAnsi" w:eastAsiaTheme="minorHAnsi" w:hAnsiTheme="minorHAnsi" w:cstheme="minorBidi"/>
          <w:noProof/>
          <w:szCs w:val="22"/>
          <w:lang w:eastAsia="en-AU"/>
        </w:rPr>
        <w:sectPr w:rsidR="006070CB" w:rsidRPr="006070CB" w:rsidSect="006070CB">
          <w:pgSz w:w="11906" w:h="16838"/>
          <w:pgMar w:top="261" w:right="249" w:bottom="261" w:left="142" w:header="709" w:footer="709" w:gutter="0"/>
          <w:cols w:space="708"/>
          <w:docGrid w:linePitch="360"/>
        </w:sectPr>
      </w:pPr>
      <w:r w:rsidRPr="006070CB">
        <w:rPr>
          <w:rFonts w:asciiTheme="minorHAnsi" w:eastAsiaTheme="minorHAnsi" w:hAnsiTheme="minorHAnsi" w:cstheme="minorBidi"/>
          <w:noProof/>
          <w:szCs w:val="22"/>
          <w:lang w:eastAsia="en-AU"/>
        </w:rPr>
        <mc:AlternateContent>
          <mc:Choice Requires="wps">
            <w:drawing>
              <wp:anchor distT="0" distB="0" distL="114300" distR="114300" simplePos="0" relativeHeight="251684864" behindDoc="0" locked="0" layoutInCell="1" allowOverlap="1" wp14:anchorId="660223D5" wp14:editId="7B259517">
                <wp:simplePos x="0" y="0"/>
                <wp:positionH relativeFrom="column">
                  <wp:posOffset>4265930</wp:posOffset>
                </wp:positionH>
                <wp:positionV relativeFrom="paragraph">
                  <wp:posOffset>3250565</wp:posOffset>
                </wp:positionV>
                <wp:extent cx="3327400" cy="546100"/>
                <wp:effectExtent l="0" t="0" r="0" b="6350"/>
                <wp:wrapNone/>
                <wp:docPr id="307" name="Text Box 2" descr="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0" cy="546100"/>
                        </a:xfrm>
                        <a:prstGeom prst="rect">
                          <a:avLst/>
                        </a:prstGeom>
                        <a:noFill/>
                        <a:ln w="9525">
                          <a:noFill/>
                          <a:miter lim="800000"/>
                          <a:headEnd/>
                          <a:tailEnd/>
                        </a:ln>
                      </wps:spPr>
                      <wps:txbx>
                        <w:txbxContent>
                          <w:p w:rsidR="00114534" w:rsidRPr="006070CB" w:rsidRDefault="00114534" w:rsidP="006070CB">
                            <w:pPr>
                              <w:spacing w:before="0" w:after="200" w:line="276" w:lineRule="auto"/>
                              <w:rPr>
                                <w:rFonts w:ascii="Myriad Pro" w:eastAsiaTheme="minorHAnsi" w:hAnsi="Myriad Pro" w:cs="Arial"/>
                                <w:color w:val="FFFFFF" w:themeColor="background1"/>
                                <w:sz w:val="58"/>
                                <w:szCs w:val="58"/>
                              </w:rPr>
                            </w:pPr>
                            <w:r w:rsidRPr="006070CB">
                              <w:rPr>
                                <w:rFonts w:ascii="Myriad Pro" w:eastAsiaTheme="minorHAnsi" w:hAnsi="Myriad Pro" w:cs="Arial"/>
                                <w:color w:val="FFFFFF" w:themeColor="background1"/>
                                <w:sz w:val="58"/>
                                <w:szCs w:val="58"/>
                              </w:rPr>
                              <w:t xml:space="preserve">2 0 1 </w:t>
                            </w:r>
                            <w:proofErr w:type="gramStart"/>
                            <w:r w:rsidRPr="006070CB">
                              <w:rPr>
                                <w:rFonts w:ascii="Myriad Pro" w:eastAsiaTheme="minorHAnsi" w:hAnsi="Myriad Pro" w:cs="Arial"/>
                                <w:color w:val="FFFFFF" w:themeColor="background1"/>
                                <w:sz w:val="58"/>
                                <w:szCs w:val="58"/>
                              </w:rPr>
                              <w:t>4  -</w:t>
                            </w:r>
                            <w:proofErr w:type="gramEnd"/>
                            <w:r w:rsidRPr="006070CB">
                              <w:rPr>
                                <w:rFonts w:ascii="Myriad Pro" w:eastAsiaTheme="minorHAnsi" w:hAnsi="Myriad Pro" w:cs="Arial"/>
                                <w:color w:val="FFFFFF" w:themeColor="background1"/>
                                <w:sz w:val="58"/>
                                <w:szCs w:val="58"/>
                              </w:rPr>
                              <w:t xml:space="preserve">  2 0 1 5 55151051 4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60223D5" id="_x0000_t202" coordsize="21600,21600" o:spt="202" path="m,l,21600r21600,l21600,xe">
                <v:stroke joinstyle="miter"/>
                <v:path gradientshapeok="t" o:connecttype="rect"/>
              </v:shapetype>
              <v:shape id="Text Box 2" o:spid="_x0000_s1026" type="#_x0000_t202" alt="Title: Rectangle - Description: Rectangle design feature" style="position:absolute;margin-left:335.9pt;margin-top:255.95pt;width:262pt;height:4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" filled="f" stroked="f">
                <v:textbox>
                  <w:txbxContent>
                    <w:p w:rsidR="00114534" w:rsidRPr="006070CB" w:rsidRDefault="00114534" w:rsidP="006070CB">
                      <w:pPr>
                        <w:spacing w:before="0" w:after="200" w:line="276" w:lineRule="auto"/>
                        <w:rPr>
                          <w:rFonts w:ascii="Myriad Pro" w:eastAsiaTheme="minorHAnsi" w:hAnsi="Myriad Pro" w:cs="Arial"/>
                          <w:color w:val="FFFFFF" w:themeColor="background1"/>
                          <w:sz w:val="58"/>
                          <w:szCs w:val="58"/>
                        </w:rPr>
                      </w:pPr>
                      <w:r w:rsidRPr="006070CB">
                        <w:rPr>
                          <w:rFonts w:ascii="Myriad Pro" w:eastAsiaTheme="minorHAnsi" w:hAnsi="Myriad Pro" w:cs="Arial"/>
                          <w:color w:val="FFFFFF" w:themeColor="background1"/>
                          <w:sz w:val="58"/>
                          <w:szCs w:val="58"/>
                        </w:rPr>
                        <w:t xml:space="preserve">2 0 1 </w:t>
                      </w:r>
                      <w:proofErr w:type="gramStart"/>
                      <w:r w:rsidRPr="006070CB">
                        <w:rPr>
                          <w:rFonts w:ascii="Myriad Pro" w:eastAsiaTheme="minorHAnsi" w:hAnsi="Myriad Pro" w:cs="Arial"/>
                          <w:color w:val="FFFFFF" w:themeColor="background1"/>
                          <w:sz w:val="58"/>
                          <w:szCs w:val="58"/>
                        </w:rPr>
                        <w:t>4  -</w:t>
                      </w:r>
                      <w:proofErr w:type="gramEnd"/>
                      <w:r w:rsidRPr="006070CB">
                        <w:rPr>
                          <w:rFonts w:ascii="Myriad Pro" w:eastAsiaTheme="minorHAnsi" w:hAnsi="Myriad Pro" w:cs="Arial"/>
                          <w:color w:val="FFFFFF" w:themeColor="background1"/>
                          <w:sz w:val="58"/>
                          <w:szCs w:val="58"/>
                        </w:rPr>
                        <w:t xml:space="preserve">  2 0 1 5 55151051 4</w:t>
                      </w:r>
                    </w:p>
                  </w:txbxContent>
                </v:textbox>
              </v:shape>
            </w:pict>
          </mc:Fallback>
        </mc:AlternateContent>
      </w:r>
      <w:r w:rsidRPr="006070CB">
        <w:rPr>
          <w:rFonts w:asciiTheme="minorHAnsi" w:eastAsiaTheme="minorHAnsi" w:hAnsiTheme="minorHAnsi" w:cstheme="minorBidi"/>
          <w:noProof/>
          <w:szCs w:val="22"/>
          <w:lang w:eastAsia="en-AU"/>
        </w:rPr>
        <mc:AlternateContent>
          <mc:Choice Requires="wps">
            <w:drawing>
              <wp:anchor distT="0" distB="0" distL="114300" distR="114300" simplePos="0" relativeHeight="251685888" behindDoc="0" locked="0" layoutInCell="1" allowOverlap="1" wp14:anchorId="6BD59714" wp14:editId="7C11C0B0">
                <wp:simplePos x="0" y="0"/>
                <wp:positionH relativeFrom="column">
                  <wp:posOffset>201930</wp:posOffset>
                </wp:positionH>
                <wp:positionV relativeFrom="paragraph">
                  <wp:posOffset>9803765</wp:posOffset>
                </wp:positionV>
                <wp:extent cx="7112000" cy="469900"/>
                <wp:effectExtent l="0" t="0" r="0" b="6350"/>
                <wp:wrapNone/>
                <wp:docPr id="149" name="Text Box 149" descr="Text box listing authors: Len McKenzie, Catherine Collier, Lucas Langlois, Rudi Yoshida, Naomi Smith, and Michelle Waycott" title="Authors"/>
                <wp:cNvGraphicFramePr/>
                <a:graphic xmlns:a="http://schemas.openxmlformats.org/drawingml/2006/main">
                  <a:graphicData uri="http://schemas.microsoft.com/office/word/2010/wordprocessingShape">
                    <wps:wsp>
                      <wps:cNvSpPr txBox="1"/>
                      <wps:spPr>
                        <a:xfrm>
                          <a:off x="0" y="0"/>
                          <a:ext cx="7112000" cy="469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14534" w:rsidRPr="006070CB" w:rsidRDefault="00114534" w:rsidP="006070CB">
                            <w:pPr>
                              <w:spacing w:before="0" w:after="200" w:line="276" w:lineRule="auto"/>
                              <w:rPr>
                                <w:rFonts w:ascii="Verdana" w:eastAsiaTheme="minorHAnsi" w:hAnsi="Verdana" w:cstheme="minorBidi"/>
                                <w:sz w:val="24"/>
                                <w:szCs w:val="22"/>
                              </w:rPr>
                            </w:pPr>
                            <w:r w:rsidRPr="006070CB">
                              <w:rPr>
                                <w:rFonts w:ascii="Verdana" w:eastAsiaTheme="minorHAnsi" w:hAnsi="Verdana" w:cstheme="minorBidi"/>
                                <w:sz w:val="24"/>
                                <w:szCs w:val="22"/>
                              </w:rPr>
                              <w:t xml:space="preserve">Len McKenzie, Catherine Collier, Lucas </w:t>
                            </w:r>
                            <w:proofErr w:type="spellStart"/>
                            <w:r w:rsidRPr="006070CB">
                              <w:rPr>
                                <w:rFonts w:ascii="Verdana" w:eastAsiaTheme="minorHAnsi" w:hAnsi="Verdana" w:cstheme="minorBidi"/>
                                <w:sz w:val="24"/>
                                <w:szCs w:val="22"/>
                              </w:rPr>
                              <w:t>Langlois</w:t>
                            </w:r>
                            <w:proofErr w:type="spellEnd"/>
                            <w:r w:rsidRPr="006070CB">
                              <w:rPr>
                                <w:rFonts w:ascii="Verdana" w:eastAsiaTheme="minorHAnsi" w:hAnsi="Verdana" w:cstheme="minorBidi"/>
                                <w:sz w:val="24"/>
                                <w:szCs w:val="22"/>
                              </w:rPr>
                              <w:t xml:space="preserve">, Rudi Yoshida, Naomi Smith, &amp; Michelle </w:t>
                            </w:r>
                            <w:proofErr w:type="spellStart"/>
                            <w:r w:rsidRPr="006070CB">
                              <w:rPr>
                                <w:rFonts w:ascii="Verdana" w:eastAsiaTheme="minorHAnsi" w:hAnsi="Verdana" w:cstheme="minorBidi"/>
                                <w:sz w:val="24"/>
                                <w:szCs w:val="22"/>
                              </w:rPr>
                              <w:t>Waycott</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BD59714" id="Text Box 149" o:spid="_x0000_s1027" type="#_x0000_t202" alt="Title: Authors - Description: Text box listing authors: Len McKenzie, Catherine Collier, Lucas Langlois, Rudi Yoshida, Naomi Smith, and Michelle Waycott" style="position:absolute;margin-left:15.9pt;margin-top:771.95pt;width:560pt;height:3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" fillcolor="white [3201]" stroked="f" strokeweight=".5pt">
                <v:textbox>
                  <w:txbxContent>
                    <w:p w:rsidR="00114534" w:rsidRPr="006070CB" w:rsidRDefault="00114534" w:rsidP="006070CB">
                      <w:pPr>
                        <w:spacing w:before="0" w:after="200" w:line="276" w:lineRule="auto"/>
                        <w:rPr>
                          <w:rFonts w:ascii="Verdana" w:eastAsiaTheme="minorHAnsi" w:hAnsi="Verdana" w:cstheme="minorBidi"/>
                          <w:sz w:val="24"/>
                          <w:szCs w:val="22"/>
                        </w:rPr>
                      </w:pPr>
                      <w:r w:rsidRPr="006070CB">
                        <w:rPr>
                          <w:rFonts w:ascii="Verdana" w:eastAsiaTheme="minorHAnsi" w:hAnsi="Verdana" w:cstheme="minorBidi"/>
                          <w:sz w:val="24"/>
                          <w:szCs w:val="22"/>
                        </w:rPr>
                        <w:t>Len McKenzie, Catherine Collier, Lucas Langlois, Rudi Yoshida, Naomi Smith, &amp; Michelle Waycott</w:t>
                      </w:r>
                    </w:p>
                  </w:txbxContent>
                </v:textbox>
              </v:shape>
            </w:pict>
          </mc:Fallback>
        </mc:AlternateContent>
      </w:r>
      <w:r w:rsidRPr="006070CB">
        <w:rPr>
          <w:rFonts w:asciiTheme="minorHAnsi" w:eastAsiaTheme="minorHAnsi" w:hAnsiTheme="minorHAnsi" w:cstheme="minorBidi"/>
          <w:noProof/>
          <w:szCs w:val="22"/>
          <w:lang w:eastAsia="en-AU"/>
        </w:rPr>
        <mc:AlternateContent>
          <mc:Choice Requires="wps">
            <w:drawing>
              <wp:anchor distT="0" distB="0" distL="114300" distR="114300" simplePos="0" relativeHeight="251682816" behindDoc="0" locked="0" layoutInCell="1" allowOverlap="1" wp14:anchorId="501A2BD4" wp14:editId="171042A7">
                <wp:simplePos x="0" y="0"/>
                <wp:positionH relativeFrom="column">
                  <wp:posOffset>4354830</wp:posOffset>
                </wp:positionH>
                <wp:positionV relativeFrom="paragraph">
                  <wp:posOffset>3314065</wp:posOffset>
                </wp:positionV>
                <wp:extent cx="2832100" cy="406400"/>
                <wp:effectExtent l="0" t="0" r="25400" b="12700"/>
                <wp:wrapNone/>
                <wp:docPr id="150" name="Rectangle 150" descr="Green rectangle design feature" title="Green rectangle"/>
                <wp:cNvGraphicFramePr/>
                <a:graphic xmlns:a="http://schemas.openxmlformats.org/drawingml/2006/main">
                  <a:graphicData uri="http://schemas.microsoft.com/office/word/2010/wordprocessingShape">
                    <wps:wsp>
                      <wps:cNvSpPr/>
                      <wps:spPr>
                        <a:xfrm>
                          <a:off x="0" y="0"/>
                          <a:ext cx="2832100" cy="406400"/>
                        </a:xfrm>
                        <a:prstGeom prst="rect">
                          <a:avLst/>
                        </a:prstGeom>
                        <a:solidFill>
                          <a:srgbClr val="00CC99"/>
                        </a:solidFill>
                        <a:ln>
                          <a:solidFill>
                            <a:srgbClr val="00CC99"/>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14534" w:rsidRDefault="00114534" w:rsidP="006070C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501A2BD4" id="Rectangle 150" o:spid="_x0000_s1028" alt="Title: Green rectangle - Description: Green rectangle design feature" style="position:absolute;margin-left:342.9pt;margin-top:260.95pt;width:223pt;height:32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" fillcolor="#0c9" strokecolor="#0c9" strokeweight="1pt">
                <v:textbox>
                  <w:txbxContent>
                    <w:p w:rsidR="00114534" w:rsidRDefault="00114534" w:rsidP="006070CB">
                      <w:pPr>
                        <w:jc w:val="center"/>
                      </w:pPr>
                    </w:p>
                  </w:txbxContent>
                </v:textbox>
              </v:rect>
            </w:pict>
          </mc:Fallback>
        </mc:AlternateContent>
      </w:r>
      <w:r w:rsidRPr="006070CB">
        <w:rPr>
          <w:rFonts w:asciiTheme="minorHAnsi" w:eastAsiaTheme="minorHAnsi" w:hAnsiTheme="minorHAnsi" w:cstheme="minorBidi"/>
          <w:noProof/>
          <w:szCs w:val="22"/>
          <w:lang w:eastAsia="en-AU"/>
        </w:rPr>
        <mc:AlternateContent>
          <mc:Choice Requires="wps">
            <w:drawing>
              <wp:anchor distT="0" distB="0" distL="114300" distR="114300" simplePos="0" relativeHeight="251683840" behindDoc="0" locked="0" layoutInCell="1" allowOverlap="1" wp14:anchorId="65D9C3F4" wp14:editId="6E3F45D3">
                <wp:simplePos x="0" y="0"/>
                <wp:positionH relativeFrom="column">
                  <wp:posOffset>4329430</wp:posOffset>
                </wp:positionH>
                <wp:positionV relativeFrom="paragraph">
                  <wp:posOffset>621665</wp:posOffset>
                </wp:positionV>
                <wp:extent cx="2857500" cy="0"/>
                <wp:effectExtent l="0" t="0" r="19050" b="19050"/>
                <wp:wrapNone/>
                <wp:docPr id="159" name="Straight Connector 159" descr="Green line design feature" title="Straight connector"/>
                <wp:cNvGraphicFramePr/>
                <a:graphic xmlns:a="http://schemas.openxmlformats.org/drawingml/2006/main">
                  <a:graphicData uri="http://schemas.microsoft.com/office/word/2010/wordprocessingShape">
                    <wps:wsp>
                      <wps:cNvCnPr/>
                      <wps:spPr>
                        <a:xfrm>
                          <a:off x="0" y="0"/>
                          <a:ext cx="2857500" cy="0"/>
                        </a:xfrm>
                        <a:prstGeom prst="line">
                          <a:avLst/>
                        </a:prstGeom>
                        <a:ln>
                          <a:solidFill>
                            <a:srgbClr val="00CC99"/>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7FC3BF50" id="Straight Connector 159" o:spid="_x0000_s1026" alt="Title: Straight connector - Description: Green line design feature" style="position:absolute;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0.9pt,48.95pt" to="565.9pt,4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" strokecolor="#0c9" strokeweight=".5pt">
                <v:stroke joinstyle="miter"/>
              </v:line>
            </w:pict>
          </mc:Fallback>
        </mc:AlternateContent>
      </w:r>
      <w:r w:rsidRPr="006070CB">
        <w:rPr>
          <w:rFonts w:asciiTheme="minorHAnsi" w:eastAsiaTheme="minorHAnsi" w:hAnsiTheme="minorHAnsi" w:cstheme="minorBidi"/>
          <w:noProof/>
          <w:szCs w:val="22"/>
          <w:lang w:eastAsia="en-AU"/>
        </w:rPr>
        <w:drawing>
          <wp:inline distT="0" distB="0" distL="0" distR="0" wp14:anchorId="0C6695DC" wp14:editId="568FC31B">
            <wp:extent cx="7403814" cy="10464800"/>
            <wp:effectExtent l="0" t="0" r="6985" b="0"/>
            <wp:docPr id="224" name="Picture 224" descr="Logos, Report title: Annual Report for inshore seagrass monitoring 2014-2015 and image: Close-up of seagrass (Cymodocea rotundata and Thalassia hemprichii) on the reef flat at Green Island. (c) Dieter Tracey 2013" title="Cover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MMP Covers4Word Templates.jpg"/>
                    <pic:cNvPicPr/>
                  </pic:nvPicPr>
                  <pic:blipFill>
                    <a:blip r:embed="rId13">
                      <a:extLst>
                        <a:ext uri="{28A0092B-C50C-407E-A947-70E740481C1C}">
                          <a14:useLocalDpi xmlns:a14="http://schemas.microsoft.com/office/drawing/2010/main" val="0"/>
                        </a:ext>
                      </a:extLst>
                    </a:blip>
                    <a:stretch>
                      <a:fillRect/>
                    </a:stretch>
                  </pic:blipFill>
                  <pic:spPr>
                    <a:xfrm>
                      <a:off x="0" y="0"/>
                      <a:ext cx="7404325" cy="10465522"/>
                    </a:xfrm>
                    <a:prstGeom prst="rect">
                      <a:avLst/>
                    </a:prstGeom>
                  </pic:spPr>
                </pic:pic>
              </a:graphicData>
            </a:graphic>
          </wp:inline>
        </w:drawing>
      </w:r>
    </w:p>
    <w:p w:rsidR="006070CB" w:rsidRPr="00C43B68" w:rsidRDefault="006070CB" w:rsidP="006070CB">
      <w:pPr>
        <w:pStyle w:val="Infopage"/>
        <w:spacing w:before="120"/>
      </w:pPr>
    </w:p>
    <w:p w:rsidR="006070CB" w:rsidRDefault="006070CB" w:rsidP="006070CB">
      <w:pPr>
        <w:pStyle w:val="Infopage"/>
        <w:spacing w:before="120"/>
      </w:pPr>
    </w:p>
    <w:p w:rsidR="006070CB" w:rsidRPr="00C43B68" w:rsidRDefault="006070CB" w:rsidP="006070CB">
      <w:pPr>
        <w:pStyle w:val="Infopage"/>
        <w:spacing w:before="120"/>
      </w:pPr>
    </w:p>
    <w:p w:rsidR="006070CB" w:rsidRDefault="006070CB" w:rsidP="006070CB">
      <w:pPr>
        <w:pStyle w:val="Infopage"/>
        <w:tabs>
          <w:tab w:val="left" w:pos="2700"/>
          <w:tab w:val="left" w:pos="5040"/>
        </w:tabs>
        <w:jc w:val="left"/>
        <w:rPr>
          <w:rFonts w:cs="Tahoma"/>
          <w:color w:val="000000"/>
          <w:lang w:val="en-AU" w:eastAsia="en-GB"/>
        </w:rPr>
      </w:pPr>
      <w:proofErr w:type="spellStart"/>
      <w:r w:rsidRPr="00F65073">
        <w:rPr>
          <w:rFonts w:cs="Tahoma"/>
          <w:color w:val="000000"/>
          <w:lang w:val="en-AU" w:eastAsia="en-GB"/>
        </w:rPr>
        <w:t>TropWATER</w:t>
      </w:r>
      <w:proofErr w:type="spellEnd"/>
      <w:r w:rsidRPr="00F65073">
        <w:rPr>
          <w:rFonts w:cs="Tahoma"/>
          <w:color w:val="000000"/>
          <w:lang w:val="en-AU" w:eastAsia="en-GB"/>
        </w:rPr>
        <w:t>- Centre for Tropical Water and Aquatic Ecosystem Research</w:t>
      </w:r>
    </w:p>
    <w:p w:rsidR="006070CB" w:rsidRDefault="006070CB" w:rsidP="006070CB">
      <w:pPr>
        <w:pStyle w:val="Infopage"/>
        <w:tabs>
          <w:tab w:val="left" w:pos="2700"/>
          <w:tab w:val="left" w:pos="5040"/>
        </w:tabs>
        <w:jc w:val="left"/>
        <w:rPr>
          <w:rFonts w:cs="Tahoma"/>
          <w:color w:val="000000"/>
          <w:lang w:val="en-AU" w:eastAsia="en-GB"/>
        </w:rPr>
      </w:pPr>
      <w:r w:rsidRPr="00F65073">
        <w:rPr>
          <w:rFonts w:cs="Tahoma"/>
          <w:color w:val="000000"/>
          <w:lang w:val="en-AU" w:eastAsia="en-GB"/>
        </w:rPr>
        <w:t>James Cook University</w:t>
      </w:r>
    </w:p>
    <w:p w:rsidR="006070CB" w:rsidRPr="00F65073" w:rsidRDefault="006070CB" w:rsidP="006070CB">
      <w:pPr>
        <w:pStyle w:val="Infopage"/>
        <w:tabs>
          <w:tab w:val="left" w:pos="2700"/>
          <w:tab w:val="left" w:pos="5040"/>
        </w:tabs>
        <w:jc w:val="left"/>
        <w:rPr>
          <w:lang w:val="en-AU"/>
        </w:rPr>
      </w:pPr>
      <w:r w:rsidRPr="00F65073">
        <w:rPr>
          <w:rFonts w:cs="Tahoma"/>
          <w:color w:val="000000"/>
          <w:lang w:val="en-AU" w:eastAsia="en-GB"/>
        </w:rPr>
        <w:t>Townsville, Qld 4811</w:t>
      </w:r>
    </w:p>
    <w:p w:rsidR="006070CB" w:rsidRPr="00356D82" w:rsidRDefault="006070CB" w:rsidP="006070CB">
      <w:pPr>
        <w:rPr>
          <w:sz w:val="20"/>
        </w:rPr>
      </w:pPr>
    </w:p>
    <w:p w:rsidR="006070CB" w:rsidRDefault="006070CB" w:rsidP="006070CB">
      <w:pPr>
        <w:pStyle w:val="Infopage"/>
        <w:rPr>
          <w:lang w:val="en-AU"/>
        </w:rPr>
      </w:pPr>
    </w:p>
    <w:p w:rsidR="006070CB" w:rsidRDefault="006070CB" w:rsidP="006070CB">
      <w:pPr>
        <w:pStyle w:val="Infopage"/>
        <w:rPr>
          <w:lang w:val="en-AU"/>
        </w:rPr>
      </w:pPr>
    </w:p>
    <w:p w:rsidR="006070CB" w:rsidRPr="00356D82" w:rsidRDefault="006070CB" w:rsidP="006070CB">
      <w:pPr>
        <w:pStyle w:val="Infopage"/>
        <w:rPr>
          <w:lang w:val="en-AU"/>
        </w:rPr>
      </w:pPr>
    </w:p>
    <w:p w:rsidR="006070CB" w:rsidRPr="00F65073" w:rsidRDefault="006070CB" w:rsidP="006070CB">
      <w:pPr>
        <w:pBdr>
          <w:top w:val="single" w:sz="12" w:space="1" w:color="0070C0"/>
          <w:left w:val="single" w:sz="12" w:space="4" w:color="0070C0"/>
          <w:bottom w:val="single" w:sz="12" w:space="1" w:color="0070C0"/>
          <w:right w:val="single" w:sz="12" w:space="4" w:color="0070C0"/>
        </w:pBdr>
        <w:rPr>
          <w:rFonts w:ascii="Arial Narrow" w:eastAsia="MS Mincho" w:hAnsi="Arial Narrow" w:cs="Arial"/>
          <w:lang w:eastAsia="ja-JP"/>
        </w:rPr>
      </w:pPr>
      <w:r w:rsidRPr="00F65073">
        <w:rPr>
          <w:rFonts w:ascii="Arial Narrow" w:eastAsia="MS Mincho" w:hAnsi="Arial Narrow" w:cs="Arial"/>
          <w:lang w:eastAsia="ja-JP"/>
        </w:rPr>
        <w:t xml:space="preserve">© Copyright JCU </w:t>
      </w:r>
      <w:proofErr w:type="spellStart"/>
      <w:r w:rsidRPr="00F65073">
        <w:rPr>
          <w:rFonts w:ascii="Arial Narrow" w:eastAsia="MS Mincho" w:hAnsi="Arial Narrow" w:cs="Arial"/>
          <w:lang w:eastAsia="ja-JP"/>
        </w:rPr>
        <w:t>Trop</w:t>
      </w:r>
      <w:r>
        <w:rPr>
          <w:rFonts w:ascii="Arial Narrow" w:eastAsia="MS Mincho" w:hAnsi="Arial Narrow" w:cs="Arial"/>
          <w:lang w:eastAsia="ja-JP"/>
        </w:rPr>
        <w:t>WATER</w:t>
      </w:r>
      <w:proofErr w:type="spellEnd"/>
      <w:r w:rsidRPr="00F65073">
        <w:rPr>
          <w:rFonts w:ascii="Arial Narrow" w:eastAsia="MS Mincho" w:hAnsi="Arial Narrow" w:cs="Arial"/>
          <w:lang w:eastAsia="ja-JP"/>
        </w:rPr>
        <w:t xml:space="preserve"> 201</w:t>
      </w:r>
      <w:r>
        <w:rPr>
          <w:rFonts w:ascii="Arial Narrow" w:eastAsia="MS Mincho" w:hAnsi="Arial Narrow" w:cs="Arial"/>
          <w:lang w:eastAsia="ja-JP"/>
        </w:rPr>
        <w:t>6</w:t>
      </w:r>
      <w:r w:rsidRPr="00F65073">
        <w:rPr>
          <w:rFonts w:ascii="Arial Narrow" w:eastAsia="MS Mincho" w:hAnsi="Arial Narrow" w:cs="Arial"/>
          <w:lang w:eastAsia="ja-JP"/>
        </w:rPr>
        <w:t xml:space="preserve"> </w:t>
      </w:r>
    </w:p>
    <w:p w:rsidR="006070CB" w:rsidRDefault="006070CB" w:rsidP="006070CB">
      <w:pPr>
        <w:pStyle w:val="Infopage"/>
        <w:spacing w:before="120"/>
      </w:pPr>
      <w:r w:rsidRPr="00F65073">
        <w:rPr>
          <w:rFonts w:eastAsia="MS Mincho" w:cs="Arial"/>
          <w:lang w:val="en-AU" w:eastAsia="ja-JP"/>
        </w:rPr>
        <w:t>All rights are reserved and no part of this document may be reproduced, stored or copied in any form or by any means whatsoever except with the prior written permission of AIMS.</w:t>
      </w:r>
    </w:p>
    <w:p w:rsidR="006070CB" w:rsidRPr="009E3F11" w:rsidRDefault="006070CB" w:rsidP="006070CB">
      <w:pPr>
        <w:rPr>
          <w:rFonts w:ascii="Arial Narrow" w:eastAsia="MS Mincho" w:hAnsi="Arial Narrow" w:cs="Arial"/>
          <w:lang w:eastAsia="ja-JP"/>
        </w:rPr>
      </w:pPr>
    </w:p>
    <w:p w:rsidR="006070CB" w:rsidRDefault="006070CB" w:rsidP="006070CB">
      <w:pPr>
        <w:pStyle w:val="Infopage"/>
        <w:spacing w:before="120"/>
        <w:rPr>
          <w:rFonts w:ascii="Arial" w:hAnsi="Arial" w:cs="Arial"/>
          <w:sz w:val="20"/>
          <w:szCs w:val="20"/>
          <w:lang w:eastAsia="en-AU"/>
        </w:rPr>
      </w:pPr>
      <w:r>
        <w:t xml:space="preserve">ISBN </w:t>
      </w:r>
    </w:p>
    <w:p w:rsidR="006070CB" w:rsidRDefault="00371ABF" w:rsidP="006070CB">
      <w:pPr>
        <w:pStyle w:val="Infopage"/>
        <w:spacing w:before="120"/>
      </w:pPr>
      <w:r w:rsidRPr="00371ABF">
        <w:t>978-1-922126-94-8</w:t>
      </w:r>
    </w:p>
    <w:p w:rsidR="00371ABF" w:rsidRDefault="00371ABF" w:rsidP="006070CB">
      <w:pPr>
        <w:pStyle w:val="Infopage"/>
        <w:spacing w:before="120"/>
      </w:pPr>
    </w:p>
    <w:p w:rsidR="006070CB" w:rsidRPr="002C71C7" w:rsidRDefault="006070CB" w:rsidP="006070CB">
      <w:pPr>
        <w:pStyle w:val="Infopage"/>
        <w:spacing w:before="120"/>
      </w:pPr>
      <w:r w:rsidRPr="002C71C7">
        <w:t>This report should be cited as:</w:t>
      </w:r>
    </w:p>
    <w:p w:rsidR="006070CB" w:rsidRDefault="006070CB" w:rsidP="006070CB">
      <w:pPr>
        <w:pStyle w:val="Infopage"/>
        <w:spacing w:before="120"/>
      </w:pPr>
      <w:r w:rsidRPr="00133ACF">
        <w:rPr>
          <w:lang w:val="en-AU"/>
        </w:rPr>
        <w:t xml:space="preserve">McKenzie, L.J., Collier, C.J, </w:t>
      </w:r>
      <w:proofErr w:type="spellStart"/>
      <w:r w:rsidRPr="00133ACF">
        <w:rPr>
          <w:lang w:val="en-AU"/>
        </w:rPr>
        <w:t>Langlois</w:t>
      </w:r>
      <w:proofErr w:type="spellEnd"/>
      <w:r w:rsidRPr="00133ACF">
        <w:rPr>
          <w:lang w:val="en-AU"/>
        </w:rPr>
        <w:t xml:space="preserve">, L.A, Yoshida, R.L, Smith, N. and </w:t>
      </w:r>
      <w:proofErr w:type="spellStart"/>
      <w:r w:rsidRPr="00133ACF">
        <w:rPr>
          <w:lang w:val="en-AU"/>
        </w:rPr>
        <w:t>Waycott</w:t>
      </w:r>
      <w:proofErr w:type="spellEnd"/>
      <w:r w:rsidRPr="00133ACF">
        <w:rPr>
          <w:lang w:val="en-AU"/>
        </w:rPr>
        <w:t xml:space="preserve">, M. </w:t>
      </w:r>
      <w:r w:rsidRPr="002C71C7">
        <w:t>(201</w:t>
      </w:r>
      <w:r>
        <w:t>6</w:t>
      </w:r>
      <w:r w:rsidRPr="002C71C7">
        <w:t>) Marine Monitoring Program. Annua</w:t>
      </w:r>
      <w:r>
        <w:t>l Report for inshore seagrass monitoring: 2014 to 2015</w:t>
      </w:r>
      <w:r w:rsidRPr="002C71C7">
        <w:t xml:space="preserve">. Report for the Great Barrier Reef Marine Park Authority. </w:t>
      </w:r>
      <w:proofErr w:type="spellStart"/>
      <w:r w:rsidRPr="00A719AF">
        <w:t>TropWATER</w:t>
      </w:r>
      <w:proofErr w:type="spellEnd"/>
      <w:r w:rsidRPr="00A719AF">
        <w:t>, James Cook University, Cairns. 2</w:t>
      </w:r>
      <w:r w:rsidR="00E4302E">
        <w:t>3</w:t>
      </w:r>
      <w:r w:rsidR="009C068F">
        <w:t>6</w:t>
      </w:r>
      <w:r w:rsidRPr="00A719AF">
        <w:t>pp</w:t>
      </w:r>
      <w:r w:rsidRPr="00F17819">
        <w:t>.</w:t>
      </w:r>
    </w:p>
    <w:p w:rsidR="006070CB" w:rsidRDefault="006070CB" w:rsidP="006070CB">
      <w:pPr>
        <w:pStyle w:val="Infopage"/>
        <w:spacing w:before="120"/>
      </w:pPr>
    </w:p>
    <w:p w:rsidR="006070CB" w:rsidRDefault="006070CB" w:rsidP="006070CB">
      <w:pPr>
        <w:pStyle w:val="Infopage"/>
        <w:spacing w:before="120"/>
      </w:pPr>
      <w:r w:rsidRPr="009E3F11">
        <w:rPr>
          <w:rFonts w:eastAsia="MS Mincho" w:cs="Arial"/>
          <w:lang w:val="en-AU" w:eastAsia="ja-JP"/>
        </w:rPr>
        <w:t>Front cover image</w:t>
      </w:r>
      <w:r>
        <w:rPr>
          <w:rFonts w:eastAsia="MS Mincho" w:cs="Arial"/>
          <w:lang w:val="en-AU" w:eastAsia="ja-JP"/>
        </w:rPr>
        <w:t>:</w:t>
      </w:r>
      <w:r w:rsidRPr="00133ACF">
        <w:t xml:space="preserve"> Close-up of seagrass (</w:t>
      </w:r>
      <w:proofErr w:type="spellStart"/>
      <w:r w:rsidRPr="00133ACF">
        <w:rPr>
          <w:i/>
        </w:rPr>
        <w:t>Cymodocea</w:t>
      </w:r>
      <w:proofErr w:type="spellEnd"/>
      <w:r w:rsidRPr="00133ACF">
        <w:t xml:space="preserve"> </w:t>
      </w:r>
      <w:proofErr w:type="spellStart"/>
      <w:r w:rsidRPr="006070CB">
        <w:rPr>
          <w:i/>
        </w:rPr>
        <w:t>rotundata</w:t>
      </w:r>
      <w:proofErr w:type="spellEnd"/>
      <w:r w:rsidRPr="00133ACF">
        <w:t xml:space="preserve"> and </w:t>
      </w:r>
      <w:proofErr w:type="spellStart"/>
      <w:r w:rsidRPr="00133ACF">
        <w:rPr>
          <w:i/>
        </w:rPr>
        <w:t>Thalassia</w:t>
      </w:r>
      <w:proofErr w:type="spellEnd"/>
      <w:r w:rsidRPr="00133ACF">
        <w:rPr>
          <w:i/>
        </w:rPr>
        <w:t xml:space="preserve"> </w:t>
      </w:r>
      <w:proofErr w:type="spellStart"/>
      <w:r w:rsidRPr="00133ACF">
        <w:rPr>
          <w:i/>
        </w:rPr>
        <w:t>hemprichii</w:t>
      </w:r>
      <w:proofErr w:type="spellEnd"/>
      <w:r w:rsidRPr="00133ACF">
        <w:t xml:space="preserve">) on the reef flat at Green Island. </w:t>
      </w:r>
      <w:r w:rsidR="008825EC">
        <w:sym w:font="Symbol" w:char="F0E3"/>
      </w:r>
      <w:r w:rsidRPr="00133ACF">
        <w:t>Dieter Tracey 2013</w:t>
      </w:r>
    </w:p>
    <w:p w:rsidR="006070CB" w:rsidRDefault="006070CB" w:rsidP="006070CB">
      <w:pPr>
        <w:pStyle w:val="Infopage"/>
        <w:spacing w:before="120"/>
      </w:pPr>
    </w:p>
    <w:p w:rsidR="006070CB" w:rsidRPr="002C71C7" w:rsidRDefault="006070CB" w:rsidP="006070CB">
      <w:pPr>
        <w:rPr>
          <w:rFonts w:ascii="Arial Narrow" w:eastAsia="MS Mincho" w:hAnsi="Arial Narrow" w:cs="Arial"/>
          <w:b/>
          <w:lang w:eastAsia="ja-JP"/>
        </w:rPr>
      </w:pPr>
      <w:r w:rsidRPr="002C71C7">
        <w:rPr>
          <w:rFonts w:ascii="Arial Narrow" w:eastAsia="MS Mincho" w:hAnsi="Arial Narrow" w:cs="Arial"/>
          <w:b/>
          <w:lang w:eastAsia="ja-JP"/>
        </w:rPr>
        <w:t>DISCLAIMER</w:t>
      </w:r>
    </w:p>
    <w:p w:rsidR="006070CB" w:rsidRDefault="006070CB" w:rsidP="006070CB">
      <w:pPr>
        <w:rPr>
          <w:rFonts w:ascii="Arial Narrow" w:eastAsia="MS Mincho" w:hAnsi="Arial Narrow" w:cs="Arial"/>
          <w:lang w:eastAsia="ja-JP"/>
        </w:rPr>
      </w:pPr>
      <w:r w:rsidRPr="002C71C7">
        <w:rPr>
          <w:rFonts w:ascii="Arial Narrow" w:eastAsia="MS Mincho" w:hAnsi="Arial Narrow" w:cs="Arial"/>
          <w:lang w:eastAsia="ja-JP"/>
        </w:rPr>
        <w:t xml:space="preserve">While reasonable efforts have been made to ensure that the contents of this document are factually correct, </w:t>
      </w:r>
      <w:r>
        <w:rPr>
          <w:rFonts w:ascii="Arial Narrow" w:eastAsia="MS Mincho" w:hAnsi="Arial Narrow" w:cs="Arial"/>
          <w:lang w:eastAsia="ja-JP"/>
        </w:rPr>
        <w:t>JCU</w:t>
      </w:r>
      <w:r w:rsidRPr="002C71C7">
        <w:rPr>
          <w:rFonts w:ascii="Arial Narrow" w:eastAsia="MS Mincho" w:hAnsi="Arial Narrow" w:cs="Arial"/>
          <w:lang w:eastAsia="ja-JP"/>
        </w:rPr>
        <w:t xml:space="preserve"> does not make any representation or give any warranty regarding the accuracy, completeness, currency or suitability for any particular purpose of the information or statements contained in this document. To the extent permitted by law </w:t>
      </w:r>
      <w:r>
        <w:rPr>
          <w:rFonts w:ascii="Arial Narrow" w:eastAsia="MS Mincho" w:hAnsi="Arial Narrow" w:cs="Arial"/>
          <w:lang w:eastAsia="ja-JP"/>
        </w:rPr>
        <w:t>JCU</w:t>
      </w:r>
      <w:r w:rsidRPr="002C71C7">
        <w:rPr>
          <w:rFonts w:ascii="Arial Narrow" w:eastAsia="MS Mincho" w:hAnsi="Arial Narrow" w:cs="Arial"/>
          <w:lang w:eastAsia="ja-JP"/>
        </w:rPr>
        <w:t xml:space="preserve"> shall not be liable for any loss, damage, cost or expense that may be occasioned directly or indirectly through the use of or reliance on the contents of this document.</w:t>
      </w:r>
    </w:p>
    <w:p w:rsidR="006070CB" w:rsidRDefault="006070CB" w:rsidP="006070CB">
      <w:pPr>
        <w:rPr>
          <w:rFonts w:ascii="Arial Narrow" w:eastAsia="MS Mincho" w:hAnsi="Arial Narrow" w:cs="Arial"/>
          <w:lang w:eastAsia="ja-JP"/>
        </w:rPr>
      </w:pPr>
    </w:p>
    <w:p w:rsidR="006070CB" w:rsidRPr="007A17C3" w:rsidRDefault="006070CB" w:rsidP="006070CB">
      <w:pPr>
        <w:pStyle w:val="BodyText3"/>
        <w:spacing w:before="120"/>
        <w:rPr>
          <w:rFonts w:ascii="Arial Narrow" w:eastAsia="Dotum" w:hAnsi="Arial Narrow" w:cs="Arial"/>
          <w:sz w:val="22"/>
          <w:szCs w:val="22"/>
          <w:lang w:val="en-AU"/>
        </w:rPr>
      </w:pPr>
      <w:r w:rsidRPr="007A17C3">
        <w:rPr>
          <w:rFonts w:ascii="Arial Narrow" w:eastAsia="Dotum" w:hAnsi="Arial Narrow" w:cs="Arial"/>
          <w:sz w:val="22"/>
          <w:szCs w:val="22"/>
          <w:lang w:val="en-AU"/>
        </w:rPr>
        <w:t>Direct Enquiries to –</w:t>
      </w:r>
    </w:p>
    <w:p w:rsidR="006070CB" w:rsidRPr="00916836" w:rsidRDefault="006070CB" w:rsidP="006070CB">
      <w:pPr>
        <w:pStyle w:val="BodyText3"/>
        <w:spacing w:after="0"/>
        <w:rPr>
          <w:rFonts w:ascii="Arial Narrow" w:hAnsi="Arial Narrow" w:cs="Arial"/>
          <w:sz w:val="22"/>
          <w:szCs w:val="22"/>
          <w:lang w:val="en-AU"/>
        </w:rPr>
      </w:pPr>
      <w:r>
        <w:rPr>
          <w:rFonts w:ascii="Arial Narrow" w:hAnsi="Arial Narrow" w:cs="Arial"/>
          <w:sz w:val="22"/>
          <w:szCs w:val="22"/>
        </w:rPr>
        <w:t>Len McKenzie</w:t>
      </w:r>
    </w:p>
    <w:p w:rsidR="006070CB" w:rsidRPr="00916836" w:rsidRDefault="006070CB" w:rsidP="006070CB">
      <w:pPr>
        <w:pStyle w:val="BodyText3"/>
        <w:spacing w:after="0"/>
        <w:rPr>
          <w:rFonts w:ascii="Arial Narrow" w:hAnsi="Arial Narrow" w:cs="Arial"/>
          <w:sz w:val="22"/>
          <w:szCs w:val="22"/>
          <w:lang w:val="en-AU"/>
        </w:rPr>
      </w:pPr>
      <w:r w:rsidRPr="00916836">
        <w:rPr>
          <w:rFonts w:ascii="Arial Narrow" w:hAnsi="Arial Narrow" w:cs="Arial"/>
          <w:sz w:val="22"/>
          <w:szCs w:val="22"/>
          <w:lang w:val="en-AU"/>
        </w:rPr>
        <w:t>Phone: +61 7</w:t>
      </w:r>
      <w:r>
        <w:rPr>
          <w:rFonts w:ascii="Arial Narrow" w:hAnsi="Arial Narrow" w:cs="Arial"/>
          <w:sz w:val="22"/>
          <w:szCs w:val="22"/>
          <w:lang w:val="en-AU"/>
        </w:rPr>
        <w:t xml:space="preserve"> 423</w:t>
      </w:r>
      <w:r w:rsidRPr="00E6379F">
        <w:rPr>
          <w:rFonts w:ascii="Arial Narrow" w:hAnsi="Arial Narrow" w:cs="Arial"/>
          <w:sz w:val="22"/>
          <w:szCs w:val="22"/>
          <w:lang w:val="en-AU"/>
        </w:rPr>
        <w:t>2</w:t>
      </w:r>
      <w:r>
        <w:rPr>
          <w:rFonts w:ascii="Arial Narrow" w:hAnsi="Arial Narrow" w:cs="Arial"/>
          <w:sz w:val="22"/>
          <w:szCs w:val="22"/>
          <w:lang w:val="en-AU"/>
        </w:rPr>
        <w:t xml:space="preserve"> </w:t>
      </w:r>
      <w:r w:rsidRPr="00E6379F">
        <w:rPr>
          <w:rFonts w:ascii="Arial Narrow" w:hAnsi="Arial Narrow" w:cs="Arial"/>
          <w:sz w:val="22"/>
          <w:szCs w:val="22"/>
          <w:lang w:val="en-AU"/>
        </w:rPr>
        <w:t>2012</w:t>
      </w:r>
    </w:p>
    <w:p w:rsidR="006070CB" w:rsidRPr="00E6379F" w:rsidRDefault="006070CB" w:rsidP="006070CB">
      <w:pPr>
        <w:pStyle w:val="BodyText3"/>
        <w:spacing w:after="0"/>
        <w:rPr>
          <w:rFonts w:ascii="Arial Narrow" w:hAnsi="Arial Narrow" w:cs="Arial"/>
          <w:b/>
          <w:sz w:val="20"/>
          <w:szCs w:val="20"/>
          <w:lang w:val="en-AU"/>
        </w:rPr>
      </w:pPr>
      <w:r w:rsidRPr="00916836">
        <w:rPr>
          <w:rFonts w:ascii="Arial Narrow" w:hAnsi="Arial Narrow" w:cs="Arial"/>
          <w:sz w:val="22"/>
          <w:szCs w:val="22"/>
          <w:lang w:val="en-AU"/>
        </w:rPr>
        <w:t>E</w:t>
      </w:r>
      <w:r w:rsidRPr="009E24B7">
        <w:rPr>
          <w:rFonts w:ascii="Arial Narrow" w:hAnsi="Arial Narrow" w:cs="Arial"/>
          <w:sz w:val="22"/>
          <w:szCs w:val="22"/>
          <w:lang w:val="en-AU"/>
        </w:rPr>
        <w:t xml:space="preserve">mail: </w:t>
      </w:r>
      <w:r w:rsidRPr="00E6379F">
        <w:rPr>
          <w:rFonts w:ascii="Arial Narrow" w:hAnsi="Arial Narrow" w:cs="Arial"/>
          <w:sz w:val="22"/>
          <w:szCs w:val="22"/>
          <w:lang w:val="en-AU"/>
        </w:rPr>
        <w:t>len.mckenzie@jcu.edu.au</w:t>
      </w:r>
    </w:p>
    <w:p w:rsidR="006070CB" w:rsidRPr="002C71C7" w:rsidRDefault="006070CB" w:rsidP="006070CB">
      <w:pPr>
        <w:pStyle w:val="BodyText3"/>
        <w:spacing w:after="0"/>
        <w:rPr>
          <w:rFonts w:ascii="Arial Narrow" w:eastAsia="MS Mincho" w:hAnsi="Arial Narrow" w:cs="Arial"/>
          <w:szCs w:val="22"/>
          <w:lang w:eastAsia="ja-JP"/>
        </w:rPr>
      </w:pPr>
      <w:r w:rsidRPr="00916836">
        <w:rPr>
          <w:rFonts w:ascii="Arial Narrow" w:hAnsi="Arial Narrow" w:cs="Arial"/>
          <w:sz w:val="22"/>
          <w:szCs w:val="22"/>
          <w:lang w:val="en-AU"/>
        </w:rPr>
        <w:t>We</w:t>
      </w:r>
      <w:r w:rsidRPr="009E24B7">
        <w:rPr>
          <w:rFonts w:ascii="Arial Narrow" w:hAnsi="Arial Narrow" w:cs="Arial"/>
          <w:sz w:val="22"/>
          <w:szCs w:val="22"/>
          <w:lang w:val="en-AU"/>
        </w:rPr>
        <w:t>b:</w:t>
      </w:r>
      <w:r>
        <w:rPr>
          <w:rFonts w:ascii="Arial Narrow" w:hAnsi="Arial Narrow" w:cs="Arial"/>
          <w:sz w:val="22"/>
          <w:szCs w:val="22"/>
          <w:lang w:val="en-AU"/>
        </w:rPr>
        <w:t xml:space="preserve"> </w:t>
      </w:r>
      <w:r w:rsidRPr="00E6379F">
        <w:rPr>
          <w:rFonts w:ascii="Arial Narrow" w:hAnsi="Arial Narrow" w:cs="Arial"/>
          <w:sz w:val="22"/>
          <w:szCs w:val="22"/>
          <w:lang w:val="en-AU"/>
        </w:rPr>
        <w:t>https://research.jcu.edu.au/tropwater</w:t>
      </w:r>
      <w:r>
        <w:t xml:space="preserve"> </w:t>
      </w:r>
      <w:r w:rsidRPr="00916836">
        <w:rPr>
          <w:rStyle w:val="Hyperlink"/>
          <w:rFonts w:ascii="Arial Narrow" w:hAnsi="Arial Narrow" w:cs="Arial"/>
          <w:szCs w:val="22"/>
          <w:lang w:val="en-AU"/>
        </w:rPr>
        <w:t xml:space="preserve"> </w:t>
      </w:r>
    </w:p>
    <w:p w:rsidR="006070CB" w:rsidRDefault="006070CB" w:rsidP="006070CB">
      <w:pPr>
        <w:tabs>
          <w:tab w:val="left" w:pos="2127"/>
        </w:tabs>
      </w:pPr>
    </w:p>
    <w:p w:rsidR="006070CB" w:rsidRDefault="006070CB" w:rsidP="006070CB">
      <w:pPr>
        <w:tabs>
          <w:tab w:val="left" w:pos="2127"/>
        </w:tabs>
        <w:rPr>
          <w:rFonts w:ascii="Arial Narrow" w:eastAsia="MS Mincho" w:hAnsi="Arial Narrow" w:cs="Arial"/>
          <w:szCs w:val="22"/>
          <w:lang w:eastAsia="ja-JP"/>
        </w:rPr>
      </w:pPr>
    </w:p>
    <w:p w:rsidR="006070CB" w:rsidRDefault="006070CB" w:rsidP="006070CB">
      <w:pPr>
        <w:tabs>
          <w:tab w:val="left" w:pos="2127"/>
        </w:tabs>
        <w:rPr>
          <w:rFonts w:ascii="Arial Narrow" w:eastAsia="MS Mincho" w:hAnsi="Arial Narrow" w:cs="Arial"/>
          <w:szCs w:val="22"/>
          <w:lang w:eastAsia="ja-JP"/>
        </w:rPr>
      </w:pPr>
    </w:p>
    <w:p w:rsidR="006070CB" w:rsidRDefault="006070CB" w:rsidP="006070CB">
      <w:pPr>
        <w:tabs>
          <w:tab w:val="left" w:pos="2127"/>
        </w:tabs>
        <w:rPr>
          <w:rFonts w:ascii="Arial Narrow" w:eastAsia="MS Mincho" w:hAnsi="Arial Narrow" w:cs="Arial"/>
          <w:szCs w:val="22"/>
          <w:lang w:eastAsia="ja-JP"/>
        </w:rPr>
        <w:sectPr w:rsidR="006070CB" w:rsidSect="006070CB">
          <w:headerReference w:type="even" r:id="rId14"/>
          <w:headerReference w:type="default" r:id="rId15"/>
          <w:footerReference w:type="even" r:id="rId16"/>
          <w:headerReference w:type="first" r:id="rId17"/>
          <w:pgSz w:w="11906" w:h="16838" w:code="9"/>
          <w:pgMar w:top="1418" w:right="1418" w:bottom="1418" w:left="1418" w:header="720" w:footer="851" w:gutter="0"/>
          <w:pgNumType w:fmt="lowerRoman" w:start="2"/>
          <w:cols w:space="720"/>
        </w:sectPr>
      </w:pPr>
    </w:p>
    <w:p w:rsidR="001F4593" w:rsidRPr="0095258E" w:rsidRDefault="001F4593" w:rsidP="001F4593">
      <w:pPr>
        <w:spacing w:after="240"/>
        <w:rPr>
          <w:rFonts w:ascii="Century Gothic" w:hAnsi="Century Gothic"/>
          <w:b/>
          <w:color w:val="000000"/>
          <w:sz w:val="36"/>
          <w:szCs w:val="36"/>
        </w:rPr>
      </w:pPr>
      <w:r w:rsidRPr="0095258E">
        <w:rPr>
          <w:rFonts w:ascii="Century Gothic" w:hAnsi="Century Gothic"/>
          <w:b/>
          <w:color w:val="000000"/>
          <w:sz w:val="36"/>
          <w:szCs w:val="36"/>
        </w:rPr>
        <w:lastRenderedPageBreak/>
        <w:t>Contents</w:t>
      </w:r>
    </w:p>
    <w:p w:rsidR="00A719AF" w:rsidRDefault="00A719AF">
      <w:pPr>
        <w:pStyle w:val="TOC1"/>
        <w:tabs>
          <w:tab w:val="right" w:leader="dot" w:pos="9060"/>
        </w:tabs>
        <w:rPr>
          <w:color w:val="000000"/>
        </w:rPr>
      </w:pPr>
    </w:p>
    <w:p w:rsidR="004D7F52" w:rsidRDefault="00E150BC">
      <w:pPr>
        <w:pStyle w:val="TOC1"/>
        <w:tabs>
          <w:tab w:val="right" w:leader="dot" w:pos="9060"/>
        </w:tabs>
        <w:rPr>
          <w:rFonts w:eastAsiaTheme="minorEastAsia" w:cstheme="minorBidi"/>
          <w:b w:val="0"/>
          <w:bCs w:val="0"/>
          <w:caps w:val="0"/>
          <w:noProof/>
          <w:sz w:val="22"/>
          <w:szCs w:val="22"/>
          <w:lang w:eastAsia="en-AU"/>
        </w:rPr>
      </w:pPr>
      <w:r w:rsidRPr="008A426D">
        <w:rPr>
          <w:color w:val="000000"/>
        </w:rPr>
        <w:fldChar w:fldCharType="begin"/>
      </w:r>
      <w:r w:rsidRPr="008A426D">
        <w:rPr>
          <w:color w:val="000000"/>
        </w:rPr>
        <w:instrText xml:space="preserve"> TOC \o "1-3" \h \z \u </w:instrText>
      </w:r>
      <w:r w:rsidRPr="008A426D">
        <w:rPr>
          <w:color w:val="000000"/>
        </w:rPr>
        <w:fldChar w:fldCharType="separate"/>
      </w:r>
      <w:hyperlink w:anchor="_Toc462047312" w:history="1">
        <w:r w:rsidR="004D7F52" w:rsidRPr="00440689">
          <w:rPr>
            <w:rStyle w:val="Hyperlink"/>
            <w:rFonts w:ascii="Century Gothic" w:hAnsi="Century Gothic"/>
            <w:noProof/>
          </w:rPr>
          <w:t>Acronyms &amp; Abbreviations Used In This Report</w:t>
        </w:r>
        <w:r w:rsidR="004D7F52">
          <w:rPr>
            <w:noProof/>
            <w:webHidden/>
          </w:rPr>
          <w:tab/>
        </w:r>
        <w:r w:rsidR="004D7F52">
          <w:rPr>
            <w:noProof/>
            <w:webHidden/>
          </w:rPr>
          <w:fldChar w:fldCharType="begin"/>
        </w:r>
        <w:r w:rsidR="004D7F52">
          <w:rPr>
            <w:noProof/>
            <w:webHidden/>
          </w:rPr>
          <w:instrText xml:space="preserve"> PAGEREF _Toc462047312 \h </w:instrText>
        </w:r>
        <w:r w:rsidR="004D7F52">
          <w:rPr>
            <w:noProof/>
            <w:webHidden/>
          </w:rPr>
        </w:r>
        <w:r w:rsidR="004D7F52">
          <w:rPr>
            <w:noProof/>
            <w:webHidden/>
          </w:rPr>
          <w:fldChar w:fldCharType="separate"/>
        </w:r>
        <w:r w:rsidR="009C068F">
          <w:rPr>
            <w:noProof/>
            <w:webHidden/>
          </w:rPr>
          <w:t>xvii</w:t>
        </w:r>
        <w:r w:rsidR="004D7F52">
          <w:rPr>
            <w:noProof/>
            <w:webHidden/>
          </w:rPr>
          <w:fldChar w:fldCharType="end"/>
        </w:r>
      </w:hyperlink>
    </w:p>
    <w:p w:rsidR="004D7F52" w:rsidRDefault="00AF19E7">
      <w:pPr>
        <w:pStyle w:val="TOC1"/>
        <w:tabs>
          <w:tab w:val="right" w:leader="dot" w:pos="9060"/>
        </w:tabs>
        <w:rPr>
          <w:rFonts w:eastAsiaTheme="minorEastAsia" w:cstheme="minorBidi"/>
          <w:b w:val="0"/>
          <w:bCs w:val="0"/>
          <w:caps w:val="0"/>
          <w:noProof/>
          <w:sz w:val="22"/>
          <w:szCs w:val="22"/>
          <w:lang w:eastAsia="en-AU"/>
        </w:rPr>
      </w:pPr>
      <w:hyperlink w:anchor="_Toc462047313" w:history="1">
        <w:r w:rsidR="004D7F52" w:rsidRPr="00440689">
          <w:rPr>
            <w:rStyle w:val="Hyperlink"/>
            <w:rFonts w:ascii="Century Gothic" w:hAnsi="Century Gothic"/>
            <w:noProof/>
          </w:rPr>
          <w:t>Acknowledgements</w:t>
        </w:r>
        <w:r w:rsidR="004D7F52">
          <w:rPr>
            <w:noProof/>
            <w:webHidden/>
          </w:rPr>
          <w:tab/>
        </w:r>
        <w:r w:rsidR="004D7F52">
          <w:rPr>
            <w:noProof/>
            <w:webHidden/>
          </w:rPr>
          <w:fldChar w:fldCharType="begin"/>
        </w:r>
        <w:r w:rsidR="004D7F52">
          <w:rPr>
            <w:noProof/>
            <w:webHidden/>
          </w:rPr>
          <w:instrText xml:space="preserve"> PAGEREF _Toc462047313 \h </w:instrText>
        </w:r>
        <w:r w:rsidR="004D7F52">
          <w:rPr>
            <w:noProof/>
            <w:webHidden/>
          </w:rPr>
        </w:r>
        <w:r w:rsidR="004D7F52">
          <w:rPr>
            <w:noProof/>
            <w:webHidden/>
          </w:rPr>
          <w:fldChar w:fldCharType="separate"/>
        </w:r>
        <w:r w:rsidR="009C068F">
          <w:rPr>
            <w:noProof/>
            <w:webHidden/>
          </w:rPr>
          <w:t>xviii</w:t>
        </w:r>
        <w:r w:rsidR="004D7F52">
          <w:rPr>
            <w:noProof/>
            <w:webHidden/>
          </w:rPr>
          <w:fldChar w:fldCharType="end"/>
        </w:r>
      </w:hyperlink>
    </w:p>
    <w:p w:rsidR="004D7F52" w:rsidRDefault="00AF19E7">
      <w:pPr>
        <w:pStyle w:val="TOC1"/>
        <w:tabs>
          <w:tab w:val="right" w:leader="dot" w:pos="9060"/>
        </w:tabs>
        <w:rPr>
          <w:rFonts w:eastAsiaTheme="minorEastAsia" w:cstheme="minorBidi"/>
          <w:b w:val="0"/>
          <w:bCs w:val="0"/>
          <w:caps w:val="0"/>
          <w:noProof/>
          <w:sz w:val="22"/>
          <w:szCs w:val="22"/>
          <w:lang w:eastAsia="en-AU"/>
        </w:rPr>
      </w:pPr>
      <w:hyperlink w:anchor="_Toc462047314" w:history="1">
        <w:r w:rsidR="004D7F52" w:rsidRPr="00440689">
          <w:rPr>
            <w:rStyle w:val="Hyperlink"/>
            <w:rFonts w:ascii="Century Gothic" w:hAnsi="Century Gothic"/>
            <w:noProof/>
          </w:rPr>
          <w:t>Executive summary</w:t>
        </w:r>
        <w:r w:rsidR="004D7F52">
          <w:rPr>
            <w:noProof/>
            <w:webHidden/>
          </w:rPr>
          <w:tab/>
        </w:r>
        <w:r w:rsidR="004D7F52">
          <w:rPr>
            <w:noProof/>
            <w:webHidden/>
          </w:rPr>
          <w:fldChar w:fldCharType="begin"/>
        </w:r>
        <w:r w:rsidR="004D7F52">
          <w:rPr>
            <w:noProof/>
            <w:webHidden/>
          </w:rPr>
          <w:instrText xml:space="preserve"> PAGEREF _Toc462047314 \h </w:instrText>
        </w:r>
        <w:r w:rsidR="004D7F52">
          <w:rPr>
            <w:noProof/>
            <w:webHidden/>
          </w:rPr>
        </w:r>
        <w:r w:rsidR="004D7F52">
          <w:rPr>
            <w:noProof/>
            <w:webHidden/>
          </w:rPr>
          <w:fldChar w:fldCharType="separate"/>
        </w:r>
        <w:r w:rsidR="009C068F">
          <w:rPr>
            <w:noProof/>
            <w:webHidden/>
          </w:rPr>
          <w:t>1</w:t>
        </w:r>
        <w:r w:rsidR="004D7F52">
          <w:rPr>
            <w:noProof/>
            <w:webHidden/>
          </w:rPr>
          <w:fldChar w:fldCharType="end"/>
        </w:r>
      </w:hyperlink>
    </w:p>
    <w:p w:rsidR="004D7F52" w:rsidRDefault="00AF19E7">
      <w:pPr>
        <w:pStyle w:val="TOC1"/>
        <w:tabs>
          <w:tab w:val="left" w:pos="440"/>
          <w:tab w:val="right" w:leader="dot" w:pos="9060"/>
        </w:tabs>
        <w:rPr>
          <w:rFonts w:eastAsiaTheme="minorEastAsia" w:cstheme="minorBidi"/>
          <w:b w:val="0"/>
          <w:bCs w:val="0"/>
          <w:caps w:val="0"/>
          <w:noProof/>
          <w:sz w:val="22"/>
          <w:szCs w:val="22"/>
          <w:lang w:eastAsia="en-AU"/>
        </w:rPr>
      </w:pPr>
      <w:hyperlink w:anchor="_Toc462047315" w:history="1">
        <w:r w:rsidR="004D7F52" w:rsidRPr="00440689">
          <w:rPr>
            <w:rStyle w:val="Hyperlink"/>
            <w:rFonts w:ascii="Century Gothic" w:hAnsi="Century Gothic"/>
            <w:noProof/>
          </w:rPr>
          <w:t>1</w:t>
        </w:r>
        <w:r w:rsidR="004D7F52">
          <w:rPr>
            <w:rFonts w:eastAsiaTheme="minorEastAsia" w:cstheme="minorBidi"/>
            <w:b w:val="0"/>
            <w:bCs w:val="0"/>
            <w:caps w:val="0"/>
            <w:noProof/>
            <w:sz w:val="22"/>
            <w:szCs w:val="22"/>
            <w:lang w:eastAsia="en-AU"/>
          </w:rPr>
          <w:tab/>
        </w:r>
        <w:r w:rsidR="004D7F52" w:rsidRPr="00440689">
          <w:rPr>
            <w:rStyle w:val="Hyperlink"/>
            <w:rFonts w:ascii="Century Gothic" w:hAnsi="Century Gothic"/>
            <w:noProof/>
          </w:rPr>
          <w:t>Preface</w:t>
        </w:r>
        <w:r w:rsidR="004D7F52">
          <w:rPr>
            <w:noProof/>
            <w:webHidden/>
          </w:rPr>
          <w:tab/>
        </w:r>
        <w:r w:rsidR="004D7F52">
          <w:rPr>
            <w:noProof/>
            <w:webHidden/>
          </w:rPr>
          <w:fldChar w:fldCharType="begin"/>
        </w:r>
        <w:r w:rsidR="004D7F52">
          <w:rPr>
            <w:noProof/>
            <w:webHidden/>
          </w:rPr>
          <w:instrText xml:space="preserve"> PAGEREF _Toc462047315 \h </w:instrText>
        </w:r>
        <w:r w:rsidR="004D7F52">
          <w:rPr>
            <w:noProof/>
            <w:webHidden/>
          </w:rPr>
        </w:r>
        <w:r w:rsidR="004D7F52">
          <w:rPr>
            <w:noProof/>
            <w:webHidden/>
          </w:rPr>
          <w:fldChar w:fldCharType="separate"/>
        </w:r>
        <w:r w:rsidR="009C068F">
          <w:rPr>
            <w:noProof/>
            <w:webHidden/>
          </w:rPr>
          <w:t>3</w:t>
        </w:r>
        <w:r w:rsidR="004D7F52">
          <w:rPr>
            <w:noProof/>
            <w:webHidden/>
          </w:rPr>
          <w:fldChar w:fldCharType="end"/>
        </w:r>
      </w:hyperlink>
    </w:p>
    <w:p w:rsidR="004D7F52" w:rsidRDefault="00AF19E7">
      <w:pPr>
        <w:pStyle w:val="TOC1"/>
        <w:tabs>
          <w:tab w:val="left" w:pos="440"/>
          <w:tab w:val="right" w:leader="dot" w:pos="9060"/>
        </w:tabs>
        <w:rPr>
          <w:rFonts w:eastAsiaTheme="minorEastAsia" w:cstheme="minorBidi"/>
          <w:b w:val="0"/>
          <w:bCs w:val="0"/>
          <w:caps w:val="0"/>
          <w:noProof/>
          <w:sz w:val="22"/>
          <w:szCs w:val="22"/>
          <w:lang w:eastAsia="en-AU"/>
        </w:rPr>
      </w:pPr>
      <w:hyperlink w:anchor="_Toc462047316" w:history="1">
        <w:r w:rsidR="004D7F52" w:rsidRPr="00440689">
          <w:rPr>
            <w:rStyle w:val="Hyperlink"/>
            <w:rFonts w:ascii="Century Gothic" w:hAnsi="Century Gothic"/>
            <w:noProof/>
          </w:rPr>
          <w:t>2</w:t>
        </w:r>
        <w:r w:rsidR="004D7F52">
          <w:rPr>
            <w:rFonts w:eastAsiaTheme="minorEastAsia" w:cstheme="minorBidi"/>
            <w:b w:val="0"/>
            <w:bCs w:val="0"/>
            <w:caps w:val="0"/>
            <w:noProof/>
            <w:sz w:val="22"/>
            <w:szCs w:val="22"/>
            <w:lang w:eastAsia="en-AU"/>
          </w:rPr>
          <w:tab/>
        </w:r>
        <w:r w:rsidR="004D7F52" w:rsidRPr="00440689">
          <w:rPr>
            <w:rStyle w:val="Hyperlink"/>
            <w:rFonts w:ascii="Century Gothic" w:hAnsi="Century Gothic"/>
            <w:noProof/>
          </w:rPr>
          <w:t>Introduction</w:t>
        </w:r>
        <w:r w:rsidR="004D7F52">
          <w:rPr>
            <w:noProof/>
            <w:webHidden/>
          </w:rPr>
          <w:tab/>
        </w:r>
        <w:r w:rsidR="004D7F52">
          <w:rPr>
            <w:noProof/>
            <w:webHidden/>
          </w:rPr>
          <w:fldChar w:fldCharType="begin"/>
        </w:r>
        <w:r w:rsidR="004D7F52">
          <w:rPr>
            <w:noProof/>
            <w:webHidden/>
          </w:rPr>
          <w:instrText xml:space="preserve"> PAGEREF _Toc462047316 \h </w:instrText>
        </w:r>
        <w:r w:rsidR="004D7F52">
          <w:rPr>
            <w:noProof/>
            <w:webHidden/>
          </w:rPr>
        </w:r>
        <w:r w:rsidR="004D7F52">
          <w:rPr>
            <w:noProof/>
            <w:webHidden/>
          </w:rPr>
          <w:fldChar w:fldCharType="separate"/>
        </w:r>
        <w:r w:rsidR="009C068F">
          <w:rPr>
            <w:noProof/>
            <w:webHidden/>
          </w:rPr>
          <w:t>4</w:t>
        </w:r>
        <w:r w:rsidR="004D7F52">
          <w:rPr>
            <w:noProof/>
            <w:webHidden/>
          </w:rPr>
          <w:fldChar w:fldCharType="end"/>
        </w:r>
      </w:hyperlink>
    </w:p>
    <w:p w:rsidR="004D7F52" w:rsidRDefault="00AF19E7">
      <w:pPr>
        <w:pStyle w:val="TOC1"/>
        <w:tabs>
          <w:tab w:val="left" w:pos="440"/>
          <w:tab w:val="right" w:leader="dot" w:pos="9060"/>
        </w:tabs>
        <w:rPr>
          <w:rFonts w:eastAsiaTheme="minorEastAsia" w:cstheme="minorBidi"/>
          <w:b w:val="0"/>
          <w:bCs w:val="0"/>
          <w:caps w:val="0"/>
          <w:noProof/>
          <w:sz w:val="22"/>
          <w:szCs w:val="22"/>
          <w:lang w:eastAsia="en-AU"/>
        </w:rPr>
      </w:pPr>
      <w:hyperlink w:anchor="_Toc462047317" w:history="1">
        <w:r w:rsidR="004D7F52" w:rsidRPr="00440689">
          <w:rPr>
            <w:rStyle w:val="Hyperlink"/>
            <w:rFonts w:ascii="Century Gothic" w:hAnsi="Century Gothic"/>
            <w:noProof/>
          </w:rPr>
          <w:t>3</w:t>
        </w:r>
        <w:r w:rsidR="004D7F52">
          <w:rPr>
            <w:rFonts w:eastAsiaTheme="minorEastAsia" w:cstheme="minorBidi"/>
            <w:b w:val="0"/>
            <w:bCs w:val="0"/>
            <w:caps w:val="0"/>
            <w:noProof/>
            <w:sz w:val="22"/>
            <w:szCs w:val="22"/>
            <w:lang w:eastAsia="en-AU"/>
          </w:rPr>
          <w:tab/>
        </w:r>
        <w:r w:rsidR="004D7F52" w:rsidRPr="00440689">
          <w:rPr>
            <w:rStyle w:val="Hyperlink"/>
            <w:rFonts w:ascii="Century Gothic" w:hAnsi="Century Gothic"/>
            <w:noProof/>
          </w:rPr>
          <w:t>Methods summary</w:t>
        </w:r>
        <w:r w:rsidR="004D7F52">
          <w:rPr>
            <w:noProof/>
            <w:webHidden/>
          </w:rPr>
          <w:tab/>
        </w:r>
        <w:r w:rsidR="004D7F52">
          <w:rPr>
            <w:noProof/>
            <w:webHidden/>
          </w:rPr>
          <w:fldChar w:fldCharType="begin"/>
        </w:r>
        <w:r w:rsidR="004D7F52">
          <w:rPr>
            <w:noProof/>
            <w:webHidden/>
          </w:rPr>
          <w:instrText xml:space="preserve"> PAGEREF _Toc462047317 \h </w:instrText>
        </w:r>
        <w:r w:rsidR="004D7F52">
          <w:rPr>
            <w:noProof/>
            <w:webHidden/>
          </w:rPr>
        </w:r>
        <w:r w:rsidR="004D7F52">
          <w:rPr>
            <w:noProof/>
            <w:webHidden/>
          </w:rPr>
          <w:fldChar w:fldCharType="separate"/>
        </w:r>
        <w:r w:rsidR="009C068F">
          <w:rPr>
            <w:noProof/>
            <w:webHidden/>
          </w:rPr>
          <w:t>9</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18" w:history="1">
        <w:r w:rsidR="004D7F52" w:rsidRPr="00440689">
          <w:rPr>
            <w:rStyle w:val="Hyperlink"/>
            <w:rFonts w:ascii="Century Gothic" w:hAnsi="Century Gothic"/>
            <w:noProof/>
          </w:rPr>
          <w:t>3.1</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_Toc462047318 \h </w:instrText>
        </w:r>
        <w:r w:rsidR="004D7F52">
          <w:rPr>
            <w:noProof/>
            <w:webHidden/>
          </w:rPr>
        </w:r>
        <w:r w:rsidR="004D7F52">
          <w:rPr>
            <w:noProof/>
            <w:webHidden/>
          </w:rPr>
          <w:fldChar w:fldCharType="separate"/>
        </w:r>
        <w:r w:rsidR="009C068F">
          <w:rPr>
            <w:noProof/>
            <w:webHidden/>
          </w:rPr>
          <w:t>9</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19" w:history="1">
        <w:r w:rsidR="004D7F52" w:rsidRPr="00440689">
          <w:rPr>
            <w:rStyle w:val="Hyperlink"/>
            <w:rFonts w:ascii="Century Gothic" w:hAnsi="Century Gothic"/>
            <w:noProof/>
          </w:rPr>
          <w:t>3.2</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Sampling design &amp; site selection</w:t>
        </w:r>
        <w:r w:rsidR="004D7F52">
          <w:rPr>
            <w:noProof/>
            <w:webHidden/>
          </w:rPr>
          <w:tab/>
        </w:r>
        <w:r w:rsidR="004D7F52">
          <w:rPr>
            <w:noProof/>
            <w:webHidden/>
          </w:rPr>
          <w:fldChar w:fldCharType="begin"/>
        </w:r>
        <w:r w:rsidR="004D7F52">
          <w:rPr>
            <w:noProof/>
            <w:webHidden/>
          </w:rPr>
          <w:instrText xml:space="preserve"> PAGEREF _Toc462047319 \h </w:instrText>
        </w:r>
        <w:r w:rsidR="004D7F52">
          <w:rPr>
            <w:noProof/>
            <w:webHidden/>
          </w:rPr>
        </w:r>
        <w:r w:rsidR="004D7F52">
          <w:rPr>
            <w:noProof/>
            <w:webHidden/>
          </w:rPr>
          <w:fldChar w:fldCharType="separate"/>
        </w:r>
        <w:r w:rsidR="009C068F">
          <w:rPr>
            <w:noProof/>
            <w:webHidden/>
          </w:rPr>
          <w:t>11</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20" w:history="1">
        <w:r w:rsidR="004D7F52" w:rsidRPr="00440689">
          <w:rPr>
            <w:rStyle w:val="Hyperlink"/>
            <w:rFonts w:ascii="Century Gothic" w:hAnsi="Century Gothic"/>
            <w:noProof/>
          </w:rPr>
          <w:t>3.3</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Seagrass condition monitoring</w:t>
        </w:r>
        <w:r w:rsidR="004D7F52">
          <w:rPr>
            <w:noProof/>
            <w:webHidden/>
          </w:rPr>
          <w:tab/>
        </w:r>
        <w:r w:rsidR="004D7F52">
          <w:rPr>
            <w:noProof/>
            <w:webHidden/>
          </w:rPr>
          <w:fldChar w:fldCharType="begin"/>
        </w:r>
        <w:r w:rsidR="004D7F52">
          <w:rPr>
            <w:noProof/>
            <w:webHidden/>
          </w:rPr>
          <w:instrText xml:space="preserve"> PAGEREF _Toc462047320 \h </w:instrText>
        </w:r>
        <w:r w:rsidR="004D7F52">
          <w:rPr>
            <w:noProof/>
            <w:webHidden/>
          </w:rPr>
        </w:r>
        <w:r w:rsidR="004D7F52">
          <w:rPr>
            <w:noProof/>
            <w:webHidden/>
          </w:rPr>
          <w:fldChar w:fldCharType="separate"/>
        </w:r>
        <w:r w:rsidR="009C068F">
          <w:rPr>
            <w:noProof/>
            <w:webHidden/>
          </w:rPr>
          <w:t>15</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21" w:history="1">
        <w:r w:rsidR="004D7F52" w:rsidRPr="00440689">
          <w:rPr>
            <w:rStyle w:val="Hyperlink"/>
            <w:rFonts w:ascii="Arial" w:hAnsi="Arial" w:cs="Arial"/>
            <w:noProof/>
          </w:rPr>
          <w:t>3.3.1</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Seagrass abundance, composition and extent</w:t>
        </w:r>
        <w:r w:rsidR="004D7F52">
          <w:rPr>
            <w:noProof/>
            <w:webHidden/>
          </w:rPr>
          <w:tab/>
        </w:r>
        <w:r w:rsidR="004D7F52">
          <w:rPr>
            <w:noProof/>
            <w:webHidden/>
          </w:rPr>
          <w:fldChar w:fldCharType="begin"/>
        </w:r>
        <w:r w:rsidR="004D7F52">
          <w:rPr>
            <w:noProof/>
            <w:webHidden/>
          </w:rPr>
          <w:instrText xml:space="preserve"> PAGEREF _Toc462047321 \h </w:instrText>
        </w:r>
        <w:r w:rsidR="004D7F52">
          <w:rPr>
            <w:noProof/>
            <w:webHidden/>
          </w:rPr>
        </w:r>
        <w:r w:rsidR="004D7F52">
          <w:rPr>
            <w:noProof/>
            <w:webHidden/>
          </w:rPr>
          <w:fldChar w:fldCharType="separate"/>
        </w:r>
        <w:r w:rsidR="009C068F">
          <w:rPr>
            <w:noProof/>
            <w:webHidden/>
          </w:rPr>
          <w:t>15</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22" w:history="1">
        <w:r w:rsidR="004D7F52" w:rsidRPr="00440689">
          <w:rPr>
            <w:rStyle w:val="Hyperlink"/>
            <w:rFonts w:ascii="Arial" w:hAnsi="Arial" w:cs="Arial"/>
            <w:noProof/>
          </w:rPr>
          <w:t>3.3.2</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Seagrass reproductive health</w:t>
        </w:r>
        <w:r w:rsidR="004D7F52">
          <w:rPr>
            <w:noProof/>
            <w:webHidden/>
          </w:rPr>
          <w:tab/>
        </w:r>
        <w:r w:rsidR="004D7F52">
          <w:rPr>
            <w:noProof/>
            <w:webHidden/>
          </w:rPr>
          <w:fldChar w:fldCharType="begin"/>
        </w:r>
        <w:r w:rsidR="004D7F52">
          <w:rPr>
            <w:noProof/>
            <w:webHidden/>
          </w:rPr>
          <w:instrText xml:space="preserve"> PAGEREF _Toc462047322 \h </w:instrText>
        </w:r>
        <w:r w:rsidR="004D7F52">
          <w:rPr>
            <w:noProof/>
            <w:webHidden/>
          </w:rPr>
        </w:r>
        <w:r w:rsidR="004D7F52">
          <w:rPr>
            <w:noProof/>
            <w:webHidden/>
          </w:rPr>
          <w:fldChar w:fldCharType="separate"/>
        </w:r>
        <w:r w:rsidR="009C068F">
          <w:rPr>
            <w:noProof/>
            <w:webHidden/>
          </w:rPr>
          <w:t>15</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23" w:history="1">
        <w:r w:rsidR="004D7F52" w:rsidRPr="00440689">
          <w:rPr>
            <w:rStyle w:val="Hyperlink"/>
            <w:rFonts w:ascii="Arial" w:hAnsi="Arial" w:cs="Arial"/>
            <w:noProof/>
          </w:rPr>
          <w:t>3.3.3</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Seagrass tissue nutrients</w:t>
        </w:r>
        <w:r w:rsidR="004D7F52">
          <w:rPr>
            <w:noProof/>
            <w:webHidden/>
          </w:rPr>
          <w:tab/>
        </w:r>
        <w:r w:rsidR="004D7F52">
          <w:rPr>
            <w:noProof/>
            <w:webHidden/>
          </w:rPr>
          <w:fldChar w:fldCharType="begin"/>
        </w:r>
        <w:r w:rsidR="004D7F52">
          <w:rPr>
            <w:noProof/>
            <w:webHidden/>
          </w:rPr>
          <w:instrText xml:space="preserve"> PAGEREF _Toc462047323 \h </w:instrText>
        </w:r>
        <w:r w:rsidR="004D7F52">
          <w:rPr>
            <w:noProof/>
            <w:webHidden/>
          </w:rPr>
        </w:r>
        <w:r w:rsidR="004D7F52">
          <w:rPr>
            <w:noProof/>
            <w:webHidden/>
          </w:rPr>
          <w:fldChar w:fldCharType="separate"/>
        </w:r>
        <w:r w:rsidR="009C068F">
          <w:rPr>
            <w:noProof/>
            <w:webHidden/>
          </w:rPr>
          <w:t>15</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24" w:history="1">
        <w:r w:rsidR="004D7F52" w:rsidRPr="00440689">
          <w:rPr>
            <w:rStyle w:val="Hyperlink"/>
            <w:rFonts w:ascii="Century Gothic" w:hAnsi="Century Gothic"/>
            <w:noProof/>
            <w:lang w:val="en-US"/>
          </w:rPr>
          <w:t>3.4</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lang w:val="en-US"/>
          </w:rPr>
          <w:t>Data analyses</w:t>
        </w:r>
        <w:r w:rsidR="004D7F52">
          <w:rPr>
            <w:noProof/>
            <w:webHidden/>
          </w:rPr>
          <w:tab/>
        </w:r>
        <w:r w:rsidR="004D7F52">
          <w:rPr>
            <w:noProof/>
            <w:webHidden/>
          </w:rPr>
          <w:fldChar w:fldCharType="begin"/>
        </w:r>
        <w:r w:rsidR="004D7F52">
          <w:rPr>
            <w:noProof/>
            <w:webHidden/>
          </w:rPr>
          <w:instrText xml:space="preserve"> PAGEREF _Toc462047324 \h </w:instrText>
        </w:r>
        <w:r w:rsidR="004D7F52">
          <w:rPr>
            <w:noProof/>
            <w:webHidden/>
          </w:rPr>
        </w:r>
        <w:r w:rsidR="004D7F52">
          <w:rPr>
            <w:noProof/>
            <w:webHidden/>
          </w:rPr>
          <w:fldChar w:fldCharType="separate"/>
        </w:r>
        <w:r w:rsidR="009C068F">
          <w:rPr>
            <w:noProof/>
            <w:webHidden/>
          </w:rPr>
          <w:t>16</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25" w:history="1">
        <w:r w:rsidR="004D7F52" w:rsidRPr="00440689">
          <w:rPr>
            <w:rStyle w:val="Hyperlink"/>
            <w:rFonts w:ascii="Century Gothic" w:hAnsi="Century Gothic"/>
            <w:noProof/>
          </w:rPr>
          <w:t>3.5</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Reporting Approach</w:t>
        </w:r>
        <w:r w:rsidR="004D7F52">
          <w:rPr>
            <w:noProof/>
            <w:webHidden/>
          </w:rPr>
          <w:tab/>
        </w:r>
        <w:r w:rsidR="004D7F52">
          <w:rPr>
            <w:noProof/>
            <w:webHidden/>
          </w:rPr>
          <w:fldChar w:fldCharType="begin"/>
        </w:r>
        <w:r w:rsidR="004D7F52">
          <w:rPr>
            <w:noProof/>
            <w:webHidden/>
          </w:rPr>
          <w:instrText xml:space="preserve"> PAGEREF _Toc462047325 \h </w:instrText>
        </w:r>
        <w:r w:rsidR="004D7F52">
          <w:rPr>
            <w:noProof/>
            <w:webHidden/>
          </w:rPr>
        </w:r>
        <w:r w:rsidR="004D7F52">
          <w:rPr>
            <w:noProof/>
            <w:webHidden/>
          </w:rPr>
          <w:fldChar w:fldCharType="separate"/>
        </w:r>
        <w:r w:rsidR="009C068F">
          <w:rPr>
            <w:noProof/>
            <w:webHidden/>
          </w:rPr>
          <w:t>17</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26" w:history="1">
        <w:r w:rsidR="004D7F52" w:rsidRPr="00440689">
          <w:rPr>
            <w:rStyle w:val="Hyperlink"/>
            <w:rFonts w:ascii="Century Gothic" w:hAnsi="Century Gothic"/>
            <w:noProof/>
          </w:rPr>
          <w:t>3.6</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Report card</w:t>
        </w:r>
        <w:r w:rsidR="004D7F52">
          <w:rPr>
            <w:noProof/>
            <w:webHidden/>
          </w:rPr>
          <w:tab/>
        </w:r>
        <w:r w:rsidR="004D7F52">
          <w:rPr>
            <w:noProof/>
            <w:webHidden/>
          </w:rPr>
          <w:fldChar w:fldCharType="begin"/>
        </w:r>
        <w:r w:rsidR="004D7F52">
          <w:rPr>
            <w:noProof/>
            <w:webHidden/>
          </w:rPr>
          <w:instrText xml:space="preserve"> PAGEREF _Toc462047326 \h </w:instrText>
        </w:r>
        <w:r w:rsidR="004D7F52">
          <w:rPr>
            <w:noProof/>
            <w:webHidden/>
          </w:rPr>
        </w:r>
        <w:r w:rsidR="004D7F52">
          <w:rPr>
            <w:noProof/>
            <w:webHidden/>
          </w:rPr>
          <w:fldChar w:fldCharType="separate"/>
        </w:r>
        <w:r w:rsidR="009C068F">
          <w:rPr>
            <w:noProof/>
            <w:webHidden/>
          </w:rPr>
          <w:t>17</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27" w:history="1">
        <w:r w:rsidR="004D7F52" w:rsidRPr="00440689">
          <w:rPr>
            <w:rStyle w:val="Hyperlink"/>
            <w:rFonts w:ascii="Arial" w:hAnsi="Arial" w:cs="Arial"/>
            <w:noProof/>
          </w:rPr>
          <w:t>3.6.1</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Seagrass abundance</w:t>
        </w:r>
        <w:r w:rsidR="004D7F52">
          <w:rPr>
            <w:noProof/>
            <w:webHidden/>
          </w:rPr>
          <w:tab/>
        </w:r>
        <w:r w:rsidR="004D7F52">
          <w:rPr>
            <w:noProof/>
            <w:webHidden/>
          </w:rPr>
          <w:fldChar w:fldCharType="begin"/>
        </w:r>
        <w:r w:rsidR="004D7F52">
          <w:rPr>
            <w:noProof/>
            <w:webHidden/>
          </w:rPr>
          <w:instrText xml:space="preserve"> PAGEREF _Toc462047327 \h </w:instrText>
        </w:r>
        <w:r w:rsidR="004D7F52">
          <w:rPr>
            <w:noProof/>
            <w:webHidden/>
          </w:rPr>
        </w:r>
        <w:r w:rsidR="004D7F52">
          <w:rPr>
            <w:noProof/>
            <w:webHidden/>
          </w:rPr>
          <w:fldChar w:fldCharType="separate"/>
        </w:r>
        <w:r w:rsidR="009C068F">
          <w:rPr>
            <w:noProof/>
            <w:webHidden/>
          </w:rPr>
          <w:t>18</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28" w:history="1">
        <w:r w:rsidR="004D7F52" w:rsidRPr="00440689">
          <w:rPr>
            <w:rStyle w:val="Hyperlink"/>
            <w:rFonts w:ascii="Arial" w:hAnsi="Arial" w:cs="Arial"/>
            <w:noProof/>
          </w:rPr>
          <w:t>3.6.2</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Seagrass reproductive effort</w:t>
        </w:r>
        <w:r w:rsidR="004D7F52">
          <w:rPr>
            <w:noProof/>
            <w:webHidden/>
          </w:rPr>
          <w:tab/>
        </w:r>
        <w:r w:rsidR="004D7F52">
          <w:rPr>
            <w:noProof/>
            <w:webHidden/>
          </w:rPr>
          <w:fldChar w:fldCharType="begin"/>
        </w:r>
        <w:r w:rsidR="004D7F52">
          <w:rPr>
            <w:noProof/>
            <w:webHidden/>
          </w:rPr>
          <w:instrText xml:space="preserve"> PAGEREF _Toc462047328 \h </w:instrText>
        </w:r>
        <w:r w:rsidR="004D7F52">
          <w:rPr>
            <w:noProof/>
            <w:webHidden/>
          </w:rPr>
        </w:r>
        <w:r w:rsidR="004D7F52">
          <w:rPr>
            <w:noProof/>
            <w:webHidden/>
          </w:rPr>
          <w:fldChar w:fldCharType="separate"/>
        </w:r>
        <w:r w:rsidR="009C068F">
          <w:rPr>
            <w:noProof/>
            <w:webHidden/>
          </w:rPr>
          <w:t>18</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29" w:history="1">
        <w:r w:rsidR="004D7F52" w:rsidRPr="00440689">
          <w:rPr>
            <w:rStyle w:val="Hyperlink"/>
            <w:rFonts w:ascii="Arial" w:hAnsi="Arial" w:cs="Arial"/>
            <w:noProof/>
          </w:rPr>
          <w:t>3.6.3</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Seagrass nutrient status.</w:t>
        </w:r>
        <w:r w:rsidR="004D7F52">
          <w:rPr>
            <w:noProof/>
            <w:webHidden/>
          </w:rPr>
          <w:tab/>
        </w:r>
        <w:r w:rsidR="004D7F52">
          <w:rPr>
            <w:noProof/>
            <w:webHidden/>
          </w:rPr>
          <w:fldChar w:fldCharType="begin"/>
        </w:r>
        <w:r w:rsidR="004D7F52">
          <w:rPr>
            <w:noProof/>
            <w:webHidden/>
          </w:rPr>
          <w:instrText xml:space="preserve"> PAGEREF _Toc462047329 \h </w:instrText>
        </w:r>
        <w:r w:rsidR="004D7F52">
          <w:rPr>
            <w:noProof/>
            <w:webHidden/>
          </w:rPr>
        </w:r>
        <w:r w:rsidR="004D7F52">
          <w:rPr>
            <w:noProof/>
            <w:webHidden/>
          </w:rPr>
          <w:fldChar w:fldCharType="separate"/>
        </w:r>
        <w:r w:rsidR="009C068F">
          <w:rPr>
            <w:noProof/>
            <w:webHidden/>
          </w:rPr>
          <w:t>19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30" w:history="1">
        <w:r w:rsidR="004D7F52" w:rsidRPr="00440689">
          <w:rPr>
            <w:rStyle w:val="Hyperlink"/>
            <w:rFonts w:ascii="Arial" w:hAnsi="Arial" w:cs="Arial"/>
            <w:noProof/>
          </w:rPr>
          <w:t>3.6.4</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Seagrass index</w:t>
        </w:r>
        <w:r w:rsidR="004D7F52">
          <w:rPr>
            <w:noProof/>
            <w:webHidden/>
          </w:rPr>
          <w:tab/>
        </w:r>
        <w:r w:rsidR="004D7F52">
          <w:rPr>
            <w:noProof/>
            <w:webHidden/>
          </w:rPr>
          <w:fldChar w:fldCharType="begin"/>
        </w:r>
        <w:r w:rsidR="004D7F52">
          <w:rPr>
            <w:noProof/>
            <w:webHidden/>
          </w:rPr>
          <w:instrText xml:space="preserve"> PAGEREF _Toc462047330 \h </w:instrText>
        </w:r>
        <w:r w:rsidR="004D7F52">
          <w:rPr>
            <w:noProof/>
            <w:webHidden/>
          </w:rPr>
        </w:r>
        <w:r w:rsidR="004D7F52">
          <w:rPr>
            <w:noProof/>
            <w:webHidden/>
          </w:rPr>
          <w:fldChar w:fldCharType="separate"/>
        </w:r>
        <w:r w:rsidR="009C068F">
          <w:rPr>
            <w:noProof/>
            <w:webHidden/>
          </w:rPr>
          <w:t>19</w:t>
        </w:r>
        <w:r w:rsidR="004D7F52">
          <w:rPr>
            <w:noProof/>
            <w:webHidden/>
          </w:rPr>
          <w:fldChar w:fldCharType="end"/>
        </w:r>
      </w:hyperlink>
    </w:p>
    <w:p w:rsidR="004D7F52" w:rsidRDefault="00AF19E7">
      <w:pPr>
        <w:pStyle w:val="TOC1"/>
        <w:tabs>
          <w:tab w:val="left" w:pos="440"/>
          <w:tab w:val="right" w:leader="dot" w:pos="9060"/>
        </w:tabs>
        <w:rPr>
          <w:rFonts w:eastAsiaTheme="minorEastAsia" w:cstheme="minorBidi"/>
          <w:b w:val="0"/>
          <w:bCs w:val="0"/>
          <w:caps w:val="0"/>
          <w:noProof/>
          <w:sz w:val="22"/>
          <w:szCs w:val="22"/>
          <w:lang w:eastAsia="en-AU"/>
        </w:rPr>
      </w:pPr>
      <w:hyperlink w:anchor="_Toc462047331" w:history="1">
        <w:r w:rsidR="004D7F52" w:rsidRPr="00440689">
          <w:rPr>
            <w:rStyle w:val="Hyperlink"/>
            <w:rFonts w:ascii="Century Gothic" w:hAnsi="Century Gothic"/>
            <w:noProof/>
          </w:rPr>
          <w:t>4</w:t>
        </w:r>
        <w:r w:rsidR="004D7F52">
          <w:rPr>
            <w:rFonts w:eastAsiaTheme="minorEastAsia" w:cstheme="minorBidi"/>
            <w:b w:val="0"/>
            <w:bCs w:val="0"/>
            <w:caps w:val="0"/>
            <w:noProof/>
            <w:sz w:val="22"/>
            <w:szCs w:val="22"/>
            <w:lang w:eastAsia="en-AU"/>
          </w:rPr>
          <w:tab/>
        </w:r>
        <w:r w:rsidR="004D7F52" w:rsidRPr="00440689">
          <w:rPr>
            <w:rStyle w:val="Hyperlink"/>
            <w:rFonts w:ascii="Century Gothic" w:hAnsi="Century Gothic"/>
            <w:noProof/>
          </w:rPr>
          <w:t>Results &amp; Discussion</w:t>
        </w:r>
        <w:r w:rsidR="004D7F52">
          <w:rPr>
            <w:noProof/>
            <w:webHidden/>
          </w:rPr>
          <w:tab/>
        </w:r>
        <w:r w:rsidR="004D7F52">
          <w:rPr>
            <w:noProof/>
            <w:webHidden/>
          </w:rPr>
          <w:fldChar w:fldCharType="begin"/>
        </w:r>
        <w:r w:rsidR="004D7F52">
          <w:rPr>
            <w:noProof/>
            <w:webHidden/>
          </w:rPr>
          <w:instrText xml:space="preserve"> PAGEREF _Toc462047331 \h </w:instrText>
        </w:r>
        <w:r w:rsidR="004D7F52">
          <w:rPr>
            <w:noProof/>
            <w:webHidden/>
          </w:rPr>
        </w:r>
        <w:r w:rsidR="004D7F52">
          <w:rPr>
            <w:noProof/>
            <w:webHidden/>
          </w:rPr>
          <w:fldChar w:fldCharType="separate"/>
        </w:r>
        <w:r w:rsidR="009C068F">
          <w:rPr>
            <w:noProof/>
            <w:webHidden/>
          </w:rPr>
          <w:t>20</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32" w:history="1">
        <w:r w:rsidR="004D7F52" w:rsidRPr="00440689">
          <w:rPr>
            <w:rStyle w:val="Hyperlink"/>
            <w:rFonts w:ascii="Century Gothic" w:hAnsi="Century Gothic"/>
            <w:noProof/>
          </w:rPr>
          <w:t>4.1</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GBR-wide Summary</w:t>
        </w:r>
        <w:r w:rsidR="004D7F52">
          <w:rPr>
            <w:noProof/>
            <w:webHidden/>
          </w:rPr>
          <w:tab/>
        </w:r>
        <w:r w:rsidR="004D7F52">
          <w:rPr>
            <w:noProof/>
            <w:webHidden/>
          </w:rPr>
          <w:fldChar w:fldCharType="begin"/>
        </w:r>
        <w:r w:rsidR="004D7F52">
          <w:rPr>
            <w:noProof/>
            <w:webHidden/>
          </w:rPr>
          <w:instrText xml:space="preserve"> PAGEREF _Toc462047332 \h </w:instrText>
        </w:r>
        <w:r w:rsidR="004D7F52">
          <w:rPr>
            <w:noProof/>
            <w:webHidden/>
          </w:rPr>
        </w:r>
        <w:r w:rsidR="004D7F52">
          <w:rPr>
            <w:noProof/>
            <w:webHidden/>
          </w:rPr>
          <w:fldChar w:fldCharType="separate"/>
        </w:r>
        <w:r w:rsidR="009C068F">
          <w:rPr>
            <w:noProof/>
            <w:webHidden/>
          </w:rPr>
          <w:t>21</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33" w:history="1">
        <w:r w:rsidR="004D7F52" w:rsidRPr="00440689">
          <w:rPr>
            <w:rStyle w:val="Hyperlink"/>
            <w:rFonts w:ascii="Arial" w:hAnsi="Arial" w:cs="Arial"/>
            <w:noProof/>
          </w:rPr>
          <w:t>4.1.1</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_Toc462047333 \h </w:instrText>
        </w:r>
        <w:r w:rsidR="004D7F52">
          <w:rPr>
            <w:noProof/>
            <w:webHidden/>
          </w:rPr>
        </w:r>
        <w:r w:rsidR="004D7F52">
          <w:rPr>
            <w:noProof/>
            <w:webHidden/>
          </w:rPr>
          <w:fldChar w:fldCharType="separate"/>
        </w:r>
        <w:r w:rsidR="009C068F">
          <w:rPr>
            <w:noProof/>
            <w:webHidden/>
          </w:rPr>
          <w:t>23</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34" w:history="1">
        <w:r w:rsidR="004D7F52" w:rsidRPr="00440689">
          <w:rPr>
            <w:rStyle w:val="Hyperlink"/>
            <w:rFonts w:ascii="Arial" w:hAnsi="Arial" w:cs="Arial"/>
            <w:noProof/>
          </w:rPr>
          <w:t>4.1.2</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seagrass condition</w:t>
        </w:r>
        <w:r w:rsidR="004D7F52">
          <w:rPr>
            <w:noProof/>
            <w:webHidden/>
          </w:rPr>
          <w:tab/>
        </w:r>
        <w:r w:rsidR="004D7F52">
          <w:rPr>
            <w:noProof/>
            <w:webHidden/>
          </w:rPr>
          <w:fldChar w:fldCharType="begin"/>
        </w:r>
        <w:r w:rsidR="004D7F52">
          <w:rPr>
            <w:noProof/>
            <w:webHidden/>
          </w:rPr>
          <w:instrText xml:space="preserve"> PAGEREF _Toc462047334 \h </w:instrText>
        </w:r>
        <w:r w:rsidR="004D7F52">
          <w:rPr>
            <w:noProof/>
            <w:webHidden/>
          </w:rPr>
        </w:r>
        <w:r w:rsidR="004D7F52">
          <w:rPr>
            <w:noProof/>
            <w:webHidden/>
          </w:rPr>
          <w:fldChar w:fldCharType="separate"/>
        </w:r>
        <w:r w:rsidR="009C068F">
          <w:rPr>
            <w:noProof/>
            <w:webHidden/>
          </w:rPr>
          <w:t>29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35" w:history="1">
        <w:r w:rsidR="004D7F52" w:rsidRPr="00440689">
          <w:rPr>
            <w:rStyle w:val="Hyperlink"/>
            <w:rFonts w:ascii="Arial" w:hAnsi="Arial" w:cs="Arial"/>
            <w:noProof/>
          </w:rPr>
          <w:t>4.1.3</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environmental condition</w:t>
        </w:r>
        <w:r w:rsidR="004D7F52">
          <w:rPr>
            <w:noProof/>
            <w:webHidden/>
          </w:rPr>
          <w:tab/>
        </w:r>
        <w:r w:rsidR="004D7F52">
          <w:rPr>
            <w:noProof/>
            <w:webHidden/>
          </w:rPr>
          <w:fldChar w:fldCharType="begin"/>
        </w:r>
        <w:r w:rsidR="004D7F52">
          <w:rPr>
            <w:noProof/>
            <w:webHidden/>
          </w:rPr>
          <w:instrText xml:space="preserve"> PAGEREF _Toc462047335 \h </w:instrText>
        </w:r>
        <w:r w:rsidR="004D7F52">
          <w:rPr>
            <w:noProof/>
            <w:webHidden/>
          </w:rPr>
        </w:r>
        <w:r w:rsidR="004D7F52">
          <w:rPr>
            <w:noProof/>
            <w:webHidden/>
          </w:rPr>
          <w:fldChar w:fldCharType="separate"/>
        </w:r>
        <w:r w:rsidR="009C068F">
          <w:rPr>
            <w:noProof/>
            <w:webHidden/>
          </w:rPr>
          <w:t>34</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36" w:history="1">
        <w:r w:rsidR="004D7F52" w:rsidRPr="00440689">
          <w:rPr>
            <w:rStyle w:val="Hyperlink"/>
            <w:rFonts w:ascii="Century Gothic" w:hAnsi="Century Gothic"/>
            <w:noProof/>
          </w:rPr>
          <w:t>4.2</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Cape York</w:t>
        </w:r>
        <w:r w:rsidR="004D7F52">
          <w:rPr>
            <w:noProof/>
            <w:webHidden/>
          </w:rPr>
          <w:tab/>
        </w:r>
        <w:r w:rsidR="004D7F52">
          <w:rPr>
            <w:noProof/>
            <w:webHidden/>
          </w:rPr>
          <w:fldChar w:fldCharType="begin"/>
        </w:r>
        <w:r w:rsidR="004D7F52">
          <w:rPr>
            <w:noProof/>
            <w:webHidden/>
          </w:rPr>
          <w:instrText xml:space="preserve"> PAGEREF _Toc462047336 \h </w:instrText>
        </w:r>
        <w:r w:rsidR="004D7F52">
          <w:rPr>
            <w:noProof/>
            <w:webHidden/>
          </w:rPr>
        </w:r>
        <w:r w:rsidR="004D7F52">
          <w:rPr>
            <w:noProof/>
            <w:webHidden/>
          </w:rPr>
          <w:fldChar w:fldCharType="separate"/>
        </w:r>
        <w:r w:rsidR="009C068F">
          <w:rPr>
            <w:noProof/>
            <w:webHidden/>
          </w:rPr>
          <w:t>40</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37" w:history="1">
        <w:r w:rsidR="004D7F52" w:rsidRPr="00440689">
          <w:rPr>
            <w:rStyle w:val="Hyperlink"/>
            <w:rFonts w:ascii="Arial" w:hAnsi="Arial" w:cs="Arial"/>
            <w:noProof/>
          </w:rPr>
          <w:t>4.2.1</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2014-15 Summary</w:t>
        </w:r>
        <w:r w:rsidR="004D7F52">
          <w:rPr>
            <w:noProof/>
            <w:webHidden/>
          </w:rPr>
          <w:tab/>
        </w:r>
        <w:r w:rsidR="004D7F52">
          <w:rPr>
            <w:noProof/>
            <w:webHidden/>
          </w:rPr>
          <w:fldChar w:fldCharType="begin"/>
        </w:r>
        <w:r w:rsidR="004D7F52">
          <w:rPr>
            <w:noProof/>
            <w:webHidden/>
          </w:rPr>
          <w:instrText xml:space="preserve"> PAGEREF _Toc462047337 \h </w:instrText>
        </w:r>
        <w:r w:rsidR="004D7F52">
          <w:rPr>
            <w:noProof/>
            <w:webHidden/>
          </w:rPr>
        </w:r>
        <w:r w:rsidR="004D7F52">
          <w:rPr>
            <w:noProof/>
            <w:webHidden/>
          </w:rPr>
          <w:fldChar w:fldCharType="separate"/>
        </w:r>
        <w:r w:rsidR="009C068F">
          <w:rPr>
            <w:noProof/>
            <w:webHidden/>
          </w:rPr>
          <w:t>40</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38" w:history="1">
        <w:r w:rsidR="004D7F52" w:rsidRPr="00440689">
          <w:rPr>
            <w:rStyle w:val="Hyperlink"/>
            <w:rFonts w:ascii="Arial" w:hAnsi="Arial" w:cs="Arial"/>
            <w:noProof/>
          </w:rPr>
          <w:t>4.2.2</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_Toc462047338 \h </w:instrText>
        </w:r>
        <w:r w:rsidR="004D7F52">
          <w:rPr>
            <w:noProof/>
            <w:webHidden/>
          </w:rPr>
        </w:r>
        <w:r w:rsidR="004D7F52">
          <w:rPr>
            <w:noProof/>
            <w:webHidden/>
          </w:rPr>
          <w:fldChar w:fldCharType="separate"/>
        </w:r>
        <w:r w:rsidR="009C068F">
          <w:rPr>
            <w:noProof/>
            <w:webHidden/>
          </w:rPr>
          <w:t>41</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39" w:history="1">
        <w:r w:rsidR="004D7F52" w:rsidRPr="00440689">
          <w:rPr>
            <w:rStyle w:val="Hyperlink"/>
            <w:rFonts w:ascii="Arial" w:hAnsi="Arial" w:cs="Arial"/>
            <w:noProof/>
          </w:rPr>
          <w:t>4.2.3</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seagrass condition</w:t>
        </w:r>
        <w:r w:rsidR="004D7F52">
          <w:rPr>
            <w:noProof/>
            <w:webHidden/>
          </w:rPr>
          <w:tab/>
        </w:r>
        <w:r w:rsidR="004D7F52">
          <w:rPr>
            <w:noProof/>
            <w:webHidden/>
          </w:rPr>
          <w:fldChar w:fldCharType="begin"/>
        </w:r>
        <w:r w:rsidR="004D7F52">
          <w:rPr>
            <w:noProof/>
            <w:webHidden/>
          </w:rPr>
          <w:instrText xml:space="preserve"> PAGEREF _Toc462047339 \h </w:instrText>
        </w:r>
        <w:r w:rsidR="004D7F52">
          <w:rPr>
            <w:noProof/>
            <w:webHidden/>
          </w:rPr>
        </w:r>
        <w:r w:rsidR="004D7F52">
          <w:rPr>
            <w:noProof/>
            <w:webHidden/>
          </w:rPr>
          <w:fldChar w:fldCharType="separate"/>
        </w:r>
        <w:r w:rsidR="009C068F">
          <w:rPr>
            <w:noProof/>
            <w:webHidden/>
          </w:rPr>
          <w:t>43</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40" w:history="1">
        <w:r w:rsidR="004D7F52" w:rsidRPr="00440689">
          <w:rPr>
            <w:rStyle w:val="Hyperlink"/>
            <w:rFonts w:ascii="Arial" w:hAnsi="Arial" w:cs="Arial"/>
            <w:noProof/>
          </w:rPr>
          <w:t>4.2.4</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environmental condition</w:t>
        </w:r>
        <w:r w:rsidR="004D7F52">
          <w:rPr>
            <w:noProof/>
            <w:webHidden/>
          </w:rPr>
          <w:tab/>
        </w:r>
        <w:r w:rsidR="004D7F52">
          <w:rPr>
            <w:noProof/>
            <w:webHidden/>
          </w:rPr>
          <w:fldChar w:fldCharType="begin"/>
        </w:r>
        <w:r w:rsidR="004D7F52">
          <w:rPr>
            <w:noProof/>
            <w:webHidden/>
          </w:rPr>
          <w:instrText xml:space="preserve"> PAGEREF _Toc462047340 \h </w:instrText>
        </w:r>
        <w:r w:rsidR="004D7F52">
          <w:rPr>
            <w:noProof/>
            <w:webHidden/>
          </w:rPr>
        </w:r>
        <w:r w:rsidR="004D7F52">
          <w:rPr>
            <w:noProof/>
            <w:webHidden/>
          </w:rPr>
          <w:fldChar w:fldCharType="separate"/>
        </w:r>
        <w:r w:rsidR="009C068F">
          <w:rPr>
            <w:noProof/>
            <w:webHidden/>
          </w:rPr>
          <w:t>46</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41" w:history="1">
        <w:r w:rsidR="004D7F52" w:rsidRPr="00440689">
          <w:rPr>
            <w:rStyle w:val="Hyperlink"/>
            <w:rFonts w:ascii="Arial" w:hAnsi="Arial" w:cs="Arial"/>
            <w:noProof/>
          </w:rPr>
          <w:t>4.2.5</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Report card for inshore seagrass status</w:t>
        </w:r>
        <w:r w:rsidR="004D7F52">
          <w:rPr>
            <w:noProof/>
            <w:webHidden/>
          </w:rPr>
          <w:tab/>
        </w:r>
        <w:r w:rsidR="004D7F52">
          <w:rPr>
            <w:noProof/>
            <w:webHidden/>
          </w:rPr>
          <w:fldChar w:fldCharType="begin"/>
        </w:r>
        <w:r w:rsidR="004D7F52">
          <w:rPr>
            <w:noProof/>
            <w:webHidden/>
          </w:rPr>
          <w:instrText xml:space="preserve"> PAGEREF _Toc462047341 \h </w:instrText>
        </w:r>
        <w:r w:rsidR="004D7F52">
          <w:rPr>
            <w:noProof/>
            <w:webHidden/>
          </w:rPr>
        </w:r>
        <w:r w:rsidR="004D7F52">
          <w:rPr>
            <w:noProof/>
            <w:webHidden/>
          </w:rPr>
          <w:fldChar w:fldCharType="separate"/>
        </w:r>
        <w:r w:rsidR="009C068F">
          <w:rPr>
            <w:noProof/>
            <w:webHidden/>
          </w:rPr>
          <w:t>48</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42" w:history="1">
        <w:r w:rsidR="004D7F52" w:rsidRPr="00440689">
          <w:rPr>
            <w:rStyle w:val="Hyperlink"/>
            <w:rFonts w:ascii="Century Gothic" w:hAnsi="Century Gothic"/>
            <w:noProof/>
          </w:rPr>
          <w:t>4.3</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Wet Tropics</w:t>
        </w:r>
        <w:r w:rsidR="004D7F52">
          <w:rPr>
            <w:noProof/>
            <w:webHidden/>
          </w:rPr>
          <w:tab/>
        </w:r>
        <w:r w:rsidR="004D7F52">
          <w:rPr>
            <w:noProof/>
            <w:webHidden/>
          </w:rPr>
          <w:fldChar w:fldCharType="begin"/>
        </w:r>
        <w:r w:rsidR="004D7F52">
          <w:rPr>
            <w:noProof/>
            <w:webHidden/>
          </w:rPr>
          <w:instrText xml:space="preserve"> PAGEREF _Toc462047342 \h </w:instrText>
        </w:r>
        <w:r w:rsidR="004D7F52">
          <w:rPr>
            <w:noProof/>
            <w:webHidden/>
          </w:rPr>
        </w:r>
        <w:r w:rsidR="004D7F52">
          <w:rPr>
            <w:noProof/>
            <w:webHidden/>
          </w:rPr>
          <w:fldChar w:fldCharType="separate"/>
        </w:r>
        <w:r w:rsidR="009C068F">
          <w:rPr>
            <w:noProof/>
            <w:webHidden/>
          </w:rPr>
          <w:t>49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43" w:history="1">
        <w:r w:rsidR="004D7F52" w:rsidRPr="00440689">
          <w:rPr>
            <w:rStyle w:val="Hyperlink"/>
            <w:rFonts w:ascii="Arial" w:hAnsi="Arial" w:cs="Arial"/>
            <w:noProof/>
          </w:rPr>
          <w:t>4.3.1</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2014-15 Summary</w:t>
        </w:r>
        <w:r w:rsidR="004D7F52">
          <w:rPr>
            <w:noProof/>
            <w:webHidden/>
          </w:rPr>
          <w:tab/>
        </w:r>
        <w:r w:rsidR="004D7F52">
          <w:rPr>
            <w:noProof/>
            <w:webHidden/>
          </w:rPr>
          <w:fldChar w:fldCharType="begin"/>
        </w:r>
        <w:r w:rsidR="004D7F52">
          <w:rPr>
            <w:noProof/>
            <w:webHidden/>
          </w:rPr>
          <w:instrText xml:space="preserve"> PAGEREF _Toc462047343 \h </w:instrText>
        </w:r>
        <w:r w:rsidR="004D7F52">
          <w:rPr>
            <w:noProof/>
            <w:webHidden/>
          </w:rPr>
        </w:r>
        <w:r w:rsidR="004D7F52">
          <w:rPr>
            <w:noProof/>
            <w:webHidden/>
          </w:rPr>
          <w:fldChar w:fldCharType="separate"/>
        </w:r>
        <w:r w:rsidR="009C068F">
          <w:rPr>
            <w:noProof/>
            <w:webHidden/>
          </w:rPr>
          <w:t>49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44" w:history="1">
        <w:r w:rsidR="004D7F52" w:rsidRPr="00440689">
          <w:rPr>
            <w:rStyle w:val="Hyperlink"/>
            <w:rFonts w:ascii="Arial" w:hAnsi="Arial" w:cs="Arial"/>
            <w:noProof/>
          </w:rPr>
          <w:t>4.3.2</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_Toc462047344 \h </w:instrText>
        </w:r>
        <w:r w:rsidR="004D7F52">
          <w:rPr>
            <w:noProof/>
            <w:webHidden/>
          </w:rPr>
        </w:r>
        <w:r w:rsidR="004D7F52">
          <w:rPr>
            <w:noProof/>
            <w:webHidden/>
          </w:rPr>
          <w:fldChar w:fldCharType="separate"/>
        </w:r>
        <w:r w:rsidR="009C068F">
          <w:rPr>
            <w:noProof/>
            <w:webHidden/>
          </w:rPr>
          <w:t>50</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45" w:history="1">
        <w:r w:rsidR="004D7F52" w:rsidRPr="00440689">
          <w:rPr>
            <w:rStyle w:val="Hyperlink"/>
            <w:rFonts w:ascii="Arial" w:hAnsi="Arial" w:cs="Arial"/>
            <w:noProof/>
          </w:rPr>
          <w:t>4.3.3</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seagrass condition</w:t>
        </w:r>
        <w:r w:rsidR="004D7F52">
          <w:rPr>
            <w:noProof/>
            <w:webHidden/>
          </w:rPr>
          <w:tab/>
        </w:r>
        <w:r w:rsidR="004D7F52">
          <w:rPr>
            <w:noProof/>
            <w:webHidden/>
          </w:rPr>
          <w:fldChar w:fldCharType="begin"/>
        </w:r>
        <w:r w:rsidR="004D7F52">
          <w:rPr>
            <w:noProof/>
            <w:webHidden/>
          </w:rPr>
          <w:instrText xml:space="preserve"> PAGEREF _Toc462047345 \h </w:instrText>
        </w:r>
        <w:r w:rsidR="004D7F52">
          <w:rPr>
            <w:noProof/>
            <w:webHidden/>
          </w:rPr>
        </w:r>
        <w:r w:rsidR="004D7F52">
          <w:rPr>
            <w:noProof/>
            <w:webHidden/>
          </w:rPr>
          <w:fldChar w:fldCharType="separate"/>
        </w:r>
        <w:r w:rsidR="009C068F">
          <w:rPr>
            <w:noProof/>
            <w:webHidden/>
          </w:rPr>
          <w:t>52</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46" w:history="1">
        <w:r w:rsidR="004D7F52" w:rsidRPr="00440689">
          <w:rPr>
            <w:rStyle w:val="Hyperlink"/>
            <w:rFonts w:ascii="Arial" w:hAnsi="Arial" w:cs="Arial"/>
            <w:noProof/>
          </w:rPr>
          <w:t>4.3.4</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environmental condition</w:t>
        </w:r>
        <w:r w:rsidR="004D7F52">
          <w:rPr>
            <w:noProof/>
            <w:webHidden/>
          </w:rPr>
          <w:tab/>
        </w:r>
        <w:r w:rsidR="004D7F52">
          <w:rPr>
            <w:noProof/>
            <w:webHidden/>
          </w:rPr>
          <w:fldChar w:fldCharType="begin"/>
        </w:r>
        <w:r w:rsidR="004D7F52">
          <w:rPr>
            <w:noProof/>
            <w:webHidden/>
          </w:rPr>
          <w:instrText xml:space="preserve"> PAGEREF _Toc462047346 \h </w:instrText>
        </w:r>
        <w:r w:rsidR="004D7F52">
          <w:rPr>
            <w:noProof/>
            <w:webHidden/>
          </w:rPr>
        </w:r>
        <w:r w:rsidR="004D7F52">
          <w:rPr>
            <w:noProof/>
            <w:webHidden/>
          </w:rPr>
          <w:fldChar w:fldCharType="separate"/>
        </w:r>
        <w:r w:rsidR="009C068F">
          <w:rPr>
            <w:noProof/>
            <w:webHidden/>
          </w:rPr>
          <w:t>56</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47" w:history="1">
        <w:r w:rsidR="004D7F52" w:rsidRPr="00440689">
          <w:rPr>
            <w:rStyle w:val="Hyperlink"/>
            <w:rFonts w:ascii="Arial" w:hAnsi="Arial" w:cs="Arial"/>
            <w:noProof/>
          </w:rPr>
          <w:t>4.3.5</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Report card for inshore seagrass status</w:t>
        </w:r>
        <w:r w:rsidR="004D7F52">
          <w:rPr>
            <w:noProof/>
            <w:webHidden/>
          </w:rPr>
          <w:tab/>
        </w:r>
        <w:r w:rsidR="004D7F52">
          <w:rPr>
            <w:noProof/>
            <w:webHidden/>
          </w:rPr>
          <w:fldChar w:fldCharType="begin"/>
        </w:r>
        <w:r w:rsidR="004D7F52">
          <w:rPr>
            <w:noProof/>
            <w:webHidden/>
          </w:rPr>
          <w:instrText xml:space="preserve"> PAGEREF _Toc462047347 \h </w:instrText>
        </w:r>
        <w:r w:rsidR="004D7F52">
          <w:rPr>
            <w:noProof/>
            <w:webHidden/>
          </w:rPr>
        </w:r>
        <w:r w:rsidR="004D7F52">
          <w:rPr>
            <w:noProof/>
            <w:webHidden/>
          </w:rPr>
          <w:fldChar w:fldCharType="separate"/>
        </w:r>
        <w:r w:rsidR="009C068F">
          <w:rPr>
            <w:noProof/>
            <w:webHidden/>
          </w:rPr>
          <w:t>58</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48" w:history="1">
        <w:r w:rsidR="004D7F52" w:rsidRPr="00440689">
          <w:rPr>
            <w:rStyle w:val="Hyperlink"/>
            <w:rFonts w:ascii="Century Gothic" w:hAnsi="Century Gothic"/>
            <w:noProof/>
          </w:rPr>
          <w:t>4.4</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Burdekin</w:t>
        </w:r>
        <w:r w:rsidR="004D7F52">
          <w:rPr>
            <w:noProof/>
            <w:webHidden/>
          </w:rPr>
          <w:tab/>
        </w:r>
        <w:r w:rsidR="004D7F52">
          <w:rPr>
            <w:noProof/>
            <w:webHidden/>
          </w:rPr>
          <w:fldChar w:fldCharType="begin"/>
        </w:r>
        <w:r w:rsidR="004D7F52">
          <w:rPr>
            <w:noProof/>
            <w:webHidden/>
          </w:rPr>
          <w:instrText xml:space="preserve"> PAGEREF _Toc462047348 \h </w:instrText>
        </w:r>
        <w:r w:rsidR="004D7F52">
          <w:rPr>
            <w:noProof/>
            <w:webHidden/>
          </w:rPr>
        </w:r>
        <w:r w:rsidR="004D7F52">
          <w:rPr>
            <w:noProof/>
            <w:webHidden/>
          </w:rPr>
          <w:fldChar w:fldCharType="separate"/>
        </w:r>
        <w:r w:rsidR="009C068F">
          <w:rPr>
            <w:noProof/>
            <w:webHidden/>
          </w:rPr>
          <w:t>59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49" w:history="1">
        <w:r w:rsidR="004D7F52" w:rsidRPr="00440689">
          <w:rPr>
            <w:rStyle w:val="Hyperlink"/>
            <w:rFonts w:ascii="Arial" w:hAnsi="Arial" w:cs="Arial"/>
            <w:noProof/>
          </w:rPr>
          <w:t>4.4.1</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2014-15 Summary</w:t>
        </w:r>
        <w:r w:rsidR="004D7F52">
          <w:rPr>
            <w:noProof/>
            <w:webHidden/>
          </w:rPr>
          <w:tab/>
        </w:r>
        <w:r w:rsidR="004D7F52">
          <w:rPr>
            <w:noProof/>
            <w:webHidden/>
          </w:rPr>
          <w:fldChar w:fldCharType="begin"/>
        </w:r>
        <w:r w:rsidR="004D7F52">
          <w:rPr>
            <w:noProof/>
            <w:webHidden/>
          </w:rPr>
          <w:instrText xml:space="preserve"> PAGEREF _Toc462047349 \h </w:instrText>
        </w:r>
        <w:r w:rsidR="004D7F52">
          <w:rPr>
            <w:noProof/>
            <w:webHidden/>
          </w:rPr>
        </w:r>
        <w:r w:rsidR="004D7F52">
          <w:rPr>
            <w:noProof/>
            <w:webHidden/>
          </w:rPr>
          <w:fldChar w:fldCharType="separate"/>
        </w:r>
        <w:r w:rsidR="009C068F">
          <w:rPr>
            <w:noProof/>
            <w:webHidden/>
          </w:rPr>
          <w:t>59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50" w:history="1">
        <w:r w:rsidR="004D7F52" w:rsidRPr="00440689">
          <w:rPr>
            <w:rStyle w:val="Hyperlink"/>
            <w:rFonts w:ascii="Arial" w:hAnsi="Arial" w:cs="Arial"/>
            <w:noProof/>
          </w:rPr>
          <w:t>4.4.2</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_Toc462047350 \h </w:instrText>
        </w:r>
        <w:r w:rsidR="004D7F52">
          <w:rPr>
            <w:noProof/>
            <w:webHidden/>
          </w:rPr>
        </w:r>
        <w:r w:rsidR="004D7F52">
          <w:rPr>
            <w:noProof/>
            <w:webHidden/>
          </w:rPr>
          <w:fldChar w:fldCharType="separate"/>
        </w:r>
        <w:r w:rsidR="009C068F">
          <w:rPr>
            <w:noProof/>
            <w:webHidden/>
          </w:rPr>
          <w:t>60</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51" w:history="1">
        <w:r w:rsidR="004D7F52" w:rsidRPr="00440689">
          <w:rPr>
            <w:rStyle w:val="Hyperlink"/>
            <w:rFonts w:ascii="Arial" w:hAnsi="Arial" w:cs="Arial"/>
            <w:noProof/>
          </w:rPr>
          <w:t>4.4.3</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seagrass condition</w:t>
        </w:r>
        <w:r w:rsidR="004D7F52">
          <w:rPr>
            <w:noProof/>
            <w:webHidden/>
          </w:rPr>
          <w:tab/>
        </w:r>
        <w:r w:rsidR="004D7F52">
          <w:rPr>
            <w:noProof/>
            <w:webHidden/>
          </w:rPr>
          <w:fldChar w:fldCharType="begin"/>
        </w:r>
        <w:r w:rsidR="004D7F52">
          <w:rPr>
            <w:noProof/>
            <w:webHidden/>
          </w:rPr>
          <w:instrText xml:space="preserve"> PAGEREF _Toc462047351 \h </w:instrText>
        </w:r>
        <w:r w:rsidR="004D7F52">
          <w:rPr>
            <w:noProof/>
            <w:webHidden/>
          </w:rPr>
        </w:r>
        <w:r w:rsidR="004D7F52">
          <w:rPr>
            <w:noProof/>
            <w:webHidden/>
          </w:rPr>
          <w:fldChar w:fldCharType="separate"/>
        </w:r>
        <w:r w:rsidR="009C068F">
          <w:rPr>
            <w:noProof/>
            <w:webHidden/>
          </w:rPr>
          <w:t>63</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52" w:history="1">
        <w:r w:rsidR="004D7F52" w:rsidRPr="00440689">
          <w:rPr>
            <w:rStyle w:val="Hyperlink"/>
            <w:rFonts w:ascii="Arial" w:hAnsi="Arial" w:cs="Arial"/>
            <w:noProof/>
          </w:rPr>
          <w:t>4.4.4</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environmental condition</w:t>
        </w:r>
        <w:r w:rsidR="004D7F52">
          <w:rPr>
            <w:noProof/>
            <w:webHidden/>
          </w:rPr>
          <w:tab/>
        </w:r>
        <w:r w:rsidR="004D7F52">
          <w:rPr>
            <w:noProof/>
            <w:webHidden/>
          </w:rPr>
          <w:fldChar w:fldCharType="begin"/>
        </w:r>
        <w:r w:rsidR="004D7F52">
          <w:rPr>
            <w:noProof/>
            <w:webHidden/>
          </w:rPr>
          <w:instrText xml:space="preserve"> PAGEREF _Toc462047352 \h </w:instrText>
        </w:r>
        <w:r w:rsidR="004D7F52">
          <w:rPr>
            <w:noProof/>
            <w:webHidden/>
          </w:rPr>
        </w:r>
        <w:r w:rsidR="004D7F52">
          <w:rPr>
            <w:noProof/>
            <w:webHidden/>
          </w:rPr>
          <w:fldChar w:fldCharType="separate"/>
        </w:r>
        <w:r w:rsidR="009C068F">
          <w:rPr>
            <w:noProof/>
            <w:webHidden/>
          </w:rPr>
          <w:t>66</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53" w:history="1">
        <w:r w:rsidR="004D7F52" w:rsidRPr="00440689">
          <w:rPr>
            <w:rStyle w:val="Hyperlink"/>
            <w:rFonts w:ascii="Arial" w:hAnsi="Arial" w:cs="Arial"/>
            <w:noProof/>
          </w:rPr>
          <w:t>4.4.5</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Report card for inshore seagrass status</w:t>
        </w:r>
        <w:r w:rsidR="004D7F52">
          <w:rPr>
            <w:noProof/>
            <w:webHidden/>
          </w:rPr>
          <w:tab/>
        </w:r>
        <w:r w:rsidR="004D7F52">
          <w:rPr>
            <w:noProof/>
            <w:webHidden/>
          </w:rPr>
          <w:fldChar w:fldCharType="begin"/>
        </w:r>
        <w:r w:rsidR="004D7F52">
          <w:rPr>
            <w:noProof/>
            <w:webHidden/>
          </w:rPr>
          <w:instrText xml:space="preserve"> PAGEREF _Toc462047353 \h </w:instrText>
        </w:r>
        <w:r w:rsidR="004D7F52">
          <w:rPr>
            <w:noProof/>
            <w:webHidden/>
          </w:rPr>
        </w:r>
        <w:r w:rsidR="004D7F52">
          <w:rPr>
            <w:noProof/>
            <w:webHidden/>
          </w:rPr>
          <w:fldChar w:fldCharType="separate"/>
        </w:r>
        <w:r w:rsidR="009C068F">
          <w:rPr>
            <w:noProof/>
            <w:webHidden/>
          </w:rPr>
          <w:t>68</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54" w:history="1">
        <w:r w:rsidR="004D7F52" w:rsidRPr="00440689">
          <w:rPr>
            <w:rStyle w:val="Hyperlink"/>
            <w:rFonts w:ascii="Century Gothic" w:hAnsi="Century Gothic"/>
            <w:noProof/>
          </w:rPr>
          <w:t>4.5</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Mackay Whitsunday</w:t>
        </w:r>
        <w:r w:rsidR="004D7F52">
          <w:rPr>
            <w:noProof/>
            <w:webHidden/>
          </w:rPr>
          <w:tab/>
        </w:r>
        <w:r w:rsidR="004D7F52">
          <w:rPr>
            <w:noProof/>
            <w:webHidden/>
          </w:rPr>
          <w:fldChar w:fldCharType="begin"/>
        </w:r>
        <w:r w:rsidR="004D7F52">
          <w:rPr>
            <w:noProof/>
            <w:webHidden/>
          </w:rPr>
          <w:instrText xml:space="preserve"> PAGEREF _Toc462047354 \h </w:instrText>
        </w:r>
        <w:r w:rsidR="004D7F52">
          <w:rPr>
            <w:noProof/>
            <w:webHidden/>
          </w:rPr>
        </w:r>
        <w:r w:rsidR="004D7F52">
          <w:rPr>
            <w:noProof/>
            <w:webHidden/>
          </w:rPr>
          <w:fldChar w:fldCharType="separate"/>
        </w:r>
        <w:r w:rsidR="009C068F">
          <w:rPr>
            <w:noProof/>
            <w:webHidden/>
          </w:rPr>
          <w:t>69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55" w:history="1">
        <w:r w:rsidR="004D7F52" w:rsidRPr="00440689">
          <w:rPr>
            <w:rStyle w:val="Hyperlink"/>
            <w:rFonts w:ascii="Arial" w:hAnsi="Arial" w:cs="Arial"/>
            <w:noProof/>
          </w:rPr>
          <w:t>4.5.1</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2014-15 Summary</w:t>
        </w:r>
        <w:r w:rsidR="004D7F52">
          <w:rPr>
            <w:noProof/>
            <w:webHidden/>
          </w:rPr>
          <w:tab/>
        </w:r>
        <w:r w:rsidR="004D7F52">
          <w:rPr>
            <w:noProof/>
            <w:webHidden/>
          </w:rPr>
          <w:fldChar w:fldCharType="begin"/>
        </w:r>
        <w:r w:rsidR="004D7F52">
          <w:rPr>
            <w:noProof/>
            <w:webHidden/>
          </w:rPr>
          <w:instrText xml:space="preserve"> PAGEREF _Toc462047355 \h </w:instrText>
        </w:r>
        <w:r w:rsidR="004D7F52">
          <w:rPr>
            <w:noProof/>
            <w:webHidden/>
          </w:rPr>
        </w:r>
        <w:r w:rsidR="004D7F52">
          <w:rPr>
            <w:noProof/>
            <w:webHidden/>
          </w:rPr>
          <w:fldChar w:fldCharType="separate"/>
        </w:r>
        <w:r w:rsidR="009C068F">
          <w:rPr>
            <w:noProof/>
            <w:webHidden/>
          </w:rPr>
          <w:t>69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56" w:history="1">
        <w:r w:rsidR="004D7F52" w:rsidRPr="00440689">
          <w:rPr>
            <w:rStyle w:val="Hyperlink"/>
            <w:rFonts w:ascii="Arial" w:hAnsi="Arial" w:cs="Arial"/>
            <w:noProof/>
          </w:rPr>
          <w:t>4.5.2</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_Toc462047356 \h </w:instrText>
        </w:r>
        <w:r w:rsidR="004D7F52">
          <w:rPr>
            <w:noProof/>
            <w:webHidden/>
          </w:rPr>
        </w:r>
        <w:r w:rsidR="004D7F52">
          <w:rPr>
            <w:noProof/>
            <w:webHidden/>
          </w:rPr>
          <w:fldChar w:fldCharType="separate"/>
        </w:r>
        <w:r w:rsidR="009C068F">
          <w:rPr>
            <w:noProof/>
            <w:webHidden/>
          </w:rPr>
          <w:t>70</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57" w:history="1">
        <w:r w:rsidR="004D7F52" w:rsidRPr="00440689">
          <w:rPr>
            <w:rStyle w:val="Hyperlink"/>
            <w:rFonts w:ascii="Arial" w:hAnsi="Arial" w:cs="Arial"/>
            <w:noProof/>
          </w:rPr>
          <w:t>4.5.3</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seagrass condition</w:t>
        </w:r>
        <w:r w:rsidR="004D7F52">
          <w:rPr>
            <w:noProof/>
            <w:webHidden/>
          </w:rPr>
          <w:tab/>
        </w:r>
        <w:r w:rsidR="004D7F52">
          <w:rPr>
            <w:noProof/>
            <w:webHidden/>
          </w:rPr>
          <w:fldChar w:fldCharType="begin"/>
        </w:r>
        <w:r w:rsidR="004D7F52">
          <w:rPr>
            <w:noProof/>
            <w:webHidden/>
          </w:rPr>
          <w:instrText xml:space="preserve"> PAGEREF _Toc462047357 \h </w:instrText>
        </w:r>
        <w:r w:rsidR="004D7F52">
          <w:rPr>
            <w:noProof/>
            <w:webHidden/>
          </w:rPr>
        </w:r>
        <w:r w:rsidR="004D7F52">
          <w:rPr>
            <w:noProof/>
            <w:webHidden/>
          </w:rPr>
          <w:fldChar w:fldCharType="separate"/>
        </w:r>
        <w:r w:rsidR="009C068F">
          <w:rPr>
            <w:noProof/>
            <w:webHidden/>
          </w:rPr>
          <w:t>72</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58" w:history="1">
        <w:r w:rsidR="004D7F52" w:rsidRPr="00440689">
          <w:rPr>
            <w:rStyle w:val="Hyperlink"/>
            <w:rFonts w:ascii="Arial" w:hAnsi="Arial" w:cs="Arial"/>
            <w:noProof/>
          </w:rPr>
          <w:t>4.5.4</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environmental condition</w:t>
        </w:r>
        <w:r w:rsidR="004D7F52">
          <w:rPr>
            <w:noProof/>
            <w:webHidden/>
          </w:rPr>
          <w:tab/>
        </w:r>
        <w:r w:rsidR="004D7F52">
          <w:rPr>
            <w:noProof/>
            <w:webHidden/>
          </w:rPr>
          <w:fldChar w:fldCharType="begin"/>
        </w:r>
        <w:r w:rsidR="004D7F52">
          <w:rPr>
            <w:noProof/>
            <w:webHidden/>
          </w:rPr>
          <w:instrText xml:space="preserve"> PAGEREF _Toc462047358 \h </w:instrText>
        </w:r>
        <w:r w:rsidR="004D7F52">
          <w:rPr>
            <w:noProof/>
            <w:webHidden/>
          </w:rPr>
        </w:r>
        <w:r w:rsidR="004D7F52">
          <w:rPr>
            <w:noProof/>
            <w:webHidden/>
          </w:rPr>
          <w:fldChar w:fldCharType="separate"/>
        </w:r>
        <w:r w:rsidR="009C068F">
          <w:rPr>
            <w:noProof/>
            <w:webHidden/>
          </w:rPr>
          <w:t>75</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59" w:history="1">
        <w:r w:rsidR="004D7F52" w:rsidRPr="00440689">
          <w:rPr>
            <w:rStyle w:val="Hyperlink"/>
            <w:rFonts w:ascii="Arial" w:hAnsi="Arial" w:cs="Arial"/>
            <w:noProof/>
          </w:rPr>
          <w:t>4.5.5</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Report card for inshore seagrass status</w:t>
        </w:r>
        <w:r w:rsidR="004D7F52">
          <w:rPr>
            <w:noProof/>
            <w:webHidden/>
          </w:rPr>
          <w:tab/>
        </w:r>
        <w:r w:rsidR="004D7F52">
          <w:rPr>
            <w:noProof/>
            <w:webHidden/>
          </w:rPr>
          <w:fldChar w:fldCharType="begin"/>
        </w:r>
        <w:r w:rsidR="004D7F52">
          <w:rPr>
            <w:noProof/>
            <w:webHidden/>
          </w:rPr>
          <w:instrText xml:space="preserve"> PAGEREF _Toc462047359 \h </w:instrText>
        </w:r>
        <w:r w:rsidR="004D7F52">
          <w:rPr>
            <w:noProof/>
            <w:webHidden/>
          </w:rPr>
        </w:r>
        <w:r w:rsidR="004D7F52">
          <w:rPr>
            <w:noProof/>
            <w:webHidden/>
          </w:rPr>
          <w:fldChar w:fldCharType="separate"/>
        </w:r>
        <w:r w:rsidR="009C068F">
          <w:rPr>
            <w:noProof/>
            <w:webHidden/>
          </w:rPr>
          <w:t>77</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60" w:history="1">
        <w:r w:rsidR="004D7F52" w:rsidRPr="00440689">
          <w:rPr>
            <w:rStyle w:val="Hyperlink"/>
            <w:rFonts w:ascii="Century Gothic" w:hAnsi="Century Gothic"/>
            <w:noProof/>
          </w:rPr>
          <w:t>4.6</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Fitzroy</w:t>
        </w:r>
        <w:r w:rsidR="004D7F52">
          <w:rPr>
            <w:noProof/>
            <w:webHidden/>
          </w:rPr>
          <w:tab/>
        </w:r>
        <w:r w:rsidR="004D7F52">
          <w:rPr>
            <w:noProof/>
            <w:webHidden/>
          </w:rPr>
          <w:fldChar w:fldCharType="begin"/>
        </w:r>
        <w:r w:rsidR="004D7F52">
          <w:rPr>
            <w:noProof/>
            <w:webHidden/>
          </w:rPr>
          <w:instrText xml:space="preserve"> PAGEREF _Toc462047360 \h </w:instrText>
        </w:r>
        <w:r w:rsidR="004D7F52">
          <w:rPr>
            <w:noProof/>
            <w:webHidden/>
          </w:rPr>
        </w:r>
        <w:r w:rsidR="004D7F52">
          <w:rPr>
            <w:noProof/>
            <w:webHidden/>
          </w:rPr>
          <w:fldChar w:fldCharType="separate"/>
        </w:r>
        <w:r w:rsidR="009C068F">
          <w:rPr>
            <w:noProof/>
            <w:webHidden/>
          </w:rPr>
          <w:t>78</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61" w:history="1">
        <w:r w:rsidR="004D7F52" w:rsidRPr="00440689">
          <w:rPr>
            <w:rStyle w:val="Hyperlink"/>
            <w:rFonts w:ascii="Arial" w:hAnsi="Arial" w:cs="Arial"/>
            <w:noProof/>
          </w:rPr>
          <w:t>4.6.1</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2014-15 Summary</w:t>
        </w:r>
        <w:r w:rsidR="004D7F52">
          <w:rPr>
            <w:noProof/>
            <w:webHidden/>
          </w:rPr>
          <w:tab/>
        </w:r>
        <w:r w:rsidR="004D7F52">
          <w:rPr>
            <w:noProof/>
            <w:webHidden/>
          </w:rPr>
          <w:fldChar w:fldCharType="begin"/>
        </w:r>
        <w:r w:rsidR="004D7F52">
          <w:rPr>
            <w:noProof/>
            <w:webHidden/>
          </w:rPr>
          <w:instrText xml:space="preserve"> PAGEREF _Toc462047361 \h </w:instrText>
        </w:r>
        <w:r w:rsidR="004D7F52">
          <w:rPr>
            <w:noProof/>
            <w:webHidden/>
          </w:rPr>
        </w:r>
        <w:r w:rsidR="004D7F52">
          <w:rPr>
            <w:noProof/>
            <w:webHidden/>
          </w:rPr>
          <w:fldChar w:fldCharType="separate"/>
        </w:r>
        <w:r w:rsidR="009C068F">
          <w:rPr>
            <w:noProof/>
            <w:webHidden/>
          </w:rPr>
          <w:t>78</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62" w:history="1">
        <w:r w:rsidR="004D7F52" w:rsidRPr="00440689">
          <w:rPr>
            <w:rStyle w:val="Hyperlink"/>
            <w:rFonts w:ascii="Arial" w:hAnsi="Arial" w:cs="Arial"/>
            <w:noProof/>
          </w:rPr>
          <w:t>4.6.2</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_Toc462047362 \h </w:instrText>
        </w:r>
        <w:r w:rsidR="004D7F52">
          <w:rPr>
            <w:noProof/>
            <w:webHidden/>
          </w:rPr>
        </w:r>
        <w:r w:rsidR="004D7F52">
          <w:rPr>
            <w:noProof/>
            <w:webHidden/>
          </w:rPr>
          <w:fldChar w:fldCharType="separate"/>
        </w:r>
        <w:r w:rsidR="009C068F">
          <w:rPr>
            <w:noProof/>
            <w:webHidden/>
          </w:rPr>
          <w:t>79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63" w:history="1">
        <w:r w:rsidR="004D7F52" w:rsidRPr="00440689">
          <w:rPr>
            <w:rStyle w:val="Hyperlink"/>
            <w:rFonts w:ascii="Arial" w:hAnsi="Arial" w:cs="Arial"/>
            <w:noProof/>
          </w:rPr>
          <w:t>4.6.3</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seagrass condition</w:t>
        </w:r>
        <w:r w:rsidR="004D7F52">
          <w:rPr>
            <w:noProof/>
            <w:webHidden/>
          </w:rPr>
          <w:tab/>
        </w:r>
        <w:r w:rsidR="004D7F52">
          <w:rPr>
            <w:noProof/>
            <w:webHidden/>
          </w:rPr>
          <w:fldChar w:fldCharType="begin"/>
        </w:r>
        <w:r w:rsidR="004D7F52">
          <w:rPr>
            <w:noProof/>
            <w:webHidden/>
          </w:rPr>
          <w:instrText xml:space="preserve"> PAGEREF _Toc462047363 \h </w:instrText>
        </w:r>
        <w:r w:rsidR="004D7F52">
          <w:rPr>
            <w:noProof/>
            <w:webHidden/>
          </w:rPr>
        </w:r>
        <w:r w:rsidR="004D7F52">
          <w:rPr>
            <w:noProof/>
            <w:webHidden/>
          </w:rPr>
          <w:fldChar w:fldCharType="separate"/>
        </w:r>
        <w:r w:rsidR="009C068F">
          <w:rPr>
            <w:noProof/>
            <w:webHidden/>
          </w:rPr>
          <w:t>82</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64" w:history="1">
        <w:r w:rsidR="004D7F52" w:rsidRPr="00440689">
          <w:rPr>
            <w:rStyle w:val="Hyperlink"/>
            <w:rFonts w:ascii="Arial" w:hAnsi="Arial" w:cs="Arial"/>
            <w:noProof/>
          </w:rPr>
          <w:t>4.6.4</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environmental condition</w:t>
        </w:r>
        <w:r w:rsidR="004D7F52">
          <w:rPr>
            <w:noProof/>
            <w:webHidden/>
          </w:rPr>
          <w:tab/>
        </w:r>
        <w:r w:rsidR="004D7F52">
          <w:rPr>
            <w:noProof/>
            <w:webHidden/>
          </w:rPr>
          <w:fldChar w:fldCharType="begin"/>
        </w:r>
        <w:r w:rsidR="004D7F52">
          <w:rPr>
            <w:noProof/>
            <w:webHidden/>
          </w:rPr>
          <w:instrText xml:space="preserve"> PAGEREF _Toc462047364 \h </w:instrText>
        </w:r>
        <w:r w:rsidR="004D7F52">
          <w:rPr>
            <w:noProof/>
            <w:webHidden/>
          </w:rPr>
        </w:r>
        <w:r w:rsidR="004D7F52">
          <w:rPr>
            <w:noProof/>
            <w:webHidden/>
          </w:rPr>
          <w:fldChar w:fldCharType="separate"/>
        </w:r>
        <w:r w:rsidR="009C068F">
          <w:rPr>
            <w:noProof/>
            <w:webHidden/>
          </w:rPr>
          <w:t>84</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65" w:history="1">
        <w:r w:rsidR="004D7F52" w:rsidRPr="00440689">
          <w:rPr>
            <w:rStyle w:val="Hyperlink"/>
            <w:rFonts w:ascii="Arial" w:hAnsi="Arial" w:cs="Arial"/>
            <w:noProof/>
          </w:rPr>
          <w:t>4.6.5</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Report card for inshore seagrass status</w:t>
        </w:r>
        <w:r w:rsidR="004D7F52">
          <w:rPr>
            <w:noProof/>
            <w:webHidden/>
          </w:rPr>
          <w:tab/>
        </w:r>
        <w:r w:rsidR="004D7F52">
          <w:rPr>
            <w:noProof/>
            <w:webHidden/>
          </w:rPr>
          <w:fldChar w:fldCharType="begin"/>
        </w:r>
        <w:r w:rsidR="004D7F52">
          <w:rPr>
            <w:noProof/>
            <w:webHidden/>
          </w:rPr>
          <w:instrText xml:space="preserve"> PAGEREF _Toc462047365 \h </w:instrText>
        </w:r>
        <w:r w:rsidR="004D7F52">
          <w:rPr>
            <w:noProof/>
            <w:webHidden/>
          </w:rPr>
        </w:r>
        <w:r w:rsidR="004D7F52">
          <w:rPr>
            <w:noProof/>
            <w:webHidden/>
          </w:rPr>
          <w:fldChar w:fldCharType="separate"/>
        </w:r>
        <w:r w:rsidR="009C068F">
          <w:rPr>
            <w:noProof/>
            <w:webHidden/>
          </w:rPr>
          <w:t>86</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66" w:history="1">
        <w:r w:rsidR="004D7F52" w:rsidRPr="00440689">
          <w:rPr>
            <w:rStyle w:val="Hyperlink"/>
            <w:rFonts w:ascii="Century Gothic" w:hAnsi="Century Gothic"/>
            <w:noProof/>
          </w:rPr>
          <w:t>4.7</w:t>
        </w:r>
        <w:r w:rsidR="004D7F52">
          <w:rPr>
            <w:rFonts w:eastAsiaTheme="minorEastAsia" w:cstheme="minorBidi"/>
            <w:smallCaps w:val="0"/>
            <w:noProof/>
            <w:sz w:val="22"/>
            <w:szCs w:val="22"/>
            <w:lang w:eastAsia="en-AU"/>
          </w:rPr>
          <w:tab/>
        </w:r>
        <w:r w:rsidR="004D7F52" w:rsidRPr="00440689">
          <w:rPr>
            <w:rStyle w:val="Hyperlink"/>
            <w:rFonts w:ascii="Century Gothic" w:hAnsi="Century Gothic"/>
            <w:noProof/>
          </w:rPr>
          <w:t>Burnett Mary</w:t>
        </w:r>
        <w:r w:rsidR="004D7F52">
          <w:rPr>
            <w:noProof/>
            <w:webHidden/>
          </w:rPr>
          <w:tab/>
        </w:r>
        <w:r w:rsidR="004D7F52">
          <w:rPr>
            <w:noProof/>
            <w:webHidden/>
          </w:rPr>
          <w:fldChar w:fldCharType="begin"/>
        </w:r>
        <w:r w:rsidR="004D7F52">
          <w:rPr>
            <w:noProof/>
            <w:webHidden/>
          </w:rPr>
          <w:instrText xml:space="preserve"> PAGEREF _Toc462047366 \h </w:instrText>
        </w:r>
        <w:r w:rsidR="004D7F52">
          <w:rPr>
            <w:noProof/>
            <w:webHidden/>
          </w:rPr>
        </w:r>
        <w:r w:rsidR="004D7F52">
          <w:rPr>
            <w:noProof/>
            <w:webHidden/>
          </w:rPr>
          <w:fldChar w:fldCharType="separate"/>
        </w:r>
        <w:r w:rsidR="009C068F">
          <w:rPr>
            <w:noProof/>
            <w:webHidden/>
          </w:rPr>
          <w:t>87</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67" w:history="1">
        <w:r w:rsidR="004D7F52" w:rsidRPr="00440689">
          <w:rPr>
            <w:rStyle w:val="Hyperlink"/>
            <w:rFonts w:ascii="Arial" w:hAnsi="Arial" w:cs="Arial"/>
            <w:noProof/>
          </w:rPr>
          <w:t>4.7.1</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2014-15 Summary</w:t>
        </w:r>
        <w:r w:rsidR="004D7F52">
          <w:rPr>
            <w:noProof/>
            <w:webHidden/>
          </w:rPr>
          <w:tab/>
        </w:r>
        <w:r w:rsidR="004D7F52">
          <w:rPr>
            <w:noProof/>
            <w:webHidden/>
          </w:rPr>
          <w:fldChar w:fldCharType="begin"/>
        </w:r>
        <w:r w:rsidR="004D7F52">
          <w:rPr>
            <w:noProof/>
            <w:webHidden/>
          </w:rPr>
          <w:instrText xml:space="preserve"> PAGEREF _Toc462047367 \h </w:instrText>
        </w:r>
        <w:r w:rsidR="004D7F52">
          <w:rPr>
            <w:noProof/>
            <w:webHidden/>
          </w:rPr>
        </w:r>
        <w:r w:rsidR="004D7F52">
          <w:rPr>
            <w:noProof/>
            <w:webHidden/>
          </w:rPr>
          <w:fldChar w:fldCharType="separate"/>
        </w:r>
        <w:r w:rsidR="009C068F">
          <w:rPr>
            <w:noProof/>
            <w:webHidden/>
          </w:rPr>
          <w:t>87</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68" w:history="1">
        <w:r w:rsidR="004D7F52" w:rsidRPr="00440689">
          <w:rPr>
            <w:rStyle w:val="Hyperlink"/>
            <w:rFonts w:ascii="Arial" w:hAnsi="Arial" w:cs="Arial"/>
            <w:noProof/>
          </w:rPr>
          <w:t>4.7.2</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_Toc462047368 \h </w:instrText>
        </w:r>
        <w:r w:rsidR="004D7F52">
          <w:rPr>
            <w:noProof/>
            <w:webHidden/>
          </w:rPr>
        </w:r>
        <w:r w:rsidR="004D7F52">
          <w:rPr>
            <w:noProof/>
            <w:webHidden/>
          </w:rPr>
          <w:fldChar w:fldCharType="separate"/>
        </w:r>
        <w:r w:rsidR="009C068F">
          <w:rPr>
            <w:noProof/>
            <w:webHidden/>
          </w:rPr>
          <w:t>88</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69" w:history="1">
        <w:r w:rsidR="004D7F52" w:rsidRPr="00440689">
          <w:rPr>
            <w:rStyle w:val="Hyperlink"/>
            <w:rFonts w:ascii="Arial" w:hAnsi="Arial" w:cs="Arial"/>
            <w:noProof/>
          </w:rPr>
          <w:t>4.7.3</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seagrass condition</w:t>
        </w:r>
        <w:r w:rsidR="004D7F52">
          <w:rPr>
            <w:noProof/>
            <w:webHidden/>
          </w:rPr>
          <w:tab/>
        </w:r>
        <w:r w:rsidR="004D7F52">
          <w:rPr>
            <w:noProof/>
            <w:webHidden/>
          </w:rPr>
          <w:fldChar w:fldCharType="begin"/>
        </w:r>
        <w:r w:rsidR="004D7F52">
          <w:rPr>
            <w:noProof/>
            <w:webHidden/>
          </w:rPr>
          <w:instrText xml:space="preserve"> PAGEREF _Toc462047369 \h </w:instrText>
        </w:r>
        <w:r w:rsidR="004D7F52">
          <w:rPr>
            <w:noProof/>
            <w:webHidden/>
          </w:rPr>
        </w:r>
        <w:r w:rsidR="004D7F52">
          <w:rPr>
            <w:noProof/>
            <w:webHidden/>
          </w:rPr>
          <w:fldChar w:fldCharType="separate"/>
        </w:r>
        <w:r w:rsidR="009C068F">
          <w:rPr>
            <w:noProof/>
            <w:webHidden/>
          </w:rPr>
          <w:t>90</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70" w:history="1">
        <w:r w:rsidR="004D7F52" w:rsidRPr="00440689">
          <w:rPr>
            <w:rStyle w:val="Hyperlink"/>
            <w:rFonts w:ascii="Arial" w:hAnsi="Arial" w:cs="Arial"/>
            <w:noProof/>
          </w:rPr>
          <w:t>4.7.4</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Indicators of environmental condition</w:t>
        </w:r>
        <w:r w:rsidR="004D7F52">
          <w:rPr>
            <w:noProof/>
            <w:webHidden/>
          </w:rPr>
          <w:tab/>
        </w:r>
        <w:r w:rsidR="004D7F52">
          <w:rPr>
            <w:noProof/>
            <w:webHidden/>
          </w:rPr>
          <w:fldChar w:fldCharType="begin"/>
        </w:r>
        <w:r w:rsidR="004D7F52">
          <w:rPr>
            <w:noProof/>
            <w:webHidden/>
          </w:rPr>
          <w:instrText xml:space="preserve"> PAGEREF _Toc462047370 \h </w:instrText>
        </w:r>
        <w:r w:rsidR="004D7F52">
          <w:rPr>
            <w:noProof/>
            <w:webHidden/>
          </w:rPr>
        </w:r>
        <w:r w:rsidR="004D7F52">
          <w:rPr>
            <w:noProof/>
            <w:webHidden/>
          </w:rPr>
          <w:fldChar w:fldCharType="separate"/>
        </w:r>
        <w:r w:rsidR="009C068F">
          <w:rPr>
            <w:noProof/>
            <w:webHidden/>
          </w:rPr>
          <w:t>92</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371" w:history="1">
        <w:r w:rsidR="004D7F52" w:rsidRPr="00440689">
          <w:rPr>
            <w:rStyle w:val="Hyperlink"/>
            <w:rFonts w:ascii="Arial" w:hAnsi="Arial" w:cs="Arial"/>
            <w:noProof/>
          </w:rPr>
          <w:t>4.7.5</w:t>
        </w:r>
        <w:r w:rsidR="004D7F52">
          <w:rPr>
            <w:rFonts w:eastAsiaTheme="minorEastAsia" w:cstheme="minorBidi"/>
            <w:i w:val="0"/>
            <w:iCs w:val="0"/>
            <w:noProof/>
            <w:sz w:val="22"/>
            <w:szCs w:val="22"/>
            <w:lang w:eastAsia="en-AU"/>
          </w:rPr>
          <w:tab/>
        </w:r>
        <w:r w:rsidR="004D7F52" w:rsidRPr="00440689">
          <w:rPr>
            <w:rStyle w:val="Hyperlink"/>
            <w:rFonts w:ascii="Arial" w:hAnsi="Arial" w:cs="Arial"/>
            <w:noProof/>
          </w:rPr>
          <w:t>Report card for inshore seagrass status</w:t>
        </w:r>
        <w:r w:rsidR="004D7F52">
          <w:rPr>
            <w:noProof/>
            <w:webHidden/>
          </w:rPr>
          <w:tab/>
        </w:r>
        <w:r w:rsidR="004D7F52">
          <w:rPr>
            <w:noProof/>
            <w:webHidden/>
          </w:rPr>
          <w:fldChar w:fldCharType="begin"/>
        </w:r>
        <w:r w:rsidR="004D7F52">
          <w:rPr>
            <w:noProof/>
            <w:webHidden/>
          </w:rPr>
          <w:instrText xml:space="preserve"> PAGEREF _Toc462047371 \h </w:instrText>
        </w:r>
        <w:r w:rsidR="004D7F52">
          <w:rPr>
            <w:noProof/>
            <w:webHidden/>
          </w:rPr>
        </w:r>
        <w:r w:rsidR="004D7F52">
          <w:rPr>
            <w:noProof/>
            <w:webHidden/>
          </w:rPr>
          <w:fldChar w:fldCharType="separate"/>
        </w:r>
        <w:r w:rsidR="009C068F">
          <w:rPr>
            <w:noProof/>
            <w:webHidden/>
          </w:rPr>
          <w:t>94</w:t>
        </w:r>
        <w:r w:rsidR="004D7F52">
          <w:rPr>
            <w:noProof/>
            <w:webHidden/>
          </w:rPr>
          <w:fldChar w:fldCharType="end"/>
        </w:r>
      </w:hyperlink>
    </w:p>
    <w:p w:rsidR="004D7F52" w:rsidRDefault="00AF19E7">
      <w:pPr>
        <w:pStyle w:val="TOC1"/>
        <w:tabs>
          <w:tab w:val="left" w:pos="440"/>
          <w:tab w:val="right" w:leader="dot" w:pos="9060"/>
        </w:tabs>
        <w:rPr>
          <w:rFonts w:eastAsiaTheme="minorEastAsia" w:cstheme="minorBidi"/>
          <w:b w:val="0"/>
          <w:bCs w:val="0"/>
          <w:caps w:val="0"/>
          <w:noProof/>
          <w:sz w:val="22"/>
          <w:szCs w:val="22"/>
          <w:lang w:eastAsia="en-AU"/>
        </w:rPr>
      </w:pPr>
      <w:hyperlink w:anchor="_Toc462047372" w:history="1">
        <w:r w:rsidR="004D7F52" w:rsidRPr="00440689">
          <w:rPr>
            <w:rStyle w:val="Hyperlink"/>
            <w:rFonts w:ascii="Century Gothic" w:hAnsi="Century Gothic"/>
            <w:noProof/>
          </w:rPr>
          <w:t>5</w:t>
        </w:r>
        <w:r w:rsidR="004D7F52">
          <w:rPr>
            <w:rFonts w:eastAsiaTheme="minorEastAsia" w:cstheme="minorBidi"/>
            <w:b w:val="0"/>
            <w:bCs w:val="0"/>
            <w:caps w:val="0"/>
            <w:noProof/>
            <w:sz w:val="22"/>
            <w:szCs w:val="22"/>
            <w:lang w:eastAsia="en-AU"/>
          </w:rPr>
          <w:tab/>
        </w:r>
        <w:r w:rsidR="004D7F52" w:rsidRPr="00440689">
          <w:rPr>
            <w:rStyle w:val="Hyperlink"/>
            <w:rFonts w:ascii="Century Gothic" w:hAnsi="Century Gothic"/>
            <w:noProof/>
          </w:rPr>
          <w:t>Conclusions</w:t>
        </w:r>
        <w:r w:rsidR="004D7F52">
          <w:rPr>
            <w:noProof/>
            <w:webHidden/>
          </w:rPr>
          <w:tab/>
        </w:r>
        <w:r w:rsidR="004D7F52">
          <w:rPr>
            <w:noProof/>
            <w:webHidden/>
          </w:rPr>
          <w:fldChar w:fldCharType="begin"/>
        </w:r>
        <w:r w:rsidR="004D7F52">
          <w:rPr>
            <w:noProof/>
            <w:webHidden/>
          </w:rPr>
          <w:instrText xml:space="preserve"> PAGEREF _Toc462047372 \h </w:instrText>
        </w:r>
        <w:r w:rsidR="004D7F52">
          <w:rPr>
            <w:noProof/>
            <w:webHidden/>
          </w:rPr>
        </w:r>
        <w:r w:rsidR="004D7F52">
          <w:rPr>
            <w:noProof/>
            <w:webHidden/>
          </w:rPr>
          <w:fldChar w:fldCharType="separate"/>
        </w:r>
        <w:r w:rsidR="009C068F">
          <w:rPr>
            <w:noProof/>
            <w:webHidden/>
          </w:rPr>
          <w:t>95</w:t>
        </w:r>
        <w:r w:rsidR="004D7F52">
          <w:rPr>
            <w:noProof/>
            <w:webHidden/>
          </w:rPr>
          <w:fldChar w:fldCharType="end"/>
        </w:r>
      </w:hyperlink>
    </w:p>
    <w:p w:rsidR="004D7F52" w:rsidRDefault="00AF19E7">
      <w:pPr>
        <w:pStyle w:val="TOC1"/>
        <w:tabs>
          <w:tab w:val="left" w:pos="440"/>
          <w:tab w:val="right" w:leader="dot" w:pos="9060"/>
        </w:tabs>
        <w:rPr>
          <w:rFonts w:eastAsiaTheme="minorEastAsia" w:cstheme="minorBidi"/>
          <w:b w:val="0"/>
          <w:bCs w:val="0"/>
          <w:caps w:val="0"/>
          <w:noProof/>
          <w:sz w:val="22"/>
          <w:szCs w:val="22"/>
          <w:lang w:eastAsia="en-AU"/>
        </w:rPr>
      </w:pPr>
      <w:hyperlink w:anchor="_Toc462047373" w:history="1">
        <w:r w:rsidR="004D7F52" w:rsidRPr="00440689">
          <w:rPr>
            <w:rStyle w:val="Hyperlink"/>
            <w:rFonts w:ascii="Century Gothic" w:hAnsi="Century Gothic"/>
            <w:noProof/>
          </w:rPr>
          <w:t>6</w:t>
        </w:r>
        <w:r w:rsidR="004D7F52">
          <w:rPr>
            <w:rFonts w:eastAsiaTheme="minorEastAsia" w:cstheme="minorBidi"/>
            <w:b w:val="0"/>
            <w:bCs w:val="0"/>
            <w:caps w:val="0"/>
            <w:noProof/>
            <w:sz w:val="22"/>
            <w:szCs w:val="22"/>
            <w:lang w:eastAsia="en-AU"/>
          </w:rPr>
          <w:tab/>
        </w:r>
        <w:r w:rsidR="004D7F52" w:rsidRPr="00440689">
          <w:rPr>
            <w:rStyle w:val="Hyperlink"/>
            <w:rFonts w:ascii="Century Gothic" w:hAnsi="Century Gothic"/>
            <w:noProof/>
          </w:rPr>
          <w:t>Case study 1. Using life history traits to classify seagrass species – a preliminary assessment.</w:t>
        </w:r>
        <w:r w:rsidR="004D7F52">
          <w:rPr>
            <w:noProof/>
            <w:webHidden/>
          </w:rPr>
          <w:tab/>
        </w:r>
        <w:r w:rsidR="004D7F52">
          <w:rPr>
            <w:noProof/>
            <w:webHidden/>
          </w:rPr>
          <w:fldChar w:fldCharType="begin"/>
        </w:r>
        <w:r w:rsidR="004D7F52">
          <w:rPr>
            <w:noProof/>
            <w:webHidden/>
          </w:rPr>
          <w:instrText xml:space="preserve"> PAGEREF _Toc462047373 \h </w:instrText>
        </w:r>
        <w:r w:rsidR="004D7F52">
          <w:rPr>
            <w:noProof/>
            <w:webHidden/>
          </w:rPr>
        </w:r>
        <w:r w:rsidR="004D7F52">
          <w:rPr>
            <w:noProof/>
            <w:webHidden/>
          </w:rPr>
          <w:fldChar w:fldCharType="separate"/>
        </w:r>
        <w:r w:rsidR="009C068F">
          <w:rPr>
            <w:noProof/>
            <w:webHidden/>
          </w:rPr>
          <w:t>101</w:t>
        </w:r>
        <w:r w:rsidR="004D7F52">
          <w:rPr>
            <w:noProof/>
            <w:webHidden/>
          </w:rPr>
          <w:fldChar w:fldCharType="end"/>
        </w:r>
      </w:hyperlink>
    </w:p>
    <w:p w:rsidR="004D7F52" w:rsidRDefault="00AF19E7">
      <w:pPr>
        <w:pStyle w:val="TOC1"/>
        <w:tabs>
          <w:tab w:val="left" w:pos="440"/>
          <w:tab w:val="right" w:leader="dot" w:pos="9060"/>
        </w:tabs>
        <w:rPr>
          <w:rFonts w:eastAsiaTheme="minorEastAsia" w:cstheme="minorBidi"/>
          <w:b w:val="0"/>
          <w:bCs w:val="0"/>
          <w:caps w:val="0"/>
          <w:noProof/>
          <w:sz w:val="22"/>
          <w:szCs w:val="22"/>
          <w:lang w:eastAsia="en-AU"/>
        </w:rPr>
      </w:pPr>
      <w:hyperlink w:anchor="_Toc462047374" w:history="1">
        <w:r w:rsidR="004D7F52" w:rsidRPr="00440689">
          <w:rPr>
            <w:rStyle w:val="Hyperlink"/>
            <w:rFonts w:ascii="Century Gothic" w:hAnsi="Century Gothic"/>
            <w:noProof/>
            <w:lang w:val="en-GB"/>
          </w:rPr>
          <w:t>7</w:t>
        </w:r>
        <w:r w:rsidR="004D7F52">
          <w:rPr>
            <w:rFonts w:eastAsiaTheme="minorEastAsia" w:cstheme="minorBidi"/>
            <w:b w:val="0"/>
            <w:bCs w:val="0"/>
            <w:caps w:val="0"/>
            <w:noProof/>
            <w:sz w:val="22"/>
            <w:szCs w:val="22"/>
            <w:lang w:eastAsia="en-AU"/>
          </w:rPr>
          <w:tab/>
        </w:r>
        <w:r w:rsidR="004D7F52" w:rsidRPr="00440689">
          <w:rPr>
            <w:rStyle w:val="Hyperlink"/>
            <w:rFonts w:ascii="Century Gothic" w:hAnsi="Century Gothic"/>
            <w:noProof/>
            <w:lang w:val="en-GB"/>
          </w:rPr>
          <w:t>Case study 2: progressing toward validated river plume risk maps</w:t>
        </w:r>
        <w:r w:rsidR="004D7F52">
          <w:rPr>
            <w:noProof/>
            <w:webHidden/>
          </w:rPr>
          <w:tab/>
        </w:r>
        <w:r w:rsidR="004D7F52">
          <w:rPr>
            <w:noProof/>
            <w:webHidden/>
          </w:rPr>
          <w:fldChar w:fldCharType="begin"/>
        </w:r>
        <w:r w:rsidR="004D7F52">
          <w:rPr>
            <w:noProof/>
            <w:webHidden/>
          </w:rPr>
          <w:instrText xml:space="preserve"> PAGEREF _Toc462047374 \h </w:instrText>
        </w:r>
        <w:r w:rsidR="004D7F52">
          <w:rPr>
            <w:noProof/>
            <w:webHidden/>
          </w:rPr>
        </w:r>
        <w:r w:rsidR="004D7F52">
          <w:rPr>
            <w:noProof/>
            <w:webHidden/>
          </w:rPr>
          <w:fldChar w:fldCharType="separate"/>
        </w:r>
        <w:r w:rsidR="009C068F">
          <w:rPr>
            <w:noProof/>
            <w:webHidden/>
          </w:rPr>
          <w:t>107</w:t>
        </w:r>
        <w:r w:rsidR="004D7F52">
          <w:rPr>
            <w:noProof/>
            <w:webHidden/>
          </w:rPr>
          <w:fldChar w:fldCharType="end"/>
        </w:r>
      </w:hyperlink>
    </w:p>
    <w:p w:rsidR="004D7F52" w:rsidRDefault="00AF19E7">
      <w:pPr>
        <w:pStyle w:val="TOC1"/>
        <w:tabs>
          <w:tab w:val="left" w:pos="440"/>
          <w:tab w:val="right" w:leader="dot" w:pos="9060"/>
        </w:tabs>
        <w:rPr>
          <w:rFonts w:eastAsiaTheme="minorEastAsia" w:cstheme="minorBidi"/>
          <w:b w:val="0"/>
          <w:bCs w:val="0"/>
          <w:caps w:val="0"/>
          <w:noProof/>
          <w:sz w:val="22"/>
          <w:szCs w:val="22"/>
          <w:lang w:eastAsia="en-AU"/>
        </w:rPr>
      </w:pPr>
      <w:hyperlink w:anchor="_Toc462047375" w:history="1">
        <w:r w:rsidR="004D7F52" w:rsidRPr="00440689">
          <w:rPr>
            <w:rStyle w:val="Hyperlink"/>
            <w:rFonts w:ascii="Century Gothic" w:hAnsi="Century Gothic"/>
            <w:noProof/>
          </w:rPr>
          <w:t>8</w:t>
        </w:r>
        <w:r w:rsidR="004D7F52">
          <w:rPr>
            <w:rFonts w:eastAsiaTheme="minorEastAsia" w:cstheme="minorBidi"/>
            <w:b w:val="0"/>
            <w:bCs w:val="0"/>
            <w:caps w:val="0"/>
            <w:noProof/>
            <w:sz w:val="22"/>
            <w:szCs w:val="22"/>
            <w:lang w:eastAsia="en-AU"/>
          </w:rPr>
          <w:tab/>
        </w:r>
        <w:r w:rsidR="004D7F52" w:rsidRPr="00440689">
          <w:rPr>
            <w:rStyle w:val="Hyperlink"/>
            <w:rFonts w:ascii="Century Gothic" w:hAnsi="Century Gothic"/>
            <w:noProof/>
          </w:rPr>
          <w:t>References</w:t>
        </w:r>
        <w:r w:rsidR="004D7F52">
          <w:rPr>
            <w:noProof/>
            <w:webHidden/>
          </w:rPr>
          <w:tab/>
        </w:r>
        <w:r w:rsidR="004D7F52">
          <w:rPr>
            <w:noProof/>
            <w:webHidden/>
          </w:rPr>
          <w:fldChar w:fldCharType="begin"/>
        </w:r>
        <w:r w:rsidR="004D7F52">
          <w:rPr>
            <w:noProof/>
            <w:webHidden/>
          </w:rPr>
          <w:instrText xml:space="preserve"> PAGEREF _Toc462047375 \h </w:instrText>
        </w:r>
        <w:r w:rsidR="004D7F52">
          <w:rPr>
            <w:noProof/>
            <w:webHidden/>
          </w:rPr>
        </w:r>
        <w:r w:rsidR="004D7F52">
          <w:rPr>
            <w:noProof/>
            <w:webHidden/>
          </w:rPr>
          <w:fldChar w:fldCharType="separate"/>
        </w:r>
        <w:r w:rsidR="009C068F">
          <w:rPr>
            <w:noProof/>
            <w:webHidden/>
          </w:rPr>
          <w:t>109</w:t>
        </w:r>
        <w:r w:rsidR="004D7F52">
          <w:rPr>
            <w:noProof/>
            <w:webHidden/>
          </w:rPr>
          <w:fldChar w:fldCharType="end"/>
        </w:r>
      </w:hyperlink>
    </w:p>
    <w:p w:rsidR="004D7F52" w:rsidRDefault="00AF19E7">
      <w:pPr>
        <w:pStyle w:val="TOC1"/>
        <w:tabs>
          <w:tab w:val="left" w:pos="1540"/>
          <w:tab w:val="right" w:leader="dot" w:pos="9060"/>
        </w:tabs>
        <w:rPr>
          <w:rFonts w:eastAsiaTheme="minorEastAsia" w:cstheme="minorBidi"/>
          <w:b w:val="0"/>
          <w:bCs w:val="0"/>
          <w:caps w:val="0"/>
          <w:noProof/>
          <w:sz w:val="22"/>
          <w:szCs w:val="22"/>
          <w:lang w:eastAsia="en-AU"/>
        </w:rPr>
      </w:pPr>
      <w:hyperlink w:anchor="_Toc462047376" w:history="1">
        <w:r w:rsidR="004D7F52" w:rsidRPr="00440689">
          <w:rPr>
            <w:rStyle w:val="Hyperlink"/>
            <w:rFonts w:ascii="Century Gothic" w:hAnsi="Century Gothic"/>
            <w:noProof/>
          </w:rPr>
          <w:t>Appendix 1</w:t>
        </w:r>
        <w:r w:rsidR="004D7F52">
          <w:rPr>
            <w:rFonts w:eastAsiaTheme="minorEastAsia" w:cstheme="minorBidi"/>
            <w:b w:val="0"/>
            <w:bCs w:val="0"/>
            <w:caps w:val="0"/>
            <w:noProof/>
            <w:sz w:val="22"/>
            <w:szCs w:val="22"/>
            <w:lang w:eastAsia="en-AU"/>
          </w:rPr>
          <w:tab/>
        </w:r>
        <w:r w:rsidR="004D7F52" w:rsidRPr="00440689">
          <w:rPr>
            <w:rStyle w:val="Hyperlink"/>
            <w:noProof/>
          </w:rPr>
          <w:t>Background to the NRMs, including conceptual models</w:t>
        </w:r>
        <w:r w:rsidR="004D7F52">
          <w:rPr>
            <w:noProof/>
            <w:webHidden/>
          </w:rPr>
          <w:tab/>
        </w:r>
        <w:r w:rsidR="004D7F52">
          <w:rPr>
            <w:noProof/>
            <w:webHidden/>
          </w:rPr>
          <w:fldChar w:fldCharType="begin"/>
        </w:r>
        <w:r w:rsidR="004D7F52">
          <w:rPr>
            <w:noProof/>
            <w:webHidden/>
          </w:rPr>
          <w:instrText xml:space="preserve"> PAGEREF _Toc462047376 \h </w:instrText>
        </w:r>
        <w:r w:rsidR="004D7F52">
          <w:rPr>
            <w:noProof/>
            <w:webHidden/>
          </w:rPr>
        </w:r>
        <w:r w:rsidR="004D7F52">
          <w:rPr>
            <w:noProof/>
            <w:webHidden/>
          </w:rPr>
          <w:fldChar w:fldCharType="separate"/>
        </w:r>
        <w:r w:rsidR="009C068F">
          <w:rPr>
            <w:noProof/>
            <w:webHidden/>
          </w:rPr>
          <w:t>123</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77" w:history="1">
        <w:r w:rsidR="004D7F52" w:rsidRPr="00440689">
          <w:rPr>
            <w:rStyle w:val="Hyperlink"/>
            <w:noProof/>
          </w:rPr>
          <w:t>A1.1</w:t>
        </w:r>
        <w:r w:rsidR="004D7F52">
          <w:rPr>
            <w:rFonts w:eastAsiaTheme="minorEastAsia" w:cstheme="minorBidi"/>
            <w:smallCaps w:val="0"/>
            <w:noProof/>
            <w:sz w:val="22"/>
            <w:szCs w:val="22"/>
            <w:lang w:eastAsia="en-AU"/>
          </w:rPr>
          <w:tab/>
        </w:r>
        <w:r w:rsidR="004D7F52" w:rsidRPr="00440689">
          <w:rPr>
            <w:rStyle w:val="Hyperlink"/>
            <w:noProof/>
          </w:rPr>
          <w:t>Cape York</w:t>
        </w:r>
        <w:r w:rsidR="004D7F52">
          <w:rPr>
            <w:noProof/>
            <w:webHidden/>
          </w:rPr>
          <w:tab/>
        </w:r>
        <w:r w:rsidR="004D7F52">
          <w:rPr>
            <w:noProof/>
            <w:webHidden/>
          </w:rPr>
          <w:fldChar w:fldCharType="begin"/>
        </w:r>
        <w:r w:rsidR="004D7F52">
          <w:rPr>
            <w:noProof/>
            <w:webHidden/>
          </w:rPr>
          <w:instrText xml:space="preserve"> PAGEREF _Toc462047377 \h </w:instrText>
        </w:r>
        <w:r w:rsidR="004D7F52">
          <w:rPr>
            <w:noProof/>
            <w:webHidden/>
          </w:rPr>
        </w:r>
        <w:r w:rsidR="004D7F52">
          <w:rPr>
            <w:noProof/>
            <w:webHidden/>
          </w:rPr>
          <w:fldChar w:fldCharType="separate"/>
        </w:r>
        <w:r w:rsidR="009C068F">
          <w:rPr>
            <w:noProof/>
            <w:webHidden/>
          </w:rPr>
          <w:t>124</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78" w:history="1">
        <w:r w:rsidR="004D7F52" w:rsidRPr="00440689">
          <w:rPr>
            <w:rStyle w:val="Hyperlink"/>
            <w:noProof/>
          </w:rPr>
          <w:t>A1.2</w:t>
        </w:r>
        <w:r w:rsidR="004D7F52">
          <w:rPr>
            <w:rFonts w:eastAsiaTheme="minorEastAsia" w:cstheme="minorBidi"/>
            <w:smallCaps w:val="0"/>
            <w:noProof/>
            <w:sz w:val="22"/>
            <w:szCs w:val="22"/>
            <w:lang w:eastAsia="en-AU"/>
          </w:rPr>
          <w:tab/>
        </w:r>
        <w:r w:rsidR="004D7F52" w:rsidRPr="00440689">
          <w:rPr>
            <w:rStyle w:val="Hyperlink"/>
            <w:noProof/>
          </w:rPr>
          <w:t>Wet Tropics</w:t>
        </w:r>
        <w:r w:rsidR="004D7F52">
          <w:rPr>
            <w:noProof/>
            <w:webHidden/>
          </w:rPr>
          <w:tab/>
        </w:r>
        <w:r w:rsidR="004D7F52">
          <w:rPr>
            <w:noProof/>
            <w:webHidden/>
          </w:rPr>
          <w:fldChar w:fldCharType="begin"/>
        </w:r>
        <w:r w:rsidR="004D7F52">
          <w:rPr>
            <w:noProof/>
            <w:webHidden/>
          </w:rPr>
          <w:instrText xml:space="preserve"> PAGEREF _Toc462047378 \h </w:instrText>
        </w:r>
        <w:r w:rsidR="004D7F52">
          <w:rPr>
            <w:noProof/>
            <w:webHidden/>
          </w:rPr>
        </w:r>
        <w:r w:rsidR="004D7F52">
          <w:rPr>
            <w:noProof/>
            <w:webHidden/>
          </w:rPr>
          <w:fldChar w:fldCharType="separate"/>
        </w:r>
        <w:r w:rsidR="009C068F">
          <w:rPr>
            <w:noProof/>
            <w:webHidden/>
          </w:rPr>
          <w:t>128</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79" w:history="1">
        <w:r w:rsidR="004D7F52" w:rsidRPr="00440689">
          <w:rPr>
            <w:rStyle w:val="Hyperlink"/>
            <w:noProof/>
          </w:rPr>
          <w:t>A1.3</w:t>
        </w:r>
        <w:r w:rsidR="004D7F52">
          <w:rPr>
            <w:rFonts w:eastAsiaTheme="minorEastAsia" w:cstheme="minorBidi"/>
            <w:smallCaps w:val="0"/>
            <w:noProof/>
            <w:sz w:val="22"/>
            <w:szCs w:val="22"/>
            <w:lang w:eastAsia="en-AU"/>
          </w:rPr>
          <w:tab/>
        </w:r>
        <w:r w:rsidR="004D7F52" w:rsidRPr="00440689">
          <w:rPr>
            <w:rStyle w:val="Hyperlink"/>
            <w:noProof/>
          </w:rPr>
          <w:t>Burdekin</w:t>
        </w:r>
        <w:r w:rsidR="004D7F52">
          <w:rPr>
            <w:noProof/>
            <w:webHidden/>
          </w:rPr>
          <w:tab/>
        </w:r>
        <w:r w:rsidR="004D7F52">
          <w:rPr>
            <w:noProof/>
            <w:webHidden/>
          </w:rPr>
          <w:fldChar w:fldCharType="begin"/>
        </w:r>
        <w:r w:rsidR="004D7F52">
          <w:rPr>
            <w:noProof/>
            <w:webHidden/>
          </w:rPr>
          <w:instrText xml:space="preserve"> PAGEREF _Toc462047379 \h </w:instrText>
        </w:r>
        <w:r w:rsidR="004D7F52">
          <w:rPr>
            <w:noProof/>
            <w:webHidden/>
          </w:rPr>
        </w:r>
        <w:r w:rsidR="004D7F52">
          <w:rPr>
            <w:noProof/>
            <w:webHidden/>
          </w:rPr>
          <w:fldChar w:fldCharType="separate"/>
        </w:r>
        <w:r w:rsidR="009C068F">
          <w:rPr>
            <w:noProof/>
            <w:webHidden/>
          </w:rPr>
          <w:t>130</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80" w:history="1">
        <w:r w:rsidR="004D7F52" w:rsidRPr="00440689">
          <w:rPr>
            <w:rStyle w:val="Hyperlink"/>
            <w:noProof/>
          </w:rPr>
          <w:t>A1.4</w:t>
        </w:r>
        <w:r w:rsidR="004D7F52">
          <w:rPr>
            <w:rFonts w:eastAsiaTheme="minorEastAsia" w:cstheme="minorBidi"/>
            <w:smallCaps w:val="0"/>
            <w:noProof/>
            <w:sz w:val="22"/>
            <w:szCs w:val="22"/>
            <w:lang w:eastAsia="en-AU"/>
          </w:rPr>
          <w:tab/>
        </w:r>
        <w:r w:rsidR="004D7F52" w:rsidRPr="00440689">
          <w:rPr>
            <w:rStyle w:val="Hyperlink"/>
            <w:noProof/>
          </w:rPr>
          <w:t>Mackay Whitsunday</w:t>
        </w:r>
        <w:r w:rsidR="004D7F52">
          <w:rPr>
            <w:noProof/>
            <w:webHidden/>
          </w:rPr>
          <w:tab/>
        </w:r>
        <w:r w:rsidR="004D7F52">
          <w:rPr>
            <w:noProof/>
            <w:webHidden/>
          </w:rPr>
          <w:fldChar w:fldCharType="begin"/>
        </w:r>
        <w:r w:rsidR="004D7F52">
          <w:rPr>
            <w:noProof/>
            <w:webHidden/>
          </w:rPr>
          <w:instrText xml:space="preserve"> PAGEREF _Toc462047380 \h </w:instrText>
        </w:r>
        <w:r w:rsidR="004D7F52">
          <w:rPr>
            <w:noProof/>
            <w:webHidden/>
          </w:rPr>
        </w:r>
        <w:r w:rsidR="004D7F52">
          <w:rPr>
            <w:noProof/>
            <w:webHidden/>
          </w:rPr>
          <w:fldChar w:fldCharType="separate"/>
        </w:r>
        <w:r w:rsidR="009C068F">
          <w:rPr>
            <w:noProof/>
            <w:webHidden/>
          </w:rPr>
          <w:t>132</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81" w:history="1">
        <w:r w:rsidR="004D7F52" w:rsidRPr="00440689">
          <w:rPr>
            <w:rStyle w:val="Hyperlink"/>
            <w:noProof/>
          </w:rPr>
          <w:t>A1.5</w:t>
        </w:r>
        <w:r w:rsidR="004D7F52">
          <w:rPr>
            <w:rFonts w:eastAsiaTheme="minorEastAsia" w:cstheme="minorBidi"/>
            <w:smallCaps w:val="0"/>
            <w:noProof/>
            <w:sz w:val="22"/>
            <w:szCs w:val="22"/>
            <w:lang w:eastAsia="en-AU"/>
          </w:rPr>
          <w:tab/>
        </w:r>
        <w:r w:rsidR="004D7F52" w:rsidRPr="00440689">
          <w:rPr>
            <w:rStyle w:val="Hyperlink"/>
            <w:noProof/>
          </w:rPr>
          <w:t>Fitzroy</w:t>
        </w:r>
        <w:r w:rsidR="004D7F52">
          <w:rPr>
            <w:noProof/>
            <w:webHidden/>
          </w:rPr>
          <w:tab/>
        </w:r>
        <w:r w:rsidR="004D7F52">
          <w:rPr>
            <w:noProof/>
            <w:webHidden/>
          </w:rPr>
          <w:fldChar w:fldCharType="begin"/>
        </w:r>
        <w:r w:rsidR="004D7F52">
          <w:rPr>
            <w:noProof/>
            <w:webHidden/>
          </w:rPr>
          <w:instrText xml:space="preserve"> PAGEREF _Toc462047381 \h </w:instrText>
        </w:r>
        <w:r w:rsidR="004D7F52">
          <w:rPr>
            <w:noProof/>
            <w:webHidden/>
          </w:rPr>
        </w:r>
        <w:r w:rsidR="004D7F52">
          <w:rPr>
            <w:noProof/>
            <w:webHidden/>
          </w:rPr>
          <w:fldChar w:fldCharType="separate"/>
        </w:r>
        <w:r w:rsidR="009C068F">
          <w:rPr>
            <w:noProof/>
            <w:webHidden/>
          </w:rPr>
          <w:t>135</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82" w:history="1">
        <w:r w:rsidR="004D7F52" w:rsidRPr="00440689">
          <w:rPr>
            <w:rStyle w:val="Hyperlink"/>
            <w:noProof/>
          </w:rPr>
          <w:t>A1.6</w:t>
        </w:r>
        <w:r w:rsidR="004D7F52">
          <w:rPr>
            <w:rFonts w:eastAsiaTheme="minorEastAsia" w:cstheme="minorBidi"/>
            <w:smallCaps w:val="0"/>
            <w:noProof/>
            <w:sz w:val="22"/>
            <w:szCs w:val="22"/>
            <w:lang w:eastAsia="en-AU"/>
          </w:rPr>
          <w:tab/>
        </w:r>
        <w:r w:rsidR="004D7F52" w:rsidRPr="00440689">
          <w:rPr>
            <w:rStyle w:val="Hyperlink"/>
            <w:noProof/>
          </w:rPr>
          <w:t>Burnett-Mary</w:t>
        </w:r>
        <w:r w:rsidR="004D7F52">
          <w:rPr>
            <w:noProof/>
            <w:webHidden/>
          </w:rPr>
          <w:tab/>
        </w:r>
        <w:r w:rsidR="004D7F52">
          <w:rPr>
            <w:noProof/>
            <w:webHidden/>
          </w:rPr>
          <w:fldChar w:fldCharType="begin"/>
        </w:r>
        <w:r w:rsidR="004D7F52">
          <w:rPr>
            <w:noProof/>
            <w:webHidden/>
          </w:rPr>
          <w:instrText xml:space="preserve"> PAGEREF _Toc462047382 \h </w:instrText>
        </w:r>
        <w:r w:rsidR="004D7F52">
          <w:rPr>
            <w:noProof/>
            <w:webHidden/>
          </w:rPr>
        </w:r>
        <w:r w:rsidR="004D7F52">
          <w:rPr>
            <w:noProof/>
            <w:webHidden/>
          </w:rPr>
          <w:fldChar w:fldCharType="separate"/>
        </w:r>
        <w:r w:rsidR="009C068F">
          <w:rPr>
            <w:noProof/>
            <w:webHidden/>
          </w:rPr>
          <w:t>138</w:t>
        </w:r>
        <w:r w:rsidR="004D7F52">
          <w:rPr>
            <w:noProof/>
            <w:webHidden/>
          </w:rPr>
          <w:fldChar w:fldCharType="end"/>
        </w:r>
      </w:hyperlink>
    </w:p>
    <w:p w:rsidR="004D7F52" w:rsidRDefault="00AF19E7">
      <w:pPr>
        <w:pStyle w:val="TOC1"/>
        <w:tabs>
          <w:tab w:val="left" w:pos="1540"/>
          <w:tab w:val="right" w:leader="dot" w:pos="9060"/>
        </w:tabs>
        <w:rPr>
          <w:rFonts w:eastAsiaTheme="minorEastAsia" w:cstheme="minorBidi"/>
          <w:b w:val="0"/>
          <w:bCs w:val="0"/>
          <w:caps w:val="0"/>
          <w:noProof/>
          <w:sz w:val="22"/>
          <w:szCs w:val="22"/>
          <w:lang w:eastAsia="en-AU"/>
        </w:rPr>
      </w:pPr>
      <w:hyperlink w:anchor="_Toc462047383" w:history="1">
        <w:r w:rsidR="004D7F52" w:rsidRPr="00440689">
          <w:rPr>
            <w:rStyle w:val="Hyperlink"/>
            <w:rFonts w:ascii="Century Gothic" w:hAnsi="Century Gothic"/>
            <w:noProof/>
          </w:rPr>
          <w:t>Appendix 2</w:t>
        </w:r>
        <w:r w:rsidR="004D7F52">
          <w:rPr>
            <w:rFonts w:eastAsiaTheme="minorEastAsia" w:cstheme="minorBidi"/>
            <w:b w:val="0"/>
            <w:bCs w:val="0"/>
            <w:caps w:val="0"/>
            <w:noProof/>
            <w:sz w:val="22"/>
            <w:szCs w:val="22"/>
            <w:lang w:eastAsia="en-AU"/>
          </w:rPr>
          <w:tab/>
        </w:r>
        <w:r w:rsidR="004D7F52" w:rsidRPr="00440689">
          <w:rPr>
            <w:rStyle w:val="Hyperlink"/>
            <w:noProof/>
          </w:rPr>
          <w:t>Materials and Methods</w:t>
        </w:r>
        <w:r w:rsidR="004D7F52">
          <w:rPr>
            <w:noProof/>
            <w:webHidden/>
          </w:rPr>
          <w:tab/>
        </w:r>
        <w:r w:rsidR="004D7F52">
          <w:rPr>
            <w:noProof/>
            <w:webHidden/>
          </w:rPr>
          <w:fldChar w:fldCharType="begin"/>
        </w:r>
        <w:r w:rsidR="004D7F52">
          <w:rPr>
            <w:noProof/>
            <w:webHidden/>
          </w:rPr>
          <w:instrText xml:space="preserve"> PAGEREF _Toc462047383 \h </w:instrText>
        </w:r>
        <w:r w:rsidR="004D7F52">
          <w:rPr>
            <w:noProof/>
            <w:webHidden/>
          </w:rPr>
        </w:r>
        <w:r w:rsidR="004D7F52">
          <w:rPr>
            <w:noProof/>
            <w:webHidden/>
          </w:rPr>
          <w:fldChar w:fldCharType="separate"/>
        </w:r>
        <w:r w:rsidR="009C068F">
          <w:rPr>
            <w:noProof/>
            <w:webHidden/>
          </w:rPr>
          <w:t>141</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84" w:history="1">
        <w:r w:rsidR="004D7F52" w:rsidRPr="00440689">
          <w:rPr>
            <w:rStyle w:val="Hyperlink"/>
            <w:noProof/>
          </w:rPr>
          <w:t>A2.1</w:t>
        </w:r>
        <w:r w:rsidR="004D7F52">
          <w:rPr>
            <w:rFonts w:eastAsiaTheme="minorEastAsia" w:cstheme="minorBidi"/>
            <w:smallCaps w:val="0"/>
            <w:noProof/>
            <w:sz w:val="22"/>
            <w:szCs w:val="22"/>
            <w:lang w:eastAsia="en-AU"/>
          </w:rPr>
          <w:tab/>
        </w:r>
        <w:r w:rsidR="004D7F52" w:rsidRPr="00440689">
          <w:rPr>
            <w:rStyle w:val="Hyperlink"/>
            <w:noProof/>
          </w:rPr>
          <w:t>Sampling design</w:t>
        </w:r>
        <w:r w:rsidR="004D7F52">
          <w:rPr>
            <w:noProof/>
            <w:webHidden/>
          </w:rPr>
          <w:tab/>
        </w:r>
        <w:r w:rsidR="004D7F52">
          <w:rPr>
            <w:noProof/>
            <w:webHidden/>
          </w:rPr>
          <w:fldChar w:fldCharType="begin"/>
        </w:r>
        <w:r w:rsidR="004D7F52">
          <w:rPr>
            <w:noProof/>
            <w:webHidden/>
          </w:rPr>
          <w:instrText xml:space="preserve"> PAGEREF _Toc462047384 \h </w:instrText>
        </w:r>
        <w:r w:rsidR="004D7F52">
          <w:rPr>
            <w:noProof/>
            <w:webHidden/>
          </w:rPr>
        </w:r>
        <w:r w:rsidR="004D7F52">
          <w:rPr>
            <w:noProof/>
            <w:webHidden/>
          </w:rPr>
          <w:fldChar w:fldCharType="separate"/>
        </w:r>
        <w:r w:rsidR="009C068F">
          <w:rPr>
            <w:noProof/>
            <w:webHidden/>
          </w:rPr>
          <w:t>142</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85" w:history="1">
        <w:r w:rsidR="004D7F52" w:rsidRPr="00440689">
          <w:rPr>
            <w:rStyle w:val="Hyperlink"/>
            <w:noProof/>
          </w:rPr>
          <w:t>A2.2</w:t>
        </w:r>
        <w:r w:rsidR="004D7F52">
          <w:rPr>
            <w:rFonts w:eastAsiaTheme="minorEastAsia" w:cstheme="minorBidi"/>
            <w:smallCaps w:val="0"/>
            <w:noProof/>
            <w:sz w:val="22"/>
            <w:szCs w:val="22"/>
            <w:lang w:eastAsia="en-AU"/>
          </w:rPr>
          <w:tab/>
        </w:r>
        <w:r w:rsidR="004D7F52" w:rsidRPr="00440689">
          <w:rPr>
            <w:rStyle w:val="Hyperlink"/>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_Toc462047385 \h </w:instrText>
        </w:r>
        <w:r w:rsidR="004D7F52">
          <w:rPr>
            <w:noProof/>
            <w:webHidden/>
          </w:rPr>
        </w:r>
        <w:r w:rsidR="004D7F52">
          <w:rPr>
            <w:noProof/>
            <w:webHidden/>
          </w:rPr>
          <w:fldChar w:fldCharType="separate"/>
        </w:r>
        <w:r w:rsidR="009C068F">
          <w:rPr>
            <w:noProof/>
            <w:webHidden/>
          </w:rPr>
          <w:t>144</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89" w:history="1">
        <w:r w:rsidR="004D7F52" w:rsidRPr="00440689">
          <w:rPr>
            <w:rStyle w:val="Hyperlink"/>
            <w:noProof/>
          </w:rPr>
          <w:t>A2.3</w:t>
        </w:r>
        <w:r w:rsidR="004D7F52">
          <w:rPr>
            <w:rFonts w:eastAsiaTheme="minorEastAsia" w:cstheme="minorBidi"/>
            <w:smallCaps w:val="0"/>
            <w:noProof/>
            <w:sz w:val="22"/>
            <w:szCs w:val="22"/>
            <w:lang w:eastAsia="en-AU"/>
          </w:rPr>
          <w:tab/>
        </w:r>
        <w:r w:rsidR="004D7F52" w:rsidRPr="00440689">
          <w:rPr>
            <w:rStyle w:val="Hyperlink"/>
            <w:noProof/>
          </w:rPr>
          <w:t>Seagrass status</w:t>
        </w:r>
        <w:r w:rsidR="004D7F52">
          <w:rPr>
            <w:noProof/>
            <w:webHidden/>
          </w:rPr>
          <w:tab/>
        </w:r>
        <w:r w:rsidR="004D7F52">
          <w:rPr>
            <w:noProof/>
            <w:webHidden/>
          </w:rPr>
          <w:fldChar w:fldCharType="begin"/>
        </w:r>
        <w:r w:rsidR="004D7F52">
          <w:rPr>
            <w:noProof/>
            <w:webHidden/>
          </w:rPr>
          <w:instrText xml:space="preserve"> PAGEREF _Toc462047389 \h </w:instrText>
        </w:r>
        <w:r w:rsidR="004D7F52">
          <w:rPr>
            <w:noProof/>
            <w:webHidden/>
          </w:rPr>
        </w:r>
        <w:r w:rsidR="004D7F52">
          <w:rPr>
            <w:noProof/>
            <w:webHidden/>
          </w:rPr>
          <w:fldChar w:fldCharType="separate"/>
        </w:r>
        <w:r w:rsidR="009C068F">
          <w:rPr>
            <w:noProof/>
            <w:webHidden/>
          </w:rPr>
          <w:t>147</w:t>
        </w:r>
        <w:r w:rsidR="004D7F52">
          <w:rPr>
            <w:noProof/>
            <w:webHidden/>
          </w:rPr>
          <w:fldChar w:fldCharType="end"/>
        </w:r>
      </w:hyperlink>
    </w:p>
    <w:p w:rsidR="004D7F52" w:rsidRDefault="00AF19E7">
      <w:pPr>
        <w:pStyle w:val="TOC1"/>
        <w:tabs>
          <w:tab w:val="left" w:pos="1540"/>
          <w:tab w:val="right" w:leader="dot" w:pos="9060"/>
        </w:tabs>
        <w:rPr>
          <w:rFonts w:eastAsiaTheme="minorEastAsia" w:cstheme="minorBidi"/>
          <w:b w:val="0"/>
          <w:bCs w:val="0"/>
          <w:caps w:val="0"/>
          <w:noProof/>
          <w:sz w:val="22"/>
          <w:szCs w:val="22"/>
          <w:lang w:eastAsia="en-AU"/>
        </w:rPr>
      </w:pPr>
      <w:hyperlink w:anchor="_Toc462047393" w:history="1">
        <w:r w:rsidR="004D7F52" w:rsidRPr="00440689">
          <w:rPr>
            <w:rStyle w:val="Hyperlink"/>
            <w:rFonts w:ascii="Century Gothic" w:hAnsi="Century Gothic"/>
            <w:noProof/>
          </w:rPr>
          <w:t>Appendix 3</w:t>
        </w:r>
        <w:r w:rsidR="004D7F52">
          <w:rPr>
            <w:rFonts w:eastAsiaTheme="minorEastAsia" w:cstheme="minorBidi"/>
            <w:b w:val="0"/>
            <w:bCs w:val="0"/>
            <w:caps w:val="0"/>
            <w:noProof/>
            <w:sz w:val="22"/>
            <w:szCs w:val="22"/>
            <w:lang w:eastAsia="en-AU"/>
          </w:rPr>
          <w:tab/>
        </w:r>
        <w:r w:rsidR="004D7F52" w:rsidRPr="00440689">
          <w:rPr>
            <w:rStyle w:val="Hyperlink"/>
            <w:noProof/>
          </w:rPr>
          <w:t>Report card methods and calculations</w:t>
        </w:r>
        <w:r w:rsidR="004D7F52">
          <w:rPr>
            <w:noProof/>
            <w:webHidden/>
          </w:rPr>
          <w:tab/>
        </w:r>
        <w:r w:rsidR="004D7F52">
          <w:rPr>
            <w:noProof/>
            <w:webHidden/>
          </w:rPr>
          <w:fldChar w:fldCharType="begin"/>
        </w:r>
        <w:r w:rsidR="004D7F52">
          <w:rPr>
            <w:noProof/>
            <w:webHidden/>
          </w:rPr>
          <w:instrText xml:space="preserve"> PAGEREF _Toc462047393 \h </w:instrText>
        </w:r>
        <w:r w:rsidR="004D7F52">
          <w:rPr>
            <w:noProof/>
            <w:webHidden/>
          </w:rPr>
        </w:r>
        <w:r w:rsidR="004D7F52">
          <w:rPr>
            <w:noProof/>
            <w:webHidden/>
          </w:rPr>
          <w:fldChar w:fldCharType="separate"/>
        </w:r>
        <w:r w:rsidR="009C068F">
          <w:rPr>
            <w:noProof/>
            <w:webHidden/>
          </w:rPr>
          <w:t>156</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94" w:history="1">
        <w:r w:rsidR="004D7F52" w:rsidRPr="00440689">
          <w:rPr>
            <w:rStyle w:val="Hyperlink"/>
            <w:noProof/>
          </w:rPr>
          <w:t>A3.1</w:t>
        </w:r>
        <w:r w:rsidR="004D7F52">
          <w:rPr>
            <w:rFonts w:eastAsiaTheme="minorEastAsia" w:cstheme="minorBidi"/>
            <w:smallCaps w:val="0"/>
            <w:noProof/>
            <w:sz w:val="22"/>
            <w:szCs w:val="22"/>
            <w:lang w:eastAsia="en-AU"/>
          </w:rPr>
          <w:tab/>
        </w:r>
        <w:r w:rsidR="004D7F52" w:rsidRPr="00440689">
          <w:rPr>
            <w:rStyle w:val="Hyperlink"/>
            <w:noProof/>
          </w:rPr>
          <w:t>Report card approach</w:t>
        </w:r>
        <w:r w:rsidR="004D7F52">
          <w:rPr>
            <w:noProof/>
            <w:webHidden/>
          </w:rPr>
          <w:tab/>
        </w:r>
        <w:r w:rsidR="004D7F52">
          <w:rPr>
            <w:noProof/>
            <w:webHidden/>
          </w:rPr>
          <w:fldChar w:fldCharType="begin"/>
        </w:r>
        <w:r w:rsidR="004D7F52">
          <w:rPr>
            <w:noProof/>
            <w:webHidden/>
          </w:rPr>
          <w:instrText xml:space="preserve"> PAGEREF _Toc462047394 \h </w:instrText>
        </w:r>
        <w:r w:rsidR="004D7F52">
          <w:rPr>
            <w:noProof/>
            <w:webHidden/>
          </w:rPr>
        </w:r>
        <w:r w:rsidR="004D7F52">
          <w:rPr>
            <w:noProof/>
            <w:webHidden/>
          </w:rPr>
          <w:fldChar w:fldCharType="separate"/>
        </w:r>
        <w:r w:rsidR="009C068F">
          <w:rPr>
            <w:noProof/>
            <w:webHidden/>
          </w:rPr>
          <w:t>157</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95" w:history="1">
        <w:r w:rsidR="004D7F52" w:rsidRPr="00440689">
          <w:rPr>
            <w:rStyle w:val="Hyperlink"/>
            <w:noProof/>
          </w:rPr>
          <w:t>A3.2</w:t>
        </w:r>
        <w:r w:rsidR="004D7F52">
          <w:rPr>
            <w:rFonts w:eastAsiaTheme="minorEastAsia" w:cstheme="minorBidi"/>
            <w:smallCaps w:val="0"/>
            <w:noProof/>
            <w:sz w:val="22"/>
            <w:szCs w:val="22"/>
            <w:lang w:eastAsia="en-AU"/>
          </w:rPr>
          <w:tab/>
        </w:r>
        <w:r w:rsidR="004D7F52" w:rsidRPr="00440689">
          <w:rPr>
            <w:rStyle w:val="Hyperlink"/>
            <w:noProof/>
          </w:rPr>
          <w:t>Seagrass abundance</w:t>
        </w:r>
        <w:r w:rsidR="004D7F52">
          <w:rPr>
            <w:noProof/>
            <w:webHidden/>
          </w:rPr>
          <w:tab/>
        </w:r>
        <w:r w:rsidR="004D7F52">
          <w:rPr>
            <w:noProof/>
            <w:webHidden/>
          </w:rPr>
          <w:fldChar w:fldCharType="begin"/>
        </w:r>
        <w:r w:rsidR="004D7F52">
          <w:rPr>
            <w:noProof/>
            <w:webHidden/>
          </w:rPr>
          <w:instrText xml:space="preserve"> PAGEREF _Toc462047395 \h </w:instrText>
        </w:r>
        <w:r w:rsidR="004D7F52">
          <w:rPr>
            <w:noProof/>
            <w:webHidden/>
          </w:rPr>
        </w:r>
        <w:r w:rsidR="004D7F52">
          <w:rPr>
            <w:noProof/>
            <w:webHidden/>
          </w:rPr>
          <w:fldChar w:fldCharType="separate"/>
        </w:r>
        <w:r w:rsidR="009C068F">
          <w:rPr>
            <w:noProof/>
            <w:webHidden/>
          </w:rPr>
          <w:t>157</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96" w:history="1">
        <w:r w:rsidR="004D7F52" w:rsidRPr="00440689">
          <w:rPr>
            <w:rStyle w:val="Hyperlink"/>
            <w:noProof/>
          </w:rPr>
          <w:t>A3.3</w:t>
        </w:r>
        <w:r w:rsidR="004D7F52">
          <w:rPr>
            <w:rFonts w:eastAsiaTheme="minorEastAsia" w:cstheme="minorBidi"/>
            <w:smallCaps w:val="0"/>
            <w:noProof/>
            <w:sz w:val="22"/>
            <w:szCs w:val="22"/>
            <w:lang w:eastAsia="en-AU"/>
          </w:rPr>
          <w:tab/>
        </w:r>
        <w:r w:rsidR="004D7F52" w:rsidRPr="00440689">
          <w:rPr>
            <w:rStyle w:val="Hyperlink"/>
            <w:noProof/>
          </w:rPr>
          <w:t>Seagrass reproductive effort</w:t>
        </w:r>
        <w:r w:rsidR="004D7F52">
          <w:rPr>
            <w:noProof/>
            <w:webHidden/>
          </w:rPr>
          <w:tab/>
        </w:r>
        <w:r w:rsidR="004D7F52">
          <w:rPr>
            <w:noProof/>
            <w:webHidden/>
          </w:rPr>
          <w:fldChar w:fldCharType="begin"/>
        </w:r>
        <w:r w:rsidR="004D7F52">
          <w:rPr>
            <w:noProof/>
            <w:webHidden/>
          </w:rPr>
          <w:instrText xml:space="preserve"> PAGEREF _Toc462047396 \h </w:instrText>
        </w:r>
        <w:r w:rsidR="004D7F52">
          <w:rPr>
            <w:noProof/>
            <w:webHidden/>
          </w:rPr>
        </w:r>
        <w:r w:rsidR="004D7F52">
          <w:rPr>
            <w:noProof/>
            <w:webHidden/>
          </w:rPr>
          <w:fldChar w:fldCharType="separate"/>
        </w:r>
        <w:r w:rsidR="009C068F">
          <w:rPr>
            <w:noProof/>
            <w:webHidden/>
          </w:rPr>
          <w:t>165</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97" w:history="1">
        <w:r w:rsidR="004D7F52" w:rsidRPr="00440689">
          <w:rPr>
            <w:rStyle w:val="Hyperlink"/>
            <w:noProof/>
          </w:rPr>
          <w:t>A3.4</w:t>
        </w:r>
        <w:r w:rsidR="004D7F52">
          <w:rPr>
            <w:rFonts w:eastAsiaTheme="minorEastAsia" w:cstheme="minorBidi"/>
            <w:smallCaps w:val="0"/>
            <w:noProof/>
            <w:sz w:val="22"/>
            <w:szCs w:val="22"/>
            <w:lang w:eastAsia="en-AU"/>
          </w:rPr>
          <w:tab/>
        </w:r>
        <w:r w:rsidR="004D7F52" w:rsidRPr="00440689">
          <w:rPr>
            <w:rStyle w:val="Hyperlink"/>
            <w:noProof/>
          </w:rPr>
          <w:t>Seagrass nutrient status.</w:t>
        </w:r>
        <w:r w:rsidR="004D7F52">
          <w:rPr>
            <w:noProof/>
            <w:webHidden/>
          </w:rPr>
          <w:tab/>
        </w:r>
        <w:r w:rsidR="004D7F52">
          <w:rPr>
            <w:noProof/>
            <w:webHidden/>
          </w:rPr>
          <w:fldChar w:fldCharType="begin"/>
        </w:r>
        <w:r w:rsidR="004D7F52">
          <w:rPr>
            <w:noProof/>
            <w:webHidden/>
          </w:rPr>
          <w:instrText xml:space="preserve"> PAGEREF _Toc462047397 \h </w:instrText>
        </w:r>
        <w:r w:rsidR="004D7F52">
          <w:rPr>
            <w:noProof/>
            <w:webHidden/>
          </w:rPr>
        </w:r>
        <w:r w:rsidR="004D7F52">
          <w:rPr>
            <w:noProof/>
            <w:webHidden/>
          </w:rPr>
          <w:fldChar w:fldCharType="separate"/>
        </w:r>
        <w:r w:rsidR="009C068F">
          <w:rPr>
            <w:noProof/>
            <w:webHidden/>
          </w:rPr>
          <w:t>167</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398" w:history="1">
        <w:r w:rsidR="004D7F52" w:rsidRPr="00440689">
          <w:rPr>
            <w:rStyle w:val="Hyperlink"/>
            <w:noProof/>
          </w:rPr>
          <w:t>A3.5</w:t>
        </w:r>
        <w:r w:rsidR="004D7F52">
          <w:rPr>
            <w:rFonts w:eastAsiaTheme="minorEastAsia" w:cstheme="minorBidi"/>
            <w:smallCaps w:val="0"/>
            <w:noProof/>
            <w:sz w:val="22"/>
            <w:szCs w:val="22"/>
            <w:lang w:eastAsia="en-AU"/>
          </w:rPr>
          <w:tab/>
        </w:r>
        <w:r w:rsidR="004D7F52" w:rsidRPr="00440689">
          <w:rPr>
            <w:rStyle w:val="Hyperlink"/>
            <w:noProof/>
          </w:rPr>
          <w:t>Seagrass index</w:t>
        </w:r>
        <w:r w:rsidR="004D7F52">
          <w:rPr>
            <w:noProof/>
            <w:webHidden/>
          </w:rPr>
          <w:tab/>
        </w:r>
        <w:r w:rsidR="004D7F52">
          <w:rPr>
            <w:noProof/>
            <w:webHidden/>
          </w:rPr>
          <w:fldChar w:fldCharType="begin"/>
        </w:r>
        <w:r w:rsidR="004D7F52">
          <w:rPr>
            <w:noProof/>
            <w:webHidden/>
          </w:rPr>
          <w:instrText xml:space="preserve"> PAGEREF _Toc462047398 \h </w:instrText>
        </w:r>
        <w:r w:rsidR="004D7F52">
          <w:rPr>
            <w:noProof/>
            <w:webHidden/>
          </w:rPr>
        </w:r>
        <w:r w:rsidR="004D7F52">
          <w:rPr>
            <w:noProof/>
            <w:webHidden/>
          </w:rPr>
          <w:fldChar w:fldCharType="separate"/>
        </w:r>
        <w:r w:rsidR="009C068F">
          <w:rPr>
            <w:noProof/>
            <w:webHidden/>
          </w:rPr>
          <w:t>169</w:t>
        </w:r>
        <w:r w:rsidR="004D7F52">
          <w:rPr>
            <w:noProof/>
            <w:webHidden/>
          </w:rPr>
          <w:fldChar w:fldCharType="end"/>
        </w:r>
      </w:hyperlink>
    </w:p>
    <w:p w:rsidR="004D7F52" w:rsidRDefault="00AF19E7">
      <w:pPr>
        <w:pStyle w:val="TOC1"/>
        <w:tabs>
          <w:tab w:val="left" w:pos="1540"/>
          <w:tab w:val="right" w:leader="dot" w:pos="9060"/>
        </w:tabs>
        <w:rPr>
          <w:rFonts w:eastAsiaTheme="minorEastAsia" w:cstheme="minorBidi"/>
          <w:b w:val="0"/>
          <w:bCs w:val="0"/>
          <w:caps w:val="0"/>
          <w:noProof/>
          <w:sz w:val="22"/>
          <w:szCs w:val="22"/>
          <w:lang w:eastAsia="en-AU"/>
        </w:rPr>
      </w:pPr>
      <w:hyperlink w:anchor="_Toc462047399" w:history="1">
        <w:r w:rsidR="004D7F52" w:rsidRPr="00440689">
          <w:rPr>
            <w:rStyle w:val="Hyperlink"/>
            <w:rFonts w:ascii="Century Gothic" w:hAnsi="Century Gothic"/>
            <w:noProof/>
          </w:rPr>
          <w:t>Appendix 4</w:t>
        </w:r>
        <w:r w:rsidR="004D7F52">
          <w:rPr>
            <w:rFonts w:eastAsiaTheme="minorEastAsia" w:cstheme="minorBidi"/>
            <w:b w:val="0"/>
            <w:bCs w:val="0"/>
            <w:caps w:val="0"/>
            <w:noProof/>
            <w:sz w:val="22"/>
            <w:szCs w:val="22"/>
            <w:lang w:eastAsia="en-AU"/>
          </w:rPr>
          <w:tab/>
        </w:r>
        <w:r w:rsidR="004D7F52" w:rsidRPr="00440689">
          <w:rPr>
            <w:rStyle w:val="Hyperlink"/>
            <w:noProof/>
          </w:rPr>
          <w:t>Detailed data</w:t>
        </w:r>
        <w:r w:rsidR="004D7F52">
          <w:rPr>
            <w:noProof/>
            <w:webHidden/>
          </w:rPr>
          <w:tab/>
        </w:r>
        <w:r w:rsidR="004D7F52">
          <w:rPr>
            <w:noProof/>
            <w:webHidden/>
          </w:rPr>
          <w:fldChar w:fldCharType="begin"/>
        </w:r>
        <w:r w:rsidR="004D7F52">
          <w:rPr>
            <w:noProof/>
            <w:webHidden/>
          </w:rPr>
          <w:instrText xml:space="preserve"> PAGEREF _Toc462047399 \h </w:instrText>
        </w:r>
        <w:r w:rsidR="004D7F52">
          <w:rPr>
            <w:noProof/>
            <w:webHidden/>
          </w:rPr>
        </w:r>
        <w:r w:rsidR="004D7F52">
          <w:rPr>
            <w:noProof/>
            <w:webHidden/>
          </w:rPr>
          <w:fldChar w:fldCharType="separate"/>
        </w:r>
        <w:r w:rsidR="009C068F">
          <w:rPr>
            <w:noProof/>
            <w:webHidden/>
          </w:rPr>
          <w:t>170</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400" w:history="1">
        <w:r w:rsidR="004D7F52" w:rsidRPr="00440689">
          <w:rPr>
            <w:rStyle w:val="Hyperlink"/>
            <w:noProof/>
          </w:rPr>
          <w:t>A4.1</w:t>
        </w:r>
        <w:r w:rsidR="004D7F52">
          <w:rPr>
            <w:rFonts w:eastAsiaTheme="minorEastAsia" w:cstheme="minorBidi"/>
            <w:smallCaps w:val="0"/>
            <w:noProof/>
            <w:sz w:val="22"/>
            <w:szCs w:val="22"/>
            <w:lang w:eastAsia="en-AU"/>
          </w:rPr>
          <w:tab/>
        </w:r>
        <w:r w:rsidR="004D7F52" w:rsidRPr="00440689">
          <w:rPr>
            <w:rStyle w:val="Hyperlink"/>
            <w:noProof/>
          </w:rPr>
          <w:t>Climate and environmental pressures</w:t>
        </w:r>
        <w:r w:rsidR="004D7F52">
          <w:rPr>
            <w:noProof/>
            <w:webHidden/>
          </w:rPr>
          <w:tab/>
        </w:r>
        <w:r w:rsidR="004D7F52">
          <w:rPr>
            <w:noProof/>
            <w:webHidden/>
          </w:rPr>
          <w:fldChar w:fldCharType="begin"/>
        </w:r>
        <w:r w:rsidR="004D7F52">
          <w:rPr>
            <w:noProof/>
            <w:webHidden/>
          </w:rPr>
          <w:instrText xml:space="preserve"> PAGEREF _Toc462047400 \h </w:instrText>
        </w:r>
        <w:r w:rsidR="004D7F52">
          <w:rPr>
            <w:noProof/>
            <w:webHidden/>
          </w:rPr>
        </w:r>
        <w:r w:rsidR="004D7F52">
          <w:rPr>
            <w:noProof/>
            <w:webHidden/>
          </w:rPr>
          <w:fldChar w:fldCharType="separate"/>
        </w:r>
        <w:r w:rsidR="009C068F">
          <w:rPr>
            <w:noProof/>
            <w:webHidden/>
          </w:rPr>
          <w:t>171</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01" w:history="1">
        <w:r w:rsidR="004D7F52" w:rsidRPr="00440689">
          <w:rPr>
            <w:rStyle w:val="Hyperlink"/>
            <w:rFonts w:ascii="Calibri" w:hAnsi="Calibri"/>
            <w:noProof/>
          </w:rPr>
          <w:t>A4.1.1</w:t>
        </w:r>
        <w:r w:rsidR="004D7F52">
          <w:rPr>
            <w:rFonts w:eastAsiaTheme="minorEastAsia" w:cstheme="minorBidi"/>
            <w:i w:val="0"/>
            <w:iCs w:val="0"/>
            <w:noProof/>
            <w:sz w:val="22"/>
            <w:szCs w:val="22"/>
            <w:lang w:eastAsia="en-AU"/>
          </w:rPr>
          <w:tab/>
        </w:r>
        <w:r w:rsidR="004D7F52" w:rsidRPr="00440689">
          <w:rPr>
            <w:rStyle w:val="Hyperlink"/>
            <w:noProof/>
          </w:rPr>
          <w:t>River discharge</w:t>
        </w:r>
        <w:r w:rsidR="004D7F52">
          <w:rPr>
            <w:noProof/>
            <w:webHidden/>
          </w:rPr>
          <w:tab/>
        </w:r>
        <w:r w:rsidR="004D7F52">
          <w:rPr>
            <w:noProof/>
            <w:webHidden/>
          </w:rPr>
          <w:fldChar w:fldCharType="begin"/>
        </w:r>
        <w:r w:rsidR="004D7F52">
          <w:rPr>
            <w:noProof/>
            <w:webHidden/>
          </w:rPr>
          <w:instrText xml:space="preserve"> PAGEREF _Toc462047401 \h </w:instrText>
        </w:r>
        <w:r w:rsidR="004D7F52">
          <w:rPr>
            <w:noProof/>
            <w:webHidden/>
          </w:rPr>
        </w:r>
        <w:r w:rsidR="004D7F52">
          <w:rPr>
            <w:noProof/>
            <w:webHidden/>
          </w:rPr>
          <w:fldChar w:fldCharType="separate"/>
        </w:r>
        <w:r w:rsidR="009C068F">
          <w:rPr>
            <w:noProof/>
            <w:webHidden/>
          </w:rPr>
          <w:t>171</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02" w:history="1">
        <w:r w:rsidR="004D7F52" w:rsidRPr="00440689">
          <w:rPr>
            <w:rStyle w:val="Hyperlink"/>
            <w:rFonts w:ascii="Calibri" w:hAnsi="Calibri"/>
            <w:noProof/>
          </w:rPr>
          <w:t>A4.1.2</w:t>
        </w:r>
        <w:r w:rsidR="004D7F52">
          <w:rPr>
            <w:rFonts w:eastAsiaTheme="minorEastAsia" w:cstheme="minorBidi"/>
            <w:i w:val="0"/>
            <w:iCs w:val="0"/>
            <w:noProof/>
            <w:sz w:val="22"/>
            <w:szCs w:val="22"/>
            <w:lang w:eastAsia="en-AU"/>
          </w:rPr>
          <w:tab/>
        </w:r>
        <w:r w:rsidR="004D7F52" w:rsidRPr="00440689">
          <w:rPr>
            <w:rStyle w:val="Hyperlink"/>
            <w:noProof/>
          </w:rPr>
          <w:t>Climate</w:t>
        </w:r>
        <w:r w:rsidR="004D7F52">
          <w:rPr>
            <w:noProof/>
            <w:webHidden/>
          </w:rPr>
          <w:tab/>
        </w:r>
        <w:r w:rsidR="004D7F52">
          <w:rPr>
            <w:noProof/>
            <w:webHidden/>
          </w:rPr>
          <w:fldChar w:fldCharType="begin"/>
        </w:r>
        <w:r w:rsidR="004D7F52">
          <w:rPr>
            <w:noProof/>
            <w:webHidden/>
          </w:rPr>
          <w:instrText xml:space="preserve"> PAGEREF _Toc462047402 \h </w:instrText>
        </w:r>
        <w:r w:rsidR="004D7F52">
          <w:rPr>
            <w:noProof/>
            <w:webHidden/>
          </w:rPr>
        </w:r>
        <w:r w:rsidR="004D7F52">
          <w:rPr>
            <w:noProof/>
            <w:webHidden/>
          </w:rPr>
          <w:fldChar w:fldCharType="separate"/>
        </w:r>
        <w:r w:rsidR="009C068F">
          <w:rPr>
            <w:noProof/>
            <w:webHidden/>
          </w:rPr>
          <w:t>174</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03" w:history="1">
        <w:r w:rsidR="004D7F52" w:rsidRPr="00440689">
          <w:rPr>
            <w:rStyle w:val="Hyperlink"/>
            <w:rFonts w:ascii="Calibri" w:hAnsi="Calibri"/>
            <w:noProof/>
          </w:rPr>
          <w:t>A4.1.3</w:t>
        </w:r>
        <w:r w:rsidR="004D7F52">
          <w:rPr>
            <w:rFonts w:eastAsiaTheme="minorEastAsia" w:cstheme="minorBidi"/>
            <w:i w:val="0"/>
            <w:iCs w:val="0"/>
            <w:noProof/>
            <w:sz w:val="22"/>
            <w:szCs w:val="22"/>
            <w:lang w:eastAsia="en-AU"/>
          </w:rPr>
          <w:tab/>
        </w:r>
        <w:r w:rsidR="004D7F52" w:rsidRPr="00440689">
          <w:rPr>
            <w:rStyle w:val="Hyperlink"/>
            <w:noProof/>
          </w:rPr>
          <w:t>Tidal exposure</w:t>
        </w:r>
        <w:r w:rsidR="004D7F52">
          <w:rPr>
            <w:noProof/>
            <w:webHidden/>
          </w:rPr>
          <w:tab/>
        </w:r>
        <w:r w:rsidR="004D7F52">
          <w:rPr>
            <w:noProof/>
            <w:webHidden/>
          </w:rPr>
          <w:fldChar w:fldCharType="begin"/>
        </w:r>
        <w:r w:rsidR="004D7F52">
          <w:rPr>
            <w:noProof/>
            <w:webHidden/>
          </w:rPr>
          <w:instrText xml:space="preserve"> PAGEREF _Toc462047403 \h </w:instrText>
        </w:r>
        <w:r w:rsidR="004D7F52">
          <w:rPr>
            <w:noProof/>
            <w:webHidden/>
          </w:rPr>
        </w:r>
        <w:r w:rsidR="004D7F52">
          <w:rPr>
            <w:noProof/>
            <w:webHidden/>
          </w:rPr>
          <w:fldChar w:fldCharType="separate"/>
        </w:r>
        <w:r w:rsidR="009C068F">
          <w:rPr>
            <w:noProof/>
            <w:webHidden/>
          </w:rPr>
          <w:t>185</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04" w:history="1">
        <w:r w:rsidR="004D7F52" w:rsidRPr="00440689">
          <w:rPr>
            <w:rStyle w:val="Hyperlink"/>
            <w:rFonts w:ascii="Calibri" w:hAnsi="Calibri"/>
            <w:noProof/>
          </w:rPr>
          <w:t>A4.1.4</w:t>
        </w:r>
        <w:r w:rsidR="004D7F52">
          <w:rPr>
            <w:rFonts w:eastAsiaTheme="minorEastAsia" w:cstheme="minorBidi"/>
            <w:i w:val="0"/>
            <w:iCs w:val="0"/>
            <w:noProof/>
            <w:sz w:val="22"/>
            <w:szCs w:val="22"/>
            <w:lang w:eastAsia="en-AU"/>
          </w:rPr>
          <w:tab/>
        </w:r>
        <w:r w:rsidR="004D7F52" w:rsidRPr="00440689">
          <w:rPr>
            <w:rStyle w:val="Hyperlink"/>
            <w:noProof/>
          </w:rPr>
          <w:t>Within canopy sea temperature</w:t>
        </w:r>
        <w:r w:rsidR="004D7F52">
          <w:rPr>
            <w:noProof/>
            <w:webHidden/>
          </w:rPr>
          <w:tab/>
        </w:r>
        <w:r w:rsidR="004D7F52">
          <w:rPr>
            <w:noProof/>
            <w:webHidden/>
          </w:rPr>
          <w:fldChar w:fldCharType="begin"/>
        </w:r>
        <w:r w:rsidR="004D7F52">
          <w:rPr>
            <w:noProof/>
            <w:webHidden/>
          </w:rPr>
          <w:instrText xml:space="preserve"> PAGEREF _Toc462047404 \h </w:instrText>
        </w:r>
        <w:r w:rsidR="004D7F52">
          <w:rPr>
            <w:noProof/>
            <w:webHidden/>
          </w:rPr>
        </w:r>
        <w:r w:rsidR="004D7F52">
          <w:rPr>
            <w:noProof/>
            <w:webHidden/>
          </w:rPr>
          <w:fldChar w:fldCharType="separate"/>
        </w:r>
        <w:r w:rsidR="009C068F">
          <w:rPr>
            <w:noProof/>
            <w:webHidden/>
          </w:rPr>
          <w:t>189</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05" w:history="1">
        <w:r w:rsidR="004D7F52" w:rsidRPr="00440689">
          <w:rPr>
            <w:rStyle w:val="Hyperlink"/>
            <w:rFonts w:ascii="Calibri" w:hAnsi="Calibri"/>
            <w:noProof/>
          </w:rPr>
          <w:t>A4.1.5</w:t>
        </w:r>
        <w:r w:rsidR="004D7F52">
          <w:rPr>
            <w:rFonts w:eastAsiaTheme="minorEastAsia" w:cstheme="minorBidi"/>
            <w:i w:val="0"/>
            <w:iCs w:val="0"/>
            <w:noProof/>
            <w:sz w:val="22"/>
            <w:szCs w:val="22"/>
            <w:lang w:eastAsia="en-AU"/>
          </w:rPr>
          <w:tab/>
        </w:r>
        <w:r w:rsidR="004D7F52" w:rsidRPr="00440689">
          <w:rPr>
            <w:rStyle w:val="Hyperlink"/>
            <w:noProof/>
          </w:rPr>
          <w:t>Light at seagrass canopy</w:t>
        </w:r>
        <w:r w:rsidR="004D7F52">
          <w:rPr>
            <w:noProof/>
            <w:webHidden/>
          </w:rPr>
          <w:tab/>
        </w:r>
        <w:r w:rsidR="004D7F52">
          <w:rPr>
            <w:noProof/>
            <w:webHidden/>
          </w:rPr>
          <w:fldChar w:fldCharType="begin"/>
        </w:r>
        <w:r w:rsidR="004D7F52">
          <w:rPr>
            <w:noProof/>
            <w:webHidden/>
          </w:rPr>
          <w:instrText xml:space="preserve"> PAGEREF _Toc462047405 \h </w:instrText>
        </w:r>
        <w:r w:rsidR="004D7F52">
          <w:rPr>
            <w:noProof/>
            <w:webHidden/>
          </w:rPr>
        </w:r>
        <w:r w:rsidR="004D7F52">
          <w:rPr>
            <w:noProof/>
            <w:webHidden/>
          </w:rPr>
          <w:fldChar w:fldCharType="separate"/>
        </w:r>
        <w:r w:rsidR="009C068F">
          <w:rPr>
            <w:noProof/>
            <w:webHidden/>
          </w:rPr>
          <w:t>194</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06" w:history="1">
        <w:r w:rsidR="004D7F52" w:rsidRPr="00440689">
          <w:rPr>
            <w:rStyle w:val="Hyperlink"/>
            <w:rFonts w:ascii="Calibri" w:hAnsi="Calibri"/>
            <w:noProof/>
          </w:rPr>
          <w:t>A4.1.6</w:t>
        </w:r>
        <w:r w:rsidR="004D7F52">
          <w:rPr>
            <w:rFonts w:eastAsiaTheme="minorEastAsia" w:cstheme="minorBidi"/>
            <w:i w:val="0"/>
            <w:iCs w:val="0"/>
            <w:noProof/>
            <w:sz w:val="22"/>
            <w:szCs w:val="22"/>
            <w:lang w:eastAsia="en-AU"/>
          </w:rPr>
          <w:tab/>
        </w:r>
        <w:r w:rsidR="004D7F52" w:rsidRPr="00440689">
          <w:rPr>
            <w:rStyle w:val="Hyperlink"/>
            <w:noProof/>
          </w:rPr>
          <w:t>Sediments composition</w:t>
        </w:r>
        <w:r w:rsidR="004D7F52">
          <w:rPr>
            <w:noProof/>
            <w:webHidden/>
          </w:rPr>
          <w:tab/>
        </w:r>
        <w:r w:rsidR="004D7F52">
          <w:rPr>
            <w:noProof/>
            <w:webHidden/>
          </w:rPr>
          <w:fldChar w:fldCharType="begin"/>
        </w:r>
        <w:r w:rsidR="004D7F52">
          <w:rPr>
            <w:noProof/>
            <w:webHidden/>
          </w:rPr>
          <w:instrText xml:space="preserve"> PAGEREF _Toc462047406 \h </w:instrText>
        </w:r>
        <w:r w:rsidR="004D7F52">
          <w:rPr>
            <w:noProof/>
            <w:webHidden/>
          </w:rPr>
        </w:r>
        <w:r w:rsidR="004D7F52">
          <w:rPr>
            <w:noProof/>
            <w:webHidden/>
          </w:rPr>
          <w:fldChar w:fldCharType="separate"/>
        </w:r>
        <w:r w:rsidR="009C068F">
          <w:rPr>
            <w:noProof/>
            <w:webHidden/>
          </w:rPr>
          <w:t>200</w:t>
        </w:r>
        <w:r w:rsidR="004D7F52">
          <w:rPr>
            <w:noProof/>
            <w:webHidden/>
          </w:rPr>
          <w:fldChar w:fldCharType="end"/>
        </w:r>
      </w:hyperlink>
    </w:p>
    <w:p w:rsidR="004D7F52" w:rsidRDefault="00AF19E7">
      <w:pPr>
        <w:pStyle w:val="TOC2"/>
        <w:tabs>
          <w:tab w:val="left" w:pos="880"/>
          <w:tab w:val="right" w:leader="dot" w:pos="9060"/>
        </w:tabs>
        <w:rPr>
          <w:rFonts w:eastAsiaTheme="minorEastAsia" w:cstheme="minorBidi"/>
          <w:smallCaps w:val="0"/>
          <w:noProof/>
          <w:sz w:val="22"/>
          <w:szCs w:val="22"/>
          <w:lang w:eastAsia="en-AU"/>
        </w:rPr>
      </w:pPr>
      <w:hyperlink w:anchor="_Toc462047407" w:history="1">
        <w:r w:rsidR="004D7F52" w:rsidRPr="00440689">
          <w:rPr>
            <w:rStyle w:val="Hyperlink"/>
            <w:noProof/>
          </w:rPr>
          <w:t>A4.2</w:t>
        </w:r>
        <w:r w:rsidR="004D7F52">
          <w:rPr>
            <w:rFonts w:eastAsiaTheme="minorEastAsia" w:cstheme="minorBidi"/>
            <w:smallCaps w:val="0"/>
            <w:noProof/>
            <w:sz w:val="22"/>
            <w:szCs w:val="22"/>
            <w:lang w:eastAsia="en-AU"/>
          </w:rPr>
          <w:tab/>
        </w:r>
        <w:r w:rsidR="004D7F52" w:rsidRPr="00440689">
          <w:rPr>
            <w:rStyle w:val="Hyperlink"/>
            <w:noProof/>
          </w:rPr>
          <w:t>Seagrass community and environment</w:t>
        </w:r>
        <w:r w:rsidR="004D7F52">
          <w:rPr>
            <w:noProof/>
            <w:webHidden/>
          </w:rPr>
          <w:tab/>
        </w:r>
        <w:r w:rsidR="004D7F52">
          <w:rPr>
            <w:noProof/>
            <w:webHidden/>
          </w:rPr>
          <w:fldChar w:fldCharType="begin"/>
        </w:r>
        <w:r w:rsidR="004D7F52">
          <w:rPr>
            <w:noProof/>
            <w:webHidden/>
          </w:rPr>
          <w:instrText xml:space="preserve"> PAGEREF _Toc462047407 \h </w:instrText>
        </w:r>
        <w:r w:rsidR="004D7F52">
          <w:rPr>
            <w:noProof/>
            <w:webHidden/>
          </w:rPr>
        </w:r>
        <w:r w:rsidR="004D7F52">
          <w:rPr>
            <w:noProof/>
            <w:webHidden/>
          </w:rPr>
          <w:fldChar w:fldCharType="separate"/>
        </w:r>
        <w:r w:rsidR="009C068F">
          <w:rPr>
            <w:noProof/>
            <w:webHidden/>
          </w:rPr>
          <w:t>210</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08" w:history="1">
        <w:r w:rsidR="004D7F52" w:rsidRPr="00440689">
          <w:rPr>
            <w:rStyle w:val="Hyperlink"/>
            <w:rFonts w:ascii="Calibri" w:hAnsi="Calibri"/>
            <w:noProof/>
          </w:rPr>
          <w:t>A4.2.1</w:t>
        </w:r>
        <w:r w:rsidR="004D7F52">
          <w:rPr>
            <w:rFonts w:eastAsiaTheme="minorEastAsia" w:cstheme="minorBidi"/>
            <w:i w:val="0"/>
            <w:iCs w:val="0"/>
            <w:noProof/>
            <w:sz w:val="22"/>
            <w:szCs w:val="22"/>
            <w:lang w:eastAsia="en-AU"/>
          </w:rPr>
          <w:tab/>
        </w:r>
        <w:r w:rsidR="004D7F52" w:rsidRPr="00440689">
          <w:rPr>
            <w:rStyle w:val="Hyperlink"/>
            <w:noProof/>
          </w:rPr>
          <w:t>Epiphytes and macroalgae</w:t>
        </w:r>
        <w:r w:rsidR="004D7F52">
          <w:rPr>
            <w:noProof/>
            <w:webHidden/>
          </w:rPr>
          <w:tab/>
        </w:r>
        <w:r w:rsidR="004D7F52">
          <w:rPr>
            <w:noProof/>
            <w:webHidden/>
          </w:rPr>
          <w:fldChar w:fldCharType="begin"/>
        </w:r>
        <w:r w:rsidR="004D7F52">
          <w:rPr>
            <w:noProof/>
            <w:webHidden/>
          </w:rPr>
          <w:instrText xml:space="preserve"> PAGEREF _Toc462047408 \h </w:instrText>
        </w:r>
        <w:r w:rsidR="004D7F52">
          <w:rPr>
            <w:noProof/>
            <w:webHidden/>
          </w:rPr>
        </w:r>
        <w:r w:rsidR="004D7F52">
          <w:rPr>
            <w:noProof/>
            <w:webHidden/>
          </w:rPr>
          <w:fldChar w:fldCharType="separate"/>
        </w:r>
        <w:r w:rsidR="009C068F">
          <w:rPr>
            <w:noProof/>
            <w:webHidden/>
          </w:rPr>
          <w:t>210</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09" w:history="1">
        <w:r w:rsidR="004D7F52" w:rsidRPr="00440689">
          <w:rPr>
            <w:rStyle w:val="Hyperlink"/>
            <w:rFonts w:ascii="Calibri" w:hAnsi="Calibri"/>
            <w:noProof/>
          </w:rPr>
          <w:t>A4.2.2</w:t>
        </w:r>
        <w:r w:rsidR="004D7F52">
          <w:rPr>
            <w:rFonts w:eastAsiaTheme="minorEastAsia" w:cstheme="minorBidi"/>
            <w:i w:val="0"/>
            <w:iCs w:val="0"/>
            <w:noProof/>
            <w:sz w:val="22"/>
            <w:szCs w:val="22"/>
            <w:lang w:eastAsia="en-AU"/>
          </w:rPr>
          <w:tab/>
        </w:r>
        <w:r w:rsidR="004D7F52" w:rsidRPr="00440689">
          <w:rPr>
            <w:rStyle w:val="Hyperlink"/>
            <w:noProof/>
          </w:rPr>
          <w:t>Seagrass extent</w:t>
        </w:r>
        <w:r w:rsidR="004D7F52">
          <w:rPr>
            <w:noProof/>
            <w:webHidden/>
          </w:rPr>
          <w:tab/>
        </w:r>
        <w:r w:rsidR="004D7F52">
          <w:rPr>
            <w:noProof/>
            <w:webHidden/>
          </w:rPr>
          <w:fldChar w:fldCharType="begin"/>
        </w:r>
        <w:r w:rsidR="004D7F52">
          <w:rPr>
            <w:noProof/>
            <w:webHidden/>
          </w:rPr>
          <w:instrText xml:space="preserve"> PAGEREF _Toc462047409 \h </w:instrText>
        </w:r>
        <w:r w:rsidR="004D7F52">
          <w:rPr>
            <w:noProof/>
            <w:webHidden/>
          </w:rPr>
        </w:r>
        <w:r w:rsidR="004D7F52">
          <w:rPr>
            <w:noProof/>
            <w:webHidden/>
          </w:rPr>
          <w:fldChar w:fldCharType="separate"/>
        </w:r>
        <w:r w:rsidR="009C068F">
          <w:rPr>
            <w:noProof/>
            <w:webHidden/>
          </w:rPr>
          <w:t>216</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10" w:history="1">
        <w:r w:rsidR="004D7F52" w:rsidRPr="00440689">
          <w:rPr>
            <w:rStyle w:val="Hyperlink"/>
            <w:rFonts w:ascii="Calibri" w:hAnsi="Calibri"/>
            <w:noProof/>
          </w:rPr>
          <w:t>A4.2.3</w:t>
        </w:r>
        <w:r w:rsidR="004D7F52">
          <w:rPr>
            <w:rFonts w:eastAsiaTheme="minorEastAsia" w:cstheme="minorBidi"/>
            <w:i w:val="0"/>
            <w:iCs w:val="0"/>
            <w:noProof/>
            <w:sz w:val="22"/>
            <w:szCs w:val="22"/>
            <w:lang w:eastAsia="en-AU"/>
          </w:rPr>
          <w:tab/>
        </w:r>
        <w:r w:rsidR="004D7F52" w:rsidRPr="00440689">
          <w:rPr>
            <w:rStyle w:val="Hyperlink"/>
            <w:noProof/>
          </w:rPr>
          <w:t>Species composition and distribution</w:t>
        </w:r>
        <w:r w:rsidR="004D7F52">
          <w:rPr>
            <w:noProof/>
            <w:webHidden/>
          </w:rPr>
          <w:tab/>
        </w:r>
        <w:r w:rsidR="004D7F52">
          <w:rPr>
            <w:noProof/>
            <w:webHidden/>
          </w:rPr>
          <w:fldChar w:fldCharType="begin"/>
        </w:r>
        <w:r w:rsidR="004D7F52">
          <w:rPr>
            <w:noProof/>
            <w:webHidden/>
          </w:rPr>
          <w:instrText xml:space="preserve"> PAGEREF _Toc462047410 \h </w:instrText>
        </w:r>
        <w:r w:rsidR="004D7F52">
          <w:rPr>
            <w:noProof/>
            <w:webHidden/>
          </w:rPr>
        </w:r>
        <w:r w:rsidR="004D7F52">
          <w:rPr>
            <w:noProof/>
            <w:webHidden/>
          </w:rPr>
          <w:fldChar w:fldCharType="separate"/>
        </w:r>
        <w:r w:rsidR="009C068F">
          <w:rPr>
            <w:noProof/>
            <w:webHidden/>
          </w:rPr>
          <w:t>218</w:t>
        </w:r>
        <w:r w:rsidR="004D7F52">
          <w:rPr>
            <w:noProof/>
            <w:webHidden/>
          </w:rPr>
          <w:fldChar w:fldCharType="end"/>
        </w:r>
      </w:hyperlink>
    </w:p>
    <w:p w:rsidR="004D7F52" w:rsidRDefault="00AF19E7">
      <w:pPr>
        <w:pStyle w:val="TOC3"/>
        <w:tabs>
          <w:tab w:val="left" w:pos="1320"/>
          <w:tab w:val="right" w:leader="dot" w:pos="9060"/>
        </w:tabs>
        <w:rPr>
          <w:rFonts w:eastAsiaTheme="minorEastAsia" w:cstheme="minorBidi"/>
          <w:i w:val="0"/>
          <w:iCs w:val="0"/>
          <w:noProof/>
          <w:sz w:val="22"/>
          <w:szCs w:val="22"/>
          <w:lang w:eastAsia="en-AU"/>
        </w:rPr>
      </w:pPr>
      <w:hyperlink w:anchor="_Toc462047411" w:history="1">
        <w:r w:rsidR="004D7F52" w:rsidRPr="00440689">
          <w:rPr>
            <w:rStyle w:val="Hyperlink"/>
            <w:rFonts w:ascii="Calibri" w:hAnsi="Calibri"/>
            <w:noProof/>
          </w:rPr>
          <w:t>A4.2.4</w:t>
        </w:r>
        <w:r w:rsidR="004D7F52">
          <w:rPr>
            <w:rFonts w:eastAsiaTheme="minorEastAsia" w:cstheme="minorBidi"/>
            <w:i w:val="0"/>
            <w:iCs w:val="0"/>
            <w:noProof/>
            <w:sz w:val="22"/>
            <w:szCs w:val="22"/>
            <w:lang w:eastAsia="en-AU"/>
          </w:rPr>
          <w:tab/>
        </w:r>
        <w:r w:rsidR="004D7F52" w:rsidRPr="00440689">
          <w:rPr>
            <w:rStyle w:val="Hyperlink"/>
            <w:noProof/>
          </w:rPr>
          <w:t>Seagrass leaf tissue</w:t>
        </w:r>
        <w:r w:rsidR="004D7F52">
          <w:rPr>
            <w:noProof/>
            <w:webHidden/>
          </w:rPr>
          <w:tab/>
        </w:r>
        <w:r w:rsidR="004D7F52">
          <w:rPr>
            <w:noProof/>
            <w:webHidden/>
          </w:rPr>
          <w:fldChar w:fldCharType="begin"/>
        </w:r>
        <w:r w:rsidR="004D7F52">
          <w:rPr>
            <w:noProof/>
            <w:webHidden/>
          </w:rPr>
          <w:instrText xml:space="preserve"> PAGEREF _Toc462047411 \h </w:instrText>
        </w:r>
        <w:r w:rsidR="004D7F52">
          <w:rPr>
            <w:noProof/>
            <w:webHidden/>
          </w:rPr>
        </w:r>
        <w:r w:rsidR="004D7F52">
          <w:rPr>
            <w:noProof/>
            <w:webHidden/>
          </w:rPr>
          <w:fldChar w:fldCharType="separate"/>
        </w:r>
        <w:r w:rsidR="009C068F">
          <w:rPr>
            <w:noProof/>
            <w:webHidden/>
          </w:rPr>
          <w:t>224</w:t>
        </w:r>
        <w:r w:rsidR="004D7F52">
          <w:rPr>
            <w:noProof/>
            <w:webHidden/>
          </w:rPr>
          <w:fldChar w:fldCharType="end"/>
        </w:r>
      </w:hyperlink>
    </w:p>
    <w:p w:rsidR="004D7F52" w:rsidRDefault="00AF19E7">
      <w:pPr>
        <w:pStyle w:val="TOC1"/>
        <w:tabs>
          <w:tab w:val="left" w:pos="1540"/>
          <w:tab w:val="right" w:leader="dot" w:pos="9060"/>
        </w:tabs>
        <w:rPr>
          <w:rFonts w:eastAsiaTheme="minorEastAsia" w:cstheme="minorBidi"/>
          <w:b w:val="0"/>
          <w:bCs w:val="0"/>
          <w:caps w:val="0"/>
          <w:noProof/>
          <w:sz w:val="22"/>
          <w:szCs w:val="22"/>
          <w:lang w:eastAsia="en-AU"/>
        </w:rPr>
      </w:pPr>
      <w:hyperlink w:anchor="_Toc462047412" w:history="1">
        <w:r w:rsidR="004D7F52" w:rsidRPr="00440689">
          <w:rPr>
            <w:rStyle w:val="Hyperlink"/>
            <w:rFonts w:ascii="Century Gothic" w:hAnsi="Century Gothic"/>
            <w:noProof/>
          </w:rPr>
          <w:t>Appendix 5</w:t>
        </w:r>
        <w:r w:rsidR="004D7F52">
          <w:rPr>
            <w:rFonts w:eastAsiaTheme="minorEastAsia" w:cstheme="minorBidi"/>
            <w:b w:val="0"/>
            <w:bCs w:val="0"/>
            <w:caps w:val="0"/>
            <w:noProof/>
            <w:sz w:val="22"/>
            <w:szCs w:val="22"/>
            <w:lang w:eastAsia="en-AU"/>
          </w:rPr>
          <w:tab/>
        </w:r>
        <w:r w:rsidR="004D7F52" w:rsidRPr="00440689">
          <w:rPr>
            <w:rStyle w:val="Hyperlink"/>
            <w:noProof/>
          </w:rPr>
          <w:t>Results of statistical analysis</w:t>
        </w:r>
        <w:r w:rsidR="004D7F52">
          <w:rPr>
            <w:noProof/>
            <w:webHidden/>
          </w:rPr>
          <w:tab/>
        </w:r>
        <w:r w:rsidR="004D7F52">
          <w:rPr>
            <w:noProof/>
            <w:webHidden/>
          </w:rPr>
          <w:fldChar w:fldCharType="begin"/>
        </w:r>
        <w:r w:rsidR="004D7F52">
          <w:rPr>
            <w:noProof/>
            <w:webHidden/>
          </w:rPr>
          <w:instrText xml:space="preserve"> PAGEREF _Toc462047412 \h </w:instrText>
        </w:r>
        <w:r w:rsidR="004D7F52">
          <w:rPr>
            <w:noProof/>
            <w:webHidden/>
          </w:rPr>
        </w:r>
        <w:r w:rsidR="004D7F52">
          <w:rPr>
            <w:noProof/>
            <w:webHidden/>
          </w:rPr>
          <w:fldChar w:fldCharType="separate"/>
        </w:r>
        <w:r w:rsidR="009C068F">
          <w:rPr>
            <w:noProof/>
            <w:webHidden/>
          </w:rPr>
          <w:t>233</w:t>
        </w:r>
        <w:r w:rsidR="004D7F52">
          <w:rPr>
            <w:noProof/>
            <w:webHidden/>
          </w:rPr>
          <w:fldChar w:fldCharType="end"/>
        </w:r>
      </w:hyperlink>
    </w:p>
    <w:p w:rsidR="001F4593" w:rsidRPr="0095258E" w:rsidRDefault="00E150BC" w:rsidP="001F4593">
      <w:pPr>
        <w:tabs>
          <w:tab w:val="left" w:pos="540"/>
          <w:tab w:val="left" w:pos="1080"/>
          <w:tab w:val="right" w:leader="dot" w:pos="9072"/>
        </w:tabs>
        <w:spacing w:before="0" w:after="0"/>
        <w:rPr>
          <w:color w:val="000000"/>
        </w:rPr>
      </w:pPr>
      <w:r w:rsidRPr="008A426D">
        <w:rPr>
          <w:rFonts w:asciiTheme="minorHAnsi" w:hAnsiTheme="minorHAnsi"/>
          <w:color w:val="000000"/>
          <w:sz w:val="20"/>
          <w:szCs w:val="20"/>
        </w:rPr>
        <w:fldChar w:fldCharType="end"/>
      </w:r>
    </w:p>
    <w:p w:rsidR="001F4593" w:rsidRPr="0095258E" w:rsidRDefault="001F4593" w:rsidP="001F4593">
      <w:pPr>
        <w:spacing w:after="240"/>
        <w:rPr>
          <w:rFonts w:ascii="Century Gothic" w:hAnsi="Century Gothic"/>
          <w:b/>
          <w:color w:val="000000"/>
          <w:sz w:val="36"/>
          <w:szCs w:val="36"/>
        </w:rPr>
      </w:pPr>
      <w:r w:rsidRPr="0095258E">
        <w:rPr>
          <w:rFonts w:ascii="Century Gothic" w:hAnsi="Century Gothic"/>
          <w:b/>
          <w:color w:val="000000"/>
          <w:sz w:val="36"/>
          <w:szCs w:val="36"/>
        </w:rPr>
        <w:br w:type="page"/>
      </w:r>
      <w:r w:rsidRPr="0095258E">
        <w:rPr>
          <w:rFonts w:ascii="Century Gothic" w:hAnsi="Century Gothic"/>
          <w:b/>
          <w:color w:val="000000"/>
          <w:sz w:val="36"/>
          <w:szCs w:val="36"/>
        </w:rPr>
        <w:lastRenderedPageBreak/>
        <w:t>List of Figures</w:t>
      </w:r>
    </w:p>
    <w:p w:rsidR="00E6043D" w:rsidRDefault="001F4593">
      <w:pPr>
        <w:pStyle w:val="TableofFigures"/>
        <w:tabs>
          <w:tab w:val="right" w:leader="dot" w:pos="9060"/>
        </w:tabs>
        <w:rPr>
          <w:rFonts w:asciiTheme="minorHAnsi" w:eastAsiaTheme="minorEastAsia" w:hAnsiTheme="minorHAnsi" w:cstheme="minorBidi"/>
          <w:noProof/>
          <w:szCs w:val="22"/>
          <w:lang w:eastAsia="en-AU"/>
        </w:rPr>
      </w:pPr>
      <w:r w:rsidRPr="00A93D8C">
        <w:rPr>
          <w:color w:val="000000"/>
          <w:sz w:val="20"/>
          <w:szCs w:val="20"/>
        </w:rPr>
        <w:fldChar w:fldCharType="begin"/>
      </w:r>
      <w:r w:rsidRPr="00A93D8C">
        <w:rPr>
          <w:color w:val="000000"/>
          <w:sz w:val="20"/>
          <w:szCs w:val="20"/>
        </w:rPr>
        <w:instrText xml:space="preserve"> TOC \h \z \c "Figure" </w:instrText>
      </w:r>
      <w:r w:rsidRPr="00A93D8C">
        <w:rPr>
          <w:color w:val="000000"/>
          <w:sz w:val="20"/>
          <w:szCs w:val="20"/>
        </w:rPr>
        <w:fldChar w:fldCharType="separate"/>
      </w:r>
      <w:hyperlink w:anchor="_Toc462684841" w:history="1">
        <w:r w:rsidR="00E6043D" w:rsidRPr="00301BE2">
          <w:rPr>
            <w:rStyle w:val="Hyperlink"/>
            <w:noProof/>
          </w:rPr>
          <w:t>Figure 1</w:t>
        </w:r>
        <w:r w:rsidR="00E6043D" w:rsidRPr="00301BE2">
          <w:rPr>
            <w:rStyle w:val="Hyperlink"/>
            <w:i/>
            <w:noProof/>
          </w:rPr>
          <w:t>. General conceptual model of seagrass habitats in north east Australia and the water quality impacts affecting the habitat (adapted from Carruthers et al., 2002, and Collier et al. 2014)</w:t>
        </w:r>
        <w:r w:rsidR="00E6043D">
          <w:rPr>
            <w:noProof/>
            <w:webHidden/>
          </w:rPr>
          <w:tab/>
        </w:r>
        <w:r w:rsidR="00E6043D">
          <w:rPr>
            <w:noProof/>
            <w:webHidden/>
          </w:rPr>
          <w:fldChar w:fldCharType="begin"/>
        </w:r>
        <w:r w:rsidR="00E6043D">
          <w:rPr>
            <w:noProof/>
            <w:webHidden/>
          </w:rPr>
          <w:instrText xml:space="preserve"> PAGEREF _Toc462684841 \h </w:instrText>
        </w:r>
        <w:r w:rsidR="00E6043D">
          <w:rPr>
            <w:noProof/>
            <w:webHidden/>
          </w:rPr>
        </w:r>
        <w:r w:rsidR="00E6043D">
          <w:rPr>
            <w:noProof/>
            <w:webHidden/>
          </w:rPr>
          <w:fldChar w:fldCharType="separate"/>
        </w:r>
        <w:r w:rsidR="00E6043D">
          <w:rPr>
            <w:noProof/>
            <w:webHidden/>
          </w:rPr>
          <w:t>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42" w:history="1">
        <w:r w:rsidR="00E6043D" w:rsidRPr="00301BE2">
          <w:rPr>
            <w:rStyle w:val="Hyperlink"/>
            <w:noProof/>
          </w:rPr>
          <w:t xml:space="preserve">Figure 2. </w:t>
        </w:r>
        <w:r w:rsidR="00E6043D" w:rsidRPr="00301BE2">
          <w:rPr>
            <w:rStyle w:val="Hyperlink"/>
            <w:i/>
            <w:noProof/>
          </w:rPr>
          <w:t>Climate, environmental, seagrass condition and seagrass resilience indicators reported as part of the MMP Inshore Seagrass monitoring 2014-15.</w:t>
        </w:r>
        <w:r w:rsidR="00E6043D">
          <w:rPr>
            <w:noProof/>
            <w:webHidden/>
          </w:rPr>
          <w:tab/>
        </w:r>
        <w:r w:rsidR="00E6043D">
          <w:rPr>
            <w:noProof/>
            <w:webHidden/>
          </w:rPr>
          <w:fldChar w:fldCharType="begin"/>
        </w:r>
        <w:r w:rsidR="00E6043D">
          <w:rPr>
            <w:noProof/>
            <w:webHidden/>
          </w:rPr>
          <w:instrText xml:space="preserve"> PAGEREF _Toc462684842 \h </w:instrText>
        </w:r>
        <w:r w:rsidR="00E6043D">
          <w:rPr>
            <w:noProof/>
            <w:webHidden/>
          </w:rPr>
        </w:r>
        <w:r w:rsidR="00E6043D">
          <w:rPr>
            <w:noProof/>
            <w:webHidden/>
          </w:rPr>
          <w:fldChar w:fldCharType="separate"/>
        </w:r>
        <w:r w:rsidR="00E6043D">
          <w:rPr>
            <w:noProof/>
            <w:webHidden/>
          </w:rPr>
          <w:t>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43" w:history="1">
        <w:r w:rsidR="00E6043D" w:rsidRPr="00301BE2">
          <w:rPr>
            <w:rStyle w:val="Hyperlink"/>
            <w:noProof/>
          </w:rPr>
          <w:t>Figure 3.</w:t>
        </w:r>
        <w:r w:rsidR="00E6043D" w:rsidRPr="00301BE2">
          <w:rPr>
            <w:rStyle w:val="Hyperlink"/>
            <w:i/>
            <w:noProof/>
          </w:rPr>
          <w:t xml:space="preserve"> Illustration of seagrass recovery after loss and the categories of successional species over time.</w:t>
        </w:r>
        <w:r w:rsidR="00E6043D">
          <w:rPr>
            <w:noProof/>
            <w:webHidden/>
          </w:rPr>
          <w:tab/>
        </w:r>
        <w:r w:rsidR="00E6043D">
          <w:rPr>
            <w:noProof/>
            <w:webHidden/>
          </w:rPr>
          <w:fldChar w:fldCharType="begin"/>
        </w:r>
        <w:r w:rsidR="00E6043D">
          <w:rPr>
            <w:noProof/>
            <w:webHidden/>
          </w:rPr>
          <w:instrText xml:space="preserve"> PAGEREF _Toc462684843 \h </w:instrText>
        </w:r>
        <w:r w:rsidR="00E6043D">
          <w:rPr>
            <w:noProof/>
            <w:webHidden/>
          </w:rPr>
        </w:r>
        <w:r w:rsidR="00E6043D">
          <w:rPr>
            <w:noProof/>
            <w:webHidden/>
          </w:rPr>
          <w:fldChar w:fldCharType="separate"/>
        </w:r>
        <w:r w:rsidR="00E6043D">
          <w:rPr>
            <w:noProof/>
            <w:webHidden/>
          </w:rPr>
          <w:t>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44" w:history="1">
        <w:r w:rsidR="00E6043D" w:rsidRPr="00301BE2">
          <w:rPr>
            <w:rStyle w:val="Hyperlink"/>
            <w:noProof/>
          </w:rPr>
          <w:t xml:space="preserve">Figure 4. </w:t>
        </w:r>
        <w:r w:rsidR="00E6043D" w:rsidRPr="00301BE2">
          <w:rPr>
            <w:rStyle w:val="Hyperlink"/>
            <w:i/>
            <w:noProof/>
          </w:rPr>
          <w:t>Report card scores (NRM regional averages pooled) for each indicator and total seagrass index over the life of the MMP.</w:t>
        </w:r>
        <w:r w:rsidR="00E6043D">
          <w:rPr>
            <w:noProof/>
            <w:webHidden/>
          </w:rPr>
          <w:tab/>
        </w:r>
        <w:r w:rsidR="00E6043D">
          <w:rPr>
            <w:noProof/>
            <w:webHidden/>
          </w:rPr>
          <w:fldChar w:fldCharType="begin"/>
        </w:r>
        <w:r w:rsidR="00E6043D">
          <w:rPr>
            <w:noProof/>
            <w:webHidden/>
          </w:rPr>
          <w:instrText xml:space="preserve"> PAGEREF _Toc462684844 \h </w:instrText>
        </w:r>
        <w:r w:rsidR="00E6043D">
          <w:rPr>
            <w:noProof/>
            <w:webHidden/>
          </w:rPr>
        </w:r>
        <w:r w:rsidR="00E6043D">
          <w:rPr>
            <w:noProof/>
            <w:webHidden/>
          </w:rPr>
          <w:fldChar w:fldCharType="separate"/>
        </w:r>
        <w:r w:rsidR="00E6043D">
          <w:rPr>
            <w:noProof/>
            <w:webHidden/>
          </w:rPr>
          <w:t>22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45" w:history="1">
        <w:r w:rsidR="00E6043D" w:rsidRPr="00301BE2">
          <w:rPr>
            <w:rStyle w:val="Hyperlink"/>
            <w:noProof/>
          </w:rPr>
          <w:t xml:space="preserve">Figure 5. </w:t>
        </w:r>
        <w:r w:rsidR="00E6043D" w:rsidRPr="00301BE2">
          <w:rPr>
            <w:rStyle w:val="Hyperlink"/>
            <w:i/>
            <w:noProof/>
          </w:rPr>
          <w:t>Report card of seagrass condition for each NRM region (averaged across indicators).</w:t>
        </w:r>
        <w:r w:rsidR="00E6043D">
          <w:rPr>
            <w:noProof/>
            <w:webHidden/>
          </w:rPr>
          <w:tab/>
        </w:r>
        <w:r w:rsidR="00E6043D">
          <w:rPr>
            <w:noProof/>
            <w:webHidden/>
          </w:rPr>
          <w:fldChar w:fldCharType="begin"/>
        </w:r>
        <w:r w:rsidR="00E6043D">
          <w:rPr>
            <w:noProof/>
            <w:webHidden/>
          </w:rPr>
          <w:instrText xml:space="preserve"> PAGEREF _Toc462684845 \h </w:instrText>
        </w:r>
        <w:r w:rsidR="00E6043D">
          <w:rPr>
            <w:noProof/>
            <w:webHidden/>
          </w:rPr>
        </w:r>
        <w:r w:rsidR="00E6043D">
          <w:rPr>
            <w:noProof/>
            <w:webHidden/>
          </w:rPr>
          <w:fldChar w:fldCharType="separate"/>
        </w:r>
        <w:r w:rsidR="00E6043D">
          <w:rPr>
            <w:noProof/>
            <w:webHidden/>
          </w:rPr>
          <w:t>22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46" w:history="1">
        <w:r w:rsidR="00E6043D" w:rsidRPr="00301BE2">
          <w:rPr>
            <w:rStyle w:val="Hyperlink"/>
            <w:noProof/>
          </w:rPr>
          <w:t xml:space="preserve">Figure 6. </w:t>
        </w:r>
        <w:r w:rsidR="00E6043D" w:rsidRPr="00301BE2">
          <w:rPr>
            <w:rStyle w:val="Hyperlink"/>
            <w:i/>
            <w:noProof/>
          </w:rPr>
          <w:t>Plume exposure (colour classes 1 – 5, primary and secondary water) frequency in the GBR from December 2014 to April 2015</w:t>
        </w:r>
        <w:r w:rsidR="00E6043D">
          <w:rPr>
            <w:noProof/>
            <w:webHidden/>
          </w:rPr>
          <w:tab/>
        </w:r>
        <w:r w:rsidR="00E6043D">
          <w:rPr>
            <w:noProof/>
            <w:webHidden/>
          </w:rPr>
          <w:fldChar w:fldCharType="begin"/>
        </w:r>
        <w:r w:rsidR="00E6043D">
          <w:rPr>
            <w:noProof/>
            <w:webHidden/>
          </w:rPr>
          <w:instrText xml:space="preserve"> PAGEREF _Toc462684846 \h </w:instrText>
        </w:r>
        <w:r w:rsidR="00E6043D">
          <w:rPr>
            <w:noProof/>
            <w:webHidden/>
          </w:rPr>
        </w:r>
        <w:r w:rsidR="00E6043D">
          <w:rPr>
            <w:noProof/>
            <w:webHidden/>
          </w:rPr>
          <w:fldChar w:fldCharType="separate"/>
        </w:r>
        <w:r w:rsidR="00E6043D">
          <w:rPr>
            <w:noProof/>
            <w:webHidden/>
          </w:rPr>
          <w:t>25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47" w:history="1">
        <w:r w:rsidR="00E6043D" w:rsidRPr="00301BE2">
          <w:rPr>
            <w:rStyle w:val="Hyperlink"/>
            <w:noProof/>
          </w:rPr>
          <w:t xml:space="preserve">Figure 7. </w:t>
        </w:r>
        <w:r w:rsidR="00E6043D" w:rsidRPr="00301BE2">
          <w:rPr>
            <w:rStyle w:val="Hyperlink"/>
            <w:i/>
            <w:noProof/>
          </w:rPr>
          <w:t>Number of days when inshore intertidal sea temperature exceeded 35°C, 38°C, 40°C and 43°C in each monitoring period in each NRM region.</w:t>
        </w:r>
        <w:r w:rsidR="00E6043D">
          <w:rPr>
            <w:noProof/>
            <w:webHidden/>
          </w:rPr>
          <w:tab/>
        </w:r>
        <w:r w:rsidR="00E6043D">
          <w:rPr>
            <w:noProof/>
            <w:webHidden/>
          </w:rPr>
          <w:fldChar w:fldCharType="begin"/>
        </w:r>
        <w:r w:rsidR="00E6043D">
          <w:rPr>
            <w:noProof/>
            <w:webHidden/>
          </w:rPr>
          <w:instrText xml:space="preserve"> PAGEREF _Toc462684847 \h </w:instrText>
        </w:r>
        <w:r w:rsidR="00E6043D">
          <w:rPr>
            <w:noProof/>
            <w:webHidden/>
          </w:rPr>
        </w:r>
        <w:r w:rsidR="00E6043D">
          <w:rPr>
            <w:noProof/>
            <w:webHidden/>
          </w:rPr>
          <w:fldChar w:fldCharType="separate"/>
        </w:r>
        <w:r w:rsidR="00E6043D">
          <w:rPr>
            <w:noProof/>
            <w:webHidden/>
          </w:rPr>
          <w:t>26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48" w:history="1">
        <w:r w:rsidR="00E6043D" w:rsidRPr="00301BE2">
          <w:rPr>
            <w:rStyle w:val="Hyperlink"/>
            <w:noProof/>
          </w:rPr>
          <w:t xml:space="preserve">Figure 8. </w:t>
        </w:r>
        <w:r w:rsidR="00E6043D" w:rsidRPr="00301BE2">
          <w:rPr>
            <w:rStyle w:val="Hyperlink"/>
            <w:i/>
            <w:noProof/>
          </w:rPr>
          <w:t>Inshore intertidal sea temperature deviations from baseline for GBR seagrass habitats 2003 to 2014.</w:t>
        </w:r>
        <w:r w:rsidR="00E6043D">
          <w:rPr>
            <w:noProof/>
            <w:webHidden/>
          </w:rPr>
          <w:tab/>
        </w:r>
        <w:r w:rsidR="00E6043D">
          <w:rPr>
            <w:noProof/>
            <w:webHidden/>
          </w:rPr>
          <w:fldChar w:fldCharType="begin"/>
        </w:r>
        <w:r w:rsidR="00E6043D">
          <w:rPr>
            <w:noProof/>
            <w:webHidden/>
          </w:rPr>
          <w:instrText xml:space="preserve"> PAGEREF _Toc462684848 \h </w:instrText>
        </w:r>
        <w:r w:rsidR="00E6043D">
          <w:rPr>
            <w:noProof/>
            <w:webHidden/>
          </w:rPr>
        </w:r>
        <w:r w:rsidR="00E6043D">
          <w:rPr>
            <w:noProof/>
            <w:webHidden/>
          </w:rPr>
          <w:fldChar w:fldCharType="separate"/>
        </w:r>
        <w:r w:rsidR="00E6043D">
          <w:rPr>
            <w:noProof/>
            <w:webHidden/>
          </w:rPr>
          <w:t>27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49" w:history="1">
        <w:r w:rsidR="00E6043D" w:rsidRPr="00301BE2">
          <w:rPr>
            <w:rStyle w:val="Hyperlink"/>
            <w:noProof/>
          </w:rPr>
          <w:t xml:space="preserve">Figure 9. </w:t>
        </w:r>
        <w:r w:rsidR="00E6043D" w:rsidRPr="00301BE2">
          <w:rPr>
            <w:rStyle w:val="Hyperlink"/>
            <w:i/>
            <w:noProof/>
          </w:rPr>
          <w:t>Number of days when inshore subtidal sea temperature exceeded 35°C, 38°C, 40°C and 43°C in each monitoring period in each NRM region.</w:t>
        </w:r>
        <w:r w:rsidR="00E6043D">
          <w:rPr>
            <w:noProof/>
            <w:webHidden/>
          </w:rPr>
          <w:tab/>
        </w:r>
        <w:r w:rsidR="00E6043D">
          <w:rPr>
            <w:noProof/>
            <w:webHidden/>
          </w:rPr>
          <w:fldChar w:fldCharType="begin"/>
        </w:r>
        <w:r w:rsidR="00E6043D">
          <w:rPr>
            <w:noProof/>
            <w:webHidden/>
          </w:rPr>
          <w:instrText xml:space="preserve"> PAGEREF _Toc462684849 \h </w:instrText>
        </w:r>
        <w:r w:rsidR="00E6043D">
          <w:rPr>
            <w:noProof/>
            <w:webHidden/>
          </w:rPr>
        </w:r>
        <w:r w:rsidR="00E6043D">
          <w:rPr>
            <w:noProof/>
            <w:webHidden/>
          </w:rPr>
          <w:fldChar w:fldCharType="separate"/>
        </w:r>
        <w:r w:rsidR="00E6043D">
          <w:rPr>
            <w:noProof/>
            <w:webHidden/>
          </w:rPr>
          <w:t>27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0" w:history="1">
        <w:r w:rsidR="00E6043D" w:rsidRPr="00301BE2">
          <w:rPr>
            <w:rStyle w:val="Hyperlink"/>
            <w:noProof/>
          </w:rPr>
          <w:t xml:space="preserve">Figure 10. </w:t>
        </w:r>
        <w:r w:rsidR="00E6043D" w:rsidRPr="00301BE2">
          <w:rPr>
            <w:rStyle w:val="Hyperlink"/>
            <w:i/>
            <w:noProof/>
          </w:rPr>
          <w:t>Average daily light (left-hand panels) and thresholds exceeded (% days, right-hand panels) for coastal, estuarine, reef intertidal, and reef subtidal sites including the long-term average and the value for the 2014-15 reporting period.</w:t>
        </w:r>
        <w:r w:rsidR="00E6043D">
          <w:rPr>
            <w:noProof/>
            <w:webHidden/>
          </w:rPr>
          <w:tab/>
        </w:r>
        <w:r w:rsidR="00E6043D">
          <w:rPr>
            <w:noProof/>
            <w:webHidden/>
          </w:rPr>
          <w:fldChar w:fldCharType="begin"/>
        </w:r>
        <w:r w:rsidR="00E6043D">
          <w:rPr>
            <w:noProof/>
            <w:webHidden/>
          </w:rPr>
          <w:instrText xml:space="preserve"> PAGEREF _Toc462684850 \h </w:instrText>
        </w:r>
        <w:r w:rsidR="00E6043D">
          <w:rPr>
            <w:noProof/>
            <w:webHidden/>
          </w:rPr>
        </w:r>
        <w:r w:rsidR="00E6043D">
          <w:rPr>
            <w:noProof/>
            <w:webHidden/>
          </w:rPr>
          <w:fldChar w:fldCharType="separate"/>
        </w:r>
        <w:r w:rsidR="00E6043D">
          <w:rPr>
            <w:noProof/>
            <w:webHidden/>
          </w:rPr>
          <w:t>28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1" w:history="1">
        <w:r w:rsidR="00E6043D" w:rsidRPr="00301BE2">
          <w:rPr>
            <w:rStyle w:val="Hyperlink"/>
            <w:noProof/>
          </w:rPr>
          <w:t xml:space="preserve">Figure 11. </w:t>
        </w:r>
        <w:r w:rsidR="00E6043D" w:rsidRPr="00301BE2">
          <w:rPr>
            <w:rStyle w:val="Hyperlink"/>
            <w:i/>
            <w:noProof/>
          </w:rPr>
          <w:t>Daily light for all sites combined and GBR-wide trend (GAM plot) in daily light for each habitat from 2008 to 2015.</w:t>
        </w:r>
        <w:r w:rsidR="00E6043D">
          <w:rPr>
            <w:noProof/>
            <w:webHidden/>
          </w:rPr>
          <w:tab/>
        </w:r>
        <w:r w:rsidR="00E6043D">
          <w:rPr>
            <w:noProof/>
            <w:webHidden/>
          </w:rPr>
          <w:fldChar w:fldCharType="begin"/>
        </w:r>
        <w:r w:rsidR="00E6043D">
          <w:rPr>
            <w:noProof/>
            <w:webHidden/>
          </w:rPr>
          <w:instrText xml:space="preserve"> PAGEREF _Toc462684851 \h </w:instrText>
        </w:r>
        <w:r w:rsidR="00E6043D">
          <w:rPr>
            <w:noProof/>
            <w:webHidden/>
          </w:rPr>
        </w:r>
        <w:r w:rsidR="00E6043D">
          <w:rPr>
            <w:noProof/>
            <w:webHidden/>
          </w:rPr>
          <w:fldChar w:fldCharType="separate"/>
        </w:r>
        <w:r w:rsidR="00E6043D">
          <w:rPr>
            <w:noProof/>
            <w:webHidden/>
          </w:rPr>
          <w:t>28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2" w:history="1">
        <w:r w:rsidR="00E6043D" w:rsidRPr="00301BE2">
          <w:rPr>
            <w:rStyle w:val="Hyperlink"/>
            <w:noProof/>
          </w:rPr>
          <w:t xml:space="preserve">Figure 12. </w:t>
        </w:r>
        <w:r w:rsidR="00E6043D" w:rsidRPr="00301BE2">
          <w:rPr>
            <w:rStyle w:val="Hyperlink"/>
            <w:i/>
            <w:noProof/>
          </w:rPr>
          <w:t>Long-term GBR average seagrass abundance score (all sites and seasons pooled irrespective of NRM region) (</w:t>
        </w:r>
        <w:r w:rsidR="00E6043D" w:rsidRPr="00301BE2">
          <w:rPr>
            <w:rStyle w:val="Hyperlink"/>
            <w:i/>
            <w:noProof/>
          </w:rPr>
          <w:sym w:font="Symbol" w:char="F0B1"/>
        </w:r>
        <w:r w:rsidR="00E6043D" w:rsidRPr="00301BE2">
          <w:rPr>
            <w:rStyle w:val="Hyperlink"/>
            <w:i/>
            <w:noProof/>
          </w:rPr>
          <w:t>Standard Error) for each monitoring period from 1999 to 2015.</w:t>
        </w:r>
        <w:r w:rsidR="00E6043D">
          <w:rPr>
            <w:noProof/>
            <w:webHidden/>
          </w:rPr>
          <w:tab/>
        </w:r>
        <w:r w:rsidR="00E6043D">
          <w:rPr>
            <w:noProof/>
            <w:webHidden/>
          </w:rPr>
          <w:fldChar w:fldCharType="begin"/>
        </w:r>
        <w:r w:rsidR="00E6043D">
          <w:rPr>
            <w:noProof/>
            <w:webHidden/>
          </w:rPr>
          <w:instrText xml:space="preserve"> PAGEREF _Toc462684852 \h </w:instrText>
        </w:r>
        <w:r w:rsidR="00E6043D">
          <w:rPr>
            <w:noProof/>
            <w:webHidden/>
          </w:rPr>
        </w:r>
        <w:r w:rsidR="00E6043D">
          <w:rPr>
            <w:noProof/>
            <w:webHidden/>
          </w:rPr>
          <w:fldChar w:fldCharType="separate"/>
        </w:r>
        <w:r w:rsidR="00E6043D">
          <w:rPr>
            <w:noProof/>
            <w:webHidden/>
          </w:rPr>
          <w:t>29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3" w:history="1">
        <w:r w:rsidR="00E6043D" w:rsidRPr="00301BE2">
          <w:rPr>
            <w:rStyle w:val="Hyperlink"/>
            <w:noProof/>
          </w:rPr>
          <w:t xml:space="preserve">Figure 13. </w:t>
        </w:r>
        <w:r w:rsidR="00E6043D" w:rsidRPr="00301BE2">
          <w:rPr>
            <w:rStyle w:val="Hyperlink"/>
            <w:i/>
            <w:noProof/>
          </w:rPr>
          <w:t>Regional report card scores for seagrass abundance over the life of the MMP</w:t>
        </w:r>
        <w:r w:rsidR="00E6043D">
          <w:rPr>
            <w:noProof/>
            <w:webHidden/>
          </w:rPr>
          <w:tab/>
        </w:r>
        <w:r w:rsidR="00E6043D">
          <w:rPr>
            <w:noProof/>
            <w:webHidden/>
          </w:rPr>
          <w:fldChar w:fldCharType="begin"/>
        </w:r>
        <w:r w:rsidR="00E6043D">
          <w:rPr>
            <w:noProof/>
            <w:webHidden/>
          </w:rPr>
          <w:instrText xml:space="preserve"> PAGEREF _Toc462684853 \h </w:instrText>
        </w:r>
        <w:r w:rsidR="00E6043D">
          <w:rPr>
            <w:noProof/>
            <w:webHidden/>
          </w:rPr>
        </w:r>
        <w:r w:rsidR="00E6043D">
          <w:rPr>
            <w:noProof/>
            <w:webHidden/>
          </w:rPr>
          <w:fldChar w:fldCharType="separate"/>
        </w:r>
        <w:r w:rsidR="00E6043D">
          <w:rPr>
            <w:noProof/>
            <w:webHidden/>
          </w:rPr>
          <w:t>29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4" w:history="1">
        <w:r w:rsidR="00E6043D" w:rsidRPr="00301BE2">
          <w:rPr>
            <w:rStyle w:val="Hyperlink"/>
            <w:noProof/>
          </w:rPr>
          <w:t>Figure 14. Seagrass percent cover measures per quadrat from meadows monitored from July 1999 to July 2015 (sites and habitats pooled).</w:t>
        </w:r>
        <w:r w:rsidR="00E6043D">
          <w:rPr>
            <w:noProof/>
            <w:webHidden/>
          </w:rPr>
          <w:tab/>
        </w:r>
        <w:r w:rsidR="00E6043D">
          <w:rPr>
            <w:noProof/>
            <w:webHidden/>
          </w:rPr>
          <w:fldChar w:fldCharType="begin"/>
        </w:r>
        <w:r w:rsidR="00E6043D">
          <w:rPr>
            <w:noProof/>
            <w:webHidden/>
          </w:rPr>
          <w:instrText xml:space="preserve"> PAGEREF _Toc462684854 \h </w:instrText>
        </w:r>
        <w:r w:rsidR="00E6043D">
          <w:rPr>
            <w:noProof/>
            <w:webHidden/>
          </w:rPr>
        </w:r>
        <w:r w:rsidR="00E6043D">
          <w:rPr>
            <w:noProof/>
            <w:webHidden/>
          </w:rPr>
          <w:fldChar w:fldCharType="separate"/>
        </w:r>
        <w:r w:rsidR="00E6043D">
          <w:rPr>
            <w:noProof/>
            <w:webHidden/>
          </w:rPr>
          <w:t>30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5" w:history="1">
        <w:r w:rsidR="00E6043D" w:rsidRPr="00301BE2">
          <w:rPr>
            <w:rStyle w:val="Hyperlink"/>
            <w:noProof/>
          </w:rPr>
          <w:t xml:space="preserve">Figure 15. </w:t>
        </w:r>
        <w:r w:rsidR="00E6043D" w:rsidRPr="00301BE2">
          <w:rPr>
            <w:rStyle w:val="Hyperlink"/>
            <w:i/>
            <w:noProof/>
          </w:rPr>
          <w:t>Generalised trends in seagrass abundance for each habitat type (sites pooled) relative to the 95</w:t>
        </w:r>
        <w:r w:rsidR="00E6043D" w:rsidRPr="00301BE2">
          <w:rPr>
            <w:rStyle w:val="Hyperlink"/>
            <w:i/>
            <w:noProof/>
            <w:vertAlign w:val="superscript"/>
          </w:rPr>
          <w:t>th</w:t>
        </w:r>
        <w:r w:rsidR="00E6043D" w:rsidRPr="00301BE2">
          <w:rPr>
            <w:rStyle w:val="Hyperlink"/>
            <w:i/>
            <w:noProof/>
          </w:rPr>
          <w:t xml:space="preserve"> percentile</w:t>
        </w:r>
        <w:r w:rsidR="00E6043D">
          <w:rPr>
            <w:noProof/>
            <w:webHidden/>
          </w:rPr>
          <w:tab/>
        </w:r>
        <w:r w:rsidR="00E6043D">
          <w:rPr>
            <w:noProof/>
            <w:webHidden/>
          </w:rPr>
          <w:fldChar w:fldCharType="begin"/>
        </w:r>
        <w:r w:rsidR="00E6043D">
          <w:rPr>
            <w:noProof/>
            <w:webHidden/>
          </w:rPr>
          <w:instrText xml:space="preserve"> PAGEREF _Toc462684855 \h </w:instrText>
        </w:r>
        <w:r w:rsidR="00E6043D">
          <w:rPr>
            <w:noProof/>
            <w:webHidden/>
          </w:rPr>
        </w:r>
        <w:r w:rsidR="00E6043D">
          <w:rPr>
            <w:noProof/>
            <w:webHidden/>
          </w:rPr>
          <w:fldChar w:fldCharType="separate"/>
        </w:r>
        <w:r w:rsidR="00E6043D">
          <w:rPr>
            <w:noProof/>
            <w:webHidden/>
          </w:rPr>
          <w:t>31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6" w:history="1">
        <w:r w:rsidR="00E6043D" w:rsidRPr="00301BE2">
          <w:rPr>
            <w:rStyle w:val="Hyperlink"/>
            <w:noProof/>
          </w:rPr>
          <w:t xml:space="preserve">Figure 16. </w:t>
        </w:r>
        <w:r w:rsidR="00E6043D" w:rsidRPr="00301BE2">
          <w:rPr>
            <w:rStyle w:val="Hyperlink"/>
            <w:i/>
            <w:noProof/>
          </w:rPr>
          <w:t>Trends in seagrass abundance (% cover) for each habitat type across the GBR represented by a GAM plot.</w:t>
        </w:r>
        <w:r w:rsidR="00E6043D">
          <w:rPr>
            <w:noProof/>
            <w:webHidden/>
          </w:rPr>
          <w:tab/>
        </w:r>
        <w:r w:rsidR="00E6043D">
          <w:rPr>
            <w:noProof/>
            <w:webHidden/>
          </w:rPr>
          <w:fldChar w:fldCharType="begin"/>
        </w:r>
        <w:r w:rsidR="00E6043D">
          <w:rPr>
            <w:noProof/>
            <w:webHidden/>
          </w:rPr>
          <w:instrText xml:space="preserve"> PAGEREF _Toc462684856 \h </w:instrText>
        </w:r>
        <w:r w:rsidR="00E6043D">
          <w:rPr>
            <w:noProof/>
            <w:webHidden/>
          </w:rPr>
        </w:r>
        <w:r w:rsidR="00E6043D">
          <w:rPr>
            <w:noProof/>
            <w:webHidden/>
          </w:rPr>
          <w:fldChar w:fldCharType="separate"/>
        </w:r>
        <w:r w:rsidR="00E6043D">
          <w:rPr>
            <w:noProof/>
            <w:webHidden/>
          </w:rPr>
          <w:t>32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7" w:history="1">
        <w:r w:rsidR="00E6043D" w:rsidRPr="00301BE2">
          <w:rPr>
            <w:rStyle w:val="Hyperlink"/>
            <w:noProof/>
          </w:rPr>
          <w:t xml:space="preserve">Figure 17. </w:t>
        </w:r>
        <w:r w:rsidR="00E6043D" w:rsidRPr="00301BE2">
          <w:rPr>
            <w:rStyle w:val="Hyperlink"/>
            <w:i/>
            <w:noProof/>
          </w:rPr>
          <w:t xml:space="preserve">Proportion of total seagrass abundance composed of species displaying colonising traits (e.g. </w:t>
        </w:r>
        <w:r w:rsidR="00E6043D" w:rsidRPr="00301BE2">
          <w:rPr>
            <w:rStyle w:val="Hyperlink"/>
            <w:noProof/>
          </w:rPr>
          <w:t>Halophila ovalis</w:t>
        </w:r>
        <w:r w:rsidR="00E6043D" w:rsidRPr="00301BE2">
          <w:rPr>
            <w:rStyle w:val="Hyperlink"/>
            <w:i/>
            <w:noProof/>
          </w:rPr>
          <w:t>) in a) estuary intertidal, b) coastal intertidal, c) reef intertidal and d) reef subtidal habitats (sites pooled) for the GBR (regions pooled) each monitoring period</w:t>
        </w:r>
        <w:r w:rsidR="00E6043D">
          <w:rPr>
            <w:noProof/>
            <w:webHidden/>
          </w:rPr>
          <w:tab/>
        </w:r>
        <w:r w:rsidR="00E6043D">
          <w:rPr>
            <w:noProof/>
            <w:webHidden/>
          </w:rPr>
          <w:fldChar w:fldCharType="begin"/>
        </w:r>
        <w:r w:rsidR="00E6043D">
          <w:rPr>
            <w:noProof/>
            <w:webHidden/>
          </w:rPr>
          <w:instrText xml:space="preserve"> PAGEREF _Toc462684857 \h </w:instrText>
        </w:r>
        <w:r w:rsidR="00E6043D">
          <w:rPr>
            <w:noProof/>
            <w:webHidden/>
          </w:rPr>
        </w:r>
        <w:r w:rsidR="00E6043D">
          <w:rPr>
            <w:noProof/>
            <w:webHidden/>
          </w:rPr>
          <w:fldChar w:fldCharType="separate"/>
        </w:r>
        <w:r w:rsidR="00E6043D">
          <w:rPr>
            <w:noProof/>
            <w:webHidden/>
          </w:rPr>
          <w:t>32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8" w:history="1">
        <w:r w:rsidR="00E6043D" w:rsidRPr="00301BE2">
          <w:rPr>
            <w:rStyle w:val="Hyperlink"/>
            <w:noProof/>
          </w:rPr>
          <w:t xml:space="preserve">Figure 18. </w:t>
        </w:r>
        <w:r w:rsidR="00E6043D" w:rsidRPr="00301BE2">
          <w:rPr>
            <w:rStyle w:val="Hyperlink"/>
            <w:i/>
            <w:noProof/>
          </w:rPr>
          <w:t>Seagrass reproductive effort (number of reproductive structures produced by all seagrass species) during the late dry of each monitoring period, for a) estuary intertidal; b) coast intertidal; c) reef intertidal; d) reef subtidal.</w:t>
        </w:r>
        <w:r w:rsidR="00E6043D">
          <w:rPr>
            <w:noProof/>
            <w:webHidden/>
          </w:rPr>
          <w:tab/>
        </w:r>
        <w:r w:rsidR="00E6043D">
          <w:rPr>
            <w:noProof/>
            <w:webHidden/>
          </w:rPr>
          <w:fldChar w:fldCharType="begin"/>
        </w:r>
        <w:r w:rsidR="00E6043D">
          <w:rPr>
            <w:noProof/>
            <w:webHidden/>
          </w:rPr>
          <w:instrText xml:space="preserve"> PAGEREF _Toc462684858 \h </w:instrText>
        </w:r>
        <w:r w:rsidR="00E6043D">
          <w:rPr>
            <w:noProof/>
            <w:webHidden/>
          </w:rPr>
        </w:r>
        <w:r w:rsidR="00E6043D">
          <w:rPr>
            <w:noProof/>
            <w:webHidden/>
          </w:rPr>
          <w:fldChar w:fldCharType="separate"/>
        </w:r>
        <w:r w:rsidR="00E6043D">
          <w:rPr>
            <w:noProof/>
            <w:webHidden/>
          </w:rPr>
          <w:t>33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59" w:history="1">
        <w:r w:rsidR="00E6043D" w:rsidRPr="00301BE2">
          <w:rPr>
            <w:rStyle w:val="Hyperlink"/>
            <w:noProof/>
          </w:rPr>
          <w:t xml:space="preserve">Figure 19. </w:t>
        </w:r>
        <w:r w:rsidR="00E6043D" w:rsidRPr="00301BE2">
          <w:rPr>
            <w:rStyle w:val="Hyperlink"/>
            <w:i/>
            <w:noProof/>
          </w:rPr>
          <w:t>Regional report card scores for seagrass reproductive effort over the life of the MMP</w:t>
        </w:r>
        <w:r w:rsidR="00E6043D">
          <w:rPr>
            <w:noProof/>
            <w:webHidden/>
          </w:rPr>
          <w:tab/>
        </w:r>
        <w:r w:rsidR="00E6043D">
          <w:rPr>
            <w:noProof/>
            <w:webHidden/>
          </w:rPr>
          <w:fldChar w:fldCharType="begin"/>
        </w:r>
        <w:r w:rsidR="00E6043D">
          <w:rPr>
            <w:noProof/>
            <w:webHidden/>
          </w:rPr>
          <w:instrText xml:space="preserve"> PAGEREF _Toc462684859 \h </w:instrText>
        </w:r>
        <w:r w:rsidR="00E6043D">
          <w:rPr>
            <w:noProof/>
            <w:webHidden/>
          </w:rPr>
        </w:r>
        <w:r w:rsidR="00E6043D">
          <w:rPr>
            <w:noProof/>
            <w:webHidden/>
          </w:rPr>
          <w:fldChar w:fldCharType="separate"/>
        </w:r>
        <w:r w:rsidR="00E6043D">
          <w:rPr>
            <w:noProof/>
            <w:webHidden/>
          </w:rPr>
          <w:t>33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0" w:history="1">
        <w:r w:rsidR="00E6043D" w:rsidRPr="00301BE2">
          <w:rPr>
            <w:rStyle w:val="Hyperlink"/>
            <w:noProof/>
          </w:rPr>
          <w:t xml:space="preserve">Figure 20. </w:t>
        </w:r>
        <w:r w:rsidR="00E6043D" w:rsidRPr="00301BE2">
          <w:rPr>
            <w:rStyle w:val="Hyperlink"/>
            <w:i/>
            <w:noProof/>
          </w:rPr>
          <w:t>Average seeds banks (seeds per square metre of sediment surface, all sites and species pooled) in GBR seagrass habitats: a) estuary intertidal; b) coast intertidal; c) reef intertidal; d) reef subtidal.</w:t>
        </w:r>
        <w:r w:rsidR="00E6043D">
          <w:rPr>
            <w:noProof/>
            <w:webHidden/>
          </w:rPr>
          <w:tab/>
        </w:r>
        <w:r w:rsidR="00E6043D">
          <w:rPr>
            <w:noProof/>
            <w:webHidden/>
          </w:rPr>
          <w:fldChar w:fldCharType="begin"/>
        </w:r>
        <w:r w:rsidR="00E6043D">
          <w:rPr>
            <w:noProof/>
            <w:webHidden/>
          </w:rPr>
          <w:instrText xml:space="preserve"> PAGEREF _Toc462684860 \h </w:instrText>
        </w:r>
        <w:r w:rsidR="00E6043D">
          <w:rPr>
            <w:noProof/>
            <w:webHidden/>
          </w:rPr>
        </w:r>
        <w:r w:rsidR="00E6043D">
          <w:rPr>
            <w:noProof/>
            <w:webHidden/>
          </w:rPr>
          <w:fldChar w:fldCharType="separate"/>
        </w:r>
        <w:r w:rsidR="00E6043D">
          <w:rPr>
            <w:noProof/>
            <w:webHidden/>
          </w:rPr>
          <w:t>34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1" w:history="1">
        <w:r w:rsidR="00E6043D" w:rsidRPr="00301BE2">
          <w:rPr>
            <w:rStyle w:val="Hyperlink"/>
            <w:noProof/>
          </w:rPr>
          <w:t xml:space="preserve">Figure 21. </w:t>
        </w:r>
        <w:r w:rsidR="00E6043D" w:rsidRPr="00301BE2">
          <w:rPr>
            <w:rStyle w:val="Hyperlink"/>
            <w:i/>
            <w:noProof/>
          </w:rPr>
          <w:t>Median tissue nutrient concentrations (±Standard Error) in seagrass leaves for each habitat type (species pooled) over the entire monitoring program.</w:t>
        </w:r>
        <w:r w:rsidR="00E6043D">
          <w:rPr>
            <w:noProof/>
            <w:webHidden/>
          </w:rPr>
          <w:tab/>
        </w:r>
        <w:r w:rsidR="00E6043D">
          <w:rPr>
            <w:noProof/>
            <w:webHidden/>
          </w:rPr>
          <w:fldChar w:fldCharType="begin"/>
        </w:r>
        <w:r w:rsidR="00E6043D">
          <w:rPr>
            <w:noProof/>
            <w:webHidden/>
          </w:rPr>
          <w:instrText xml:space="preserve"> PAGEREF _Toc462684861 \h </w:instrText>
        </w:r>
        <w:r w:rsidR="00E6043D">
          <w:rPr>
            <w:noProof/>
            <w:webHidden/>
          </w:rPr>
        </w:r>
        <w:r w:rsidR="00E6043D">
          <w:rPr>
            <w:noProof/>
            <w:webHidden/>
          </w:rPr>
          <w:fldChar w:fldCharType="separate"/>
        </w:r>
        <w:r w:rsidR="00E6043D">
          <w:rPr>
            <w:noProof/>
            <w:webHidden/>
          </w:rPr>
          <w:t>35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2" w:history="1">
        <w:r w:rsidR="00E6043D" w:rsidRPr="00301BE2">
          <w:rPr>
            <w:rStyle w:val="Hyperlink"/>
            <w:noProof/>
          </w:rPr>
          <w:t xml:space="preserve">Figure 22. </w:t>
        </w:r>
        <w:r w:rsidR="00E6043D" w:rsidRPr="00301BE2">
          <w:rPr>
            <w:rStyle w:val="Hyperlink"/>
            <w:i/>
            <w:noProof/>
            <w:lang w:eastAsia="en-AU"/>
          </w:rPr>
          <w:t>Elemental ratios (atomic) of seagrass leaf tissue C:N for each habitat each year</w:t>
        </w:r>
        <w:r w:rsidR="00E6043D">
          <w:rPr>
            <w:noProof/>
            <w:webHidden/>
          </w:rPr>
          <w:tab/>
        </w:r>
        <w:r w:rsidR="00E6043D">
          <w:rPr>
            <w:noProof/>
            <w:webHidden/>
          </w:rPr>
          <w:fldChar w:fldCharType="begin"/>
        </w:r>
        <w:r w:rsidR="00E6043D">
          <w:rPr>
            <w:noProof/>
            <w:webHidden/>
          </w:rPr>
          <w:instrText xml:space="preserve"> PAGEREF _Toc462684862 \h </w:instrText>
        </w:r>
        <w:r w:rsidR="00E6043D">
          <w:rPr>
            <w:noProof/>
            <w:webHidden/>
          </w:rPr>
        </w:r>
        <w:r w:rsidR="00E6043D">
          <w:rPr>
            <w:noProof/>
            <w:webHidden/>
          </w:rPr>
          <w:fldChar w:fldCharType="separate"/>
        </w:r>
        <w:r w:rsidR="00E6043D">
          <w:rPr>
            <w:noProof/>
            <w:webHidden/>
          </w:rPr>
          <w:t>35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3" w:history="1">
        <w:r w:rsidR="00E6043D" w:rsidRPr="00301BE2">
          <w:rPr>
            <w:rStyle w:val="Hyperlink"/>
            <w:noProof/>
          </w:rPr>
          <w:t xml:space="preserve">Figure 23. </w:t>
        </w:r>
        <w:r w:rsidR="00E6043D" w:rsidRPr="00301BE2">
          <w:rPr>
            <w:rStyle w:val="Hyperlink"/>
            <w:i/>
            <w:noProof/>
          </w:rPr>
          <w:t>Seagrass leaf tissue δ</w:t>
        </w:r>
        <w:r w:rsidR="00E6043D" w:rsidRPr="00301BE2">
          <w:rPr>
            <w:rStyle w:val="Hyperlink"/>
            <w:i/>
            <w:noProof/>
            <w:vertAlign w:val="superscript"/>
          </w:rPr>
          <w:t>13</w:t>
        </w:r>
        <w:r w:rsidR="00E6043D" w:rsidRPr="00301BE2">
          <w:rPr>
            <w:rStyle w:val="Hyperlink"/>
            <w:i/>
            <w:noProof/>
          </w:rPr>
          <w:t>C</w:t>
        </w:r>
        <w:r w:rsidR="00E6043D" w:rsidRPr="00301BE2">
          <w:rPr>
            <w:rStyle w:val="Hyperlink"/>
            <w:i/>
            <w:noProof/>
            <w:lang w:val="en-US"/>
          </w:rPr>
          <w:t xml:space="preserve"> and </w:t>
        </w:r>
        <w:r w:rsidR="00E6043D" w:rsidRPr="00301BE2">
          <w:rPr>
            <w:rStyle w:val="Hyperlink"/>
            <w:i/>
            <w:noProof/>
          </w:rPr>
          <w:t>δ</w:t>
        </w:r>
        <w:r w:rsidR="00E6043D" w:rsidRPr="00301BE2">
          <w:rPr>
            <w:rStyle w:val="Hyperlink"/>
            <w:i/>
            <w:noProof/>
            <w:vertAlign w:val="superscript"/>
          </w:rPr>
          <w:t>15</w:t>
        </w:r>
        <w:r w:rsidR="00E6043D" w:rsidRPr="00301BE2">
          <w:rPr>
            <w:rStyle w:val="Hyperlink"/>
            <w:i/>
            <w:noProof/>
          </w:rPr>
          <w:t>N</w:t>
        </w:r>
        <w:r w:rsidR="00E6043D" w:rsidRPr="00301BE2">
          <w:rPr>
            <w:rStyle w:val="Hyperlink"/>
            <w:i/>
            <w:noProof/>
            <w:lang w:val="en-US"/>
          </w:rPr>
          <w:t xml:space="preserve"> concentrations from each GBR seagrass habitat (locations pooled) in the late dry from 2011 to 2014</w:t>
        </w:r>
        <w:r w:rsidR="00E6043D">
          <w:rPr>
            <w:noProof/>
            <w:webHidden/>
          </w:rPr>
          <w:tab/>
        </w:r>
        <w:r w:rsidR="00E6043D">
          <w:rPr>
            <w:noProof/>
            <w:webHidden/>
          </w:rPr>
          <w:fldChar w:fldCharType="begin"/>
        </w:r>
        <w:r w:rsidR="00E6043D">
          <w:rPr>
            <w:noProof/>
            <w:webHidden/>
          </w:rPr>
          <w:instrText xml:space="preserve"> PAGEREF _Toc462684863 \h </w:instrText>
        </w:r>
        <w:r w:rsidR="00E6043D">
          <w:rPr>
            <w:noProof/>
            <w:webHidden/>
          </w:rPr>
        </w:r>
        <w:r w:rsidR="00E6043D">
          <w:rPr>
            <w:noProof/>
            <w:webHidden/>
          </w:rPr>
          <w:fldChar w:fldCharType="separate"/>
        </w:r>
        <w:r w:rsidR="00E6043D">
          <w:rPr>
            <w:noProof/>
            <w:webHidden/>
          </w:rPr>
          <w:t>36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4" w:history="1">
        <w:r w:rsidR="00E6043D" w:rsidRPr="00301BE2">
          <w:rPr>
            <w:rStyle w:val="Hyperlink"/>
            <w:noProof/>
          </w:rPr>
          <w:t xml:space="preserve">Figure 24. </w:t>
        </w:r>
        <w:r w:rsidR="00E6043D" w:rsidRPr="00301BE2">
          <w:rPr>
            <w:rStyle w:val="Hyperlink"/>
            <w:i/>
            <w:noProof/>
            <w:lang w:eastAsia="en-AU"/>
          </w:rPr>
          <w:t>Elemental ratios (atomic) of seagrass leaf tissue C:P and N:P for each habitat each year</w:t>
        </w:r>
        <w:r w:rsidR="00E6043D">
          <w:rPr>
            <w:noProof/>
            <w:webHidden/>
          </w:rPr>
          <w:tab/>
        </w:r>
        <w:r w:rsidR="00E6043D">
          <w:rPr>
            <w:noProof/>
            <w:webHidden/>
          </w:rPr>
          <w:fldChar w:fldCharType="begin"/>
        </w:r>
        <w:r w:rsidR="00E6043D">
          <w:rPr>
            <w:noProof/>
            <w:webHidden/>
          </w:rPr>
          <w:instrText xml:space="preserve"> PAGEREF _Toc462684864 \h </w:instrText>
        </w:r>
        <w:r w:rsidR="00E6043D">
          <w:rPr>
            <w:noProof/>
            <w:webHidden/>
          </w:rPr>
        </w:r>
        <w:r w:rsidR="00E6043D">
          <w:rPr>
            <w:noProof/>
            <w:webHidden/>
          </w:rPr>
          <w:fldChar w:fldCharType="separate"/>
        </w:r>
        <w:r w:rsidR="00E6043D">
          <w:rPr>
            <w:noProof/>
            <w:webHidden/>
          </w:rPr>
          <w:t>36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5" w:history="1">
        <w:r w:rsidR="00E6043D" w:rsidRPr="00301BE2">
          <w:rPr>
            <w:rStyle w:val="Hyperlink"/>
            <w:noProof/>
          </w:rPr>
          <w:t xml:space="preserve">Figure 25. </w:t>
        </w:r>
        <w:r w:rsidR="00E6043D" w:rsidRPr="00301BE2">
          <w:rPr>
            <w:rStyle w:val="Hyperlink"/>
            <w:i/>
            <w:noProof/>
          </w:rPr>
          <w:t>Regional report card scores for seagrass leaf tissue nutrient status (C:N) over the life of the MMP</w:t>
        </w:r>
        <w:r w:rsidR="00E6043D">
          <w:rPr>
            <w:noProof/>
            <w:webHidden/>
          </w:rPr>
          <w:tab/>
        </w:r>
        <w:r w:rsidR="00E6043D">
          <w:rPr>
            <w:noProof/>
            <w:webHidden/>
          </w:rPr>
          <w:fldChar w:fldCharType="begin"/>
        </w:r>
        <w:r w:rsidR="00E6043D">
          <w:rPr>
            <w:noProof/>
            <w:webHidden/>
          </w:rPr>
          <w:instrText xml:space="preserve"> PAGEREF _Toc462684865 \h </w:instrText>
        </w:r>
        <w:r w:rsidR="00E6043D">
          <w:rPr>
            <w:noProof/>
            <w:webHidden/>
          </w:rPr>
        </w:r>
        <w:r w:rsidR="00E6043D">
          <w:rPr>
            <w:noProof/>
            <w:webHidden/>
          </w:rPr>
          <w:fldChar w:fldCharType="separate"/>
        </w:r>
        <w:r w:rsidR="00E6043D">
          <w:rPr>
            <w:noProof/>
            <w:webHidden/>
          </w:rPr>
          <w:t>37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6" w:history="1">
        <w:r w:rsidR="00E6043D" w:rsidRPr="00301BE2">
          <w:rPr>
            <w:rStyle w:val="Hyperlink"/>
            <w:noProof/>
          </w:rPr>
          <w:t xml:space="preserve">Figure 26. </w:t>
        </w:r>
        <w:r w:rsidR="00E6043D" w:rsidRPr="00301BE2">
          <w:rPr>
            <w:rStyle w:val="Hyperlink"/>
            <w:i/>
            <w:noProof/>
          </w:rPr>
          <w:t>Proportion of sediment composed of mud (grain size &lt;63µm) at GBR seagrass monitoring habitats from 1999-2015.</w:t>
        </w:r>
        <w:r w:rsidR="00E6043D">
          <w:rPr>
            <w:noProof/>
            <w:webHidden/>
          </w:rPr>
          <w:tab/>
        </w:r>
        <w:r w:rsidR="00E6043D">
          <w:rPr>
            <w:noProof/>
            <w:webHidden/>
          </w:rPr>
          <w:fldChar w:fldCharType="begin"/>
        </w:r>
        <w:r w:rsidR="00E6043D">
          <w:rPr>
            <w:noProof/>
            <w:webHidden/>
          </w:rPr>
          <w:instrText xml:space="preserve"> PAGEREF _Toc462684866 \h </w:instrText>
        </w:r>
        <w:r w:rsidR="00E6043D">
          <w:rPr>
            <w:noProof/>
            <w:webHidden/>
          </w:rPr>
        </w:r>
        <w:r w:rsidR="00E6043D">
          <w:rPr>
            <w:noProof/>
            <w:webHidden/>
          </w:rPr>
          <w:fldChar w:fldCharType="separate"/>
        </w:r>
        <w:r w:rsidR="00E6043D">
          <w:rPr>
            <w:noProof/>
            <w:webHidden/>
          </w:rPr>
          <w:t>38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7" w:history="1">
        <w:r w:rsidR="00E6043D" w:rsidRPr="00301BE2">
          <w:rPr>
            <w:rStyle w:val="Hyperlink"/>
            <w:noProof/>
          </w:rPr>
          <w:t xml:space="preserve">Figure 27. </w:t>
        </w:r>
        <w:r w:rsidR="00E6043D" w:rsidRPr="00301BE2">
          <w:rPr>
            <w:rStyle w:val="Hyperlink"/>
            <w:i/>
            <w:noProof/>
          </w:rPr>
          <w:t>Epiphyte abundance (% cover) relative to the long-term average for each GBR seagrass habitat</w:t>
        </w:r>
        <w:r w:rsidR="00E6043D">
          <w:rPr>
            <w:noProof/>
            <w:webHidden/>
          </w:rPr>
          <w:tab/>
        </w:r>
        <w:r w:rsidR="00E6043D">
          <w:rPr>
            <w:noProof/>
            <w:webHidden/>
          </w:rPr>
          <w:fldChar w:fldCharType="begin"/>
        </w:r>
        <w:r w:rsidR="00E6043D">
          <w:rPr>
            <w:noProof/>
            <w:webHidden/>
          </w:rPr>
          <w:instrText xml:space="preserve"> PAGEREF _Toc462684867 \h </w:instrText>
        </w:r>
        <w:r w:rsidR="00E6043D">
          <w:rPr>
            <w:noProof/>
            <w:webHidden/>
          </w:rPr>
        </w:r>
        <w:r w:rsidR="00E6043D">
          <w:rPr>
            <w:noProof/>
            <w:webHidden/>
          </w:rPr>
          <w:fldChar w:fldCharType="separate"/>
        </w:r>
        <w:r w:rsidR="00E6043D">
          <w:rPr>
            <w:noProof/>
            <w:webHidden/>
          </w:rPr>
          <w:t>38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8" w:history="1">
        <w:r w:rsidR="00E6043D" w:rsidRPr="00301BE2">
          <w:rPr>
            <w:rStyle w:val="Hyperlink"/>
            <w:noProof/>
          </w:rPr>
          <w:t xml:space="preserve">Figure 28. </w:t>
        </w:r>
        <w:r w:rsidR="00E6043D" w:rsidRPr="00301BE2">
          <w:rPr>
            <w:rStyle w:val="Hyperlink"/>
            <w:i/>
            <w:noProof/>
          </w:rPr>
          <w:t>Macroalgae abundance (% cover) relative to the long-term average for each inshore GBR seagrass habitat</w:t>
        </w:r>
        <w:r w:rsidR="00E6043D">
          <w:rPr>
            <w:noProof/>
            <w:webHidden/>
          </w:rPr>
          <w:tab/>
        </w:r>
        <w:r w:rsidR="00E6043D">
          <w:rPr>
            <w:noProof/>
            <w:webHidden/>
          </w:rPr>
          <w:fldChar w:fldCharType="begin"/>
        </w:r>
        <w:r w:rsidR="00E6043D">
          <w:rPr>
            <w:noProof/>
            <w:webHidden/>
          </w:rPr>
          <w:instrText xml:space="preserve"> PAGEREF _Toc462684868 \h </w:instrText>
        </w:r>
        <w:r w:rsidR="00E6043D">
          <w:rPr>
            <w:noProof/>
            <w:webHidden/>
          </w:rPr>
        </w:r>
        <w:r w:rsidR="00E6043D">
          <w:rPr>
            <w:noProof/>
            <w:webHidden/>
          </w:rPr>
          <w:fldChar w:fldCharType="separate"/>
        </w:r>
        <w:r w:rsidR="00E6043D">
          <w:rPr>
            <w:noProof/>
            <w:webHidden/>
          </w:rPr>
          <w:t>39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69" w:history="1">
        <w:r w:rsidR="00E6043D" w:rsidRPr="00301BE2">
          <w:rPr>
            <w:rStyle w:val="Hyperlink"/>
            <w:noProof/>
          </w:rPr>
          <w:t xml:space="preserve">Figure 29. </w:t>
        </w:r>
        <w:r w:rsidR="00E6043D" w:rsidRPr="00301BE2">
          <w:rPr>
            <w:rStyle w:val="Hyperlink"/>
            <w:i/>
            <w:noProof/>
          </w:rPr>
          <w:t>Report card of seagrass condition (indicators and index) for the Cape York NRM region</w:t>
        </w:r>
        <w:r w:rsidR="00E6043D">
          <w:rPr>
            <w:noProof/>
            <w:webHidden/>
          </w:rPr>
          <w:tab/>
        </w:r>
        <w:r w:rsidR="00E6043D">
          <w:rPr>
            <w:noProof/>
            <w:webHidden/>
          </w:rPr>
          <w:fldChar w:fldCharType="begin"/>
        </w:r>
        <w:r w:rsidR="00E6043D">
          <w:rPr>
            <w:noProof/>
            <w:webHidden/>
          </w:rPr>
          <w:instrText xml:space="preserve"> PAGEREF _Toc462684869 \h </w:instrText>
        </w:r>
        <w:r w:rsidR="00E6043D">
          <w:rPr>
            <w:noProof/>
            <w:webHidden/>
          </w:rPr>
        </w:r>
        <w:r w:rsidR="00E6043D">
          <w:rPr>
            <w:noProof/>
            <w:webHidden/>
          </w:rPr>
          <w:fldChar w:fldCharType="separate"/>
        </w:r>
        <w:r w:rsidR="00E6043D">
          <w:rPr>
            <w:noProof/>
            <w:webHidden/>
          </w:rPr>
          <w:t>40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0" w:history="1">
        <w:r w:rsidR="00E6043D" w:rsidRPr="00301BE2">
          <w:rPr>
            <w:rStyle w:val="Hyperlink"/>
            <w:noProof/>
          </w:rPr>
          <w:t xml:space="preserve">Figure 30.  </w:t>
        </w:r>
        <w:r w:rsidR="00E6043D" w:rsidRPr="00301BE2">
          <w:rPr>
            <w:rStyle w:val="Hyperlink"/>
            <w:i/>
            <w:noProof/>
          </w:rPr>
          <w:t>Frequency of exposure to plume water in the Cape York NRM, wet season (December 2014 – April 2015) composite.</w:t>
        </w:r>
        <w:r w:rsidR="00E6043D">
          <w:rPr>
            <w:noProof/>
            <w:webHidden/>
          </w:rPr>
          <w:tab/>
        </w:r>
        <w:r w:rsidR="00E6043D">
          <w:rPr>
            <w:noProof/>
            <w:webHidden/>
          </w:rPr>
          <w:fldChar w:fldCharType="begin"/>
        </w:r>
        <w:r w:rsidR="00E6043D">
          <w:rPr>
            <w:noProof/>
            <w:webHidden/>
          </w:rPr>
          <w:instrText xml:space="preserve"> PAGEREF _Toc462684870 \h </w:instrText>
        </w:r>
        <w:r w:rsidR="00E6043D">
          <w:rPr>
            <w:noProof/>
            <w:webHidden/>
          </w:rPr>
        </w:r>
        <w:r w:rsidR="00E6043D">
          <w:rPr>
            <w:noProof/>
            <w:webHidden/>
          </w:rPr>
          <w:fldChar w:fldCharType="separate"/>
        </w:r>
        <w:r w:rsidR="00E6043D">
          <w:rPr>
            <w:noProof/>
            <w:webHidden/>
          </w:rPr>
          <w:t>41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1" w:history="1">
        <w:r w:rsidR="00E6043D" w:rsidRPr="00301BE2">
          <w:rPr>
            <w:rStyle w:val="Hyperlink"/>
            <w:noProof/>
          </w:rPr>
          <w:t xml:space="preserve">Figure 31.  </w:t>
        </w:r>
        <w:r w:rsidR="00E6043D" w:rsidRPr="00301BE2">
          <w:rPr>
            <w:rStyle w:val="Hyperlink"/>
            <w:i/>
            <w:noProof/>
          </w:rPr>
          <w:t>Daily light (mean) at Cape York sites with 28-d rolling average from 2012 to 2015 (left) and GAM plots (right)</w:t>
        </w:r>
        <w:r w:rsidR="00E6043D">
          <w:rPr>
            <w:noProof/>
            <w:webHidden/>
          </w:rPr>
          <w:tab/>
        </w:r>
        <w:r w:rsidR="00E6043D">
          <w:rPr>
            <w:noProof/>
            <w:webHidden/>
          </w:rPr>
          <w:fldChar w:fldCharType="begin"/>
        </w:r>
        <w:r w:rsidR="00E6043D">
          <w:rPr>
            <w:noProof/>
            <w:webHidden/>
          </w:rPr>
          <w:instrText xml:space="preserve"> PAGEREF _Toc462684871 \h </w:instrText>
        </w:r>
        <w:r w:rsidR="00E6043D">
          <w:rPr>
            <w:noProof/>
            <w:webHidden/>
          </w:rPr>
        </w:r>
        <w:r w:rsidR="00E6043D">
          <w:rPr>
            <w:noProof/>
            <w:webHidden/>
          </w:rPr>
          <w:fldChar w:fldCharType="separate"/>
        </w:r>
        <w:r w:rsidR="00E6043D">
          <w:rPr>
            <w:noProof/>
            <w:webHidden/>
          </w:rPr>
          <w:t>42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2" w:history="1">
        <w:r w:rsidR="00E6043D" w:rsidRPr="00301BE2">
          <w:rPr>
            <w:rStyle w:val="Hyperlink"/>
            <w:noProof/>
            <w:lang w:val="en-GB"/>
          </w:rPr>
          <w:t xml:space="preserve">Figure 32. </w:t>
        </w:r>
        <w:r w:rsidR="00E6043D" w:rsidRPr="00301BE2">
          <w:rPr>
            <w:rStyle w:val="Hyperlink"/>
            <w:i/>
            <w:noProof/>
            <w:lang w:val="en-GB"/>
          </w:rPr>
          <w:t>Inshore within canopy sea temperature for intertidal seagrass habitats in the Cape York NRM region from April 2007 to June 2015</w:t>
        </w:r>
        <w:r w:rsidR="00E6043D">
          <w:rPr>
            <w:noProof/>
            <w:webHidden/>
          </w:rPr>
          <w:tab/>
        </w:r>
        <w:r w:rsidR="00E6043D">
          <w:rPr>
            <w:noProof/>
            <w:webHidden/>
          </w:rPr>
          <w:fldChar w:fldCharType="begin"/>
        </w:r>
        <w:r w:rsidR="00E6043D">
          <w:rPr>
            <w:noProof/>
            <w:webHidden/>
          </w:rPr>
          <w:instrText xml:space="preserve"> PAGEREF _Toc462684872 \h </w:instrText>
        </w:r>
        <w:r w:rsidR="00E6043D">
          <w:rPr>
            <w:noProof/>
            <w:webHidden/>
          </w:rPr>
        </w:r>
        <w:r w:rsidR="00E6043D">
          <w:rPr>
            <w:noProof/>
            <w:webHidden/>
          </w:rPr>
          <w:fldChar w:fldCharType="separate"/>
        </w:r>
        <w:r w:rsidR="00E6043D">
          <w:rPr>
            <w:noProof/>
            <w:webHidden/>
          </w:rPr>
          <w:t>42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3" w:history="1">
        <w:r w:rsidR="00E6043D" w:rsidRPr="00301BE2">
          <w:rPr>
            <w:rStyle w:val="Hyperlink"/>
            <w:noProof/>
          </w:rPr>
          <w:t xml:space="preserve">Figure 33. </w:t>
        </w:r>
        <w:r w:rsidR="00E6043D" w:rsidRPr="00301BE2">
          <w:rPr>
            <w:rStyle w:val="Hyperlink"/>
            <w:i/>
            <w:noProof/>
          </w:rPr>
          <w:t>Seagrass abundance (% cover ± Standard Error) at inshore intertidal reef habitats (replicate sites pooled) in the Cape York NRM.</w:t>
        </w:r>
        <w:r w:rsidR="00E6043D">
          <w:rPr>
            <w:noProof/>
            <w:webHidden/>
          </w:rPr>
          <w:tab/>
        </w:r>
        <w:r w:rsidR="00E6043D">
          <w:rPr>
            <w:noProof/>
            <w:webHidden/>
          </w:rPr>
          <w:fldChar w:fldCharType="begin"/>
        </w:r>
        <w:r w:rsidR="00E6043D">
          <w:rPr>
            <w:noProof/>
            <w:webHidden/>
          </w:rPr>
          <w:instrText xml:space="preserve"> PAGEREF _Toc462684873 \h </w:instrText>
        </w:r>
        <w:r w:rsidR="00E6043D">
          <w:rPr>
            <w:noProof/>
            <w:webHidden/>
          </w:rPr>
        </w:r>
        <w:r w:rsidR="00E6043D">
          <w:rPr>
            <w:noProof/>
            <w:webHidden/>
          </w:rPr>
          <w:fldChar w:fldCharType="separate"/>
        </w:r>
        <w:r w:rsidR="00E6043D">
          <w:rPr>
            <w:noProof/>
            <w:webHidden/>
          </w:rPr>
          <w:t>43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4" w:history="1">
        <w:r w:rsidR="00E6043D" w:rsidRPr="00301BE2">
          <w:rPr>
            <w:rStyle w:val="Hyperlink"/>
            <w:noProof/>
          </w:rPr>
          <w:t xml:space="preserve">Figure 34. </w:t>
        </w:r>
        <w:r w:rsidR="00E6043D" w:rsidRPr="00301BE2">
          <w:rPr>
            <w:rStyle w:val="Hyperlink"/>
            <w:i/>
            <w:noProof/>
          </w:rPr>
          <w:t>Seagrass abundance (% cover ± Standard Error) at inshore intertidal coastal habitats (sites pooled) in the Cape York NRM region.</w:t>
        </w:r>
        <w:r w:rsidR="00E6043D">
          <w:rPr>
            <w:noProof/>
            <w:webHidden/>
          </w:rPr>
          <w:tab/>
        </w:r>
        <w:r w:rsidR="00E6043D">
          <w:rPr>
            <w:noProof/>
            <w:webHidden/>
          </w:rPr>
          <w:fldChar w:fldCharType="begin"/>
        </w:r>
        <w:r w:rsidR="00E6043D">
          <w:rPr>
            <w:noProof/>
            <w:webHidden/>
          </w:rPr>
          <w:instrText xml:space="preserve"> PAGEREF _Toc462684874 \h </w:instrText>
        </w:r>
        <w:r w:rsidR="00E6043D">
          <w:rPr>
            <w:noProof/>
            <w:webHidden/>
          </w:rPr>
        </w:r>
        <w:r w:rsidR="00E6043D">
          <w:rPr>
            <w:noProof/>
            <w:webHidden/>
          </w:rPr>
          <w:fldChar w:fldCharType="separate"/>
        </w:r>
        <w:r w:rsidR="00E6043D">
          <w:rPr>
            <w:noProof/>
            <w:webHidden/>
          </w:rPr>
          <w:t>44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5" w:history="1">
        <w:r w:rsidR="00E6043D" w:rsidRPr="00301BE2">
          <w:rPr>
            <w:rStyle w:val="Hyperlink"/>
            <w:noProof/>
          </w:rPr>
          <w:t xml:space="preserve">Figure 35.  </w:t>
        </w:r>
        <w:r w:rsidR="00E6043D" w:rsidRPr="00301BE2">
          <w:rPr>
            <w:rStyle w:val="Hyperlink"/>
            <w:i/>
            <w:noProof/>
          </w:rPr>
          <w:t>Temporal trends in seagrass abundance for each location in the Cape York NRM region represented by a GAM plot.</w:t>
        </w:r>
        <w:r w:rsidR="00E6043D">
          <w:rPr>
            <w:noProof/>
            <w:webHidden/>
          </w:rPr>
          <w:tab/>
        </w:r>
        <w:r w:rsidR="00E6043D">
          <w:rPr>
            <w:noProof/>
            <w:webHidden/>
          </w:rPr>
          <w:fldChar w:fldCharType="begin"/>
        </w:r>
        <w:r w:rsidR="00E6043D">
          <w:rPr>
            <w:noProof/>
            <w:webHidden/>
          </w:rPr>
          <w:instrText xml:space="preserve"> PAGEREF _Toc462684875 \h </w:instrText>
        </w:r>
        <w:r w:rsidR="00E6043D">
          <w:rPr>
            <w:noProof/>
            <w:webHidden/>
          </w:rPr>
        </w:r>
        <w:r w:rsidR="00E6043D">
          <w:rPr>
            <w:noProof/>
            <w:webHidden/>
          </w:rPr>
          <w:fldChar w:fldCharType="separate"/>
        </w:r>
        <w:r w:rsidR="00E6043D">
          <w:rPr>
            <w:noProof/>
            <w:webHidden/>
          </w:rPr>
          <w:t>44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6" w:history="1">
        <w:r w:rsidR="00E6043D" w:rsidRPr="00301BE2">
          <w:rPr>
            <w:rStyle w:val="Hyperlink"/>
            <w:noProof/>
          </w:rPr>
          <w:t xml:space="preserve">Figure 36. </w:t>
        </w:r>
        <w:r w:rsidR="00E6043D" w:rsidRPr="00301BE2">
          <w:rPr>
            <w:rStyle w:val="Hyperlink"/>
            <w:i/>
            <w:noProof/>
          </w:rPr>
          <w:t xml:space="preserve">Proportion of seagrass abundance composed of </w:t>
        </w:r>
        <w:r w:rsidR="00E6043D" w:rsidRPr="00301BE2">
          <w:rPr>
            <w:rStyle w:val="Hyperlink"/>
            <w:i/>
            <w:noProof/>
            <w:lang w:val="en-GB"/>
          </w:rPr>
          <w:t xml:space="preserve">species displaying </w:t>
        </w:r>
        <w:r w:rsidR="00E6043D" w:rsidRPr="00301BE2">
          <w:rPr>
            <w:rStyle w:val="Hyperlink"/>
            <w:i/>
            <w:noProof/>
          </w:rPr>
          <w:t>colonising</w:t>
        </w:r>
        <w:r w:rsidR="00E6043D" w:rsidRPr="00301BE2">
          <w:rPr>
            <w:rStyle w:val="Hyperlink"/>
            <w:i/>
            <w:noProof/>
            <w:lang w:val="en-GB"/>
          </w:rPr>
          <w:t xml:space="preserve"> traits at inshore habitats in the Cape York region</w:t>
        </w:r>
        <w:r w:rsidR="00E6043D" w:rsidRPr="00301BE2">
          <w:rPr>
            <w:rStyle w:val="Hyperlink"/>
            <w:i/>
            <w:noProof/>
          </w:rPr>
          <w:t>.</w:t>
        </w:r>
        <w:r w:rsidR="00E6043D">
          <w:rPr>
            <w:noProof/>
            <w:webHidden/>
          </w:rPr>
          <w:tab/>
        </w:r>
        <w:r w:rsidR="00E6043D">
          <w:rPr>
            <w:noProof/>
            <w:webHidden/>
          </w:rPr>
          <w:fldChar w:fldCharType="begin"/>
        </w:r>
        <w:r w:rsidR="00E6043D">
          <w:rPr>
            <w:noProof/>
            <w:webHidden/>
          </w:rPr>
          <w:instrText xml:space="preserve"> PAGEREF _Toc462684876 \h </w:instrText>
        </w:r>
        <w:r w:rsidR="00E6043D">
          <w:rPr>
            <w:noProof/>
            <w:webHidden/>
          </w:rPr>
        </w:r>
        <w:r w:rsidR="00E6043D">
          <w:rPr>
            <w:noProof/>
            <w:webHidden/>
          </w:rPr>
          <w:fldChar w:fldCharType="separate"/>
        </w:r>
        <w:r w:rsidR="00E6043D">
          <w:rPr>
            <w:noProof/>
            <w:webHidden/>
          </w:rPr>
          <w:t>45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7" w:history="1">
        <w:r w:rsidR="00E6043D" w:rsidRPr="00301BE2">
          <w:rPr>
            <w:rStyle w:val="Hyperlink"/>
            <w:noProof/>
          </w:rPr>
          <w:t xml:space="preserve">Figure 37. </w:t>
        </w:r>
        <w:r w:rsidR="00E6043D" w:rsidRPr="00301BE2">
          <w:rPr>
            <w:rStyle w:val="Hyperlink"/>
            <w:i/>
            <w:noProof/>
          </w:rPr>
          <w:t>Change in spatial extent of seagrass meadows within a 100m radius of monitoring sites for each habitat and monitoring period across the eastern Cape York NRM region.</w:t>
        </w:r>
        <w:r w:rsidR="00E6043D">
          <w:rPr>
            <w:noProof/>
            <w:webHidden/>
          </w:rPr>
          <w:tab/>
        </w:r>
        <w:r w:rsidR="00E6043D">
          <w:rPr>
            <w:noProof/>
            <w:webHidden/>
          </w:rPr>
          <w:fldChar w:fldCharType="begin"/>
        </w:r>
        <w:r w:rsidR="00E6043D">
          <w:rPr>
            <w:noProof/>
            <w:webHidden/>
          </w:rPr>
          <w:instrText xml:space="preserve"> PAGEREF _Toc462684877 \h </w:instrText>
        </w:r>
        <w:r w:rsidR="00E6043D">
          <w:rPr>
            <w:noProof/>
            <w:webHidden/>
          </w:rPr>
        </w:r>
        <w:r w:rsidR="00E6043D">
          <w:rPr>
            <w:noProof/>
            <w:webHidden/>
          </w:rPr>
          <w:fldChar w:fldCharType="separate"/>
        </w:r>
        <w:r w:rsidR="00E6043D">
          <w:rPr>
            <w:noProof/>
            <w:webHidden/>
          </w:rPr>
          <w:t>45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8" w:history="1">
        <w:r w:rsidR="00E6043D" w:rsidRPr="00301BE2">
          <w:rPr>
            <w:rStyle w:val="Hyperlink"/>
            <w:noProof/>
          </w:rPr>
          <w:t xml:space="preserve">Figure 38. </w:t>
        </w:r>
        <w:r w:rsidR="00E6043D" w:rsidRPr="00301BE2">
          <w:rPr>
            <w:rStyle w:val="Hyperlink"/>
            <w:i/>
            <w:noProof/>
          </w:rPr>
          <w:t>Seed banks and reproductive effort at inshore intertidal coastal (a) and reef (b) habitats in the Cape York region</w:t>
        </w:r>
        <w:r w:rsidR="00E6043D">
          <w:rPr>
            <w:noProof/>
            <w:webHidden/>
          </w:rPr>
          <w:tab/>
        </w:r>
        <w:r w:rsidR="00E6043D">
          <w:rPr>
            <w:noProof/>
            <w:webHidden/>
          </w:rPr>
          <w:fldChar w:fldCharType="begin"/>
        </w:r>
        <w:r w:rsidR="00E6043D">
          <w:rPr>
            <w:noProof/>
            <w:webHidden/>
          </w:rPr>
          <w:instrText xml:space="preserve"> PAGEREF _Toc462684878 \h </w:instrText>
        </w:r>
        <w:r w:rsidR="00E6043D">
          <w:rPr>
            <w:noProof/>
            <w:webHidden/>
          </w:rPr>
        </w:r>
        <w:r w:rsidR="00E6043D">
          <w:rPr>
            <w:noProof/>
            <w:webHidden/>
          </w:rPr>
          <w:fldChar w:fldCharType="separate"/>
        </w:r>
        <w:r w:rsidR="00E6043D">
          <w:rPr>
            <w:noProof/>
            <w:webHidden/>
          </w:rPr>
          <w:t>46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79" w:history="1">
        <w:r w:rsidR="00E6043D" w:rsidRPr="00301BE2">
          <w:rPr>
            <w:rStyle w:val="Hyperlink"/>
            <w:noProof/>
          </w:rPr>
          <w:t xml:space="preserve">Figure 39. </w:t>
        </w:r>
        <w:r w:rsidR="00E6043D" w:rsidRPr="00301BE2">
          <w:rPr>
            <w:rStyle w:val="Hyperlink"/>
            <w:i/>
            <w:noProof/>
            <w:lang w:eastAsia="en-AU"/>
          </w:rPr>
          <w:t xml:space="preserve">Elemental ratios (atomic) of seagrass leaf tissue C:N for </w:t>
        </w:r>
        <w:r w:rsidR="00E6043D" w:rsidRPr="00301BE2">
          <w:rPr>
            <w:rStyle w:val="Hyperlink"/>
            <w:i/>
            <w:noProof/>
          </w:rPr>
          <w:t>the foundation species in inshore intertidal coastal (a) and reef (b) habitats in the Cape York region from 2005 to 2014</w:t>
        </w:r>
        <w:r w:rsidR="00E6043D">
          <w:rPr>
            <w:noProof/>
            <w:webHidden/>
          </w:rPr>
          <w:tab/>
        </w:r>
        <w:r w:rsidR="00E6043D">
          <w:rPr>
            <w:noProof/>
            <w:webHidden/>
          </w:rPr>
          <w:fldChar w:fldCharType="begin"/>
        </w:r>
        <w:r w:rsidR="00E6043D">
          <w:rPr>
            <w:noProof/>
            <w:webHidden/>
          </w:rPr>
          <w:instrText xml:space="preserve"> PAGEREF _Toc462684879 \h </w:instrText>
        </w:r>
        <w:r w:rsidR="00E6043D">
          <w:rPr>
            <w:noProof/>
            <w:webHidden/>
          </w:rPr>
        </w:r>
        <w:r w:rsidR="00E6043D">
          <w:rPr>
            <w:noProof/>
            <w:webHidden/>
          </w:rPr>
          <w:fldChar w:fldCharType="separate"/>
        </w:r>
        <w:r w:rsidR="00E6043D">
          <w:rPr>
            <w:noProof/>
            <w:webHidden/>
          </w:rPr>
          <w:t>46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0" w:history="1">
        <w:r w:rsidR="00E6043D" w:rsidRPr="00301BE2">
          <w:rPr>
            <w:rStyle w:val="Hyperlink"/>
            <w:noProof/>
          </w:rPr>
          <w:t xml:space="preserve">Figure 40. </w:t>
        </w:r>
        <w:r w:rsidR="00E6043D" w:rsidRPr="00301BE2">
          <w:rPr>
            <w:rStyle w:val="Hyperlink"/>
            <w:i/>
            <w:noProof/>
            <w:lang w:eastAsia="en-AU"/>
          </w:rPr>
          <w:t xml:space="preserve">Elemental ratios (atomic) of seagrass leaf tissue N:P and C:P </w:t>
        </w:r>
        <w:r w:rsidR="00E6043D" w:rsidRPr="00301BE2">
          <w:rPr>
            <w:rStyle w:val="Hyperlink"/>
            <w:i/>
            <w:noProof/>
          </w:rPr>
          <w:t>for the foundation species in inshore intertidal reef (a, c) and coastal (b, d) habitats in the Cape York region from 2005 to 2014</w:t>
        </w:r>
        <w:r w:rsidR="00E6043D">
          <w:rPr>
            <w:noProof/>
            <w:webHidden/>
          </w:rPr>
          <w:tab/>
        </w:r>
        <w:r w:rsidR="00E6043D">
          <w:rPr>
            <w:noProof/>
            <w:webHidden/>
          </w:rPr>
          <w:fldChar w:fldCharType="begin"/>
        </w:r>
        <w:r w:rsidR="00E6043D">
          <w:rPr>
            <w:noProof/>
            <w:webHidden/>
          </w:rPr>
          <w:instrText xml:space="preserve"> PAGEREF _Toc462684880 \h </w:instrText>
        </w:r>
        <w:r w:rsidR="00E6043D">
          <w:rPr>
            <w:noProof/>
            <w:webHidden/>
          </w:rPr>
        </w:r>
        <w:r w:rsidR="00E6043D">
          <w:rPr>
            <w:noProof/>
            <w:webHidden/>
          </w:rPr>
          <w:fldChar w:fldCharType="separate"/>
        </w:r>
        <w:r w:rsidR="00E6043D">
          <w:rPr>
            <w:noProof/>
            <w:webHidden/>
          </w:rPr>
          <w:t>47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1" w:history="1">
        <w:r w:rsidR="00E6043D" w:rsidRPr="00301BE2">
          <w:rPr>
            <w:rStyle w:val="Hyperlink"/>
            <w:noProof/>
          </w:rPr>
          <w:t xml:space="preserve">Figure 41. </w:t>
        </w:r>
        <w:r w:rsidR="00E6043D" w:rsidRPr="00301BE2">
          <w:rPr>
            <w:rStyle w:val="Hyperlink"/>
            <w:i/>
            <w:noProof/>
          </w:rPr>
          <w:t>Long-term trend in mean epiphyte and macroalgae abundance (% cover) at monitoring sites in the Cape York region, relative to the long-term average for each inshore GBR intertidal seagrass habitat</w:t>
        </w:r>
        <w:r w:rsidR="00E6043D">
          <w:rPr>
            <w:noProof/>
            <w:webHidden/>
          </w:rPr>
          <w:tab/>
        </w:r>
        <w:r w:rsidR="00E6043D">
          <w:rPr>
            <w:noProof/>
            <w:webHidden/>
          </w:rPr>
          <w:fldChar w:fldCharType="begin"/>
        </w:r>
        <w:r w:rsidR="00E6043D">
          <w:rPr>
            <w:noProof/>
            <w:webHidden/>
          </w:rPr>
          <w:instrText xml:space="preserve"> PAGEREF _Toc462684881 \h </w:instrText>
        </w:r>
        <w:r w:rsidR="00E6043D">
          <w:rPr>
            <w:noProof/>
            <w:webHidden/>
          </w:rPr>
        </w:r>
        <w:r w:rsidR="00E6043D">
          <w:rPr>
            <w:noProof/>
            <w:webHidden/>
          </w:rPr>
          <w:fldChar w:fldCharType="separate"/>
        </w:r>
        <w:r w:rsidR="00E6043D">
          <w:rPr>
            <w:noProof/>
            <w:webHidden/>
          </w:rPr>
          <w:t>48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2" w:history="1">
        <w:r w:rsidR="00E6043D" w:rsidRPr="00301BE2">
          <w:rPr>
            <w:rStyle w:val="Hyperlink"/>
            <w:noProof/>
          </w:rPr>
          <w:t>Figure 42. Report card of seagrass status indicators and index for the Wet Tropics NRM region</w:t>
        </w:r>
        <w:r w:rsidR="00E6043D">
          <w:rPr>
            <w:noProof/>
            <w:webHidden/>
          </w:rPr>
          <w:tab/>
        </w:r>
        <w:r w:rsidR="00E6043D">
          <w:rPr>
            <w:noProof/>
            <w:webHidden/>
          </w:rPr>
          <w:fldChar w:fldCharType="begin"/>
        </w:r>
        <w:r w:rsidR="00E6043D">
          <w:rPr>
            <w:noProof/>
            <w:webHidden/>
          </w:rPr>
          <w:instrText xml:space="preserve"> PAGEREF _Toc462684882 \h </w:instrText>
        </w:r>
        <w:r w:rsidR="00E6043D">
          <w:rPr>
            <w:noProof/>
            <w:webHidden/>
          </w:rPr>
        </w:r>
        <w:r w:rsidR="00E6043D">
          <w:rPr>
            <w:noProof/>
            <w:webHidden/>
          </w:rPr>
          <w:fldChar w:fldCharType="separate"/>
        </w:r>
        <w:r w:rsidR="00E6043D">
          <w:rPr>
            <w:noProof/>
            <w:webHidden/>
          </w:rPr>
          <w:t>49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3" w:history="1">
        <w:r w:rsidR="00E6043D" w:rsidRPr="00301BE2">
          <w:rPr>
            <w:rStyle w:val="Hyperlink"/>
            <w:noProof/>
          </w:rPr>
          <w:t xml:space="preserve">Figure 43.  </w:t>
        </w:r>
        <w:r w:rsidR="00E6043D" w:rsidRPr="00301BE2">
          <w:rPr>
            <w:rStyle w:val="Hyperlink"/>
            <w:i/>
            <w:noProof/>
          </w:rPr>
          <w:t>Frequency of exposure to plume water in the Wet Tropics NRM, wet season (22 weeks from December 2014 – April 2015) composite.</w:t>
        </w:r>
        <w:r w:rsidR="00E6043D">
          <w:rPr>
            <w:noProof/>
            <w:webHidden/>
          </w:rPr>
          <w:tab/>
        </w:r>
        <w:r w:rsidR="00E6043D">
          <w:rPr>
            <w:noProof/>
            <w:webHidden/>
          </w:rPr>
          <w:fldChar w:fldCharType="begin"/>
        </w:r>
        <w:r w:rsidR="00E6043D">
          <w:rPr>
            <w:noProof/>
            <w:webHidden/>
          </w:rPr>
          <w:instrText xml:space="preserve"> PAGEREF _Toc462684883 \h </w:instrText>
        </w:r>
        <w:r w:rsidR="00E6043D">
          <w:rPr>
            <w:noProof/>
            <w:webHidden/>
          </w:rPr>
        </w:r>
        <w:r w:rsidR="00E6043D">
          <w:rPr>
            <w:noProof/>
            <w:webHidden/>
          </w:rPr>
          <w:fldChar w:fldCharType="separate"/>
        </w:r>
        <w:r w:rsidR="00E6043D">
          <w:rPr>
            <w:noProof/>
            <w:webHidden/>
          </w:rPr>
          <w:t>50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4" w:history="1">
        <w:r w:rsidR="00E6043D" w:rsidRPr="00301BE2">
          <w:rPr>
            <w:rStyle w:val="Hyperlink"/>
            <w:noProof/>
          </w:rPr>
          <w:t xml:space="preserve">Figure 44.  </w:t>
        </w:r>
        <w:r w:rsidR="00E6043D" w:rsidRPr="00301BE2">
          <w:rPr>
            <w:rStyle w:val="Hyperlink"/>
            <w:i/>
            <w:noProof/>
          </w:rPr>
          <w:t>Mean daily light at Wet Tropics sites with 28-d rolling average from 2008 to 2015 (left) and GAM plots (right)</w:t>
        </w:r>
        <w:r w:rsidR="00E6043D">
          <w:rPr>
            <w:noProof/>
            <w:webHidden/>
          </w:rPr>
          <w:tab/>
        </w:r>
        <w:r w:rsidR="00E6043D">
          <w:rPr>
            <w:noProof/>
            <w:webHidden/>
          </w:rPr>
          <w:fldChar w:fldCharType="begin"/>
        </w:r>
        <w:r w:rsidR="00E6043D">
          <w:rPr>
            <w:noProof/>
            <w:webHidden/>
          </w:rPr>
          <w:instrText xml:space="preserve"> PAGEREF _Toc462684884 \h </w:instrText>
        </w:r>
        <w:r w:rsidR="00E6043D">
          <w:rPr>
            <w:noProof/>
            <w:webHidden/>
          </w:rPr>
        </w:r>
        <w:r w:rsidR="00E6043D">
          <w:rPr>
            <w:noProof/>
            <w:webHidden/>
          </w:rPr>
          <w:fldChar w:fldCharType="separate"/>
        </w:r>
        <w:r w:rsidR="00E6043D">
          <w:rPr>
            <w:noProof/>
            <w:webHidden/>
          </w:rPr>
          <w:t>51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5" w:history="1">
        <w:r w:rsidR="00E6043D" w:rsidRPr="00301BE2">
          <w:rPr>
            <w:rStyle w:val="Hyperlink"/>
            <w:noProof/>
            <w:lang w:val="en-GB"/>
          </w:rPr>
          <w:t xml:space="preserve">Figure 45. </w:t>
        </w:r>
        <w:r w:rsidR="00E6043D" w:rsidRPr="00301BE2">
          <w:rPr>
            <w:rStyle w:val="Hyperlink"/>
            <w:i/>
            <w:noProof/>
            <w:lang w:val="en-GB"/>
          </w:rPr>
          <w:t>Inshore sea temperature for intertidal seagrass habitats in the Wet Tropics NRM region from August 2001 to June 2015</w:t>
        </w:r>
        <w:r w:rsidR="00E6043D">
          <w:rPr>
            <w:noProof/>
            <w:webHidden/>
          </w:rPr>
          <w:tab/>
        </w:r>
        <w:r w:rsidR="00E6043D">
          <w:rPr>
            <w:noProof/>
            <w:webHidden/>
          </w:rPr>
          <w:fldChar w:fldCharType="begin"/>
        </w:r>
        <w:r w:rsidR="00E6043D">
          <w:rPr>
            <w:noProof/>
            <w:webHidden/>
          </w:rPr>
          <w:instrText xml:space="preserve"> PAGEREF _Toc462684885 \h </w:instrText>
        </w:r>
        <w:r w:rsidR="00E6043D">
          <w:rPr>
            <w:noProof/>
            <w:webHidden/>
          </w:rPr>
        </w:r>
        <w:r w:rsidR="00E6043D">
          <w:rPr>
            <w:noProof/>
            <w:webHidden/>
          </w:rPr>
          <w:fldChar w:fldCharType="separate"/>
        </w:r>
        <w:r w:rsidR="00E6043D">
          <w:rPr>
            <w:noProof/>
            <w:webHidden/>
          </w:rPr>
          <w:t>51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6" w:history="1">
        <w:r w:rsidR="00E6043D" w:rsidRPr="00301BE2">
          <w:rPr>
            <w:rStyle w:val="Hyperlink"/>
            <w:noProof/>
            <w:lang w:val="en-GB"/>
          </w:rPr>
          <w:t xml:space="preserve">Figure 465. </w:t>
        </w:r>
        <w:r w:rsidR="00E6043D" w:rsidRPr="00301BE2">
          <w:rPr>
            <w:rStyle w:val="Hyperlink"/>
            <w:i/>
            <w:noProof/>
            <w:lang w:val="en-GB"/>
          </w:rPr>
          <w:t>Inshore sea temperature for subtidal seagrass habitats in the Wet Tropics NRM region from October 2008 to June 2015</w:t>
        </w:r>
        <w:r w:rsidR="00E6043D">
          <w:rPr>
            <w:noProof/>
            <w:webHidden/>
          </w:rPr>
          <w:tab/>
        </w:r>
        <w:r w:rsidR="00E6043D">
          <w:rPr>
            <w:noProof/>
            <w:webHidden/>
          </w:rPr>
          <w:fldChar w:fldCharType="begin"/>
        </w:r>
        <w:r w:rsidR="00E6043D">
          <w:rPr>
            <w:noProof/>
            <w:webHidden/>
          </w:rPr>
          <w:instrText xml:space="preserve"> PAGEREF _Toc462684886 \h </w:instrText>
        </w:r>
        <w:r w:rsidR="00E6043D">
          <w:rPr>
            <w:noProof/>
            <w:webHidden/>
          </w:rPr>
        </w:r>
        <w:r w:rsidR="00E6043D">
          <w:rPr>
            <w:noProof/>
            <w:webHidden/>
          </w:rPr>
          <w:fldChar w:fldCharType="separate"/>
        </w:r>
        <w:r w:rsidR="00E6043D">
          <w:rPr>
            <w:noProof/>
            <w:webHidden/>
          </w:rPr>
          <w:t>52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7" w:history="1">
        <w:r w:rsidR="00E6043D" w:rsidRPr="00301BE2">
          <w:rPr>
            <w:rStyle w:val="Hyperlink"/>
            <w:noProof/>
          </w:rPr>
          <w:t xml:space="preserve">Figure 47. </w:t>
        </w:r>
        <w:r w:rsidR="00E6043D" w:rsidRPr="00301BE2">
          <w:rPr>
            <w:rStyle w:val="Hyperlink"/>
            <w:i/>
            <w:noProof/>
          </w:rPr>
          <w:t>Changes in seagrass abundance (% cover ±Standard Error) at inshore intertidal coastal habitats in the Wet Tropics region, 2000 - 2015.</w:t>
        </w:r>
        <w:r w:rsidR="00E6043D">
          <w:rPr>
            <w:noProof/>
            <w:webHidden/>
          </w:rPr>
          <w:tab/>
        </w:r>
        <w:r w:rsidR="00E6043D">
          <w:rPr>
            <w:noProof/>
            <w:webHidden/>
          </w:rPr>
          <w:fldChar w:fldCharType="begin"/>
        </w:r>
        <w:r w:rsidR="00E6043D">
          <w:rPr>
            <w:noProof/>
            <w:webHidden/>
          </w:rPr>
          <w:instrText xml:space="preserve"> PAGEREF _Toc462684887 \h </w:instrText>
        </w:r>
        <w:r w:rsidR="00E6043D">
          <w:rPr>
            <w:noProof/>
            <w:webHidden/>
          </w:rPr>
        </w:r>
        <w:r w:rsidR="00E6043D">
          <w:rPr>
            <w:noProof/>
            <w:webHidden/>
          </w:rPr>
          <w:fldChar w:fldCharType="separate"/>
        </w:r>
        <w:r w:rsidR="00E6043D">
          <w:rPr>
            <w:noProof/>
            <w:webHidden/>
          </w:rPr>
          <w:t>52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8" w:history="1">
        <w:r w:rsidR="00E6043D" w:rsidRPr="00301BE2">
          <w:rPr>
            <w:rStyle w:val="Hyperlink"/>
            <w:noProof/>
          </w:rPr>
          <w:t>Figure 48.</w:t>
        </w:r>
        <w:r w:rsidR="00E6043D" w:rsidRPr="00301BE2">
          <w:rPr>
            <w:rStyle w:val="Hyperlink"/>
            <w:i/>
            <w:noProof/>
          </w:rPr>
          <w:t xml:space="preserve"> Changes in seagrass abundance (% cover ±Standard Error) for inshore intertidal and subtidal reef habitats (left and right respectively) in the Wet Tropics region, 2001 - 2015</w:t>
        </w:r>
        <w:r w:rsidR="00E6043D">
          <w:rPr>
            <w:noProof/>
            <w:webHidden/>
          </w:rPr>
          <w:tab/>
        </w:r>
        <w:r w:rsidR="00E6043D">
          <w:rPr>
            <w:noProof/>
            <w:webHidden/>
          </w:rPr>
          <w:fldChar w:fldCharType="begin"/>
        </w:r>
        <w:r w:rsidR="00E6043D">
          <w:rPr>
            <w:noProof/>
            <w:webHidden/>
          </w:rPr>
          <w:instrText xml:space="preserve"> PAGEREF _Toc462684888 \h </w:instrText>
        </w:r>
        <w:r w:rsidR="00E6043D">
          <w:rPr>
            <w:noProof/>
            <w:webHidden/>
          </w:rPr>
        </w:r>
        <w:r w:rsidR="00E6043D">
          <w:rPr>
            <w:noProof/>
            <w:webHidden/>
          </w:rPr>
          <w:fldChar w:fldCharType="separate"/>
        </w:r>
        <w:r w:rsidR="00E6043D">
          <w:rPr>
            <w:noProof/>
            <w:webHidden/>
          </w:rPr>
          <w:t>53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89" w:history="1">
        <w:r w:rsidR="00E6043D" w:rsidRPr="00301BE2">
          <w:rPr>
            <w:rStyle w:val="Hyperlink"/>
            <w:noProof/>
          </w:rPr>
          <w:t xml:space="preserve">Figure 49.  </w:t>
        </w:r>
        <w:r w:rsidR="00E6043D" w:rsidRPr="00301BE2">
          <w:rPr>
            <w:rStyle w:val="Hyperlink"/>
            <w:i/>
            <w:noProof/>
          </w:rPr>
          <w:t>Temporal trends in seagrass abundance for each monitoring location in the Wet Tropics region represented by a GAM plot, 2001-2015.</w:t>
        </w:r>
        <w:r w:rsidR="00E6043D">
          <w:rPr>
            <w:noProof/>
            <w:webHidden/>
          </w:rPr>
          <w:tab/>
        </w:r>
        <w:r w:rsidR="00E6043D">
          <w:rPr>
            <w:noProof/>
            <w:webHidden/>
          </w:rPr>
          <w:fldChar w:fldCharType="begin"/>
        </w:r>
        <w:r w:rsidR="00E6043D">
          <w:rPr>
            <w:noProof/>
            <w:webHidden/>
          </w:rPr>
          <w:instrText xml:space="preserve"> PAGEREF _Toc462684889 \h </w:instrText>
        </w:r>
        <w:r w:rsidR="00E6043D">
          <w:rPr>
            <w:noProof/>
            <w:webHidden/>
          </w:rPr>
        </w:r>
        <w:r w:rsidR="00E6043D">
          <w:rPr>
            <w:noProof/>
            <w:webHidden/>
          </w:rPr>
          <w:fldChar w:fldCharType="separate"/>
        </w:r>
        <w:r w:rsidR="00E6043D">
          <w:rPr>
            <w:noProof/>
            <w:webHidden/>
          </w:rPr>
          <w:t>54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0" w:history="1">
        <w:r w:rsidR="00E6043D" w:rsidRPr="00301BE2">
          <w:rPr>
            <w:rStyle w:val="Hyperlink"/>
            <w:noProof/>
          </w:rPr>
          <w:t xml:space="preserve">Figure 50. </w:t>
        </w:r>
        <w:r w:rsidR="00E6043D" w:rsidRPr="00301BE2">
          <w:rPr>
            <w:rStyle w:val="Hyperlink"/>
            <w:i/>
            <w:noProof/>
          </w:rPr>
          <w:t>Proportion of seagrass abundance composed of colonising species at inshore habitats in the Wet Tropics region, 2001 - 2015.</w:t>
        </w:r>
        <w:r w:rsidR="00E6043D">
          <w:rPr>
            <w:noProof/>
            <w:webHidden/>
          </w:rPr>
          <w:tab/>
        </w:r>
        <w:r w:rsidR="00E6043D">
          <w:rPr>
            <w:noProof/>
            <w:webHidden/>
          </w:rPr>
          <w:fldChar w:fldCharType="begin"/>
        </w:r>
        <w:r w:rsidR="00E6043D">
          <w:rPr>
            <w:noProof/>
            <w:webHidden/>
          </w:rPr>
          <w:instrText xml:space="preserve"> PAGEREF _Toc462684890 \h </w:instrText>
        </w:r>
        <w:r w:rsidR="00E6043D">
          <w:rPr>
            <w:noProof/>
            <w:webHidden/>
          </w:rPr>
        </w:r>
        <w:r w:rsidR="00E6043D">
          <w:rPr>
            <w:noProof/>
            <w:webHidden/>
          </w:rPr>
          <w:fldChar w:fldCharType="separate"/>
        </w:r>
        <w:r w:rsidR="00E6043D">
          <w:rPr>
            <w:noProof/>
            <w:webHidden/>
          </w:rPr>
          <w:t>54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1" w:history="1">
        <w:r w:rsidR="00E6043D" w:rsidRPr="00301BE2">
          <w:rPr>
            <w:rStyle w:val="Hyperlink"/>
            <w:noProof/>
          </w:rPr>
          <w:t xml:space="preserve">Figure 51. </w:t>
        </w:r>
        <w:r w:rsidR="00E6043D" w:rsidRPr="00301BE2">
          <w:rPr>
            <w:rStyle w:val="Hyperlink"/>
            <w:i/>
            <w:noProof/>
          </w:rPr>
          <w:t>Change in spatial extent of seagrass meadows within a 100m radius of monitoring sites for each habitat and monitoring period across the Wet Tropics region.</w:t>
        </w:r>
        <w:r w:rsidR="00E6043D">
          <w:rPr>
            <w:noProof/>
            <w:webHidden/>
          </w:rPr>
          <w:tab/>
        </w:r>
        <w:r w:rsidR="00E6043D">
          <w:rPr>
            <w:noProof/>
            <w:webHidden/>
          </w:rPr>
          <w:fldChar w:fldCharType="begin"/>
        </w:r>
        <w:r w:rsidR="00E6043D">
          <w:rPr>
            <w:noProof/>
            <w:webHidden/>
          </w:rPr>
          <w:instrText xml:space="preserve"> PAGEREF _Toc462684891 \h </w:instrText>
        </w:r>
        <w:r w:rsidR="00E6043D">
          <w:rPr>
            <w:noProof/>
            <w:webHidden/>
          </w:rPr>
        </w:r>
        <w:r w:rsidR="00E6043D">
          <w:rPr>
            <w:noProof/>
            <w:webHidden/>
          </w:rPr>
          <w:fldChar w:fldCharType="separate"/>
        </w:r>
        <w:r w:rsidR="00E6043D">
          <w:rPr>
            <w:noProof/>
            <w:webHidden/>
          </w:rPr>
          <w:t>55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2" w:history="1">
        <w:r w:rsidR="00E6043D" w:rsidRPr="00301BE2">
          <w:rPr>
            <w:rStyle w:val="Hyperlink"/>
            <w:noProof/>
          </w:rPr>
          <w:t xml:space="preserve">Figure 52. </w:t>
        </w:r>
        <w:r w:rsidR="00E6043D" w:rsidRPr="00301BE2">
          <w:rPr>
            <w:rStyle w:val="Hyperlink"/>
            <w:i/>
            <w:noProof/>
          </w:rPr>
          <w:t>Seed bank and late dry season reproductive effort for inshore intertidal coast and reef habitats in the Wet Tropics region, 2001 - 2015.</w:t>
        </w:r>
        <w:r w:rsidR="00E6043D">
          <w:rPr>
            <w:noProof/>
            <w:webHidden/>
          </w:rPr>
          <w:tab/>
        </w:r>
        <w:r w:rsidR="00E6043D">
          <w:rPr>
            <w:noProof/>
            <w:webHidden/>
          </w:rPr>
          <w:fldChar w:fldCharType="begin"/>
        </w:r>
        <w:r w:rsidR="00E6043D">
          <w:rPr>
            <w:noProof/>
            <w:webHidden/>
          </w:rPr>
          <w:instrText xml:space="preserve"> PAGEREF _Toc462684892 \h </w:instrText>
        </w:r>
        <w:r w:rsidR="00E6043D">
          <w:rPr>
            <w:noProof/>
            <w:webHidden/>
          </w:rPr>
        </w:r>
        <w:r w:rsidR="00E6043D">
          <w:rPr>
            <w:noProof/>
            <w:webHidden/>
          </w:rPr>
          <w:fldChar w:fldCharType="separate"/>
        </w:r>
        <w:r w:rsidR="00E6043D">
          <w:rPr>
            <w:noProof/>
            <w:webHidden/>
          </w:rPr>
          <w:t>56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3" w:history="1">
        <w:r w:rsidR="00E6043D" w:rsidRPr="00301BE2">
          <w:rPr>
            <w:rStyle w:val="Hyperlink"/>
            <w:noProof/>
          </w:rPr>
          <w:t xml:space="preserve">Figure 53. </w:t>
        </w:r>
        <w:r w:rsidR="00E6043D" w:rsidRPr="00301BE2">
          <w:rPr>
            <w:rStyle w:val="Hyperlink"/>
            <w:i/>
            <w:noProof/>
            <w:lang w:eastAsia="en-AU"/>
          </w:rPr>
          <w:t xml:space="preserve">Elemental ratios (atomic) of seagrass leaf tissue C:N for </w:t>
        </w:r>
        <w:r w:rsidR="00E6043D" w:rsidRPr="00301BE2">
          <w:rPr>
            <w:rStyle w:val="Hyperlink"/>
            <w:i/>
            <w:noProof/>
          </w:rPr>
          <w:t xml:space="preserve">the foundation seagrass species examined at each inshore habitat in the Wet Tropics region </w:t>
        </w:r>
        <w:r w:rsidR="00E6043D" w:rsidRPr="00301BE2">
          <w:rPr>
            <w:rStyle w:val="Hyperlink"/>
            <w:i/>
            <w:noProof/>
            <w:lang w:eastAsia="en-AU"/>
          </w:rPr>
          <w:t>each year</w:t>
        </w:r>
        <w:r w:rsidR="00E6043D">
          <w:rPr>
            <w:noProof/>
            <w:webHidden/>
          </w:rPr>
          <w:tab/>
        </w:r>
        <w:r w:rsidR="00E6043D">
          <w:rPr>
            <w:noProof/>
            <w:webHidden/>
          </w:rPr>
          <w:fldChar w:fldCharType="begin"/>
        </w:r>
        <w:r w:rsidR="00E6043D">
          <w:rPr>
            <w:noProof/>
            <w:webHidden/>
          </w:rPr>
          <w:instrText xml:space="preserve"> PAGEREF _Toc462684893 \h </w:instrText>
        </w:r>
        <w:r w:rsidR="00E6043D">
          <w:rPr>
            <w:noProof/>
            <w:webHidden/>
          </w:rPr>
        </w:r>
        <w:r w:rsidR="00E6043D">
          <w:rPr>
            <w:noProof/>
            <w:webHidden/>
          </w:rPr>
          <w:fldChar w:fldCharType="separate"/>
        </w:r>
        <w:r w:rsidR="00E6043D">
          <w:rPr>
            <w:noProof/>
            <w:webHidden/>
          </w:rPr>
          <w:t>56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4" w:history="1">
        <w:r w:rsidR="00E6043D" w:rsidRPr="00301BE2">
          <w:rPr>
            <w:rStyle w:val="Hyperlink"/>
            <w:noProof/>
          </w:rPr>
          <w:t xml:space="preserve">Figure 54. </w:t>
        </w:r>
        <w:r w:rsidR="00E6043D" w:rsidRPr="00301BE2">
          <w:rPr>
            <w:rStyle w:val="Hyperlink"/>
            <w:i/>
            <w:iCs/>
            <w:noProof/>
            <w:lang w:eastAsia="en-AU"/>
          </w:rPr>
          <w:t xml:space="preserve">Elemental ratios (atomic) of seagrass leaf tissue N:P and C:P </w:t>
        </w:r>
        <w:r w:rsidR="00E6043D" w:rsidRPr="00301BE2">
          <w:rPr>
            <w:rStyle w:val="Hyperlink"/>
            <w:i/>
            <w:iCs/>
            <w:noProof/>
          </w:rPr>
          <w:t xml:space="preserve">for the foundation seagrass species </w:t>
        </w:r>
        <w:r w:rsidR="00E6043D" w:rsidRPr="00301BE2">
          <w:rPr>
            <w:rStyle w:val="Hyperlink"/>
            <w:i/>
            <w:noProof/>
          </w:rPr>
          <w:t>examined at each inshore habitat in the Wet Tropics region</w:t>
        </w:r>
        <w:r w:rsidR="00E6043D">
          <w:rPr>
            <w:noProof/>
            <w:webHidden/>
          </w:rPr>
          <w:tab/>
        </w:r>
        <w:r w:rsidR="00E6043D">
          <w:rPr>
            <w:noProof/>
            <w:webHidden/>
          </w:rPr>
          <w:fldChar w:fldCharType="begin"/>
        </w:r>
        <w:r w:rsidR="00E6043D">
          <w:rPr>
            <w:noProof/>
            <w:webHidden/>
          </w:rPr>
          <w:instrText xml:space="preserve"> PAGEREF _Toc462684894 \h </w:instrText>
        </w:r>
        <w:r w:rsidR="00E6043D">
          <w:rPr>
            <w:noProof/>
            <w:webHidden/>
          </w:rPr>
        </w:r>
        <w:r w:rsidR="00E6043D">
          <w:rPr>
            <w:noProof/>
            <w:webHidden/>
          </w:rPr>
          <w:fldChar w:fldCharType="separate"/>
        </w:r>
        <w:r w:rsidR="00E6043D">
          <w:rPr>
            <w:noProof/>
            <w:webHidden/>
          </w:rPr>
          <w:t>57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5" w:history="1">
        <w:r w:rsidR="00E6043D" w:rsidRPr="00301BE2">
          <w:rPr>
            <w:rStyle w:val="Hyperlink"/>
            <w:noProof/>
          </w:rPr>
          <w:t xml:space="preserve">Figure 55. </w:t>
        </w:r>
        <w:r w:rsidR="00E6043D" w:rsidRPr="00301BE2">
          <w:rPr>
            <w:rStyle w:val="Hyperlink"/>
            <w:i/>
            <w:noProof/>
          </w:rPr>
          <w:t>Long-term trend in mean epiphyte and macroalgae abundance (% cover) relative to the long-term average for each inshore seagrass habitat in the Wet Tropics region, 2001 - 2014</w:t>
        </w:r>
        <w:r w:rsidR="00E6043D">
          <w:rPr>
            <w:noProof/>
            <w:webHidden/>
          </w:rPr>
          <w:tab/>
        </w:r>
        <w:r w:rsidR="00E6043D">
          <w:rPr>
            <w:noProof/>
            <w:webHidden/>
          </w:rPr>
          <w:fldChar w:fldCharType="begin"/>
        </w:r>
        <w:r w:rsidR="00E6043D">
          <w:rPr>
            <w:noProof/>
            <w:webHidden/>
          </w:rPr>
          <w:instrText xml:space="preserve"> PAGEREF _Toc462684895 \h </w:instrText>
        </w:r>
        <w:r w:rsidR="00E6043D">
          <w:rPr>
            <w:noProof/>
            <w:webHidden/>
          </w:rPr>
        </w:r>
        <w:r w:rsidR="00E6043D">
          <w:rPr>
            <w:noProof/>
            <w:webHidden/>
          </w:rPr>
          <w:fldChar w:fldCharType="separate"/>
        </w:r>
        <w:r w:rsidR="00E6043D">
          <w:rPr>
            <w:noProof/>
            <w:webHidden/>
          </w:rPr>
          <w:t>58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6" w:history="1">
        <w:r w:rsidR="00E6043D" w:rsidRPr="00301BE2">
          <w:rPr>
            <w:rStyle w:val="Hyperlink"/>
            <w:noProof/>
          </w:rPr>
          <w:t xml:space="preserve">Figure 56. </w:t>
        </w:r>
        <w:r w:rsidR="00E6043D" w:rsidRPr="00301BE2">
          <w:rPr>
            <w:rStyle w:val="Hyperlink"/>
            <w:i/>
            <w:noProof/>
          </w:rPr>
          <w:t>Report card of seagrass status indicators and index for the Burdekin NRM region</w:t>
        </w:r>
        <w:r w:rsidR="00E6043D">
          <w:rPr>
            <w:noProof/>
            <w:webHidden/>
          </w:rPr>
          <w:tab/>
        </w:r>
        <w:r w:rsidR="00E6043D">
          <w:rPr>
            <w:noProof/>
            <w:webHidden/>
          </w:rPr>
          <w:fldChar w:fldCharType="begin"/>
        </w:r>
        <w:r w:rsidR="00E6043D">
          <w:rPr>
            <w:noProof/>
            <w:webHidden/>
          </w:rPr>
          <w:instrText xml:space="preserve"> PAGEREF _Toc462684896 \h </w:instrText>
        </w:r>
        <w:r w:rsidR="00E6043D">
          <w:rPr>
            <w:noProof/>
            <w:webHidden/>
          </w:rPr>
        </w:r>
        <w:r w:rsidR="00E6043D">
          <w:rPr>
            <w:noProof/>
            <w:webHidden/>
          </w:rPr>
          <w:fldChar w:fldCharType="separate"/>
        </w:r>
        <w:r w:rsidR="00E6043D">
          <w:rPr>
            <w:noProof/>
            <w:webHidden/>
          </w:rPr>
          <w:t>60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7" w:history="1">
        <w:r w:rsidR="00E6043D" w:rsidRPr="00301BE2">
          <w:rPr>
            <w:rStyle w:val="Hyperlink"/>
            <w:noProof/>
          </w:rPr>
          <w:t xml:space="preserve">Figure 57. </w:t>
        </w:r>
        <w:r w:rsidR="00E6043D" w:rsidRPr="00301BE2">
          <w:rPr>
            <w:rStyle w:val="Hyperlink"/>
            <w:i/>
            <w:noProof/>
          </w:rPr>
          <w:t>Frequency of exposure to plume water in the Burdekin NRM region, wet season (December 2014 – April 2015) composite.</w:t>
        </w:r>
        <w:r w:rsidR="00E6043D">
          <w:rPr>
            <w:noProof/>
            <w:webHidden/>
          </w:rPr>
          <w:tab/>
        </w:r>
        <w:r w:rsidR="00E6043D">
          <w:rPr>
            <w:noProof/>
            <w:webHidden/>
          </w:rPr>
          <w:fldChar w:fldCharType="begin"/>
        </w:r>
        <w:r w:rsidR="00E6043D">
          <w:rPr>
            <w:noProof/>
            <w:webHidden/>
          </w:rPr>
          <w:instrText xml:space="preserve"> PAGEREF _Toc462684897 \h </w:instrText>
        </w:r>
        <w:r w:rsidR="00E6043D">
          <w:rPr>
            <w:noProof/>
            <w:webHidden/>
          </w:rPr>
        </w:r>
        <w:r w:rsidR="00E6043D">
          <w:rPr>
            <w:noProof/>
            <w:webHidden/>
          </w:rPr>
          <w:fldChar w:fldCharType="separate"/>
        </w:r>
        <w:r w:rsidR="00E6043D">
          <w:rPr>
            <w:noProof/>
            <w:webHidden/>
          </w:rPr>
          <w:t>61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8" w:history="1">
        <w:r w:rsidR="00E6043D" w:rsidRPr="00301BE2">
          <w:rPr>
            <w:rStyle w:val="Hyperlink"/>
            <w:noProof/>
          </w:rPr>
          <w:t xml:space="preserve">Figure 58.  </w:t>
        </w:r>
        <w:r w:rsidR="00E6043D" w:rsidRPr="00301BE2">
          <w:rPr>
            <w:rStyle w:val="Hyperlink"/>
            <w:i/>
            <w:noProof/>
          </w:rPr>
          <w:t>Mean daily light at Burdekin sites with 28-d rolling average from 2012 to 2015 (left) and GAM plots (right)</w:t>
        </w:r>
        <w:r w:rsidR="00E6043D">
          <w:rPr>
            <w:noProof/>
            <w:webHidden/>
          </w:rPr>
          <w:tab/>
        </w:r>
        <w:r w:rsidR="00E6043D">
          <w:rPr>
            <w:noProof/>
            <w:webHidden/>
          </w:rPr>
          <w:fldChar w:fldCharType="begin"/>
        </w:r>
        <w:r w:rsidR="00E6043D">
          <w:rPr>
            <w:noProof/>
            <w:webHidden/>
          </w:rPr>
          <w:instrText xml:space="preserve"> PAGEREF _Toc462684898 \h </w:instrText>
        </w:r>
        <w:r w:rsidR="00E6043D">
          <w:rPr>
            <w:noProof/>
            <w:webHidden/>
          </w:rPr>
        </w:r>
        <w:r w:rsidR="00E6043D">
          <w:rPr>
            <w:noProof/>
            <w:webHidden/>
          </w:rPr>
          <w:fldChar w:fldCharType="separate"/>
        </w:r>
        <w:r w:rsidR="00E6043D">
          <w:rPr>
            <w:noProof/>
            <w:webHidden/>
          </w:rPr>
          <w:t>62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899" w:history="1">
        <w:r w:rsidR="00E6043D" w:rsidRPr="00301BE2">
          <w:rPr>
            <w:rStyle w:val="Hyperlink"/>
            <w:noProof/>
          </w:rPr>
          <w:t xml:space="preserve">Figure 59. </w:t>
        </w:r>
        <w:r w:rsidR="00E6043D" w:rsidRPr="00301BE2">
          <w:rPr>
            <w:rStyle w:val="Hyperlink"/>
            <w:i/>
            <w:noProof/>
          </w:rPr>
          <w:t>Inshore sea temperature at intertidal seagrass habitats in the Burdekin region, January 2008 - May 2015</w:t>
        </w:r>
        <w:r w:rsidR="00E6043D">
          <w:rPr>
            <w:noProof/>
            <w:webHidden/>
          </w:rPr>
          <w:tab/>
        </w:r>
        <w:r w:rsidR="00E6043D">
          <w:rPr>
            <w:noProof/>
            <w:webHidden/>
          </w:rPr>
          <w:fldChar w:fldCharType="begin"/>
        </w:r>
        <w:r w:rsidR="00E6043D">
          <w:rPr>
            <w:noProof/>
            <w:webHidden/>
          </w:rPr>
          <w:instrText xml:space="preserve"> PAGEREF _Toc462684899 \h </w:instrText>
        </w:r>
        <w:r w:rsidR="00E6043D">
          <w:rPr>
            <w:noProof/>
            <w:webHidden/>
          </w:rPr>
        </w:r>
        <w:r w:rsidR="00E6043D">
          <w:rPr>
            <w:noProof/>
            <w:webHidden/>
          </w:rPr>
          <w:fldChar w:fldCharType="separate"/>
        </w:r>
        <w:r w:rsidR="00E6043D">
          <w:rPr>
            <w:noProof/>
            <w:webHidden/>
          </w:rPr>
          <w:t>62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0" w:history="1">
        <w:r w:rsidR="00E6043D" w:rsidRPr="00301BE2">
          <w:rPr>
            <w:rStyle w:val="Hyperlink"/>
            <w:noProof/>
          </w:rPr>
          <w:t xml:space="preserve">Figure 60. </w:t>
        </w:r>
        <w:r w:rsidR="00E6043D" w:rsidRPr="00301BE2">
          <w:rPr>
            <w:rStyle w:val="Hyperlink"/>
            <w:i/>
            <w:noProof/>
          </w:rPr>
          <w:t>Inshore sea temperature at inshore subtidal seagrass habitat at Magnetic Island (Burdekin region), January 2008 - May 2015</w:t>
        </w:r>
        <w:r w:rsidR="00E6043D">
          <w:rPr>
            <w:noProof/>
            <w:webHidden/>
          </w:rPr>
          <w:tab/>
        </w:r>
        <w:r w:rsidR="00E6043D">
          <w:rPr>
            <w:noProof/>
            <w:webHidden/>
          </w:rPr>
          <w:fldChar w:fldCharType="begin"/>
        </w:r>
        <w:r w:rsidR="00E6043D">
          <w:rPr>
            <w:noProof/>
            <w:webHidden/>
          </w:rPr>
          <w:instrText xml:space="preserve"> PAGEREF _Toc462684900 \h </w:instrText>
        </w:r>
        <w:r w:rsidR="00E6043D">
          <w:rPr>
            <w:noProof/>
            <w:webHidden/>
          </w:rPr>
        </w:r>
        <w:r w:rsidR="00E6043D">
          <w:rPr>
            <w:noProof/>
            <w:webHidden/>
          </w:rPr>
          <w:fldChar w:fldCharType="separate"/>
        </w:r>
        <w:r w:rsidR="00E6043D">
          <w:rPr>
            <w:noProof/>
            <w:webHidden/>
          </w:rPr>
          <w:t>63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1" w:history="1">
        <w:r w:rsidR="00E6043D" w:rsidRPr="00301BE2">
          <w:rPr>
            <w:rStyle w:val="Hyperlink"/>
            <w:noProof/>
          </w:rPr>
          <w:t xml:space="preserve">Figure 61. </w:t>
        </w:r>
        <w:r w:rsidR="00E6043D" w:rsidRPr="00301BE2">
          <w:rPr>
            <w:rStyle w:val="Hyperlink"/>
            <w:i/>
            <w:noProof/>
          </w:rPr>
          <w:t>Changes in mean seagrass abundance (% cover ±Standard Error) at inshore coastal intertidal (a, b), reef intertidal (c) and reef subtidal (d) meadows in the Burdekin region, 2001 - 2015.</w:t>
        </w:r>
        <w:r w:rsidR="00E6043D">
          <w:rPr>
            <w:noProof/>
            <w:webHidden/>
          </w:rPr>
          <w:tab/>
        </w:r>
        <w:r w:rsidR="00E6043D">
          <w:rPr>
            <w:noProof/>
            <w:webHidden/>
          </w:rPr>
          <w:fldChar w:fldCharType="begin"/>
        </w:r>
        <w:r w:rsidR="00E6043D">
          <w:rPr>
            <w:noProof/>
            <w:webHidden/>
          </w:rPr>
          <w:instrText xml:space="preserve"> PAGEREF _Toc462684901 \h </w:instrText>
        </w:r>
        <w:r w:rsidR="00E6043D">
          <w:rPr>
            <w:noProof/>
            <w:webHidden/>
          </w:rPr>
        </w:r>
        <w:r w:rsidR="00E6043D">
          <w:rPr>
            <w:noProof/>
            <w:webHidden/>
          </w:rPr>
          <w:fldChar w:fldCharType="separate"/>
        </w:r>
        <w:r w:rsidR="00E6043D">
          <w:rPr>
            <w:noProof/>
            <w:webHidden/>
          </w:rPr>
          <w:t>64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2" w:history="1">
        <w:r w:rsidR="00E6043D" w:rsidRPr="00301BE2">
          <w:rPr>
            <w:rStyle w:val="Hyperlink"/>
            <w:noProof/>
          </w:rPr>
          <w:t xml:space="preserve">Figure 62.  </w:t>
        </w:r>
        <w:r w:rsidR="00E6043D" w:rsidRPr="00301BE2">
          <w:rPr>
            <w:rStyle w:val="Hyperlink"/>
            <w:i/>
            <w:noProof/>
          </w:rPr>
          <w:t>Temporal trends in seagrass abundance for each location in the Burdekin region represented by a GAM plot.</w:t>
        </w:r>
        <w:r w:rsidR="00E6043D">
          <w:rPr>
            <w:noProof/>
            <w:webHidden/>
          </w:rPr>
          <w:tab/>
        </w:r>
        <w:r w:rsidR="00E6043D">
          <w:rPr>
            <w:noProof/>
            <w:webHidden/>
          </w:rPr>
          <w:fldChar w:fldCharType="begin"/>
        </w:r>
        <w:r w:rsidR="00E6043D">
          <w:rPr>
            <w:noProof/>
            <w:webHidden/>
          </w:rPr>
          <w:instrText xml:space="preserve"> PAGEREF _Toc462684902 \h </w:instrText>
        </w:r>
        <w:r w:rsidR="00E6043D">
          <w:rPr>
            <w:noProof/>
            <w:webHidden/>
          </w:rPr>
        </w:r>
        <w:r w:rsidR="00E6043D">
          <w:rPr>
            <w:noProof/>
            <w:webHidden/>
          </w:rPr>
          <w:fldChar w:fldCharType="separate"/>
        </w:r>
        <w:r w:rsidR="00E6043D">
          <w:rPr>
            <w:noProof/>
            <w:webHidden/>
          </w:rPr>
          <w:t>64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3" w:history="1">
        <w:r w:rsidR="00E6043D" w:rsidRPr="00301BE2">
          <w:rPr>
            <w:rStyle w:val="Hyperlink"/>
            <w:noProof/>
          </w:rPr>
          <w:t xml:space="preserve">Figure 63. </w:t>
        </w:r>
        <w:r w:rsidR="00E6043D" w:rsidRPr="00301BE2">
          <w:rPr>
            <w:rStyle w:val="Hyperlink"/>
            <w:i/>
            <w:noProof/>
          </w:rPr>
          <w:t>Proportion of seagrass abundance composed of colonising species at inshore habitats in the Burdekin region, 2001 - 2015.</w:t>
        </w:r>
        <w:r w:rsidR="00E6043D">
          <w:rPr>
            <w:noProof/>
            <w:webHidden/>
          </w:rPr>
          <w:tab/>
        </w:r>
        <w:r w:rsidR="00E6043D">
          <w:rPr>
            <w:noProof/>
            <w:webHidden/>
          </w:rPr>
          <w:fldChar w:fldCharType="begin"/>
        </w:r>
        <w:r w:rsidR="00E6043D">
          <w:rPr>
            <w:noProof/>
            <w:webHidden/>
          </w:rPr>
          <w:instrText xml:space="preserve"> PAGEREF _Toc462684903 \h </w:instrText>
        </w:r>
        <w:r w:rsidR="00E6043D">
          <w:rPr>
            <w:noProof/>
            <w:webHidden/>
          </w:rPr>
        </w:r>
        <w:r w:rsidR="00E6043D">
          <w:rPr>
            <w:noProof/>
            <w:webHidden/>
          </w:rPr>
          <w:fldChar w:fldCharType="separate"/>
        </w:r>
        <w:r w:rsidR="00E6043D">
          <w:rPr>
            <w:noProof/>
            <w:webHidden/>
          </w:rPr>
          <w:t>65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4" w:history="1">
        <w:r w:rsidR="00E6043D" w:rsidRPr="00301BE2">
          <w:rPr>
            <w:rStyle w:val="Hyperlink"/>
            <w:noProof/>
          </w:rPr>
          <w:t xml:space="preserve">Figure 64. </w:t>
        </w:r>
        <w:r w:rsidR="00E6043D" w:rsidRPr="00301BE2">
          <w:rPr>
            <w:rStyle w:val="Hyperlink"/>
            <w:i/>
            <w:noProof/>
          </w:rPr>
          <w:t>Change in spatial extent of seagrass meadows within a 100m radius of monitoring sites for each inshore intertidal habitat and monitoring period across the Burdekin region, 2005 - 2015.</w:t>
        </w:r>
        <w:r w:rsidR="00E6043D">
          <w:rPr>
            <w:noProof/>
            <w:webHidden/>
          </w:rPr>
          <w:tab/>
        </w:r>
        <w:r w:rsidR="00E6043D">
          <w:rPr>
            <w:noProof/>
            <w:webHidden/>
          </w:rPr>
          <w:fldChar w:fldCharType="begin"/>
        </w:r>
        <w:r w:rsidR="00E6043D">
          <w:rPr>
            <w:noProof/>
            <w:webHidden/>
          </w:rPr>
          <w:instrText xml:space="preserve"> PAGEREF _Toc462684904 \h </w:instrText>
        </w:r>
        <w:r w:rsidR="00E6043D">
          <w:rPr>
            <w:noProof/>
            <w:webHidden/>
          </w:rPr>
        </w:r>
        <w:r w:rsidR="00E6043D">
          <w:rPr>
            <w:noProof/>
            <w:webHidden/>
          </w:rPr>
          <w:fldChar w:fldCharType="separate"/>
        </w:r>
        <w:r w:rsidR="00E6043D">
          <w:rPr>
            <w:noProof/>
            <w:webHidden/>
          </w:rPr>
          <w:t>65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5" w:history="1">
        <w:r w:rsidR="00E6043D" w:rsidRPr="00301BE2">
          <w:rPr>
            <w:rStyle w:val="Hyperlink"/>
            <w:noProof/>
          </w:rPr>
          <w:t xml:space="preserve">Figure 65. </w:t>
        </w:r>
        <w:r w:rsidR="00E6043D" w:rsidRPr="00301BE2">
          <w:rPr>
            <w:rStyle w:val="Hyperlink"/>
            <w:i/>
            <w:noProof/>
          </w:rPr>
          <w:t>Seed bank and late dry season reproductive effort at inshore intertidal coast and reef and subtidal reef habitats in the Burdekin region.</w:t>
        </w:r>
        <w:r w:rsidR="00E6043D">
          <w:rPr>
            <w:noProof/>
            <w:webHidden/>
          </w:rPr>
          <w:tab/>
        </w:r>
        <w:r w:rsidR="00E6043D">
          <w:rPr>
            <w:noProof/>
            <w:webHidden/>
          </w:rPr>
          <w:fldChar w:fldCharType="begin"/>
        </w:r>
        <w:r w:rsidR="00E6043D">
          <w:rPr>
            <w:noProof/>
            <w:webHidden/>
          </w:rPr>
          <w:instrText xml:space="preserve"> PAGEREF _Toc462684905 \h </w:instrText>
        </w:r>
        <w:r w:rsidR="00E6043D">
          <w:rPr>
            <w:noProof/>
            <w:webHidden/>
          </w:rPr>
        </w:r>
        <w:r w:rsidR="00E6043D">
          <w:rPr>
            <w:noProof/>
            <w:webHidden/>
          </w:rPr>
          <w:fldChar w:fldCharType="separate"/>
        </w:r>
        <w:r w:rsidR="00E6043D">
          <w:rPr>
            <w:noProof/>
            <w:webHidden/>
          </w:rPr>
          <w:t>66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6" w:history="1">
        <w:r w:rsidR="00E6043D" w:rsidRPr="00301BE2">
          <w:rPr>
            <w:rStyle w:val="Hyperlink"/>
            <w:noProof/>
          </w:rPr>
          <w:t xml:space="preserve">Figure 66. </w:t>
        </w:r>
        <w:r w:rsidR="00E6043D" w:rsidRPr="00301BE2">
          <w:rPr>
            <w:rStyle w:val="Hyperlink"/>
            <w:i/>
            <w:noProof/>
            <w:lang w:eastAsia="en-AU"/>
          </w:rPr>
          <w:t xml:space="preserve">Elemental ratios (atomic) of seagrass leaf tissue C:N for </w:t>
        </w:r>
        <w:r w:rsidR="00E6043D" w:rsidRPr="00301BE2">
          <w:rPr>
            <w:rStyle w:val="Hyperlink"/>
            <w:i/>
            <w:noProof/>
          </w:rPr>
          <w:t>the foundation seagrass species examined at each inshore habitat in the Burdekin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_Toc462684906 \h </w:instrText>
        </w:r>
        <w:r w:rsidR="00E6043D">
          <w:rPr>
            <w:noProof/>
            <w:webHidden/>
          </w:rPr>
        </w:r>
        <w:r w:rsidR="00E6043D">
          <w:rPr>
            <w:noProof/>
            <w:webHidden/>
          </w:rPr>
          <w:fldChar w:fldCharType="separate"/>
        </w:r>
        <w:r w:rsidR="00E6043D">
          <w:rPr>
            <w:noProof/>
            <w:webHidden/>
          </w:rPr>
          <w:t>66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7" w:history="1">
        <w:r w:rsidR="00E6043D" w:rsidRPr="00301BE2">
          <w:rPr>
            <w:rStyle w:val="Hyperlink"/>
            <w:noProof/>
          </w:rPr>
          <w:t xml:space="preserve">Figure 67. </w:t>
        </w:r>
        <w:r w:rsidR="00E6043D" w:rsidRPr="00301BE2">
          <w:rPr>
            <w:rStyle w:val="Hyperlink"/>
            <w:i/>
            <w:iCs/>
            <w:noProof/>
            <w:lang w:eastAsia="en-AU"/>
          </w:rPr>
          <w:t xml:space="preserve">Elemental ratios (atomic) of seagrass leaf tissue N:P and C:P </w:t>
        </w:r>
        <w:r w:rsidR="00E6043D" w:rsidRPr="00301BE2">
          <w:rPr>
            <w:rStyle w:val="Hyperlink"/>
            <w:i/>
            <w:iCs/>
            <w:noProof/>
          </w:rPr>
          <w:t xml:space="preserve">for the foundation seagrass species examined at each inshore intertidal habitat in the Burdekin region </w:t>
        </w:r>
        <w:r w:rsidR="00E6043D" w:rsidRPr="00301BE2">
          <w:rPr>
            <w:rStyle w:val="Hyperlink"/>
            <w:i/>
            <w:iCs/>
            <w:noProof/>
            <w:lang w:eastAsia="en-AU"/>
          </w:rPr>
          <w:t>each year</w:t>
        </w:r>
        <w:r w:rsidR="00E6043D">
          <w:rPr>
            <w:noProof/>
            <w:webHidden/>
          </w:rPr>
          <w:tab/>
        </w:r>
        <w:r w:rsidR="00E6043D">
          <w:rPr>
            <w:noProof/>
            <w:webHidden/>
          </w:rPr>
          <w:fldChar w:fldCharType="begin"/>
        </w:r>
        <w:r w:rsidR="00E6043D">
          <w:rPr>
            <w:noProof/>
            <w:webHidden/>
          </w:rPr>
          <w:instrText xml:space="preserve"> PAGEREF _Toc462684907 \h </w:instrText>
        </w:r>
        <w:r w:rsidR="00E6043D">
          <w:rPr>
            <w:noProof/>
            <w:webHidden/>
          </w:rPr>
        </w:r>
        <w:r w:rsidR="00E6043D">
          <w:rPr>
            <w:noProof/>
            <w:webHidden/>
          </w:rPr>
          <w:fldChar w:fldCharType="separate"/>
        </w:r>
        <w:r w:rsidR="00E6043D">
          <w:rPr>
            <w:noProof/>
            <w:webHidden/>
          </w:rPr>
          <w:t>67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8" w:history="1">
        <w:r w:rsidR="00E6043D" w:rsidRPr="00301BE2">
          <w:rPr>
            <w:rStyle w:val="Hyperlink"/>
            <w:noProof/>
          </w:rPr>
          <w:t xml:space="preserve">Figure 68. </w:t>
        </w:r>
        <w:r w:rsidR="00E6043D" w:rsidRPr="00301BE2">
          <w:rPr>
            <w:rStyle w:val="Hyperlink"/>
            <w:i/>
            <w:noProof/>
          </w:rPr>
          <w:t>Long-term trend in mean epiphyte and macroalgae abundance (% cover) relative to the long-term GBR average for each inshore seagrass habitat in the Burdekin region</w:t>
        </w:r>
        <w:r w:rsidR="00E6043D">
          <w:rPr>
            <w:noProof/>
            <w:webHidden/>
          </w:rPr>
          <w:tab/>
        </w:r>
        <w:r w:rsidR="00E6043D">
          <w:rPr>
            <w:noProof/>
            <w:webHidden/>
          </w:rPr>
          <w:fldChar w:fldCharType="begin"/>
        </w:r>
        <w:r w:rsidR="00E6043D">
          <w:rPr>
            <w:noProof/>
            <w:webHidden/>
          </w:rPr>
          <w:instrText xml:space="preserve"> PAGEREF _Toc462684908 \h </w:instrText>
        </w:r>
        <w:r w:rsidR="00E6043D">
          <w:rPr>
            <w:noProof/>
            <w:webHidden/>
          </w:rPr>
        </w:r>
        <w:r w:rsidR="00E6043D">
          <w:rPr>
            <w:noProof/>
            <w:webHidden/>
          </w:rPr>
          <w:fldChar w:fldCharType="separate"/>
        </w:r>
        <w:r w:rsidR="00E6043D">
          <w:rPr>
            <w:noProof/>
            <w:webHidden/>
          </w:rPr>
          <w:t>68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09" w:history="1">
        <w:r w:rsidR="00E6043D" w:rsidRPr="00301BE2">
          <w:rPr>
            <w:rStyle w:val="Hyperlink"/>
            <w:noProof/>
          </w:rPr>
          <w:t xml:space="preserve">Figure 69. </w:t>
        </w:r>
        <w:r w:rsidR="00E6043D" w:rsidRPr="00301BE2">
          <w:rPr>
            <w:rStyle w:val="Hyperlink"/>
            <w:i/>
            <w:noProof/>
          </w:rPr>
          <w:t>Report card of seagrass status indicators and index for the Mackay Whitsunday NRM region</w:t>
        </w:r>
        <w:r w:rsidR="00E6043D">
          <w:rPr>
            <w:noProof/>
            <w:webHidden/>
          </w:rPr>
          <w:tab/>
        </w:r>
        <w:r w:rsidR="00E6043D">
          <w:rPr>
            <w:noProof/>
            <w:webHidden/>
          </w:rPr>
          <w:fldChar w:fldCharType="begin"/>
        </w:r>
        <w:r w:rsidR="00E6043D">
          <w:rPr>
            <w:noProof/>
            <w:webHidden/>
          </w:rPr>
          <w:instrText xml:space="preserve"> PAGEREF _Toc462684909 \h </w:instrText>
        </w:r>
        <w:r w:rsidR="00E6043D">
          <w:rPr>
            <w:noProof/>
            <w:webHidden/>
          </w:rPr>
        </w:r>
        <w:r w:rsidR="00E6043D">
          <w:rPr>
            <w:noProof/>
            <w:webHidden/>
          </w:rPr>
          <w:fldChar w:fldCharType="separate"/>
        </w:r>
        <w:r w:rsidR="00E6043D">
          <w:rPr>
            <w:noProof/>
            <w:webHidden/>
          </w:rPr>
          <w:t>69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0" w:history="1">
        <w:r w:rsidR="00E6043D" w:rsidRPr="00301BE2">
          <w:rPr>
            <w:rStyle w:val="Hyperlink"/>
            <w:noProof/>
          </w:rPr>
          <w:t xml:space="preserve">Figure 70.  </w:t>
        </w:r>
        <w:r w:rsidR="00E6043D" w:rsidRPr="00301BE2">
          <w:rPr>
            <w:rStyle w:val="Hyperlink"/>
            <w:i/>
            <w:noProof/>
          </w:rPr>
          <w:t>Frequency of exposure to plume water in the Mackay Whitsunday NRM region, wet season (December 2014 – April 2015) composite.</w:t>
        </w:r>
        <w:r w:rsidR="00E6043D">
          <w:rPr>
            <w:noProof/>
            <w:webHidden/>
          </w:rPr>
          <w:tab/>
        </w:r>
        <w:r w:rsidR="00E6043D">
          <w:rPr>
            <w:noProof/>
            <w:webHidden/>
          </w:rPr>
          <w:fldChar w:fldCharType="begin"/>
        </w:r>
        <w:r w:rsidR="00E6043D">
          <w:rPr>
            <w:noProof/>
            <w:webHidden/>
          </w:rPr>
          <w:instrText xml:space="preserve"> PAGEREF _Toc462684910 \h </w:instrText>
        </w:r>
        <w:r w:rsidR="00E6043D">
          <w:rPr>
            <w:noProof/>
            <w:webHidden/>
          </w:rPr>
        </w:r>
        <w:r w:rsidR="00E6043D">
          <w:rPr>
            <w:noProof/>
            <w:webHidden/>
          </w:rPr>
          <w:fldChar w:fldCharType="separate"/>
        </w:r>
        <w:r w:rsidR="00E6043D">
          <w:rPr>
            <w:noProof/>
            <w:webHidden/>
          </w:rPr>
          <w:t>70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1" w:history="1">
        <w:r w:rsidR="00E6043D" w:rsidRPr="00301BE2">
          <w:rPr>
            <w:rStyle w:val="Hyperlink"/>
            <w:noProof/>
          </w:rPr>
          <w:t>Figure 71</w:t>
        </w:r>
        <w:r w:rsidR="00E6043D" w:rsidRPr="00301BE2">
          <w:rPr>
            <w:rStyle w:val="Hyperlink"/>
            <w:i/>
            <w:noProof/>
          </w:rPr>
          <w:t>. Mean daily light at Mackay Whitsunday habitats with 28-d rolling average from 2012 to 2015 (left) and GAM plots (right)</w:t>
        </w:r>
        <w:r w:rsidR="00E6043D">
          <w:rPr>
            <w:noProof/>
            <w:webHidden/>
          </w:rPr>
          <w:tab/>
        </w:r>
        <w:r w:rsidR="00E6043D">
          <w:rPr>
            <w:noProof/>
            <w:webHidden/>
          </w:rPr>
          <w:fldChar w:fldCharType="begin"/>
        </w:r>
        <w:r w:rsidR="00E6043D">
          <w:rPr>
            <w:noProof/>
            <w:webHidden/>
          </w:rPr>
          <w:instrText xml:space="preserve"> PAGEREF _Toc462684911 \h </w:instrText>
        </w:r>
        <w:r w:rsidR="00E6043D">
          <w:rPr>
            <w:noProof/>
            <w:webHidden/>
          </w:rPr>
        </w:r>
        <w:r w:rsidR="00E6043D">
          <w:rPr>
            <w:noProof/>
            <w:webHidden/>
          </w:rPr>
          <w:fldChar w:fldCharType="separate"/>
        </w:r>
        <w:r w:rsidR="00E6043D">
          <w:rPr>
            <w:noProof/>
            <w:webHidden/>
          </w:rPr>
          <w:t>71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2" w:history="1">
        <w:r w:rsidR="00E6043D" w:rsidRPr="00301BE2">
          <w:rPr>
            <w:rStyle w:val="Hyperlink"/>
            <w:noProof/>
          </w:rPr>
          <w:t xml:space="preserve">Figure 72. </w:t>
        </w:r>
        <w:r w:rsidR="00E6043D" w:rsidRPr="00301BE2">
          <w:rPr>
            <w:rStyle w:val="Hyperlink"/>
            <w:i/>
            <w:noProof/>
          </w:rPr>
          <w:t>Inshore sea temperatures within each intertidal seagrass habitat in the Mackay Whitsunday region, September 2003 - June 2015</w:t>
        </w:r>
        <w:r w:rsidR="00E6043D">
          <w:rPr>
            <w:noProof/>
            <w:webHidden/>
          </w:rPr>
          <w:tab/>
        </w:r>
        <w:r w:rsidR="00E6043D">
          <w:rPr>
            <w:noProof/>
            <w:webHidden/>
          </w:rPr>
          <w:fldChar w:fldCharType="begin"/>
        </w:r>
        <w:r w:rsidR="00E6043D">
          <w:rPr>
            <w:noProof/>
            <w:webHidden/>
          </w:rPr>
          <w:instrText xml:space="preserve"> PAGEREF _Toc462684912 \h </w:instrText>
        </w:r>
        <w:r w:rsidR="00E6043D">
          <w:rPr>
            <w:noProof/>
            <w:webHidden/>
          </w:rPr>
        </w:r>
        <w:r w:rsidR="00E6043D">
          <w:rPr>
            <w:noProof/>
            <w:webHidden/>
          </w:rPr>
          <w:fldChar w:fldCharType="separate"/>
        </w:r>
        <w:r w:rsidR="00E6043D">
          <w:rPr>
            <w:noProof/>
            <w:webHidden/>
          </w:rPr>
          <w:t>71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3" w:history="1">
        <w:r w:rsidR="00E6043D" w:rsidRPr="00301BE2">
          <w:rPr>
            <w:rStyle w:val="Hyperlink"/>
            <w:noProof/>
          </w:rPr>
          <w:t xml:space="preserve">Figure 73. </w:t>
        </w:r>
        <w:r w:rsidR="00E6043D" w:rsidRPr="00301BE2">
          <w:rPr>
            <w:rStyle w:val="Hyperlink"/>
            <w:i/>
            <w:noProof/>
          </w:rPr>
          <w:t>Changes in seagrass abundance (% cover ±Standard Error) at inshore intertidal habitats in the Mackay Whitsunday region, 1999 - 2015</w:t>
        </w:r>
        <w:r w:rsidR="00E6043D">
          <w:rPr>
            <w:noProof/>
            <w:webHidden/>
          </w:rPr>
          <w:tab/>
        </w:r>
        <w:r w:rsidR="00E6043D">
          <w:rPr>
            <w:noProof/>
            <w:webHidden/>
          </w:rPr>
          <w:fldChar w:fldCharType="begin"/>
        </w:r>
        <w:r w:rsidR="00E6043D">
          <w:rPr>
            <w:noProof/>
            <w:webHidden/>
          </w:rPr>
          <w:instrText xml:space="preserve"> PAGEREF _Toc462684913 \h </w:instrText>
        </w:r>
        <w:r w:rsidR="00E6043D">
          <w:rPr>
            <w:noProof/>
            <w:webHidden/>
          </w:rPr>
        </w:r>
        <w:r w:rsidR="00E6043D">
          <w:rPr>
            <w:noProof/>
            <w:webHidden/>
          </w:rPr>
          <w:fldChar w:fldCharType="separate"/>
        </w:r>
        <w:r w:rsidR="00E6043D">
          <w:rPr>
            <w:noProof/>
            <w:webHidden/>
          </w:rPr>
          <w:t>72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4" w:history="1">
        <w:r w:rsidR="00E6043D" w:rsidRPr="00301BE2">
          <w:rPr>
            <w:rStyle w:val="Hyperlink"/>
            <w:noProof/>
          </w:rPr>
          <w:t xml:space="preserve">Figure 74. </w:t>
        </w:r>
        <w:r w:rsidR="00E6043D" w:rsidRPr="00301BE2">
          <w:rPr>
            <w:rStyle w:val="Hyperlink"/>
            <w:i/>
            <w:noProof/>
          </w:rPr>
          <w:t>Temporal trends in seagrass abundance for each location in the Mackay Whitsunday region represented by a GAM plot.</w:t>
        </w:r>
        <w:r w:rsidR="00E6043D">
          <w:rPr>
            <w:noProof/>
            <w:webHidden/>
          </w:rPr>
          <w:tab/>
        </w:r>
        <w:r w:rsidR="00E6043D">
          <w:rPr>
            <w:noProof/>
            <w:webHidden/>
          </w:rPr>
          <w:fldChar w:fldCharType="begin"/>
        </w:r>
        <w:r w:rsidR="00E6043D">
          <w:rPr>
            <w:noProof/>
            <w:webHidden/>
          </w:rPr>
          <w:instrText xml:space="preserve"> PAGEREF _Toc462684914 \h </w:instrText>
        </w:r>
        <w:r w:rsidR="00E6043D">
          <w:rPr>
            <w:noProof/>
            <w:webHidden/>
          </w:rPr>
        </w:r>
        <w:r w:rsidR="00E6043D">
          <w:rPr>
            <w:noProof/>
            <w:webHidden/>
          </w:rPr>
          <w:fldChar w:fldCharType="separate"/>
        </w:r>
        <w:r w:rsidR="00E6043D">
          <w:rPr>
            <w:noProof/>
            <w:webHidden/>
          </w:rPr>
          <w:t>73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5" w:history="1">
        <w:r w:rsidR="00E6043D" w:rsidRPr="00301BE2">
          <w:rPr>
            <w:rStyle w:val="Hyperlink"/>
            <w:noProof/>
          </w:rPr>
          <w:t xml:space="preserve">Figure 75. </w:t>
        </w:r>
        <w:r w:rsidR="00E6043D" w:rsidRPr="00301BE2">
          <w:rPr>
            <w:rStyle w:val="Hyperlink"/>
            <w:i/>
            <w:noProof/>
          </w:rPr>
          <w:t>Proportion of seagrass abundance composed of colonising species at inshore intertidal habitats in the Mackay Whitsunday region, 1999 - 2015.</w:t>
        </w:r>
        <w:r w:rsidR="00E6043D">
          <w:rPr>
            <w:noProof/>
            <w:webHidden/>
          </w:rPr>
          <w:tab/>
        </w:r>
        <w:r w:rsidR="00E6043D">
          <w:rPr>
            <w:noProof/>
            <w:webHidden/>
          </w:rPr>
          <w:fldChar w:fldCharType="begin"/>
        </w:r>
        <w:r w:rsidR="00E6043D">
          <w:rPr>
            <w:noProof/>
            <w:webHidden/>
          </w:rPr>
          <w:instrText xml:space="preserve"> PAGEREF _Toc462684915 \h </w:instrText>
        </w:r>
        <w:r w:rsidR="00E6043D">
          <w:rPr>
            <w:noProof/>
            <w:webHidden/>
          </w:rPr>
        </w:r>
        <w:r w:rsidR="00E6043D">
          <w:rPr>
            <w:noProof/>
            <w:webHidden/>
          </w:rPr>
          <w:fldChar w:fldCharType="separate"/>
        </w:r>
        <w:r w:rsidR="00E6043D">
          <w:rPr>
            <w:noProof/>
            <w:webHidden/>
          </w:rPr>
          <w:t>73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6" w:history="1">
        <w:r w:rsidR="00E6043D" w:rsidRPr="00301BE2">
          <w:rPr>
            <w:rStyle w:val="Hyperlink"/>
            <w:noProof/>
          </w:rPr>
          <w:t>Figure 76.</w:t>
        </w:r>
        <w:r w:rsidR="00E6043D" w:rsidRPr="00301BE2">
          <w:rPr>
            <w:rStyle w:val="Hyperlink"/>
            <w:i/>
            <w:noProof/>
          </w:rPr>
          <w:t xml:space="preserve"> Change in spatial extent of seagrass meadows within a 100m radius of monitoring sites for each inshore intertidal habitat and monitoring period across the Mackay Whitsunday NRM region.</w:t>
        </w:r>
        <w:r w:rsidR="00E6043D">
          <w:rPr>
            <w:noProof/>
            <w:webHidden/>
          </w:rPr>
          <w:tab/>
        </w:r>
        <w:r w:rsidR="00E6043D">
          <w:rPr>
            <w:noProof/>
            <w:webHidden/>
          </w:rPr>
          <w:fldChar w:fldCharType="begin"/>
        </w:r>
        <w:r w:rsidR="00E6043D">
          <w:rPr>
            <w:noProof/>
            <w:webHidden/>
          </w:rPr>
          <w:instrText xml:space="preserve"> PAGEREF _Toc462684916 \h </w:instrText>
        </w:r>
        <w:r w:rsidR="00E6043D">
          <w:rPr>
            <w:noProof/>
            <w:webHidden/>
          </w:rPr>
        </w:r>
        <w:r w:rsidR="00E6043D">
          <w:rPr>
            <w:noProof/>
            <w:webHidden/>
          </w:rPr>
          <w:fldChar w:fldCharType="separate"/>
        </w:r>
        <w:r w:rsidR="00E6043D">
          <w:rPr>
            <w:noProof/>
            <w:webHidden/>
          </w:rPr>
          <w:t>74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7" w:history="1">
        <w:r w:rsidR="00E6043D" w:rsidRPr="00301BE2">
          <w:rPr>
            <w:rStyle w:val="Hyperlink"/>
            <w:noProof/>
          </w:rPr>
          <w:t xml:space="preserve">Figure 77. </w:t>
        </w:r>
        <w:r w:rsidR="00E6043D" w:rsidRPr="00301BE2">
          <w:rPr>
            <w:rStyle w:val="Hyperlink"/>
            <w:i/>
            <w:noProof/>
          </w:rPr>
          <w:t>Seed bank and late dry season reproductive effort at inshore intertidal coast, estuary, and reef habitats in the Mackay Whitsunday region, 2001 - 2015.</w:t>
        </w:r>
        <w:r w:rsidR="00E6043D">
          <w:rPr>
            <w:noProof/>
            <w:webHidden/>
          </w:rPr>
          <w:tab/>
        </w:r>
        <w:r w:rsidR="00E6043D">
          <w:rPr>
            <w:noProof/>
            <w:webHidden/>
          </w:rPr>
          <w:fldChar w:fldCharType="begin"/>
        </w:r>
        <w:r w:rsidR="00E6043D">
          <w:rPr>
            <w:noProof/>
            <w:webHidden/>
          </w:rPr>
          <w:instrText xml:space="preserve"> PAGEREF _Toc462684917 \h </w:instrText>
        </w:r>
        <w:r w:rsidR="00E6043D">
          <w:rPr>
            <w:noProof/>
            <w:webHidden/>
          </w:rPr>
        </w:r>
        <w:r w:rsidR="00E6043D">
          <w:rPr>
            <w:noProof/>
            <w:webHidden/>
          </w:rPr>
          <w:fldChar w:fldCharType="separate"/>
        </w:r>
        <w:r w:rsidR="00E6043D">
          <w:rPr>
            <w:noProof/>
            <w:webHidden/>
          </w:rPr>
          <w:t>75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8" w:history="1">
        <w:r w:rsidR="00E6043D" w:rsidRPr="00301BE2">
          <w:rPr>
            <w:rStyle w:val="Hyperlink"/>
            <w:noProof/>
          </w:rPr>
          <w:t xml:space="preserve">Figure 78. </w:t>
        </w:r>
        <w:r w:rsidR="00E6043D" w:rsidRPr="00301BE2">
          <w:rPr>
            <w:rStyle w:val="Hyperlink"/>
            <w:i/>
            <w:noProof/>
            <w:lang w:eastAsia="en-AU"/>
          </w:rPr>
          <w:t xml:space="preserve">Elemental ratios (atomic) of seagrass leaf tissue C:N for </w:t>
        </w:r>
        <w:r w:rsidR="00E6043D" w:rsidRPr="00301BE2">
          <w:rPr>
            <w:rStyle w:val="Hyperlink"/>
            <w:i/>
            <w:noProof/>
          </w:rPr>
          <w:t>the foundation seagrass species examined at inshore intertidal habitats in the Mackay Whitsunday</w:t>
        </w:r>
        <w:r w:rsidR="00E6043D" w:rsidRPr="00301BE2">
          <w:rPr>
            <w:rStyle w:val="Hyperlink"/>
            <w:i/>
            <w:noProof/>
            <w:lang w:eastAsia="en-AU"/>
          </w:rPr>
          <w:t xml:space="preserve"> region, 2006 - 2014</w:t>
        </w:r>
        <w:r w:rsidR="00E6043D">
          <w:rPr>
            <w:noProof/>
            <w:webHidden/>
          </w:rPr>
          <w:tab/>
        </w:r>
        <w:r w:rsidR="00E6043D">
          <w:rPr>
            <w:noProof/>
            <w:webHidden/>
          </w:rPr>
          <w:fldChar w:fldCharType="begin"/>
        </w:r>
        <w:r w:rsidR="00E6043D">
          <w:rPr>
            <w:noProof/>
            <w:webHidden/>
          </w:rPr>
          <w:instrText xml:space="preserve"> PAGEREF _Toc462684918 \h </w:instrText>
        </w:r>
        <w:r w:rsidR="00E6043D">
          <w:rPr>
            <w:noProof/>
            <w:webHidden/>
          </w:rPr>
        </w:r>
        <w:r w:rsidR="00E6043D">
          <w:rPr>
            <w:noProof/>
            <w:webHidden/>
          </w:rPr>
          <w:fldChar w:fldCharType="separate"/>
        </w:r>
        <w:r w:rsidR="00E6043D">
          <w:rPr>
            <w:noProof/>
            <w:webHidden/>
          </w:rPr>
          <w:t>75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19" w:history="1">
        <w:r w:rsidR="00E6043D" w:rsidRPr="00301BE2">
          <w:rPr>
            <w:rStyle w:val="Hyperlink"/>
            <w:noProof/>
          </w:rPr>
          <w:t xml:space="preserve">Figure 79. </w:t>
        </w:r>
        <w:r w:rsidR="00E6043D" w:rsidRPr="00301BE2">
          <w:rPr>
            <w:rStyle w:val="Hyperlink"/>
            <w:i/>
            <w:iCs/>
            <w:noProof/>
            <w:lang w:eastAsia="en-AU"/>
          </w:rPr>
          <w:t xml:space="preserve">Elemental ratios (atomic) of seagrass leaf tissue N:P and C:P </w:t>
        </w:r>
        <w:r w:rsidR="00E6043D" w:rsidRPr="00301BE2">
          <w:rPr>
            <w:rStyle w:val="Hyperlink"/>
            <w:i/>
            <w:iCs/>
            <w:noProof/>
          </w:rPr>
          <w:t xml:space="preserve">for the foundation seagrass species examined at </w:t>
        </w:r>
        <w:r w:rsidR="00E6043D" w:rsidRPr="00301BE2">
          <w:rPr>
            <w:rStyle w:val="Hyperlink"/>
            <w:i/>
            <w:noProof/>
          </w:rPr>
          <w:t>inshore intertidal habitats in the Mackay Whitsunday</w:t>
        </w:r>
        <w:r w:rsidR="00E6043D" w:rsidRPr="00301BE2">
          <w:rPr>
            <w:rStyle w:val="Hyperlink"/>
            <w:i/>
            <w:noProof/>
            <w:lang w:eastAsia="en-AU"/>
          </w:rPr>
          <w:t xml:space="preserve"> region, 2006 - 2014</w:t>
        </w:r>
        <w:r w:rsidR="00E6043D">
          <w:rPr>
            <w:noProof/>
            <w:webHidden/>
          </w:rPr>
          <w:tab/>
        </w:r>
        <w:r w:rsidR="00E6043D">
          <w:rPr>
            <w:noProof/>
            <w:webHidden/>
          </w:rPr>
          <w:fldChar w:fldCharType="begin"/>
        </w:r>
        <w:r w:rsidR="00E6043D">
          <w:rPr>
            <w:noProof/>
            <w:webHidden/>
          </w:rPr>
          <w:instrText xml:space="preserve"> PAGEREF _Toc462684919 \h </w:instrText>
        </w:r>
        <w:r w:rsidR="00E6043D">
          <w:rPr>
            <w:noProof/>
            <w:webHidden/>
          </w:rPr>
        </w:r>
        <w:r w:rsidR="00E6043D">
          <w:rPr>
            <w:noProof/>
            <w:webHidden/>
          </w:rPr>
          <w:fldChar w:fldCharType="separate"/>
        </w:r>
        <w:r w:rsidR="00E6043D">
          <w:rPr>
            <w:noProof/>
            <w:webHidden/>
          </w:rPr>
          <w:t>76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0" w:history="1">
        <w:r w:rsidR="00E6043D" w:rsidRPr="00301BE2">
          <w:rPr>
            <w:rStyle w:val="Hyperlink"/>
            <w:noProof/>
          </w:rPr>
          <w:t xml:space="preserve">Figure 80. </w:t>
        </w:r>
        <w:r w:rsidR="00E6043D" w:rsidRPr="00301BE2">
          <w:rPr>
            <w:rStyle w:val="Hyperlink"/>
            <w:i/>
            <w:noProof/>
          </w:rPr>
          <w:t>Long-term trend in mean epiphyte and macroalgae abundance (% cover) relative to the long-term average for each inshore intertidal habitat in the Mackay Whitsunday region, 1999 - 2015</w:t>
        </w:r>
        <w:r w:rsidR="00E6043D">
          <w:rPr>
            <w:noProof/>
            <w:webHidden/>
          </w:rPr>
          <w:tab/>
        </w:r>
        <w:r w:rsidR="00E6043D">
          <w:rPr>
            <w:noProof/>
            <w:webHidden/>
          </w:rPr>
          <w:fldChar w:fldCharType="begin"/>
        </w:r>
        <w:r w:rsidR="00E6043D">
          <w:rPr>
            <w:noProof/>
            <w:webHidden/>
          </w:rPr>
          <w:instrText xml:space="preserve"> PAGEREF _Toc462684920 \h </w:instrText>
        </w:r>
        <w:r w:rsidR="00E6043D">
          <w:rPr>
            <w:noProof/>
            <w:webHidden/>
          </w:rPr>
        </w:r>
        <w:r w:rsidR="00E6043D">
          <w:rPr>
            <w:noProof/>
            <w:webHidden/>
          </w:rPr>
          <w:fldChar w:fldCharType="separate"/>
        </w:r>
        <w:r w:rsidR="00E6043D">
          <w:rPr>
            <w:noProof/>
            <w:webHidden/>
          </w:rPr>
          <w:t>77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1" w:history="1">
        <w:r w:rsidR="00E6043D" w:rsidRPr="00301BE2">
          <w:rPr>
            <w:rStyle w:val="Hyperlink"/>
            <w:noProof/>
          </w:rPr>
          <w:t xml:space="preserve">Figure 81. </w:t>
        </w:r>
        <w:r w:rsidR="00E6043D" w:rsidRPr="00301BE2">
          <w:rPr>
            <w:rStyle w:val="Hyperlink"/>
            <w:i/>
            <w:noProof/>
          </w:rPr>
          <w:t>Report card of seagrass status indicators and index for the Fitzroy NRM region</w:t>
        </w:r>
        <w:r w:rsidR="00E6043D">
          <w:rPr>
            <w:noProof/>
            <w:webHidden/>
          </w:rPr>
          <w:tab/>
        </w:r>
        <w:r w:rsidR="00E6043D">
          <w:rPr>
            <w:noProof/>
            <w:webHidden/>
          </w:rPr>
          <w:fldChar w:fldCharType="begin"/>
        </w:r>
        <w:r w:rsidR="00E6043D">
          <w:rPr>
            <w:noProof/>
            <w:webHidden/>
          </w:rPr>
          <w:instrText xml:space="preserve"> PAGEREF _Toc462684921 \h </w:instrText>
        </w:r>
        <w:r w:rsidR="00E6043D">
          <w:rPr>
            <w:noProof/>
            <w:webHidden/>
          </w:rPr>
        </w:r>
        <w:r w:rsidR="00E6043D">
          <w:rPr>
            <w:noProof/>
            <w:webHidden/>
          </w:rPr>
          <w:fldChar w:fldCharType="separate"/>
        </w:r>
        <w:r w:rsidR="00E6043D">
          <w:rPr>
            <w:noProof/>
            <w:webHidden/>
          </w:rPr>
          <w:t>79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2" w:history="1">
        <w:r w:rsidR="00E6043D" w:rsidRPr="00301BE2">
          <w:rPr>
            <w:rStyle w:val="Hyperlink"/>
            <w:noProof/>
          </w:rPr>
          <w:t xml:space="preserve">Figure 82.  </w:t>
        </w:r>
        <w:r w:rsidR="00E6043D" w:rsidRPr="00301BE2">
          <w:rPr>
            <w:rStyle w:val="Hyperlink"/>
            <w:i/>
            <w:noProof/>
          </w:rPr>
          <w:t>Frequency of exposure to plume water in the Fitzroy NRM, wet season (22 weeks from December 2014 – April 2015) composite.</w:t>
        </w:r>
        <w:r w:rsidR="00E6043D">
          <w:rPr>
            <w:noProof/>
            <w:webHidden/>
          </w:rPr>
          <w:tab/>
        </w:r>
        <w:r w:rsidR="00E6043D">
          <w:rPr>
            <w:noProof/>
            <w:webHidden/>
          </w:rPr>
          <w:fldChar w:fldCharType="begin"/>
        </w:r>
        <w:r w:rsidR="00E6043D">
          <w:rPr>
            <w:noProof/>
            <w:webHidden/>
          </w:rPr>
          <w:instrText xml:space="preserve"> PAGEREF _Toc462684922 \h </w:instrText>
        </w:r>
        <w:r w:rsidR="00E6043D">
          <w:rPr>
            <w:noProof/>
            <w:webHidden/>
          </w:rPr>
        </w:r>
        <w:r w:rsidR="00E6043D">
          <w:rPr>
            <w:noProof/>
            <w:webHidden/>
          </w:rPr>
          <w:fldChar w:fldCharType="separate"/>
        </w:r>
        <w:r w:rsidR="00E6043D">
          <w:rPr>
            <w:noProof/>
            <w:webHidden/>
          </w:rPr>
          <w:t>80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3" w:history="1">
        <w:r w:rsidR="00E6043D" w:rsidRPr="00301BE2">
          <w:rPr>
            <w:rStyle w:val="Hyperlink"/>
            <w:noProof/>
          </w:rPr>
          <w:t xml:space="preserve">Figure 83.  </w:t>
        </w:r>
        <w:r w:rsidR="00E6043D" w:rsidRPr="00301BE2">
          <w:rPr>
            <w:rStyle w:val="Hyperlink"/>
            <w:i/>
            <w:noProof/>
          </w:rPr>
          <w:t>Mean daily light at Fitzroy sites with 28-d rolling average from 2012 to 2015 (left) and GAM plots (right)</w:t>
        </w:r>
        <w:r w:rsidR="00E6043D">
          <w:rPr>
            <w:noProof/>
            <w:webHidden/>
          </w:rPr>
          <w:tab/>
        </w:r>
        <w:r w:rsidR="00E6043D">
          <w:rPr>
            <w:noProof/>
            <w:webHidden/>
          </w:rPr>
          <w:fldChar w:fldCharType="begin"/>
        </w:r>
        <w:r w:rsidR="00E6043D">
          <w:rPr>
            <w:noProof/>
            <w:webHidden/>
          </w:rPr>
          <w:instrText xml:space="preserve"> PAGEREF _Toc462684923 \h </w:instrText>
        </w:r>
        <w:r w:rsidR="00E6043D">
          <w:rPr>
            <w:noProof/>
            <w:webHidden/>
          </w:rPr>
        </w:r>
        <w:r w:rsidR="00E6043D">
          <w:rPr>
            <w:noProof/>
            <w:webHidden/>
          </w:rPr>
          <w:fldChar w:fldCharType="separate"/>
        </w:r>
        <w:r w:rsidR="00E6043D">
          <w:rPr>
            <w:noProof/>
            <w:webHidden/>
          </w:rPr>
          <w:t>81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4" w:history="1">
        <w:r w:rsidR="00E6043D" w:rsidRPr="00301BE2">
          <w:rPr>
            <w:rStyle w:val="Hyperlink"/>
            <w:noProof/>
          </w:rPr>
          <w:t xml:space="preserve">Figure 84. </w:t>
        </w:r>
        <w:r w:rsidR="00E6043D" w:rsidRPr="00301BE2">
          <w:rPr>
            <w:rStyle w:val="Hyperlink"/>
            <w:i/>
            <w:noProof/>
          </w:rPr>
          <w:t>Inshore sea temperatures within each intertidal seagrass habitat in the Fitzroy region, May 2007 - June 2015</w:t>
        </w:r>
        <w:r w:rsidR="00E6043D">
          <w:rPr>
            <w:noProof/>
            <w:webHidden/>
          </w:rPr>
          <w:tab/>
        </w:r>
        <w:r w:rsidR="00E6043D">
          <w:rPr>
            <w:noProof/>
            <w:webHidden/>
          </w:rPr>
          <w:fldChar w:fldCharType="begin"/>
        </w:r>
        <w:r w:rsidR="00E6043D">
          <w:rPr>
            <w:noProof/>
            <w:webHidden/>
          </w:rPr>
          <w:instrText xml:space="preserve"> PAGEREF _Toc462684924 \h </w:instrText>
        </w:r>
        <w:r w:rsidR="00E6043D">
          <w:rPr>
            <w:noProof/>
            <w:webHidden/>
          </w:rPr>
        </w:r>
        <w:r w:rsidR="00E6043D">
          <w:rPr>
            <w:noProof/>
            <w:webHidden/>
          </w:rPr>
          <w:fldChar w:fldCharType="separate"/>
        </w:r>
        <w:r w:rsidR="00E6043D">
          <w:rPr>
            <w:noProof/>
            <w:webHidden/>
          </w:rPr>
          <w:t>81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5" w:history="1">
        <w:r w:rsidR="00E6043D" w:rsidRPr="00301BE2">
          <w:rPr>
            <w:rStyle w:val="Hyperlink"/>
            <w:noProof/>
          </w:rPr>
          <w:t xml:space="preserve">Figure 85. </w:t>
        </w:r>
        <w:r w:rsidR="00E6043D" w:rsidRPr="00301BE2">
          <w:rPr>
            <w:rStyle w:val="Hyperlink"/>
            <w:i/>
            <w:noProof/>
          </w:rPr>
          <w:t>Changes in seagrass abundance (% cover ±Standard Error) in inshore intertidal habitats of the Fitzroy region, 2001 - 2015</w:t>
        </w:r>
        <w:r w:rsidR="00E6043D">
          <w:rPr>
            <w:noProof/>
            <w:webHidden/>
          </w:rPr>
          <w:tab/>
        </w:r>
        <w:r w:rsidR="00E6043D">
          <w:rPr>
            <w:noProof/>
            <w:webHidden/>
          </w:rPr>
          <w:fldChar w:fldCharType="begin"/>
        </w:r>
        <w:r w:rsidR="00E6043D">
          <w:rPr>
            <w:noProof/>
            <w:webHidden/>
          </w:rPr>
          <w:instrText xml:space="preserve"> PAGEREF _Toc462684925 \h </w:instrText>
        </w:r>
        <w:r w:rsidR="00E6043D">
          <w:rPr>
            <w:noProof/>
            <w:webHidden/>
          </w:rPr>
        </w:r>
        <w:r w:rsidR="00E6043D">
          <w:rPr>
            <w:noProof/>
            <w:webHidden/>
          </w:rPr>
          <w:fldChar w:fldCharType="separate"/>
        </w:r>
        <w:r w:rsidR="00E6043D">
          <w:rPr>
            <w:noProof/>
            <w:webHidden/>
          </w:rPr>
          <w:t>82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6" w:history="1">
        <w:r w:rsidR="00E6043D" w:rsidRPr="00301BE2">
          <w:rPr>
            <w:rStyle w:val="Hyperlink"/>
            <w:noProof/>
          </w:rPr>
          <w:t xml:space="preserve">Figure 86.  </w:t>
        </w:r>
        <w:r w:rsidR="00E6043D" w:rsidRPr="00301BE2">
          <w:rPr>
            <w:rStyle w:val="Hyperlink"/>
            <w:i/>
            <w:noProof/>
          </w:rPr>
          <w:t>Temporal</w:t>
        </w:r>
        <w:r w:rsidR="00E6043D" w:rsidRPr="00301BE2">
          <w:rPr>
            <w:rStyle w:val="Hyperlink"/>
            <w:noProof/>
          </w:rPr>
          <w:t xml:space="preserve"> </w:t>
        </w:r>
        <w:r w:rsidR="00E6043D" w:rsidRPr="00301BE2">
          <w:rPr>
            <w:rStyle w:val="Hyperlink"/>
            <w:i/>
            <w:noProof/>
          </w:rPr>
          <w:t>trends in seagrass abundance for each habitat in the Fitzroy region, represented by a GAM plot 2001-2015.</w:t>
        </w:r>
        <w:r w:rsidR="00E6043D">
          <w:rPr>
            <w:noProof/>
            <w:webHidden/>
          </w:rPr>
          <w:tab/>
        </w:r>
        <w:r w:rsidR="00E6043D">
          <w:rPr>
            <w:noProof/>
            <w:webHidden/>
          </w:rPr>
          <w:fldChar w:fldCharType="begin"/>
        </w:r>
        <w:r w:rsidR="00E6043D">
          <w:rPr>
            <w:noProof/>
            <w:webHidden/>
          </w:rPr>
          <w:instrText xml:space="preserve"> PAGEREF _Toc462684926 \h </w:instrText>
        </w:r>
        <w:r w:rsidR="00E6043D">
          <w:rPr>
            <w:noProof/>
            <w:webHidden/>
          </w:rPr>
        </w:r>
        <w:r w:rsidR="00E6043D">
          <w:rPr>
            <w:noProof/>
            <w:webHidden/>
          </w:rPr>
          <w:fldChar w:fldCharType="separate"/>
        </w:r>
        <w:r w:rsidR="00E6043D">
          <w:rPr>
            <w:noProof/>
            <w:webHidden/>
          </w:rPr>
          <w:t>82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7" w:history="1">
        <w:r w:rsidR="00E6043D" w:rsidRPr="00301BE2">
          <w:rPr>
            <w:rStyle w:val="Hyperlink"/>
            <w:noProof/>
          </w:rPr>
          <w:t xml:space="preserve">Figure 87. </w:t>
        </w:r>
        <w:r w:rsidR="00E6043D" w:rsidRPr="00301BE2">
          <w:rPr>
            <w:rStyle w:val="Hyperlink"/>
            <w:i/>
            <w:noProof/>
          </w:rPr>
          <w:t>Proportion of seagrass abundance composed of colonising species in inshore intertidal habitats of the Fitzroy region, 2001 - 2015.</w:t>
        </w:r>
        <w:r w:rsidR="00E6043D">
          <w:rPr>
            <w:noProof/>
            <w:webHidden/>
          </w:rPr>
          <w:tab/>
        </w:r>
        <w:r w:rsidR="00E6043D">
          <w:rPr>
            <w:noProof/>
            <w:webHidden/>
          </w:rPr>
          <w:fldChar w:fldCharType="begin"/>
        </w:r>
        <w:r w:rsidR="00E6043D">
          <w:rPr>
            <w:noProof/>
            <w:webHidden/>
          </w:rPr>
          <w:instrText xml:space="preserve"> PAGEREF _Toc462684927 \h </w:instrText>
        </w:r>
        <w:r w:rsidR="00E6043D">
          <w:rPr>
            <w:noProof/>
            <w:webHidden/>
          </w:rPr>
        </w:r>
        <w:r w:rsidR="00E6043D">
          <w:rPr>
            <w:noProof/>
            <w:webHidden/>
          </w:rPr>
          <w:fldChar w:fldCharType="separate"/>
        </w:r>
        <w:r w:rsidR="00E6043D">
          <w:rPr>
            <w:noProof/>
            <w:webHidden/>
          </w:rPr>
          <w:t>83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8" w:history="1">
        <w:r w:rsidR="00E6043D" w:rsidRPr="00301BE2">
          <w:rPr>
            <w:rStyle w:val="Hyperlink"/>
            <w:noProof/>
          </w:rPr>
          <w:t xml:space="preserve">Figure 88. </w:t>
        </w:r>
        <w:r w:rsidR="00E6043D" w:rsidRPr="00301BE2">
          <w:rPr>
            <w:rStyle w:val="Hyperlink"/>
            <w:i/>
            <w:noProof/>
          </w:rPr>
          <w:t>Change in spatial extent of seagrass meadows within a 100m radius of monitoring sites for each inshore intertidal habitat across the Fitzroy NRM region, 2005 - 2015.</w:t>
        </w:r>
        <w:r w:rsidR="00E6043D">
          <w:rPr>
            <w:noProof/>
            <w:webHidden/>
          </w:rPr>
          <w:tab/>
        </w:r>
        <w:r w:rsidR="00E6043D">
          <w:rPr>
            <w:noProof/>
            <w:webHidden/>
          </w:rPr>
          <w:fldChar w:fldCharType="begin"/>
        </w:r>
        <w:r w:rsidR="00E6043D">
          <w:rPr>
            <w:noProof/>
            <w:webHidden/>
          </w:rPr>
          <w:instrText xml:space="preserve"> PAGEREF _Toc462684928 \h </w:instrText>
        </w:r>
        <w:r w:rsidR="00E6043D">
          <w:rPr>
            <w:noProof/>
            <w:webHidden/>
          </w:rPr>
        </w:r>
        <w:r w:rsidR="00E6043D">
          <w:rPr>
            <w:noProof/>
            <w:webHidden/>
          </w:rPr>
          <w:fldChar w:fldCharType="separate"/>
        </w:r>
        <w:r w:rsidR="00E6043D">
          <w:rPr>
            <w:noProof/>
            <w:webHidden/>
          </w:rPr>
          <w:t>83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29" w:history="1">
        <w:r w:rsidR="00E6043D" w:rsidRPr="00301BE2">
          <w:rPr>
            <w:rStyle w:val="Hyperlink"/>
            <w:noProof/>
          </w:rPr>
          <w:t>Figure 89.</w:t>
        </w:r>
        <w:r w:rsidR="00E6043D" w:rsidRPr="00301BE2">
          <w:rPr>
            <w:rStyle w:val="Hyperlink"/>
            <w:i/>
            <w:noProof/>
          </w:rPr>
          <w:t xml:space="preserve"> Seed bank and late dry season reproductive effort for inshore intertidal coastal, estuary and reef habitats in the Fitzroy region, 2005 - 2015.</w:t>
        </w:r>
        <w:r w:rsidR="00E6043D">
          <w:rPr>
            <w:noProof/>
            <w:webHidden/>
          </w:rPr>
          <w:tab/>
        </w:r>
        <w:r w:rsidR="00E6043D">
          <w:rPr>
            <w:noProof/>
            <w:webHidden/>
          </w:rPr>
          <w:fldChar w:fldCharType="begin"/>
        </w:r>
        <w:r w:rsidR="00E6043D">
          <w:rPr>
            <w:noProof/>
            <w:webHidden/>
          </w:rPr>
          <w:instrText xml:space="preserve"> PAGEREF _Toc462684929 \h </w:instrText>
        </w:r>
        <w:r w:rsidR="00E6043D">
          <w:rPr>
            <w:noProof/>
            <w:webHidden/>
          </w:rPr>
        </w:r>
        <w:r w:rsidR="00E6043D">
          <w:rPr>
            <w:noProof/>
            <w:webHidden/>
          </w:rPr>
          <w:fldChar w:fldCharType="separate"/>
        </w:r>
        <w:r w:rsidR="00E6043D">
          <w:rPr>
            <w:noProof/>
            <w:webHidden/>
          </w:rPr>
          <w:t>84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0" w:history="1">
        <w:r w:rsidR="00E6043D" w:rsidRPr="00301BE2">
          <w:rPr>
            <w:rStyle w:val="Hyperlink"/>
            <w:noProof/>
          </w:rPr>
          <w:t xml:space="preserve">Figure 90. </w:t>
        </w:r>
        <w:r w:rsidR="00E6043D" w:rsidRPr="00301BE2">
          <w:rPr>
            <w:rStyle w:val="Hyperlink"/>
            <w:i/>
            <w:noProof/>
            <w:lang w:eastAsia="en-AU"/>
          </w:rPr>
          <w:t xml:space="preserve">Elemental ratios (atomic) of seagrass leaf tissue C:N for </w:t>
        </w:r>
        <w:r w:rsidR="00E6043D" w:rsidRPr="00301BE2">
          <w:rPr>
            <w:rStyle w:val="Hyperlink"/>
            <w:i/>
            <w:noProof/>
          </w:rPr>
          <w:t>the foundation seagrass species examined at inshore intertidal habitats in the Fitzroy region, 2005 - 2014</w:t>
        </w:r>
        <w:r w:rsidR="00E6043D">
          <w:rPr>
            <w:noProof/>
            <w:webHidden/>
          </w:rPr>
          <w:tab/>
        </w:r>
        <w:r w:rsidR="00E6043D">
          <w:rPr>
            <w:noProof/>
            <w:webHidden/>
          </w:rPr>
          <w:fldChar w:fldCharType="begin"/>
        </w:r>
        <w:r w:rsidR="00E6043D">
          <w:rPr>
            <w:noProof/>
            <w:webHidden/>
          </w:rPr>
          <w:instrText xml:space="preserve"> PAGEREF _Toc462684930 \h </w:instrText>
        </w:r>
        <w:r w:rsidR="00E6043D">
          <w:rPr>
            <w:noProof/>
            <w:webHidden/>
          </w:rPr>
        </w:r>
        <w:r w:rsidR="00E6043D">
          <w:rPr>
            <w:noProof/>
            <w:webHidden/>
          </w:rPr>
          <w:fldChar w:fldCharType="separate"/>
        </w:r>
        <w:r w:rsidR="00E6043D">
          <w:rPr>
            <w:noProof/>
            <w:webHidden/>
          </w:rPr>
          <w:t>85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1" w:history="1">
        <w:r w:rsidR="00E6043D" w:rsidRPr="00301BE2">
          <w:rPr>
            <w:rStyle w:val="Hyperlink"/>
            <w:noProof/>
          </w:rPr>
          <w:t xml:space="preserve">Figure 91. </w:t>
        </w:r>
        <w:r w:rsidR="00E6043D" w:rsidRPr="00301BE2">
          <w:rPr>
            <w:rStyle w:val="Hyperlink"/>
            <w:i/>
            <w:iCs/>
            <w:noProof/>
            <w:lang w:eastAsia="en-AU"/>
          </w:rPr>
          <w:t xml:space="preserve">Elemental ratios (atomic) of seagrass leaf tissue N:P and C:P </w:t>
        </w:r>
        <w:r w:rsidR="00E6043D" w:rsidRPr="00301BE2">
          <w:rPr>
            <w:rStyle w:val="Hyperlink"/>
            <w:i/>
            <w:iCs/>
            <w:noProof/>
          </w:rPr>
          <w:t xml:space="preserve">for the foundation seagrass species </w:t>
        </w:r>
        <w:r w:rsidR="00E6043D" w:rsidRPr="00301BE2">
          <w:rPr>
            <w:rStyle w:val="Hyperlink"/>
            <w:i/>
            <w:noProof/>
          </w:rPr>
          <w:t>examined at inshore intertidal habitats in the Fitzroy region, 2005 - 2014</w:t>
        </w:r>
        <w:r w:rsidR="00E6043D">
          <w:rPr>
            <w:noProof/>
            <w:webHidden/>
          </w:rPr>
          <w:tab/>
        </w:r>
        <w:r w:rsidR="00E6043D">
          <w:rPr>
            <w:noProof/>
            <w:webHidden/>
          </w:rPr>
          <w:fldChar w:fldCharType="begin"/>
        </w:r>
        <w:r w:rsidR="00E6043D">
          <w:rPr>
            <w:noProof/>
            <w:webHidden/>
          </w:rPr>
          <w:instrText xml:space="preserve"> PAGEREF _Toc462684931 \h </w:instrText>
        </w:r>
        <w:r w:rsidR="00E6043D">
          <w:rPr>
            <w:noProof/>
            <w:webHidden/>
          </w:rPr>
        </w:r>
        <w:r w:rsidR="00E6043D">
          <w:rPr>
            <w:noProof/>
            <w:webHidden/>
          </w:rPr>
          <w:fldChar w:fldCharType="separate"/>
        </w:r>
        <w:r w:rsidR="00E6043D">
          <w:rPr>
            <w:noProof/>
            <w:webHidden/>
          </w:rPr>
          <w:t>85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2" w:history="1">
        <w:r w:rsidR="00E6043D" w:rsidRPr="00301BE2">
          <w:rPr>
            <w:rStyle w:val="Hyperlink"/>
            <w:noProof/>
          </w:rPr>
          <w:t xml:space="preserve">Figure 92. </w:t>
        </w:r>
        <w:r w:rsidR="00E6043D" w:rsidRPr="00301BE2">
          <w:rPr>
            <w:rStyle w:val="Hyperlink"/>
            <w:i/>
            <w:noProof/>
          </w:rPr>
          <w:t>Long-term trend in mean epiphyte and macroalgae abundance (% cover) relative to the long-term average for each inshore intertidal seagrass habitat in the Fitzroy region, 2005 - 2014</w:t>
        </w:r>
        <w:r w:rsidR="00E6043D">
          <w:rPr>
            <w:noProof/>
            <w:webHidden/>
          </w:rPr>
          <w:tab/>
        </w:r>
        <w:r w:rsidR="00E6043D">
          <w:rPr>
            <w:noProof/>
            <w:webHidden/>
          </w:rPr>
          <w:fldChar w:fldCharType="begin"/>
        </w:r>
        <w:r w:rsidR="00E6043D">
          <w:rPr>
            <w:noProof/>
            <w:webHidden/>
          </w:rPr>
          <w:instrText xml:space="preserve"> PAGEREF _Toc462684932 \h </w:instrText>
        </w:r>
        <w:r w:rsidR="00E6043D">
          <w:rPr>
            <w:noProof/>
            <w:webHidden/>
          </w:rPr>
        </w:r>
        <w:r w:rsidR="00E6043D">
          <w:rPr>
            <w:noProof/>
            <w:webHidden/>
          </w:rPr>
          <w:fldChar w:fldCharType="separate"/>
        </w:r>
        <w:r w:rsidR="00E6043D">
          <w:rPr>
            <w:noProof/>
            <w:webHidden/>
          </w:rPr>
          <w:t>86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3" w:history="1">
        <w:r w:rsidR="00E6043D" w:rsidRPr="00301BE2">
          <w:rPr>
            <w:rStyle w:val="Hyperlink"/>
            <w:noProof/>
          </w:rPr>
          <w:t xml:space="preserve">Figure 93. </w:t>
        </w:r>
        <w:r w:rsidR="00E6043D" w:rsidRPr="00301BE2">
          <w:rPr>
            <w:rStyle w:val="Hyperlink"/>
            <w:i/>
            <w:noProof/>
          </w:rPr>
          <w:t>Report card of seagrass status indicators and index for the Fitzroy NRM region</w:t>
        </w:r>
        <w:r w:rsidR="00E6043D">
          <w:rPr>
            <w:noProof/>
            <w:webHidden/>
          </w:rPr>
          <w:tab/>
        </w:r>
        <w:r w:rsidR="00E6043D">
          <w:rPr>
            <w:noProof/>
            <w:webHidden/>
          </w:rPr>
          <w:fldChar w:fldCharType="begin"/>
        </w:r>
        <w:r w:rsidR="00E6043D">
          <w:rPr>
            <w:noProof/>
            <w:webHidden/>
          </w:rPr>
          <w:instrText xml:space="preserve"> PAGEREF _Toc462684933 \h </w:instrText>
        </w:r>
        <w:r w:rsidR="00E6043D">
          <w:rPr>
            <w:noProof/>
            <w:webHidden/>
          </w:rPr>
        </w:r>
        <w:r w:rsidR="00E6043D">
          <w:rPr>
            <w:noProof/>
            <w:webHidden/>
          </w:rPr>
          <w:fldChar w:fldCharType="separate"/>
        </w:r>
        <w:r w:rsidR="00E6043D">
          <w:rPr>
            <w:noProof/>
            <w:webHidden/>
          </w:rPr>
          <w:t>87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4" w:history="1">
        <w:r w:rsidR="00E6043D" w:rsidRPr="00301BE2">
          <w:rPr>
            <w:rStyle w:val="Hyperlink"/>
            <w:i/>
            <w:noProof/>
          </w:rPr>
          <w:t>Figure 94.  Frequency of exposure to plume water in the Burnett Mary NRM, wet season (22 weeks from December 2014 – April 2015) composite</w:t>
        </w:r>
        <w:r w:rsidR="00E6043D">
          <w:rPr>
            <w:noProof/>
            <w:webHidden/>
          </w:rPr>
          <w:tab/>
        </w:r>
        <w:r w:rsidR="00E6043D">
          <w:rPr>
            <w:noProof/>
            <w:webHidden/>
          </w:rPr>
          <w:fldChar w:fldCharType="begin"/>
        </w:r>
        <w:r w:rsidR="00E6043D">
          <w:rPr>
            <w:noProof/>
            <w:webHidden/>
          </w:rPr>
          <w:instrText xml:space="preserve"> PAGEREF _Toc462684934 \h </w:instrText>
        </w:r>
        <w:r w:rsidR="00E6043D">
          <w:rPr>
            <w:noProof/>
            <w:webHidden/>
          </w:rPr>
        </w:r>
        <w:r w:rsidR="00E6043D">
          <w:rPr>
            <w:noProof/>
            <w:webHidden/>
          </w:rPr>
          <w:fldChar w:fldCharType="separate"/>
        </w:r>
        <w:r w:rsidR="00E6043D">
          <w:rPr>
            <w:noProof/>
            <w:webHidden/>
          </w:rPr>
          <w:t>88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5" w:history="1">
        <w:r w:rsidR="00E6043D" w:rsidRPr="00301BE2">
          <w:rPr>
            <w:rStyle w:val="Hyperlink"/>
            <w:noProof/>
          </w:rPr>
          <w:t xml:space="preserve">Figure 95.  </w:t>
        </w:r>
        <w:r w:rsidR="00E6043D" w:rsidRPr="00301BE2">
          <w:rPr>
            <w:rStyle w:val="Hyperlink"/>
            <w:i/>
            <w:noProof/>
          </w:rPr>
          <w:t>Daily light at Burnett Mary locations from 2010 to 2015 (left) and GAM plots  (right)</w:t>
        </w:r>
        <w:r w:rsidR="00E6043D">
          <w:rPr>
            <w:noProof/>
            <w:webHidden/>
          </w:rPr>
          <w:tab/>
        </w:r>
        <w:r w:rsidR="00E6043D">
          <w:rPr>
            <w:noProof/>
            <w:webHidden/>
          </w:rPr>
          <w:fldChar w:fldCharType="begin"/>
        </w:r>
        <w:r w:rsidR="00E6043D">
          <w:rPr>
            <w:noProof/>
            <w:webHidden/>
          </w:rPr>
          <w:instrText xml:space="preserve"> PAGEREF _Toc462684935 \h </w:instrText>
        </w:r>
        <w:r w:rsidR="00E6043D">
          <w:rPr>
            <w:noProof/>
            <w:webHidden/>
          </w:rPr>
        </w:r>
        <w:r w:rsidR="00E6043D">
          <w:rPr>
            <w:noProof/>
            <w:webHidden/>
          </w:rPr>
          <w:fldChar w:fldCharType="separate"/>
        </w:r>
        <w:r w:rsidR="00E6043D">
          <w:rPr>
            <w:noProof/>
            <w:webHidden/>
          </w:rPr>
          <w:t>89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6" w:history="1">
        <w:r w:rsidR="00E6043D" w:rsidRPr="00301BE2">
          <w:rPr>
            <w:rStyle w:val="Hyperlink"/>
            <w:noProof/>
          </w:rPr>
          <w:t xml:space="preserve">Figure 96. </w:t>
        </w:r>
        <w:r w:rsidR="00E6043D" w:rsidRPr="00301BE2">
          <w:rPr>
            <w:rStyle w:val="Hyperlink"/>
            <w:i/>
            <w:noProof/>
          </w:rPr>
          <w:t>Inshore sea temperature monitoring September 2005 to June 2015 for seagrass meadows in Burnett Mary NRM region</w:t>
        </w:r>
        <w:r w:rsidR="00E6043D">
          <w:rPr>
            <w:noProof/>
            <w:webHidden/>
          </w:rPr>
          <w:tab/>
        </w:r>
        <w:r w:rsidR="00E6043D">
          <w:rPr>
            <w:noProof/>
            <w:webHidden/>
          </w:rPr>
          <w:fldChar w:fldCharType="begin"/>
        </w:r>
        <w:r w:rsidR="00E6043D">
          <w:rPr>
            <w:noProof/>
            <w:webHidden/>
          </w:rPr>
          <w:instrText xml:space="preserve"> PAGEREF _Toc462684936 \h </w:instrText>
        </w:r>
        <w:r w:rsidR="00E6043D">
          <w:rPr>
            <w:noProof/>
            <w:webHidden/>
          </w:rPr>
        </w:r>
        <w:r w:rsidR="00E6043D">
          <w:rPr>
            <w:noProof/>
            <w:webHidden/>
          </w:rPr>
          <w:fldChar w:fldCharType="separate"/>
        </w:r>
        <w:r w:rsidR="00E6043D">
          <w:rPr>
            <w:noProof/>
            <w:webHidden/>
          </w:rPr>
          <w:t>89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7" w:history="1">
        <w:r w:rsidR="00E6043D" w:rsidRPr="00301BE2">
          <w:rPr>
            <w:rStyle w:val="Hyperlink"/>
            <w:noProof/>
          </w:rPr>
          <w:t xml:space="preserve">Figure 97. </w:t>
        </w:r>
        <w:r w:rsidR="00E6043D" w:rsidRPr="00301BE2">
          <w:rPr>
            <w:rStyle w:val="Hyperlink"/>
            <w:i/>
            <w:noProof/>
          </w:rPr>
          <w:t>Changes in seagrass abundance (% cover ±Standard Error) at estuarine and coastal meadows in Burnett Mary region from 1999 to 2015.</w:t>
        </w:r>
        <w:r w:rsidR="00E6043D">
          <w:rPr>
            <w:noProof/>
            <w:webHidden/>
          </w:rPr>
          <w:tab/>
        </w:r>
        <w:r w:rsidR="00E6043D">
          <w:rPr>
            <w:noProof/>
            <w:webHidden/>
          </w:rPr>
          <w:fldChar w:fldCharType="begin"/>
        </w:r>
        <w:r w:rsidR="00E6043D">
          <w:rPr>
            <w:noProof/>
            <w:webHidden/>
          </w:rPr>
          <w:instrText xml:space="preserve"> PAGEREF _Toc462684937 \h </w:instrText>
        </w:r>
        <w:r w:rsidR="00E6043D">
          <w:rPr>
            <w:noProof/>
            <w:webHidden/>
          </w:rPr>
        </w:r>
        <w:r w:rsidR="00E6043D">
          <w:rPr>
            <w:noProof/>
            <w:webHidden/>
          </w:rPr>
          <w:fldChar w:fldCharType="separate"/>
        </w:r>
        <w:r w:rsidR="00E6043D">
          <w:rPr>
            <w:noProof/>
            <w:webHidden/>
          </w:rPr>
          <w:t>90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8" w:history="1">
        <w:r w:rsidR="00E6043D" w:rsidRPr="00301BE2">
          <w:rPr>
            <w:rStyle w:val="Hyperlink"/>
            <w:noProof/>
          </w:rPr>
          <w:t xml:space="preserve">Figure 98.  </w:t>
        </w:r>
        <w:r w:rsidR="00E6043D" w:rsidRPr="00301BE2">
          <w:rPr>
            <w:rStyle w:val="Hyperlink"/>
            <w:i/>
            <w:noProof/>
          </w:rPr>
          <w:t>Temporal trends in seagrass abundance at estuarine locations in the Burnett May region, represented by a GAM plot 1999-2015.</w:t>
        </w:r>
        <w:r w:rsidR="00E6043D">
          <w:rPr>
            <w:noProof/>
            <w:webHidden/>
          </w:rPr>
          <w:tab/>
        </w:r>
        <w:r w:rsidR="00E6043D">
          <w:rPr>
            <w:noProof/>
            <w:webHidden/>
          </w:rPr>
          <w:fldChar w:fldCharType="begin"/>
        </w:r>
        <w:r w:rsidR="00E6043D">
          <w:rPr>
            <w:noProof/>
            <w:webHidden/>
          </w:rPr>
          <w:instrText xml:space="preserve"> PAGEREF _Toc462684938 \h </w:instrText>
        </w:r>
        <w:r w:rsidR="00E6043D">
          <w:rPr>
            <w:noProof/>
            <w:webHidden/>
          </w:rPr>
        </w:r>
        <w:r w:rsidR="00E6043D">
          <w:rPr>
            <w:noProof/>
            <w:webHidden/>
          </w:rPr>
          <w:fldChar w:fldCharType="separate"/>
        </w:r>
        <w:r w:rsidR="00E6043D">
          <w:rPr>
            <w:noProof/>
            <w:webHidden/>
          </w:rPr>
          <w:t>91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39" w:history="1">
        <w:r w:rsidR="00E6043D" w:rsidRPr="00301BE2">
          <w:rPr>
            <w:rStyle w:val="Hyperlink"/>
            <w:noProof/>
          </w:rPr>
          <w:t xml:space="preserve">Figure 99. </w:t>
        </w:r>
        <w:r w:rsidR="00E6043D" w:rsidRPr="00301BE2">
          <w:rPr>
            <w:rStyle w:val="Hyperlink"/>
            <w:i/>
            <w:noProof/>
          </w:rPr>
          <w:t>Proportion of seagrass abundance composed of colonising species at: a. estuary and b. coastal habitats in the Burnett Mary region, 1998-2015.</w:t>
        </w:r>
        <w:r w:rsidR="00E6043D">
          <w:rPr>
            <w:noProof/>
            <w:webHidden/>
          </w:rPr>
          <w:tab/>
        </w:r>
        <w:r w:rsidR="00E6043D">
          <w:rPr>
            <w:noProof/>
            <w:webHidden/>
          </w:rPr>
          <w:fldChar w:fldCharType="begin"/>
        </w:r>
        <w:r w:rsidR="00E6043D">
          <w:rPr>
            <w:noProof/>
            <w:webHidden/>
          </w:rPr>
          <w:instrText xml:space="preserve"> PAGEREF _Toc462684939 \h </w:instrText>
        </w:r>
        <w:r w:rsidR="00E6043D">
          <w:rPr>
            <w:noProof/>
            <w:webHidden/>
          </w:rPr>
        </w:r>
        <w:r w:rsidR="00E6043D">
          <w:rPr>
            <w:noProof/>
            <w:webHidden/>
          </w:rPr>
          <w:fldChar w:fldCharType="separate"/>
        </w:r>
        <w:r w:rsidR="00E6043D">
          <w:rPr>
            <w:noProof/>
            <w:webHidden/>
          </w:rPr>
          <w:t>91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0" w:history="1">
        <w:r w:rsidR="00E6043D" w:rsidRPr="00301BE2">
          <w:rPr>
            <w:rStyle w:val="Hyperlink"/>
            <w:noProof/>
            <w:lang w:val="en-US"/>
          </w:rPr>
          <w:t xml:space="preserve">Figure 100. </w:t>
        </w:r>
        <w:r w:rsidR="00E6043D" w:rsidRPr="00301BE2">
          <w:rPr>
            <w:rStyle w:val="Hyperlink"/>
            <w:i/>
            <w:noProof/>
            <w:lang w:val="en-US"/>
          </w:rPr>
          <w:t>Change in spatial extent of seagrass meadows within a 100m radius of monitoring sites for each habitat and monitoring period across the Burnett Mary NRM region.</w:t>
        </w:r>
        <w:r w:rsidR="00E6043D">
          <w:rPr>
            <w:noProof/>
            <w:webHidden/>
          </w:rPr>
          <w:tab/>
        </w:r>
        <w:r w:rsidR="00E6043D">
          <w:rPr>
            <w:noProof/>
            <w:webHidden/>
          </w:rPr>
          <w:fldChar w:fldCharType="begin"/>
        </w:r>
        <w:r w:rsidR="00E6043D">
          <w:rPr>
            <w:noProof/>
            <w:webHidden/>
          </w:rPr>
          <w:instrText xml:space="preserve"> PAGEREF _Toc462684940 \h </w:instrText>
        </w:r>
        <w:r w:rsidR="00E6043D">
          <w:rPr>
            <w:noProof/>
            <w:webHidden/>
          </w:rPr>
        </w:r>
        <w:r w:rsidR="00E6043D">
          <w:rPr>
            <w:noProof/>
            <w:webHidden/>
          </w:rPr>
          <w:fldChar w:fldCharType="separate"/>
        </w:r>
        <w:r w:rsidR="00E6043D">
          <w:rPr>
            <w:noProof/>
            <w:webHidden/>
          </w:rPr>
          <w:t>92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1" w:history="1">
        <w:r w:rsidR="00E6043D" w:rsidRPr="00301BE2">
          <w:rPr>
            <w:rStyle w:val="Hyperlink"/>
            <w:noProof/>
          </w:rPr>
          <w:t xml:space="preserve">Figure 101. </w:t>
        </w:r>
        <w:r w:rsidR="00E6043D" w:rsidRPr="00301BE2">
          <w:rPr>
            <w:rStyle w:val="Hyperlink"/>
            <w:i/>
            <w:noProof/>
          </w:rPr>
          <w:t>Burnett Mary estuary seed bank and reproductive effort.</w:t>
        </w:r>
        <w:r w:rsidR="00E6043D">
          <w:rPr>
            <w:noProof/>
            <w:webHidden/>
          </w:rPr>
          <w:tab/>
        </w:r>
        <w:r w:rsidR="00E6043D">
          <w:rPr>
            <w:noProof/>
            <w:webHidden/>
          </w:rPr>
          <w:fldChar w:fldCharType="begin"/>
        </w:r>
        <w:r w:rsidR="00E6043D">
          <w:rPr>
            <w:noProof/>
            <w:webHidden/>
          </w:rPr>
          <w:instrText xml:space="preserve"> PAGEREF _Toc462684941 \h </w:instrText>
        </w:r>
        <w:r w:rsidR="00E6043D">
          <w:rPr>
            <w:noProof/>
            <w:webHidden/>
          </w:rPr>
        </w:r>
        <w:r w:rsidR="00E6043D">
          <w:rPr>
            <w:noProof/>
            <w:webHidden/>
          </w:rPr>
          <w:fldChar w:fldCharType="separate"/>
        </w:r>
        <w:r w:rsidR="00E6043D">
          <w:rPr>
            <w:noProof/>
            <w:webHidden/>
          </w:rPr>
          <w:t>92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2" w:history="1">
        <w:r w:rsidR="00E6043D" w:rsidRPr="00301BE2">
          <w:rPr>
            <w:rStyle w:val="Hyperlink"/>
            <w:noProof/>
          </w:rPr>
          <w:t xml:space="preserve">Figure 102. </w:t>
        </w:r>
        <w:r w:rsidR="00E6043D" w:rsidRPr="00301BE2">
          <w:rPr>
            <w:rStyle w:val="Hyperlink"/>
            <w:i/>
            <w:noProof/>
          </w:rPr>
          <w:t>Elemental ratios (atomic) of seagrass leaf tissue C:N, N:P and C:P for the foundation seagrass species examined at estuarine habitats in the Burnett Mary region each year</w:t>
        </w:r>
        <w:r w:rsidR="00E6043D">
          <w:rPr>
            <w:noProof/>
            <w:webHidden/>
          </w:rPr>
          <w:tab/>
        </w:r>
        <w:r w:rsidR="00E6043D">
          <w:rPr>
            <w:noProof/>
            <w:webHidden/>
          </w:rPr>
          <w:fldChar w:fldCharType="begin"/>
        </w:r>
        <w:r w:rsidR="00E6043D">
          <w:rPr>
            <w:noProof/>
            <w:webHidden/>
          </w:rPr>
          <w:instrText xml:space="preserve"> PAGEREF _Toc462684942 \h </w:instrText>
        </w:r>
        <w:r w:rsidR="00E6043D">
          <w:rPr>
            <w:noProof/>
            <w:webHidden/>
          </w:rPr>
        </w:r>
        <w:r w:rsidR="00E6043D">
          <w:rPr>
            <w:noProof/>
            <w:webHidden/>
          </w:rPr>
          <w:fldChar w:fldCharType="separate"/>
        </w:r>
        <w:r w:rsidR="00E6043D">
          <w:rPr>
            <w:noProof/>
            <w:webHidden/>
          </w:rPr>
          <w:t>93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3" w:history="1">
        <w:r w:rsidR="00E6043D" w:rsidRPr="00301BE2">
          <w:rPr>
            <w:rStyle w:val="Hyperlink"/>
            <w:noProof/>
          </w:rPr>
          <w:t xml:space="preserve">Figure 103. </w:t>
        </w:r>
        <w:r w:rsidR="00E6043D" w:rsidRPr="00301BE2">
          <w:rPr>
            <w:rStyle w:val="Hyperlink"/>
            <w:i/>
            <w:noProof/>
          </w:rPr>
          <w:t>Long-term trend in mean epiphyte and macroalgae abundance (% cover) relative to the long-term average for each seagrass habitat in the Burnett Mary NRM region</w:t>
        </w:r>
        <w:r w:rsidR="00E6043D">
          <w:rPr>
            <w:noProof/>
            <w:webHidden/>
          </w:rPr>
          <w:tab/>
        </w:r>
        <w:r w:rsidR="00E6043D">
          <w:rPr>
            <w:noProof/>
            <w:webHidden/>
          </w:rPr>
          <w:fldChar w:fldCharType="begin"/>
        </w:r>
        <w:r w:rsidR="00E6043D">
          <w:rPr>
            <w:noProof/>
            <w:webHidden/>
          </w:rPr>
          <w:instrText xml:space="preserve"> PAGEREF _Toc462684943 \h </w:instrText>
        </w:r>
        <w:r w:rsidR="00E6043D">
          <w:rPr>
            <w:noProof/>
            <w:webHidden/>
          </w:rPr>
        </w:r>
        <w:r w:rsidR="00E6043D">
          <w:rPr>
            <w:noProof/>
            <w:webHidden/>
          </w:rPr>
          <w:fldChar w:fldCharType="separate"/>
        </w:r>
        <w:r w:rsidR="00E6043D">
          <w:rPr>
            <w:noProof/>
            <w:webHidden/>
          </w:rPr>
          <w:t>94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4" w:history="1">
        <w:r w:rsidR="00E6043D" w:rsidRPr="00301BE2">
          <w:rPr>
            <w:rStyle w:val="Hyperlink"/>
            <w:noProof/>
          </w:rPr>
          <w:t xml:space="preserve">Figure 104. </w:t>
        </w:r>
        <w:r w:rsidR="00E6043D" w:rsidRPr="00301BE2">
          <w:rPr>
            <w:rStyle w:val="Hyperlink"/>
            <w:i/>
            <w:noProof/>
          </w:rPr>
          <w:t>Summary of GBR MMP inshore seagrass state illustrating abundance of foundation / colonising species, seed banks and reproductive effort from 2005 to 2015.</w:t>
        </w:r>
        <w:r w:rsidR="00E6043D">
          <w:rPr>
            <w:noProof/>
            <w:webHidden/>
          </w:rPr>
          <w:tab/>
        </w:r>
        <w:r w:rsidR="00E6043D">
          <w:rPr>
            <w:noProof/>
            <w:webHidden/>
          </w:rPr>
          <w:fldChar w:fldCharType="begin"/>
        </w:r>
        <w:r w:rsidR="00E6043D">
          <w:rPr>
            <w:noProof/>
            <w:webHidden/>
          </w:rPr>
          <w:instrText xml:space="preserve"> PAGEREF _Toc462684944 \h </w:instrText>
        </w:r>
        <w:r w:rsidR="00E6043D">
          <w:rPr>
            <w:noProof/>
            <w:webHidden/>
          </w:rPr>
        </w:r>
        <w:r w:rsidR="00E6043D">
          <w:rPr>
            <w:noProof/>
            <w:webHidden/>
          </w:rPr>
          <w:fldChar w:fldCharType="separate"/>
        </w:r>
        <w:r w:rsidR="00E6043D">
          <w:rPr>
            <w:noProof/>
            <w:webHidden/>
          </w:rPr>
          <w:t>96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5" w:history="1">
        <w:r w:rsidR="00E6043D" w:rsidRPr="00301BE2">
          <w:rPr>
            <w:rStyle w:val="Hyperlink"/>
            <w:noProof/>
          </w:rPr>
          <w:t xml:space="preserve">Figure 105. </w:t>
        </w:r>
        <w:r w:rsidR="00E6043D" w:rsidRPr="00301BE2">
          <w:rPr>
            <w:rStyle w:val="Hyperlink"/>
            <w:i/>
            <w:noProof/>
          </w:rPr>
          <w:t>Plot of abundance of species displaying colonising, opportunistic or persistent life history traits relative to maximum: a. intertidal reef habitat (Cockle Bay) and b. subtidal reef habitat (Picnic Bay).</w:t>
        </w:r>
        <w:r w:rsidR="00E6043D">
          <w:rPr>
            <w:noProof/>
            <w:webHidden/>
          </w:rPr>
          <w:tab/>
        </w:r>
        <w:r w:rsidR="00E6043D">
          <w:rPr>
            <w:noProof/>
            <w:webHidden/>
          </w:rPr>
          <w:fldChar w:fldCharType="begin"/>
        </w:r>
        <w:r w:rsidR="00E6043D">
          <w:rPr>
            <w:noProof/>
            <w:webHidden/>
          </w:rPr>
          <w:instrText xml:space="preserve"> PAGEREF _Toc462684945 \h </w:instrText>
        </w:r>
        <w:r w:rsidR="00E6043D">
          <w:rPr>
            <w:noProof/>
            <w:webHidden/>
          </w:rPr>
        </w:r>
        <w:r w:rsidR="00E6043D">
          <w:rPr>
            <w:noProof/>
            <w:webHidden/>
          </w:rPr>
          <w:fldChar w:fldCharType="separate"/>
        </w:r>
        <w:r w:rsidR="00E6043D">
          <w:rPr>
            <w:noProof/>
            <w:webHidden/>
          </w:rPr>
          <w:t>98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6" w:history="1">
        <w:r w:rsidR="00E6043D" w:rsidRPr="00301BE2">
          <w:rPr>
            <w:rStyle w:val="Hyperlink"/>
            <w:noProof/>
          </w:rPr>
          <w:t xml:space="preserve">Figure 106. </w:t>
        </w:r>
        <w:r w:rsidR="00E6043D" w:rsidRPr="00301BE2">
          <w:rPr>
            <w:rStyle w:val="Hyperlink"/>
            <w:i/>
            <w:noProof/>
          </w:rPr>
          <w:t>Model of species groupings based on life history traits, relating to meadow form during recovery and disturbance phases.</w:t>
        </w:r>
        <w:r w:rsidR="00E6043D">
          <w:rPr>
            <w:noProof/>
            <w:webHidden/>
          </w:rPr>
          <w:tab/>
        </w:r>
        <w:r w:rsidR="00E6043D">
          <w:rPr>
            <w:noProof/>
            <w:webHidden/>
          </w:rPr>
          <w:fldChar w:fldCharType="begin"/>
        </w:r>
        <w:r w:rsidR="00E6043D">
          <w:rPr>
            <w:noProof/>
            <w:webHidden/>
          </w:rPr>
          <w:instrText xml:space="preserve"> PAGEREF _Toc462684946 \h </w:instrText>
        </w:r>
        <w:r w:rsidR="00E6043D">
          <w:rPr>
            <w:noProof/>
            <w:webHidden/>
          </w:rPr>
        </w:r>
        <w:r w:rsidR="00E6043D">
          <w:rPr>
            <w:noProof/>
            <w:webHidden/>
          </w:rPr>
          <w:fldChar w:fldCharType="separate"/>
        </w:r>
        <w:r w:rsidR="00E6043D">
          <w:rPr>
            <w:noProof/>
            <w:webHidden/>
          </w:rPr>
          <w:t>98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7" w:history="1">
        <w:r w:rsidR="00E6043D" w:rsidRPr="00301BE2">
          <w:rPr>
            <w:rStyle w:val="Hyperlink"/>
            <w:noProof/>
          </w:rPr>
          <w:t xml:space="preserve">Figure 107. </w:t>
        </w:r>
        <w:r w:rsidR="00E6043D" w:rsidRPr="00301BE2">
          <w:rPr>
            <w:rStyle w:val="Hyperlink"/>
            <w:i/>
            <w:noProof/>
          </w:rPr>
          <w:t>Species classification based on response to disturbance. Species can be classified as colonising, opportunistic or persistent depending on life history traits. (adapted from Kilminster et al. 2015)</w:t>
        </w:r>
        <w:r w:rsidR="00E6043D">
          <w:rPr>
            <w:noProof/>
            <w:webHidden/>
          </w:rPr>
          <w:tab/>
        </w:r>
        <w:r w:rsidR="00E6043D">
          <w:rPr>
            <w:noProof/>
            <w:webHidden/>
          </w:rPr>
          <w:fldChar w:fldCharType="begin"/>
        </w:r>
        <w:r w:rsidR="00E6043D">
          <w:rPr>
            <w:noProof/>
            <w:webHidden/>
          </w:rPr>
          <w:instrText xml:space="preserve"> PAGEREF _Toc462684947 \h </w:instrText>
        </w:r>
        <w:r w:rsidR="00E6043D">
          <w:rPr>
            <w:noProof/>
            <w:webHidden/>
          </w:rPr>
        </w:r>
        <w:r w:rsidR="00E6043D">
          <w:rPr>
            <w:noProof/>
            <w:webHidden/>
          </w:rPr>
          <w:fldChar w:fldCharType="separate"/>
        </w:r>
        <w:r w:rsidR="00E6043D">
          <w:rPr>
            <w:noProof/>
            <w:webHidden/>
          </w:rPr>
          <w:t>102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8" w:history="1">
        <w:r w:rsidR="00E6043D" w:rsidRPr="00301BE2">
          <w:rPr>
            <w:rStyle w:val="Hyperlink"/>
            <w:noProof/>
          </w:rPr>
          <w:t xml:space="preserve">Figure 108.  </w:t>
        </w:r>
        <w:r w:rsidR="00E6043D" w:rsidRPr="00301BE2">
          <w:rPr>
            <w:rStyle w:val="Hyperlink"/>
            <w:i/>
            <w:noProof/>
          </w:rPr>
          <w:t>Morphological traits, including internode length and leaf width have been routinely measured and have been used in a traits-based exploration of species classification.</w:t>
        </w:r>
        <w:r w:rsidR="00E6043D">
          <w:rPr>
            <w:noProof/>
            <w:webHidden/>
          </w:rPr>
          <w:tab/>
        </w:r>
        <w:r w:rsidR="00E6043D">
          <w:rPr>
            <w:noProof/>
            <w:webHidden/>
          </w:rPr>
          <w:fldChar w:fldCharType="begin"/>
        </w:r>
        <w:r w:rsidR="00E6043D">
          <w:rPr>
            <w:noProof/>
            <w:webHidden/>
          </w:rPr>
          <w:instrText xml:space="preserve"> PAGEREF _Toc462684948 \h </w:instrText>
        </w:r>
        <w:r w:rsidR="00E6043D">
          <w:rPr>
            <w:noProof/>
            <w:webHidden/>
          </w:rPr>
        </w:r>
        <w:r w:rsidR="00E6043D">
          <w:rPr>
            <w:noProof/>
            <w:webHidden/>
          </w:rPr>
          <w:fldChar w:fldCharType="separate"/>
        </w:r>
        <w:r w:rsidR="00E6043D">
          <w:rPr>
            <w:noProof/>
            <w:webHidden/>
          </w:rPr>
          <w:t>103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49" w:history="1">
        <w:r w:rsidR="00E6043D" w:rsidRPr="00301BE2">
          <w:rPr>
            <w:rStyle w:val="Hyperlink"/>
            <w:noProof/>
          </w:rPr>
          <w:t xml:space="preserve">Figure 109.  </w:t>
        </w:r>
        <w:r w:rsidR="00E6043D" w:rsidRPr="00301BE2">
          <w:rPr>
            <w:rStyle w:val="Hyperlink"/>
            <w:i/>
            <w:noProof/>
          </w:rPr>
          <w:t xml:space="preserve">MDS of </w:t>
        </w:r>
        <w:r w:rsidR="00E6043D" w:rsidRPr="00301BE2">
          <w:rPr>
            <w:rStyle w:val="Hyperlink"/>
            <w:noProof/>
          </w:rPr>
          <w:t>Zostera muelleri</w:t>
        </w:r>
        <w:r w:rsidR="00E6043D" w:rsidRPr="00301BE2">
          <w:rPr>
            <w:rStyle w:val="Hyperlink"/>
            <w:i/>
            <w:noProof/>
          </w:rPr>
          <w:t xml:space="preserve"> morphological traits (leaf width and internode length) plotted by: a. habitat (estuarine, reef, coastal) within each NRM region (CY, WT, B, MW, F, BM) and; b. habitat only.</w:t>
        </w:r>
        <w:r w:rsidR="00E6043D">
          <w:rPr>
            <w:noProof/>
            <w:webHidden/>
          </w:rPr>
          <w:tab/>
        </w:r>
        <w:r w:rsidR="00E6043D">
          <w:rPr>
            <w:noProof/>
            <w:webHidden/>
          </w:rPr>
          <w:fldChar w:fldCharType="begin"/>
        </w:r>
        <w:r w:rsidR="00E6043D">
          <w:rPr>
            <w:noProof/>
            <w:webHidden/>
          </w:rPr>
          <w:instrText xml:space="preserve"> PAGEREF _Toc462684949 \h </w:instrText>
        </w:r>
        <w:r w:rsidR="00E6043D">
          <w:rPr>
            <w:noProof/>
            <w:webHidden/>
          </w:rPr>
        </w:r>
        <w:r w:rsidR="00E6043D">
          <w:rPr>
            <w:noProof/>
            <w:webHidden/>
          </w:rPr>
          <w:fldChar w:fldCharType="separate"/>
        </w:r>
        <w:r w:rsidR="00E6043D">
          <w:rPr>
            <w:noProof/>
            <w:webHidden/>
          </w:rPr>
          <w:t>104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0" w:history="1">
        <w:r w:rsidR="00E6043D" w:rsidRPr="00301BE2">
          <w:rPr>
            <w:rStyle w:val="Hyperlink"/>
            <w:noProof/>
          </w:rPr>
          <w:t>Figure 110.  Zostera muelleri</w:t>
        </w:r>
        <w:r w:rsidR="00E6043D" w:rsidRPr="00301BE2">
          <w:rPr>
            <w:rStyle w:val="Hyperlink"/>
            <w:i/>
            <w:noProof/>
          </w:rPr>
          <w:t xml:space="preserve"> leaf width and internode length plotted over time using MDS (left), and a temporal dot plot for all data (right).</w:t>
        </w:r>
        <w:r w:rsidR="00E6043D">
          <w:rPr>
            <w:noProof/>
            <w:webHidden/>
          </w:rPr>
          <w:tab/>
        </w:r>
        <w:r w:rsidR="00E6043D">
          <w:rPr>
            <w:noProof/>
            <w:webHidden/>
          </w:rPr>
          <w:fldChar w:fldCharType="begin"/>
        </w:r>
        <w:r w:rsidR="00E6043D">
          <w:rPr>
            <w:noProof/>
            <w:webHidden/>
          </w:rPr>
          <w:instrText xml:space="preserve"> PAGEREF _Toc462684950 \h </w:instrText>
        </w:r>
        <w:r w:rsidR="00E6043D">
          <w:rPr>
            <w:noProof/>
            <w:webHidden/>
          </w:rPr>
        </w:r>
        <w:r w:rsidR="00E6043D">
          <w:rPr>
            <w:noProof/>
            <w:webHidden/>
          </w:rPr>
          <w:fldChar w:fldCharType="separate"/>
        </w:r>
        <w:r w:rsidR="00E6043D">
          <w:rPr>
            <w:noProof/>
            <w:webHidden/>
          </w:rPr>
          <w:t>104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1" w:history="1">
        <w:r w:rsidR="00E6043D" w:rsidRPr="00301BE2">
          <w:rPr>
            <w:rStyle w:val="Hyperlink"/>
            <w:noProof/>
          </w:rPr>
          <w:t xml:space="preserve">Figure 111.  </w:t>
        </w:r>
        <w:r w:rsidR="00E6043D" w:rsidRPr="00301BE2">
          <w:rPr>
            <w:rStyle w:val="Hyperlink"/>
            <w:i/>
            <w:noProof/>
          </w:rPr>
          <w:t xml:space="preserve">MDS of </w:t>
        </w:r>
        <w:r w:rsidR="00E6043D" w:rsidRPr="00301BE2">
          <w:rPr>
            <w:rStyle w:val="Hyperlink"/>
            <w:noProof/>
          </w:rPr>
          <w:t>Zostera muelleri</w:t>
        </w:r>
        <w:r w:rsidR="00E6043D" w:rsidRPr="00301BE2">
          <w:rPr>
            <w:rStyle w:val="Hyperlink"/>
            <w:i/>
            <w:noProof/>
          </w:rPr>
          <w:t xml:space="preserve"> morphological traits for 2006 – 2011 by habitat (Estuarine, Reef, Coastal) within region (CY, WT, B, MW, F, BM).</w:t>
        </w:r>
        <w:r w:rsidR="00E6043D">
          <w:rPr>
            <w:noProof/>
            <w:webHidden/>
          </w:rPr>
          <w:tab/>
        </w:r>
        <w:r w:rsidR="00E6043D">
          <w:rPr>
            <w:noProof/>
            <w:webHidden/>
          </w:rPr>
          <w:fldChar w:fldCharType="begin"/>
        </w:r>
        <w:r w:rsidR="00E6043D">
          <w:rPr>
            <w:noProof/>
            <w:webHidden/>
          </w:rPr>
          <w:instrText xml:space="preserve"> PAGEREF _Toc462684951 \h </w:instrText>
        </w:r>
        <w:r w:rsidR="00E6043D">
          <w:rPr>
            <w:noProof/>
            <w:webHidden/>
          </w:rPr>
        </w:r>
        <w:r w:rsidR="00E6043D">
          <w:rPr>
            <w:noProof/>
            <w:webHidden/>
          </w:rPr>
          <w:fldChar w:fldCharType="separate"/>
        </w:r>
        <w:r w:rsidR="00E6043D">
          <w:rPr>
            <w:noProof/>
            <w:webHidden/>
          </w:rPr>
          <w:t>104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2" w:history="1">
        <w:r w:rsidR="00E6043D" w:rsidRPr="00301BE2">
          <w:rPr>
            <w:rStyle w:val="Hyperlink"/>
            <w:noProof/>
          </w:rPr>
          <w:t xml:space="preserve">Figure 112.  </w:t>
        </w:r>
        <w:r w:rsidR="00E6043D" w:rsidRPr="00301BE2">
          <w:rPr>
            <w:rStyle w:val="Hyperlink"/>
            <w:i/>
            <w:noProof/>
          </w:rPr>
          <w:t xml:space="preserve">MDS of </w:t>
        </w:r>
        <w:r w:rsidR="00E6043D" w:rsidRPr="00301BE2">
          <w:rPr>
            <w:rStyle w:val="Hyperlink"/>
            <w:noProof/>
          </w:rPr>
          <w:t>Halodule uninervis</w:t>
        </w:r>
        <w:r w:rsidR="00E6043D" w:rsidRPr="00301BE2">
          <w:rPr>
            <w:rStyle w:val="Hyperlink"/>
            <w:i/>
            <w:noProof/>
          </w:rPr>
          <w:t xml:space="preserve"> morphological  traits (leaf width and internode length) plotted by habitat within region.</w:t>
        </w:r>
        <w:r w:rsidR="00E6043D">
          <w:rPr>
            <w:noProof/>
            <w:webHidden/>
          </w:rPr>
          <w:tab/>
        </w:r>
        <w:r w:rsidR="00E6043D">
          <w:rPr>
            <w:noProof/>
            <w:webHidden/>
          </w:rPr>
          <w:fldChar w:fldCharType="begin"/>
        </w:r>
        <w:r w:rsidR="00E6043D">
          <w:rPr>
            <w:noProof/>
            <w:webHidden/>
          </w:rPr>
          <w:instrText xml:space="preserve"> PAGEREF _Toc462684952 \h </w:instrText>
        </w:r>
        <w:r w:rsidR="00E6043D">
          <w:rPr>
            <w:noProof/>
            <w:webHidden/>
          </w:rPr>
        </w:r>
        <w:r w:rsidR="00E6043D">
          <w:rPr>
            <w:noProof/>
            <w:webHidden/>
          </w:rPr>
          <w:fldChar w:fldCharType="separate"/>
        </w:r>
        <w:r w:rsidR="00E6043D">
          <w:rPr>
            <w:noProof/>
            <w:webHidden/>
          </w:rPr>
          <w:t>105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3" w:history="1">
        <w:r w:rsidR="00E6043D" w:rsidRPr="00301BE2">
          <w:rPr>
            <w:rStyle w:val="Hyperlink"/>
            <w:noProof/>
          </w:rPr>
          <w:t xml:space="preserve">Figure 113.  </w:t>
        </w:r>
        <w:r w:rsidR="00E6043D" w:rsidRPr="00301BE2">
          <w:rPr>
            <w:rStyle w:val="Hyperlink"/>
            <w:i/>
            <w:noProof/>
          </w:rPr>
          <w:t xml:space="preserve">Morphological traits of </w:t>
        </w:r>
        <w:r w:rsidR="00E6043D" w:rsidRPr="00301BE2">
          <w:rPr>
            <w:rStyle w:val="Hyperlink"/>
            <w:noProof/>
          </w:rPr>
          <w:t>H. uninervis</w:t>
        </w:r>
        <w:r w:rsidR="00E6043D" w:rsidRPr="00301BE2">
          <w:rPr>
            <w:rStyle w:val="Hyperlink"/>
            <w:i/>
            <w:noProof/>
          </w:rPr>
          <w:t xml:space="preserve"> over time including MDS (left), and temporal plot (right).</w:t>
        </w:r>
        <w:r w:rsidR="00E6043D">
          <w:rPr>
            <w:noProof/>
            <w:webHidden/>
          </w:rPr>
          <w:tab/>
        </w:r>
        <w:r w:rsidR="00E6043D">
          <w:rPr>
            <w:noProof/>
            <w:webHidden/>
          </w:rPr>
          <w:fldChar w:fldCharType="begin"/>
        </w:r>
        <w:r w:rsidR="00E6043D">
          <w:rPr>
            <w:noProof/>
            <w:webHidden/>
          </w:rPr>
          <w:instrText xml:space="preserve"> PAGEREF _Toc462684953 \h </w:instrText>
        </w:r>
        <w:r w:rsidR="00E6043D">
          <w:rPr>
            <w:noProof/>
            <w:webHidden/>
          </w:rPr>
        </w:r>
        <w:r w:rsidR="00E6043D">
          <w:rPr>
            <w:noProof/>
            <w:webHidden/>
          </w:rPr>
          <w:fldChar w:fldCharType="separate"/>
        </w:r>
        <w:r w:rsidR="00E6043D">
          <w:rPr>
            <w:noProof/>
            <w:webHidden/>
          </w:rPr>
          <w:t>105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4" w:history="1">
        <w:r w:rsidR="00E6043D" w:rsidRPr="00301BE2">
          <w:rPr>
            <w:rStyle w:val="Hyperlink"/>
            <w:noProof/>
          </w:rPr>
          <w:t xml:space="preserve">Figure 114.  </w:t>
        </w:r>
        <w:r w:rsidR="00E6043D" w:rsidRPr="00301BE2">
          <w:rPr>
            <w:rStyle w:val="Hyperlink"/>
            <w:i/>
            <w:noProof/>
          </w:rPr>
          <w:t xml:space="preserve">Morphological traits of </w:t>
        </w:r>
        <w:r w:rsidR="00E6043D" w:rsidRPr="00301BE2">
          <w:rPr>
            <w:rStyle w:val="Hyperlink"/>
            <w:noProof/>
          </w:rPr>
          <w:t>H. uninervis</w:t>
        </w:r>
        <w:r w:rsidR="00E6043D" w:rsidRPr="00301BE2">
          <w:rPr>
            <w:rStyle w:val="Hyperlink"/>
            <w:i/>
            <w:noProof/>
          </w:rPr>
          <w:t xml:space="preserve"> in 2015 only based on habitat within region.</w:t>
        </w:r>
        <w:r w:rsidR="00E6043D">
          <w:rPr>
            <w:noProof/>
            <w:webHidden/>
          </w:rPr>
          <w:tab/>
        </w:r>
        <w:r w:rsidR="00E6043D">
          <w:rPr>
            <w:noProof/>
            <w:webHidden/>
          </w:rPr>
          <w:fldChar w:fldCharType="begin"/>
        </w:r>
        <w:r w:rsidR="00E6043D">
          <w:rPr>
            <w:noProof/>
            <w:webHidden/>
          </w:rPr>
          <w:instrText xml:space="preserve"> PAGEREF _Toc462684954 \h </w:instrText>
        </w:r>
        <w:r w:rsidR="00E6043D">
          <w:rPr>
            <w:noProof/>
            <w:webHidden/>
          </w:rPr>
        </w:r>
        <w:r w:rsidR="00E6043D">
          <w:rPr>
            <w:noProof/>
            <w:webHidden/>
          </w:rPr>
          <w:fldChar w:fldCharType="separate"/>
        </w:r>
        <w:r w:rsidR="00E6043D">
          <w:rPr>
            <w:noProof/>
            <w:webHidden/>
          </w:rPr>
          <w:t>105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5" w:history="1">
        <w:r w:rsidR="00E6043D" w:rsidRPr="00301BE2">
          <w:rPr>
            <w:rStyle w:val="Hyperlink"/>
            <w:noProof/>
          </w:rPr>
          <w:t xml:space="preserve">Figure 115. </w:t>
        </w:r>
        <w:r w:rsidR="00E6043D" w:rsidRPr="00301BE2">
          <w:rPr>
            <w:rStyle w:val="Hyperlink"/>
            <w:i/>
            <w:noProof/>
          </w:rPr>
          <w:t>Conceptual diagram of reef habitat in the Cape York region</w:t>
        </w:r>
        <w:r w:rsidR="00E6043D">
          <w:rPr>
            <w:noProof/>
            <w:webHidden/>
          </w:rPr>
          <w:tab/>
        </w:r>
        <w:r w:rsidR="00E6043D">
          <w:rPr>
            <w:noProof/>
            <w:webHidden/>
          </w:rPr>
          <w:fldChar w:fldCharType="begin"/>
        </w:r>
        <w:r w:rsidR="00E6043D">
          <w:rPr>
            <w:noProof/>
            <w:webHidden/>
          </w:rPr>
          <w:instrText xml:space="preserve"> PAGEREF _Toc462684955 \h </w:instrText>
        </w:r>
        <w:r w:rsidR="00E6043D">
          <w:rPr>
            <w:noProof/>
            <w:webHidden/>
          </w:rPr>
        </w:r>
        <w:r w:rsidR="00E6043D">
          <w:rPr>
            <w:noProof/>
            <w:webHidden/>
          </w:rPr>
          <w:fldChar w:fldCharType="separate"/>
        </w:r>
        <w:r w:rsidR="00E6043D">
          <w:rPr>
            <w:noProof/>
            <w:webHidden/>
          </w:rPr>
          <w:t>125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6" w:history="1">
        <w:r w:rsidR="00E6043D" w:rsidRPr="00301BE2">
          <w:rPr>
            <w:rStyle w:val="Hyperlink"/>
            <w:noProof/>
          </w:rPr>
          <w:t xml:space="preserve">Figure 116. </w:t>
        </w:r>
        <w:r w:rsidR="00E6043D" w:rsidRPr="00301BE2">
          <w:rPr>
            <w:rStyle w:val="Hyperlink"/>
            <w:i/>
            <w:noProof/>
          </w:rPr>
          <w:t>Conceptual diagram of coastal habitat in the Cape York region</w:t>
        </w:r>
        <w:r w:rsidR="00E6043D">
          <w:rPr>
            <w:noProof/>
            <w:webHidden/>
          </w:rPr>
          <w:tab/>
        </w:r>
        <w:r w:rsidR="00E6043D">
          <w:rPr>
            <w:noProof/>
            <w:webHidden/>
          </w:rPr>
          <w:fldChar w:fldCharType="begin"/>
        </w:r>
        <w:r w:rsidR="00E6043D">
          <w:rPr>
            <w:noProof/>
            <w:webHidden/>
          </w:rPr>
          <w:instrText xml:space="preserve"> PAGEREF _Toc462684956 \h </w:instrText>
        </w:r>
        <w:r w:rsidR="00E6043D">
          <w:rPr>
            <w:noProof/>
            <w:webHidden/>
          </w:rPr>
        </w:r>
        <w:r w:rsidR="00E6043D">
          <w:rPr>
            <w:noProof/>
            <w:webHidden/>
          </w:rPr>
          <w:fldChar w:fldCharType="separate"/>
        </w:r>
        <w:r w:rsidR="00E6043D">
          <w:rPr>
            <w:noProof/>
            <w:webHidden/>
          </w:rPr>
          <w:t>126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7" w:history="1">
        <w:r w:rsidR="00E6043D" w:rsidRPr="00301BE2">
          <w:rPr>
            <w:rStyle w:val="Hyperlink"/>
            <w:noProof/>
          </w:rPr>
          <w:t xml:space="preserve">Figure 117. </w:t>
        </w:r>
        <w:r w:rsidR="00E6043D" w:rsidRPr="00301BE2">
          <w:rPr>
            <w:rStyle w:val="Hyperlink"/>
            <w:i/>
            <w:noProof/>
          </w:rPr>
          <w:t>Conceptual diagram of coastal habitat (&lt;15m) in the Wet Tropics region</w:t>
        </w:r>
        <w:r w:rsidR="00E6043D">
          <w:rPr>
            <w:noProof/>
            <w:webHidden/>
          </w:rPr>
          <w:tab/>
        </w:r>
        <w:r w:rsidR="00E6043D">
          <w:rPr>
            <w:noProof/>
            <w:webHidden/>
          </w:rPr>
          <w:fldChar w:fldCharType="begin"/>
        </w:r>
        <w:r w:rsidR="00E6043D">
          <w:rPr>
            <w:noProof/>
            <w:webHidden/>
          </w:rPr>
          <w:instrText xml:space="preserve"> PAGEREF _Toc462684957 \h </w:instrText>
        </w:r>
        <w:r w:rsidR="00E6043D">
          <w:rPr>
            <w:noProof/>
            <w:webHidden/>
          </w:rPr>
        </w:r>
        <w:r w:rsidR="00E6043D">
          <w:rPr>
            <w:noProof/>
            <w:webHidden/>
          </w:rPr>
          <w:fldChar w:fldCharType="separate"/>
        </w:r>
        <w:r w:rsidR="00E6043D">
          <w:rPr>
            <w:noProof/>
            <w:webHidden/>
          </w:rPr>
          <w:t>128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8" w:history="1">
        <w:r w:rsidR="00E6043D" w:rsidRPr="00301BE2">
          <w:rPr>
            <w:rStyle w:val="Hyperlink"/>
            <w:noProof/>
          </w:rPr>
          <w:t xml:space="preserve">Figure 118. </w:t>
        </w:r>
        <w:r w:rsidR="00E6043D" w:rsidRPr="00301BE2">
          <w:rPr>
            <w:rStyle w:val="Hyperlink"/>
            <w:i/>
            <w:noProof/>
          </w:rPr>
          <w:t>Conceptual diagram of reef habitat (&lt;15m) in the Wet Tropics region</w:t>
        </w:r>
        <w:r w:rsidR="00E6043D">
          <w:rPr>
            <w:noProof/>
            <w:webHidden/>
          </w:rPr>
          <w:tab/>
        </w:r>
        <w:r w:rsidR="00E6043D">
          <w:rPr>
            <w:noProof/>
            <w:webHidden/>
          </w:rPr>
          <w:fldChar w:fldCharType="begin"/>
        </w:r>
        <w:r w:rsidR="00E6043D">
          <w:rPr>
            <w:noProof/>
            <w:webHidden/>
          </w:rPr>
          <w:instrText xml:space="preserve"> PAGEREF _Toc462684958 \h </w:instrText>
        </w:r>
        <w:r w:rsidR="00E6043D">
          <w:rPr>
            <w:noProof/>
            <w:webHidden/>
          </w:rPr>
        </w:r>
        <w:r w:rsidR="00E6043D">
          <w:rPr>
            <w:noProof/>
            <w:webHidden/>
          </w:rPr>
          <w:fldChar w:fldCharType="separate"/>
        </w:r>
        <w:r w:rsidR="00E6043D">
          <w:rPr>
            <w:noProof/>
            <w:webHidden/>
          </w:rPr>
          <w:t>129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59" w:history="1">
        <w:r w:rsidR="00E6043D" w:rsidRPr="00301BE2">
          <w:rPr>
            <w:rStyle w:val="Hyperlink"/>
            <w:noProof/>
          </w:rPr>
          <w:t xml:space="preserve">Figure 119. </w:t>
        </w:r>
        <w:r w:rsidR="00E6043D" w:rsidRPr="00301BE2">
          <w:rPr>
            <w:rStyle w:val="Hyperlink"/>
            <w:i/>
            <w:noProof/>
          </w:rPr>
          <w:t>Conceptual diagram of coastal habitat in the Burdekin region</w:t>
        </w:r>
        <w:r w:rsidR="00E6043D">
          <w:rPr>
            <w:noProof/>
            <w:webHidden/>
          </w:rPr>
          <w:tab/>
        </w:r>
        <w:r w:rsidR="00E6043D">
          <w:rPr>
            <w:noProof/>
            <w:webHidden/>
          </w:rPr>
          <w:fldChar w:fldCharType="begin"/>
        </w:r>
        <w:r w:rsidR="00E6043D">
          <w:rPr>
            <w:noProof/>
            <w:webHidden/>
          </w:rPr>
          <w:instrText xml:space="preserve"> PAGEREF _Toc462684959 \h </w:instrText>
        </w:r>
        <w:r w:rsidR="00E6043D">
          <w:rPr>
            <w:noProof/>
            <w:webHidden/>
          </w:rPr>
        </w:r>
        <w:r w:rsidR="00E6043D">
          <w:rPr>
            <w:noProof/>
            <w:webHidden/>
          </w:rPr>
          <w:fldChar w:fldCharType="separate"/>
        </w:r>
        <w:r w:rsidR="00E6043D">
          <w:rPr>
            <w:noProof/>
            <w:webHidden/>
          </w:rPr>
          <w:t>131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0" w:history="1">
        <w:r w:rsidR="00E6043D" w:rsidRPr="00301BE2">
          <w:rPr>
            <w:rStyle w:val="Hyperlink"/>
            <w:noProof/>
          </w:rPr>
          <w:t xml:space="preserve">Figure 120. </w:t>
        </w:r>
        <w:r w:rsidR="00E6043D" w:rsidRPr="00301BE2">
          <w:rPr>
            <w:rStyle w:val="Hyperlink"/>
            <w:i/>
            <w:noProof/>
          </w:rPr>
          <w:t>Conceptual diagram of fringing reef habitat in the Burdekin region</w:t>
        </w:r>
        <w:r w:rsidR="00E6043D">
          <w:rPr>
            <w:noProof/>
            <w:webHidden/>
          </w:rPr>
          <w:tab/>
        </w:r>
        <w:r w:rsidR="00E6043D">
          <w:rPr>
            <w:noProof/>
            <w:webHidden/>
          </w:rPr>
          <w:fldChar w:fldCharType="begin"/>
        </w:r>
        <w:r w:rsidR="00E6043D">
          <w:rPr>
            <w:noProof/>
            <w:webHidden/>
          </w:rPr>
          <w:instrText xml:space="preserve"> PAGEREF _Toc462684960 \h </w:instrText>
        </w:r>
        <w:r w:rsidR="00E6043D">
          <w:rPr>
            <w:noProof/>
            <w:webHidden/>
          </w:rPr>
        </w:r>
        <w:r w:rsidR="00E6043D">
          <w:rPr>
            <w:noProof/>
            <w:webHidden/>
          </w:rPr>
          <w:fldChar w:fldCharType="separate"/>
        </w:r>
        <w:r w:rsidR="00E6043D">
          <w:rPr>
            <w:noProof/>
            <w:webHidden/>
          </w:rPr>
          <w:t>131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1" w:history="1">
        <w:r w:rsidR="00E6043D" w:rsidRPr="00301BE2">
          <w:rPr>
            <w:rStyle w:val="Hyperlink"/>
            <w:noProof/>
          </w:rPr>
          <w:t xml:space="preserve">Figure 121. </w:t>
        </w:r>
        <w:r w:rsidR="00E6043D" w:rsidRPr="00301BE2">
          <w:rPr>
            <w:rStyle w:val="Hyperlink"/>
            <w:i/>
            <w:noProof/>
          </w:rPr>
          <w:t>Conceptual diagram of estuary habitat in the Mackay Whitsunday region</w:t>
        </w:r>
        <w:r w:rsidR="00E6043D">
          <w:rPr>
            <w:noProof/>
            <w:webHidden/>
          </w:rPr>
          <w:tab/>
        </w:r>
        <w:r w:rsidR="00E6043D">
          <w:rPr>
            <w:noProof/>
            <w:webHidden/>
          </w:rPr>
          <w:fldChar w:fldCharType="begin"/>
        </w:r>
        <w:r w:rsidR="00E6043D">
          <w:rPr>
            <w:noProof/>
            <w:webHidden/>
          </w:rPr>
          <w:instrText xml:space="preserve"> PAGEREF _Toc462684961 \h </w:instrText>
        </w:r>
        <w:r w:rsidR="00E6043D">
          <w:rPr>
            <w:noProof/>
            <w:webHidden/>
          </w:rPr>
        </w:r>
        <w:r w:rsidR="00E6043D">
          <w:rPr>
            <w:noProof/>
            <w:webHidden/>
          </w:rPr>
          <w:fldChar w:fldCharType="separate"/>
        </w:r>
        <w:r w:rsidR="00E6043D">
          <w:rPr>
            <w:noProof/>
            <w:webHidden/>
          </w:rPr>
          <w:t>133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2" w:history="1">
        <w:r w:rsidR="00E6043D" w:rsidRPr="00301BE2">
          <w:rPr>
            <w:rStyle w:val="Hyperlink"/>
            <w:noProof/>
          </w:rPr>
          <w:t xml:space="preserve">Figure 122. </w:t>
        </w:r>
        <w:r w:rsidR="00E6043D" w:rsidRPr="00301BE2">
          <w:rPr>
            <w:rStyle w:val="Hyperlink"/>
            <w:i/>
            <w:noProof/>
          </w:rPr>
          <w:t>Conceptual diagram of coastal habitat in the Mackay Whitsunday region</w:t>
        </w:r>
        <w:r w:rsidR="00E6043D">
          <w:rPr>
            <w:noProof/>
            <w:webHidden/>
          </w:rPr>
          <w:tab/>
        </w:r>
        <w:r w:rsidR="00E6043D">
          <w:rPr>
            <w:noProof/>
            <w:webHidden/>
          </w:rPr>
          <w:fldChar w:fldCharType="begin"/>
        </w:r>
        <w:r w:rsidR="00E6043D">
          <w:rPr>
            <w:noProof/>
            <w:webHidden/>
          </w:rPr>
          <w:instrText xml:space="preserve"> PAGEREF _Toc462684962 \h </w:instrText>
        </w:r>
        <w:r w:rsidR="00E6043D">
          <w:rPr>
            <w:noProof/>
            <w:webHidden/>
          </w:rPr>
        </w:r>
        <w:r w:rsidR="00E6043D">
          <w:rPr>
            <w:noProof/>
            <w:webHidden/>
          </w:rPr>
          <w:fldChar w:fldCharType="separate"/>
        </w:r>
        <w:r w:rsidR="00E6043D">
          <w:rPr>
            <w:noProof/>
            <w:webHidden/>
          </w:rPr>
          <w:t>133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3" w:history="1">
        <w:r w:rsidR="00E6043D" w:rsidRPr="00301BE2">
          <w:rPr>
            <w:rStyle w:val="Hyperlink"/>
            <w:noProof/>
          </w:rPr>
          <w:t xml:space="preserve">Figure 123. </w:t>
        </w:r>
        <w:r w:rsidR="00E6043D" w:rsidRPr="00301BE2">
          <w:rPr>
            <w:rStyle w:val="Hyperlink"/>
            <w:i/>
            <w:noProof/>
          </w:rPr>
          <w:t>Conceptual diagram of reef habitat in the Mackay Whitsunday region</w:t>
        </w:r>
        <w:r w:rsidR="00E6043D">
          <w:rPr>
            <w:noProof/>
            <w:webHidden/>
          </w:rPr>
          <w:tab/>
        </w:r>
        <w:r w:rsidR="00E6043D">
          <w:rPr>
            <w:noProof/>
            <w:webHidden/>
          </w:rPr>
          <w:fldChar w:fldCharType="begin"/>
        </w:r>
        <w:r w:rsidR="00E6043D">
          <w:rPr>
            <w:noProof/>
            <w:webHidden/>
          </w:rPr>
          <w:instrText xml:space="preserve"> PAGEREF _Toc462684963 \h </w:instrText>
        </w:r>
        <w:r w:rsidR="00E6043D">
          <w:rPr>
            <w:noProof/>
            <w:webHidden/>
          </w:rPr>
        </w:r>
        <w:r w:rsidR="00E6043D">
          <w:rPr>
            <w:noProof/>
            <w:webHidden/>
          </w:rPr>
          <w:fldChar w:fldCharType="separate"/>
        </w:r>
        <w:r w:rsidR="00E6043D">
          <w:rPr>
            <w:noProof/>
            <w:webHidden/>
          </w:rPr>
          <w:t>134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4" w:history="1">
        <w:r w:rsidR="00E6043D" w:rsidRPr="00301BE2">
          <w:rPr>
            <w:rStyle w:val="Hyperlink"/>
            <w:noProof/>
          </w:rPr>
          <w:t xml:space="preserve">Figure 124. </w:t>
        </w:r>
        <w:r w:rsidR="00E6043D" w:rsidRPr="00301BE2">
          <w:rPr>
            <w:rStyle w:val="Hyperlink"/>
            <w:i/>
            <w:noProof/>
          </w:rPr>
          <w:t>Conceptual diagram of coastal habitat in the Fitzroy region</w:t>
        </w:r>
        <w:r w:rsidR="00E6043D">
          <w:rPr>
            <w:noProof/>
            <w:webHidden/>
          </w:rPr>
          <w:tab/>
        </w:r>
        <w:r w:rsidR="00E6043D">
          <w:rPr>
            <w:noProof/>
            <w:webHidden/>
          </w:rPr>
          <w:fldChar w:fldCharType="begin"/>
        </w:r>
        <w:r w:rsidR="00E6043D">
          <w:rPr>
            <w:noProof/>
            <w:webHidden/>
          </w:rPr>
          <w:instrText xml:space="preserve"> PAGEREF _Toc462684964 \h </w:instrText>
        </w:r>
        <w:r w:rsidR="00E6043D">
          <w:rPr>
            <w:noProof/>
            <w:webHidden/>
          </w:rPr>
        </w:r>
        <w:r w:rsidR="00E6043D">
          <w:rPr>
            <w:noProof/>
            <w:webHidden/>
          </w:rPr>
          <w:fldChar w:fldCharType="separate"/>
        </w:r>
        <w:r w:rsidR="00E6043D">
          <w:rPr>
            <w:noProof/>
            <w:webHidden/>
          </w:rPr>
          <w:t>136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5" w:history="1">
        <w:r w:rsidR="00E6043D" w:rsidRPr="00301BE2">
          <w:rPr>
            <w:rStyle w:val="Hyperlink"/>
            <w:noProof/>
          </w:rPr>
          <w:t xml:space="preserve">Figure 125. </w:t>
        </w:r>
        <w:r w:rsidR="00E6043D" w:rsidRPr="00301BE2">
          <w:rPr>
            <w:rStyle w:val="Hyperlink"/>
            <w:i/>
            <w:noProof/>
          </w:rPr>
          <w:t>Conceptual diagram of reef habitat in the Fitzroy region</w:t>
        </w:r>
        <w:r w:rsidR="00E6043D">
          <w:rPr>
            <w:noProof/>
            <w:webHidden/>
          </w:rPr>
          <w:tab/>
        </w:r>
        <w:r w:rsidR="00E6043D">
          <w:rPr>
            <w:noProof/>
            <w:webHidden/>
          </w:rPr>
          <w:fldChar w:fldCharType="begin"/>
        </w:r>
        <w:r w:rsidR="00E6043D">
          <w:rPr>
            <w:noProof/>
            <w:webHidden/>
          </w:rPr>
          <w:instrText xml:space="preserve"> PAGEREF _Toc462684965 \h </w:instrText>
        </w:r>
        <w:r w:rsidR="00E6043D">
          <w:rPr>
            <w:noProof/>
            <w:webHidden/>
          </w:rPr>
        </w:r>
        <w:r w:rsidR="00E6043D">
          <w:rPr>
            <w:noProof/>
            <w:webHidden/>
          </w:rPr>
          <w:fldChar w:fldCharType="separate"/>
        </w:r>
        <w:r w:rsidR="00E6043D">
          <w:rPr>
            <w:noProof/>
            <w:webHidden/>
          </w:rPr>
          <w:t>136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6" w:history="1">
        <w:r w:rsidR="00E6043D" w:rsidRPr="00301BE2">
          <w:rPr>
            <w:rStyle w:val="Hyperlink"/>
            <w:noProof/>
          </w:rPr>
          <w:t xml:space="preserve">Figure 126. </w:t>
        </w:r>
        <w:r w:rsidR="00E6043D" w:rsidRPr="00301BE2">
          <w:rPr>
            <w:rStyle w:val="Hyperlink"/>
            <w:i/>
            <w:noProof/>
          </w:rPr>
          <w:t>Conceptual diagram of estuary habitat in the Fitzroy region</w:t>
        </w:r>
        <w:r w:rsidR="00E6043D">
          <w:rPr>
            <w:noProof/>
            <w:webHidden/>
          </w:rPr>
          <w:tab/>
        </w:r>
        <w:r w:rsidR="00E6043D">
          <w:rPr>
            <w:noProof/>
            <w:webHidden/>
          </w:rPr>
          <w:fldChar w:fldCharType="begin"/>
        </w:r>
        <w:r w:rsidR="00E6043D">
          <w:rPr>
            <w:noProof/>
            <w:webHidden/>
          </w:rPr>
          <w:instrText xml:space="preserve"> PAGEREF _Toc462684966 \h </w:instrText>
        </w:r>
        <w:r w:rsidR="00E6043D">
          <w:rPr>
            <w:noProof/>
            <w:webHidden/>
          </w:rPr>
        </w:r>
        <w:r w:rsidR="00E6043D">
          <w:rPr>
            <w:noProof/>
            <w:webHidden/>
          </w:rPr>
          <w:fldChar w:fldCharType="separate"/>
        </w:r>
        <w:r w:rsidR="00E6043D">
          <w:rPr>
            <w:noProof/>
            <w:webHidden/>
          </w:rPr>
          <w:t>137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7" w:history="1">
        <w:r w:rsidR="00E6043D" w:rsidRPr="00301BE2">
          <w:rPr>
            <w:rStyle w:val="Hyperlink"/>
            <w:noProof/>
          </w:rPr>
          <w:t xml:space="preserve">Figure 127. </w:t>
        </w:r>
        <w:r w:rsidR="00E6043D" w:rsidRPr="00301BE2">
          <w:rPr>
            <w:rStyle w:val="Hyperlink"/>
            <w:i/>
            <w:noProof/>
          </w:rPr>
          <w:t>Conceptual diagram of Estuary habitat in the GBR section of the Burnett Mary region</w:t>
        </w:r>
        <w:r w:rsidR="00E6043D">
          <w:rPr>
            <w:noProof/>
            <w:webHidden/>
          </w:rPr>
          <w:tab/>
        </w:r>
        <w:r w:rsidR="00E6043D">
          <w:rPr>
            <w:noProof/>
            <w:webHidden/>
          </w:rPr>
          <w:fldChar w:fldCharType="begin"/>
        </w:r>
        <w:r w:rsidR="00E6043D">
          <w:rPr>
            <w:noProof/>
            <w:webHidden/>
          </w:rPr>
          <w:instrText xml:space="preserve"> PAGEREF _Toc462684967 \h </w:instrText>
        </w:r>
        <w:r w:rsidR="00E6043D">
          <w:rPr>
            <w:noProof/>
            <w:webHidden/>
          </w:rPr>
        </w:r>
        <w:r w:rsidR="00E6043D">
          <w:rPr>
            <w:noProof/>
            <w:webHidden/>
          </w:rPr>
          <w:fldChar w:fldCharType="separate"/>
        </w:r>
        <w:r w:rsidR="00E6043D">
          <w:rPr>
            <w:noProof/>
            <w:webHidden/>
          </w:rPr>
          <w:t>139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8" w:history="1">
        <w:r w:rsidR="00E6043D" w:rsidRPr="00301BE2">
          <w:rPr>
            <w:rStyle w:val="Hyperlink"/>
            <w:noProof/>
          </w:rPr>
          <w:t>Figure 128.</w:t>
        </w:r>
        <w:r w:rsidR="00E6043D" w:rsidRPr="00301BE2">
          <w:rPr>
            <w:rStyle w:val="Hyperlink"/>
            <w:i/>
            <w:noProof/>
          </w:rPr>
          <w:t xml:space="preserve"> Key to symbols used for conceptual diagrams detailing drivers and pressures to seagrasses.</w:t>
        </w:r>
        <w:r w:rsidR="00E6043D">
          <w:rPr>
            <w:noProof/>
            <w:webHidden/>
          </w:rPr>
          <w:tab/>
        </w:r>
        <w:r w:rsidR="00E6043D">
          <w:rPr>
            <w:noProof/>
            <w:webHidden/>
          </w:rPr>
          <w:fldChar w:fldCharType="begin"/>
        </w:r>
        <w:r w:rsidR="00E6043D">
          <w:rPr>
            <w:noProof/>
            <w:webHidden/>
          </w:rPr>
          <w:instrText xml:space="preserve"> PAGEREF _Toc462684968 \h </w:instrText>
        </w:r>
        <w:r w:rsidR="00E6043D">
          <w:rPr>
            <w:noProof/>
            <w:webHidden/>
          </w:rPr>
        </w:r>
        <w:r w:rsidR="00E6043D">
          <w:rPr>
            <w:noProof/>
            <w:webHidden/>
          </w:rPr>
          <w:fldChar w:fldCharType="separate"/>
        </w:r>
        <w:r w:rsidR="00E6043D">
          <w:rPr>
            <w:noProof/>
            <w:webHidden/>
          </w:rPr>
          <w:t>140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69" w:history="1">
        <w:r w:rsidR="00E6043D" w:rsidRPr="00301BE2">
          <w:rPr>
            <w:rStyle w:val="Hyperlink"/>
            <w:noProof/>
          </w:rPr>
          <w:t xml:space="preserve">Figure 129. </w:t>
        </w:r>
        <w:r w:rsidR="00E6043D" w:rsidRPr="00301BE2">
          <w:rPr>
            <w:rStyle w:val="Hyperlink"/>
            <w:i/>
            <w:noProof/>
          </w:rPr>
          <w:t>Inshore seagrass monitoring sites for the Reef Rescue Marine Monitoring Program.</w:t>
        </w:r>
        <w:r w:rsidR="00E6043D">
          <w:rPr>
            <w:noProof/>
            <w:webHidden/>
          </w:rPr>
          <w:tab/>
        </w:r>
        <w:r w:rsidR="00E6043D">
          <w:rPr>
            <w:noProof/>
            <w:webHidden/>
          </w:rPr>
          <w:fldChar w:fldCharType="begin"/>
        </w:r>
        <w:r w:rsidR="00E6043D">
          <w:rPr>
            <w:noProof/>
            <w:webHidden/>
          </w:rPr>
          <w:instrText xml:space="preserve"> PAGEREF _Toc462684969 \h </w:instrText>
        </w:r>
        <w:r w:rsidR="00E6043D">
          <w:rPr>
            <w:noProof/>
            <w:webHidden/>
          </w:rPr>
        </w:r>
        <w:r w:rsidR="00E6043D">
          <w:rPr>
            <w:noProof/>
            <w:webHidden/>
          </w:rPr>
          <w:fldChar w:fldCharType="separate"/>
        </w:r>
        <w:r w:rsidR="00E6043D">
          <w:rPr>
            <w:noProof/>
            <w:webHidden/>
          </w:rPr>
          <w:t>148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0" w:history="1">
        <w:r w:rsidR="00E6043D" w:rsidRPr="00301BE2">
          <w:rPr>
            <w:rStyle w:val="Hyperlink"/>
            <w:noProof/>
          </w:rPr>
          <w:t xml:space="preserve">Figure 130. Form and size of reproductive structure of the seagrasses collected: </w:t>
        </w:r>
        <w:r w:rsidR="00E6043D" w:rsidRPr="00301BE2">
          <w:rPr>
            <w:rStyle w:val="Hyperlink"/>
            <w:i/>
            <w:noProof/>
          </w:rPr>
          <w:t>Halophila ovalis</w:t>
        </w:r>
        <w:r w:rsidR="00E6043D" w:rsidRPr="00301BE2">
          <w:rPr>
            <w:rStyle w:val="Hyperlink"/>
            <w:noProof/>
          </w:rPr>
          <w:t xml:space="preserve">, </w:t>
        </w:r>
        <w:r w:rsidR="00E6043D" w:rsidRPr="00301BE2">
          <w:rPr>
            <w:rStyle w:val="Hyperlink"/>
            <w:i/>
            <w:noProof/>
          </w:rPr>
          <w:t>Halodule uninervis</w:t>
        </w:r>
        <w:r w:rsidR="00E6043D" w:rsidRPr="00301BE2">
          <w:rPr>
            <w:rStyle w:val="Hyperlink"/>
            <w:noProof/>
          </w:rPr>
          <w:t xml:space="preserve"> and </w:t>
        </w:r>
        <w:r w:rsidR="00E6043D" w:rsidRPr="00301BE2">
          <w:rPr>
            <w:rStyle w:val="Hyperlink"/>
            <w:i/>
            <w:noProof/>
          </w:rPr>
          <w:t>Zostera muelleri</w:t>
        </w:r>
        <w:r w:rsidR="00E6043D" w:rsidRPr="00301BE2">
          <w:rPr>
            <w:rStyle w:val="Hyperlink"/>
            <w:noProof/>
          </w:rPr>
          <w:t xml:space="preserve"> subsp. </w:t>
        </w:r>
        <w:r w:rsidR="00E6043D" w:rsidRPr="00301BE2">
          <w:rPr>
            <w:rStyle w:val="Hyperlink"/>
            <w:i/>
            <w:noProof/>
          </w:rPr>
          <w:t>capricorni</w:t>
        </w:r>
        <w:r w:rsidR="00E6043D">
          <w:rPr>
            <w:noProof/>
            <w:webHidden/>
          </w:rPr>
          <w:tab/>
        </w:r>
        <w:r w:rsidR="00E6043D">
          <w:rPr>
            <w:noProof/>
            <w:webHidden/>
          </w:rPr>
          <w:fldChar w:fldCharType="begin"/>
        </w:r>
        <w:r w:rsidR="00E6043D">
          <w:rPr>
            <w:noProof/>
            <w:webHidden/>
          </w:rPr>
          <w:instrText xml:space="preserve"> PAGEREF _Toc462684970 \h </w:instrText>
        </w:r>
        <w:r w:rsidR="00E6043D">
          <w:rPr>
            <w:noProof/>
            <w:webHidden/>
          </w:rPr>
        </w:r>
        <w:r w:rsidR="00E6043D">
          <w:rPr>
            <w:noProof/>
            <w:webHidden/>
          </w:rPr>
          <w:fldChar w:fldCharType="separate"/>
        </w:r>
        <w:r w:rsidR="00E6043D">
          <w:rPr>
            <w:noProof/>
            <w:webHidden/>
          </w:rPr>
          <w:t>154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1" w:history="1">
        <w:r w:rsidR="00E6043D" w:rsidRPr="00301BE2">
          <w:rPr>
            <w:rStyle w:val="Hyperlink"/>
            <w:noProof/>
          </w:rPr>
          <w:t xml:space="preserve">Figure 131. </w:t>
        </w:r>
        <w:r w:rsidR="00E6043D" w:rsidRPr="00301BE2">
          <w:rPr>
            <w:rStyle w:val="Hyperlink"/>
            <w:i/>
            <w:noProof/>
          </w:rPr>
          <w:t>Relationship between sample size and the error in estimation of percentile values for seagrass abundance (% cover) in coastal and reef seagrass habitats in the Wet Tropics NRM.</w:t>
        </w:r>
        <w:r w:rsidR="00E6043D">
          <w:rPr>
            <w:noProof/>
            <w:webHidden/>
          </w:rPr>
          <w:tab/>
        </w:r>
        <w:r w:rsidR="00E6043D">
          <w:rPr>
            <w:noProof/>
            <w:webHidden/>
          </w:rPr>
          <w:fldChar w:fldCharType="begin"/>
        </w:r>
        <w:r w:rsidR="00E6043D">
          <w:rPr>
            <w:noProof/>
            <w:webHidden/>
          </w:rPr>
          <w:instrText xml:space="preserve"> PAGEREF _Toc462684971 \h </w:instrText>
        </w:r>
        <w:r w:rsidR="00E6043D">
          <w:rPr>
            <w:noProof/>
            <w:webHidden/>
          </w:rPr>
        </w:r>
        <w:r w:rsidR="00E6043D">
          <w:rPr>
            <w:noProof/>
            <w:webHidden/>
          </w:rPr>
          <w:fldChar w:fldCharType="separate"/>
        </w:r>
        <w:r w:rsidR="00E6043D">
          <w:rPr>
            <w:noProof/>
            <w:webHidden/>
          </w:rPr>
          <w:t>158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2" w:history="1">
        <w:r w:rsidR="00E6043D" w:rsidRPr="00301BE2">
          <w:rPr>
            <w:rStyle w:val="Hyperlink"/>
            <w:noProof/>
          </w:rPr>
          <w:t>Figure 132.</w:t>
        </w:r>
        <w:r w:rsidR="00E6043D" w:rsidRPr="00301BE2">
          <w:rPr>
            <w:rStyle w:val="Hyperlink"/>
            <w:i/>
            <w:noProof/>
          </w:rPr>
          <w:t xml:space="preserve"> Median seagrass abundance (% cover) at Yule Point (left) and Green Island (right) plotted against the 50</w:t>
        </w:r>
        <w:r w:rsidR="00E6043D" w:rsidRPr="00301BE2">
          <w:rPr>
            <w:rStyle w:val="Hyperlink"/>
            <w:i/>
            <w:noProof/>
            <w:vertAlign w:val="superscript"/>
          </w:rPr>
          <w:t>th</w:t>
        </w:r>
        <w:r w:rsidR="00E6043D" w:rsidRPr="00301BE2">
          <w:rPr>
            <w:rStyle w:val="Hyperlink"/>
            <w:i/>
            <w:noProof/>
          </w:rPr>
          <w:t xml:space="preserve"> and 20</w:t>
        </w:r>
        <w:r w:rsidR="00E6043D" w:rsidRPr="00301BE2">
          <w:rPr>
            <w:rStyle w:val="Hyperlink"/>
            <w:i/>
            <w:noProof/>
            <w:vertAlign w:val="superscript"/>
          </w:rPr>
          <w:t>th</w:t>
        </w:r>
        <w:r w:rsidR="00E6043D" w:rsidRPr="00301BE2">
          <w:rPr>
            <w:rStyle w:val="Hyperlink"/>
            <w:i/>
            <w:noProof/>
          </w:rPr>
          <w:t xml:space="preserve"> percentiles for coastal and intertidal reef seagrass habitat in the Wet Tropics.</w:t>
        </w:r>
        <w:r w:rsidR="00E6043D">
          <w:rPr>
            <w:noProof/>
            <w:webHidden/>
          </w:rPr>
          <w:tab/>
        </w:r>
        <w:r w:rsidR="00E6043D">
          <w:rPr>
            <w:noProof/>
            <w:webHidden/>
          </w:rPr>
          <w:fldChar w:fldCharType="begin"/>
        </w:r>
        <w:r w:rsidR="00E6043D">
          <w:rPr>
            <w:noProof/>
            <w:webHidden/>
          </w:rPr>
          <w:instrText xml:space="preserve"> PAGEREF _Toc462684972 \h </w:instrText>
        </w:r>
        <w:r w:rsidR="00E6043D">
          <w:rPr>
            <w:noProof/>
            <w:webHidden/>
          </w:rPr>
        </w:r>
        <w:r w:rsidR="00E6043D">
          <w:rPr>
            <w:noProof/>
            <w:webHidden/>
          </w:rPr>
          <w:fldChar w:fldCharType="separate"/>
        </w:r>
        <w:r w:rsidR="00E6043D">
          <w:rPr>
            <w:noProof/>
            <w:webHidden/>
          </w:rPr>
          <w:t>159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3" w:history="1">
        <w:r w:rsidR="00E6043D" w:rsidRPr="00301BE2">
          <w:rPr>
            <w:rStyle w:val="Hyperlink"/>
            <w:noProof/>
            <w:lang w:val="en-GB"/>
          </w:rPr>
          <w:t xml:space="preserve">Figure 133. </w:t>
        </w:r>
        <w:r w:rsidR="00E6043D" w:rsidRPr="00301BE2">
          <w:rPr>
            <w:rStyle w:val="Hyperlink"/>
            <w:i/>
            <w:noProof/>
            <w:lang w:val="en-GB"/>
          </w:rPr>
          <w:t>Average daily flow (ML day</w:t>
        </w:r>
        <w:r w:rsidR="00E6043D" w:rsidRPr="00301BE2">
          <w:rPr>
            <w:rStyle w:val="Hyperlink"/>
            <w:i/>
            <w:noProof/>
            <w:vertAlign w:val="superscript"/>
            <w:lang w:val="en-GB"/>
          </w:rPr>
          <w:t>-1</w:t>
        </w:r>
        <w:r w:rsidR="00E6043D" w:rsidRPr="00301BE2">
          <w:rPr>
            <w:rStyle w:val="Hyperlink"/>
            <w:i/>
            <w:noProof/>
            <w:lang w:val="en-GB"/>
          </w:rPr>
          <w:t>) per month from the Normanby River at Kalpowar Crossing and Annan River at Beesbike</w:t>
        </w:r>
        <w:r w:rsidR="00E6043D">
          <w:rPr>
            <w:noProof/>
            <w:webHidden/>
          </w:rPr>
          <w:tab/>
        </w:r>
        <w:r w:rsidR="00E6043D">
          <w:rPr>
            <w:noProof/>
            <w:webHidden/>
          </w:rPr>
          <w:fldChar w:fldCharType="begin"/>
        </w:r>
        <w:r w:rsidR="00E6043D">
          <w:rPr>
            <w:noProof/>
            <w:webHidden/>
          </w:rPr>
          <w:instrText xml:space="preserve"> PAGEREF _Toc462684973 \h </w:instrText>
        </w:r>
        <w:r w:rsidR="00E6043D">
          <w:rPr>
            <w:noProof/>
            <w:webHidden/>
          </w:rPr>
        </w:r>
        <w:r w:rsidR="00E6043D">
          <w:rPr>
            <w:noProof/>
            <w:webHidden/>
          </w:rPr>
          <w:fldChar w:fldCharType="separate"/>
        </w:r>
        <w:r w:rsidR="00E6043D">
          <w:rPr>
            <w:noProof/>
            <w:webHidden/>
          </w:rPr>
          <w:t>171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4" w:history="1">
        <w:r w:rsidR="00E6043D" w:rsidRPr="00301BE2">
          <w:rPr>
            <w:rStyle w:val="Hyperlink"/>
            <w:noProof/>
            <w:lang w:val="en-GB"/>
          </w:rPr>
          <w:t xml:space="preserve">Figure 134. </w:t>
        </w:r>
        <w:r w:rsidR="00E6043D" w:rsidRPr="00301BE2">
          <w:rPr>
            <w:rStyle w:val="Hyperlink"/>
            <w:i/>
            <w:noProof/>
            <w:lang w:val="en-GB"/>
          </w:rPr>
          <w:t>Average daily flow (ML day</w:t>
        </w:r>
        <w:r w:rsidR="00E6043D" w:rsidRPr="00301BE2">
          <w:rPr>
            <w:rStyle w:val="Hyperlink"/>
            <w:i/>
            <w:noProof/>
            <w:vertAlign w:val="superscript"/>
            <w:lang w:val="en-GB"/>
          </w:rPr>
          <w:t>-1</w:t>
        </w:r>
        <w:r w:rsidR="00E6043D" w:rsidRPr="00301BE2">
          <w:rPr>
            <w:rStyle w:val="Hyperlink"/>
            <w:i/>
            <w:noProof/>
            <w:lang w:val="en-GB"/>
          </w:rPr>
          <w:t>) per month from the main rivers impacting the seagrass monitoring sites in the Wet Tropics</w:t>
        </w:r>
        <w:r w:rsidR="00E6043D">
          <w:rPr>
            <w:noProof/>
            <w:webHidden/>
          </w:rPr>
          <w:tab/>
        </w:r>
        <w:r w:rsidR="00E6043D">
          <w:rPr>
            <w:noProof/>
            <w:webHidden/>
          </w:rPr>
          <w:fldChar w:fldCharType="begin"/>
        </w:r>
        <w:r w:rsidR="00E6043D">
          <w:rPr>
            <w:noProof/>
            <w:webHidden/>
          </w:rPr>
          <w:instrText xml:space="preserve"> PAGEREF _Toc462684974 \h </w:instrText>
        </w:r>
        <w:r w:rsidR="00E6043D">
          <w:rPr>
            <w:noProof/>
            <w:webHidden/>
          </w:rPr>
        </w:r>
        <w:r w:rsidR="00E6043D">
          <w:rPr>
            <w:noProof/>
            <w:webHidden/>
          </w:rPr>
          <w:fldChar w:fldCharType="separate"/>
        </w:r>
        <w:r w:rsidR="00E6043D">
          <w:rPr>
            <w:noProof/>
            <w:webHidden/>
          </w:rPr>
          <w:t>171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5" w:history="1">
        <w:r w:rsidR="00E6043D" w:rsidRPr="00301BE2">
          <w:rPr>
            <w:rStyle w:val="Hyperlink"/>
            <w:noProof/>
            <w:lang w:val="en-GB"/>
          </w:rPr>
          <w:t xml:space="preserve">Figure 135. </w:t>
        </w:r>
        <w:r w:rsidR="00E6043D" w:rsidRPr="00301BE2">
          <w:rPr>
            <w:rStyle w:val="Hyperlink"/>
            <w:i/>
            <w:noProof/>
            <w:lang w:val="en-GB"/>
          </w:rPr>
          <w:t>Average daily flow (ML day</w:t>
        </w:r>
        <w:r w:rsidR="00E6043D" w:rsidRPr="00301BE2">
          <w:rPr>
            <w:rStyle w:val="Hyperlink"/>
            <w:i/>
            <w:noProof/>
            <w:vertAlign w:val="superscript"/>
            <w:lang w:val="en-GB"/>
          </w:rPr>
          <w:t>-1</w:t>
        </w:r>
        <w:r w:rsidR="00E6043D" w:rsidRPr="00301BE2">
          <w:rPr>
            <w:rStyle w:val="Hyperlink"/>
            <w:i/>
            <w:noProof/>
            <w:lang w:val="en-GB"/>
          </w:rPr>
          <w:t>) per month from the Burdekin River impacting the seagrass monitoring sites in the Burdekin region</w:t>
        </w:r>
        <w:r w:rsidR="00E6043D">
          <w:rPr>
            <w:noProof/>
            <w:webHidden/>
          </w:rPr>
          <w:tab/>
        </w:r>
        <w:r w:rsidR="00E6043D">
          <w:rPr>
            <w:noProof/>
            <w:webHidden/>
          </w:rPr>
          <w:fldChar w:fldCharType="begin"/>
        </w:r>
        <w:r w:rsidR="00E6043D">
          <w:rPr>
            <w:noProof/>
            <w:webHidden/>
          </w:rPr>
          <w:instrText xml:space="preserve"> PAGEREF _Toc462684975 \h </w:instrText>
        </w:r>
        <w:r w:rsidR="00E6043D">
          <w:rPr>
            <w:noProof/>
            <w:webHidden/>
          </w:rPr>
        </w:r>
        <w:r w:rsidR="00E6043D">
          <w:rPr>
            <w:noProof/>
            <w:webHidden/>
          </w:rPr>
          <w:fldChar w:fldCharType="separate"/>
        </w:r>
        <w:r w:rsidR="00E6043D">
          <w:rPr>
            <w:noProof/>
            <w:webHidden/>
          </w:rPr>
          <w:t>172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6" w:history="1">
        <w:r w:rsidR="00E6043D" w:rsidRPr="00301BE2">
          <w:rPr>
            <w:rStyle w:val="Hyperlink"/>
            <w:noProof/>
            <w:lang w:val="en-GB"/>
          </w:rPr>
          <w:t xml:space="preserve">Figure 136. </w:t>
        </w:r>
        <w:r w:rsidR="00E6043D" w:rsidRPr="00301BE2">
          <w:rPr>
            <w:rStyle w:val="Hyperlink"/>
            <w:i/>
            <w:noProof/>
            <w:lang w:val="en-GB"/>
          </w:rPr>
          <w:t>Average daily flow (ML day</w:t>
        </w:r>
        <w:r w:rsidR="00E6043D" w:rsidRPr="00301BE2">
          <w:rPr>
            <w:rStyle w:val="Hyperlink"/>
            <w:i/>
            <w:noProof/>
            <w:vertAlign w:val="superscript"/>
            <w:lang w:val="en-GB"/>
          </w:rPr>
          <w:t>-1</w:t>
        </w:r>
        <w:r w:rsidR="00E6043D" w:rsidRPr="00301BE2">
          <w:rPr>
            <w:rStyle w:val="Hyperlink"/>
            <w:i/>
            <w:noProof/>
            <w:lang w:val="en-GB"/>
          </w:rPr>
          <w:t>) per month from the main rivers impacting coastal and reef seagrass monitoring sites in the Mackay Whitsunday region</w:t>
        </w:r>
        <w:r w:rsidR="00E6043D">
          <w:rPr>
            <w:noProof/>
            <w:webHidden/>
          </w:rPr>
          <w:tab/>
        </w:r>
        <w:r w:rsidR="00E6043D">
          <w:rPr>
            <w:noProof/>
            <w:webHidden/>
          </w:rPr>
          <w:fldChar w:fldCharType="begin"/>
        </w:r>
        <w:r w:rsidR="00E6043D">
          <w:rPr>
            <w:noProof/>
            <w:webHidden/>
          </w:rPr>
          <w:instrText xml:space="preserve"> PAGEREF _Toc462684976 \h </w:instrText>
        </w:r>
        <w:r w:rsidR="00E6043D">
          <w:rPr>
            <w:noProof/>
            <w:webHidden/>
          </w:rPr>
        </w:r>
        <w:r w:rsidR="00E6043D">
          <w:rPr>
            <w:noProof/>
            <w:webHidden/>
          </w:rPr>
          <w:fldChar w:fldCharType="separate"/>
        </w:r>
        <w:r w:rsidR="00E6043D">
          <w:rPr>
            <w:noProof/>
            <w:webHidden/>
          </w:rPr>
          <w:t>172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7" w:history="1">
        <w:r w:rsidR="00E6043D" w:rsidRPr="00301BE2">
          <w:rPr>
            <w:rStyle w:val="Hyperlink"/>
            <w:noProof/>
            <w:lang w:val="en-GB"/>
          </w:rPr>
          <w:t xml:space="preserve">Figure 137. </w:t>
        </w:r>
        <w:r w:rsidR="00E6043D" w:rsidRPr="00301BE2">
          <w:rPr>
            <w:rStyle w:val="Hyperlink"/>
            <w:i/>
            <w:noProof/>
            <w:lang w:val="en-GB"/>
          </w:rPr>
          <w:t>Average daily flow (ML day</w:t>
        </w:r>
        <w:r w:rsidR="00E6043D" w:rsidRPr="00301BE2">
          <w:rPr>
            <w:rStyle w:val="Hyperlink"/>
            <w:i/>
            <w:noProof/>
            <w:vertAlign w:val="superscript"/>
            <w:lang w:val="en-GB"/>
          </w:rPr>
          <w:t>-1</w:t>
        </w:r>
        <w:r w:rsidR="00E6043D" w:rsidRPr="00301BE2">
          <w:rPr>
            <w:rStyle w:val="Hyperlink"/>
            <w:i/>
            <w:noProof/>
            <w:lang w:val="en-GB"/>
          </w:rPr>
          <w:t>) per month from the main river impacting estuarine seagrass monitoring sites in the Mackay Whitsunday region</w:t>
        </w:r>
        <w:r w:rsidR="00E6043D">
          <w:rPr>
            <w:noProof/>
            <w:webHidden/>
          </w:rPr>
          <w:tab/>
        </w:r>
        <w:r w:rsidR="00E6043D">
          <w:rPr>
            <w:noProof/>
            <w:webHidden/>
          </w:rPr>
          <w:fldChar w:fldCharType="begin"/>
        </w:r>
        <w:r w:rsidR="00E6043D">
          <w:rPr>
            <w:noProof/>
            <w:webHidden/>
          </w:rPr>
          <w:instrText xml:space="preserve"> PAGEREF _Toc462684977 \h </w:instrText>
        </w:r>
        <w:r w:rsidR="00E6043D">
          <w:rPr>
            <w:noProof/>
            <w:webHidden/>
          </w:rPr>
        </w:r>
        <w:r w:rsidR="00E6043D">
          <w:rPr>
            <w:noProof/>
            <w:webHidden/>
          </w:rPr>
          <w:fldChar w:fldCharType="separate"/>
        </w:r>
        <w:r w:rsidR="00E6043D">
          <w:rPr>
            <w:noProof/>
            <w:webHidden/>
          </w:rPr>
          <w:t>172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8" w:history="1">
        <w:r w:rsidR="00E6043D" w:rsidRPr="00301BE2">
          <w:rPr>
            <w:rStyle w:val="Hyperlink"/>
            <w:noProof/>
            <w:lang w:val="en-GB"/>
          </w:rPr>
          <w:t xml:space="preserve">Figure 138. </w:t>
        </w:r>
        <w:r w:rsidR="00E6043D" w:rsidRPr="00301BE2">
          <w:rPr>
            <w:rStyle w:val="Hyperlink"/>
            <w:i/>
            <w:noProof/>
            <w:lang w:val="en-GB"/>
          </w:rPr>
          <w:t>Average daily flow (ML day</w:t>
        </w:r>
        <w:r w:rsidR="00E6043D" w:rsidRPr="00301BE2">
          <w:rPr>
            <w:rStyle w:val="Hyperlink"/>
            <w:i/>
            <w:noProof/>
            <w:vertAlign w:val="superscript"/>
            <w:lang w:val="en-GB"/>
          </w:rPr>
          <w:t>-1</w:t>
        </w:r>
        <w:r w:rsidR="00E6043D" w:rsidRPr="00301BE2">
          <w:rPr>
            <w:rStyle w:val="Hyperlink"/>
            <w:i/>
            <w:noProof/>
            <w:lang w:val="en-GB"/>
          </w:rPr>
          <w:t>) per month from the main rivers which would impact seagrass monitoring sites in the Fitzroy region</w:t>
        </w:r>
        <w:r w:rsidR="00E6043D">
          <w:rPr>
            <w:noProof/>
            <w:webHidden/>
          </w:rPr>
          <w:tab/>
        </w:r>
        <w:r w:rsidR="00E6043D">
          <w:rPr>
            <w:noProof/>
            <w:webHidden/>
          </w:rPr>
          <w:fldChar w:fldCharType="begin"/>
        </w:r>
        <w:r w:rsidR="00E6043D">
          <w:rPr>
            <w:noProof/>
            <w:webHidden/>
          </w:rPr>
          <w:instrText xml:space="preserve"> PAGEREF _Toc462684978 \h </w:instrText>
        </w:r>
        <w:r w:rsidR="00E6043D">
          <w:rPr>
            <w:noProof/>
            <w:webHidden/>
          </w:rPr>
        </w:r>
        <w:r w:rsidR="00E6043D">
          <w:rPr>
            <w:noProof/>
            <w:webHidden/>
          </w:rPr>
          <w:fldChar w:fldCharType="separate"/>
        </w:r>
        <w:r w:rsidR="00E6043D">
          <w:rPr>
            <w:noProof/>
            <w:webHidden/>
          </w:rPr>
          <w:t>173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79" w:history="1">
        <w:r w:rsidR="00E6043D" w:rsidRPr="00301BE2">
          <w:rPr>
            <w:rStyle w:val="Hyperlink"/>
            <w:noProof/>
            <w:lang w:val="en-GB"/>
          </w:rPr>
          <w:t xml:space="preserve">Figure 139. </w:t>
        </w:r>
        <w:r w:rsidR="00E6043D" w:rsidRPr="00301BE2">
          <w:rPr>
            <w:rStyle w:val="Hyperlink"/>
            <w:i/>
            <w:noProof/>
            <w:lang w:val="en-GB"/>
          </w:rPr>
          <w:t>Average daily flow (ML day</w:t>
        </w:r>
        <w:r w:rsidR="00E6043D" w:rsidRPr="00301BE2">
          <w:rPr>
            <w:rStyle w:val="Hyperlink"/>
            <w:i/>
            <w:noProof/>
            <w:vertAlign w:val="superscript"/>
            <w:lang w:val="en-GB"/>
          </w:rPr>
          <w:t>-1</w:t>
        </w:r>
        <w:r w:rsidR="00E6043D" w:rsidRPr="00301BE2">
          <w:rPr>
            <w:rStyle w:val="Hyperlink"/>
            <w:i/>
            <w:noProof/>
            <w:lang w:val="en-GB"/>
          </w:rPr>
          <w:t>) per month from the Mary River which would impact estuarine seagrass monitoring sites at Urangan, southern Burnett Mary region</w:t>
        </w:r>
        <w:r w:rsidR="00E6043D">
          <w:rPr>
            <w:noProof/>
            <w:webHidden/>
          </w:rPr>
          <w:tab/>
        </w:r>
        <w:r w:rsidR="00E6043D">
          <w:rPr>
            <w:noProof/>
            <w:webHidden/>
          </w:rPr>
          <w:fldChar w:fldCharType="begin"/>
        </w:r>
        <w:r w:rsidR="00E6043D">
          <w:rPr>
            <w:noProof/>
            <w:webHidden/>
          </w:rPr>
          <w:instrText xml:space="preserve"> PAGEREF _Toc462684979 \h </w:instrText>
        </w:r>
        <w:r w:rsidR="00E6043D">
          <w:rPr>
            <w:noProof/>
            <w:webHidden/>
          </w:rPr>
        </w:r>
        <w:r w:rsidR="00E6043D">
          <w:rPr>
            <w:noProof/>
            <w:webHidden/>
          </w:rPr>
          <w:fldChar w:fldCharType="separate"/>
        </w:r>
        <w:r w:rsidR="00E6043D">
          <w:rPr>
            <w:noProof/>
            <w:webHidden/>
          </w:rPr>
          <w:t>173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0" w:history="1">
        <w:r w:rsidR="00E6043D" w:rsidRPr="00301BE2">
          <w:rPr>
            <w:rStyle w:val="Hyperlink"/>
            <w:noProof/>
            <w:lang w:val="en-GB"/>
          </w:rPr>
          <w:t xml:space="preserve">Figure 140. </w:t>
        </w:r>
        <w:r w:rsidR="00E6043D" w:rsidRPr="00301BE2">
          <w:rPr>
            <w:rStyle w:val="Hyperlink"/>
            <w:i/>
            <w:noProof/>
          </w:rPr>
          <w:t>Mean monthly daily maximum air temperature (°C), total monthly rainfall (mm, bar graph), mean monthly cloud cover (quarts, heavier line), and mean monthly 3pm wind speed (km.hr</w:t>
        </w:r>
        <w:r w:rsidR="00E6043D" w:rsidRPr="00301BE2">
          <w:rPr>
            <w:rStyle w:val="Hyperlink"/>
            <w:i/>
            <w:noProof/>
            <w:vertAlign w:val="superscript"/>
          </w:rPr>
          <w:t>-1</w:t>
        </w:r>
        <w:r w:rsidR="00E6043D" w:rsidRPr="00301BE2">
          <w:rPr>
            <w:rStyle w:val="Hyperlink"/>
            <w:i/>
            <w:noProof/>
          </w:rPr>
          <w:t>, lighter line) recorded at Lockhart River Airport (BOM station 028008, source www.bom.gov.au), located 108km from Shelburne Bay and 61km from Piper Reef monitoring sites.</w:t>
        </w:r>
        <w:r w:rsidR="00E6043D">
          <w:rPr>
            <w:noProof/>
            <w:webHidden/>
          </w:rPr>
          <w:tab/>
        </w:r>
        <w:r w:rsidR="00E6043D">
          <w:rPr>
            <w:noProof/>
            <w:webHidden/>
          </w:rPr>
          <w:fldChar w:fldCharType="begin"/>
        </w:r>
        <w:r w:rsidR="00E6043D">
          <w:rPr>
            <w:noProof/>
            <w:webHidden/>
          </w:rPr>
          <w:instrText xml:space="preserve"> PAGEREF _Toc462684980 \h </w:instrText>
        </w:r>
        <w:r w:rsidR="00E6043D">
          <w:rPr>
            <w:noProof/>
            <w:webHidden/>
          </w:rPr>
        </w:r>
        <w:r w:rsidR="00E6043D">
          <w:rPr>
            <w:noProof/>
            <w:webHidden/>
          </w:rPr>
          <w:fldChar w:fldCharType="separate"/>
        </w:r>
        <w:r w:rsidR="00E6043D">
          <w:rPr>
            <w:noProof/>
            <w:webHidden/>
          </w:rPr>
          <w:t>174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1" w:history="1">
        <w:r w:rsidR="00E6043D" w:rsidRPr="00301BE2">
          <w:rPr>
            <w:rStyle w:val="Hyperlink"/>
            <w:noProof/>
            <w:lang w:val="en-GB"/>
          </w:rPr>
          <w:t xml:space="preserve">Figure 141. </w:t>
        </w:r>
        <w:r w:rsidR="00E6043D" w:rsidRPr="00301BE2">
          <w:rPr>
            <w:rStyle w:val="Hyperlink"/>
            <w:i/>
            <w:noProof/>
            <w:lang w:val="en-GB"/>
          </w:rPr>
          <w:t>Total monthly rainfall (mm, bar graph) recorded at Lotus Bird Lodge (BOM station 028035, source www.bom.gov.au), located approximately 73km and 84km from Bathurst Bay and Stanley Island monitoring sites, respectively</w:t>
        </w:r>
        <w:r w:rsidR="00E6043D">
          <w:rPr>
            <w:noProof/>
            <w:webHidden/>
          </w:rPr>
          <w:tab/>
        </w:r>
        <w:r w:rsidR="00E6043D">
          <w:rPr>
            <w:noProof/>
            <w:webHidden/>
          </w:rPr>
          <w:fldChar w:fldCharType="begin"/>
        </w:r>
        <w:r w:rsidR="00E6043D">
          <w:rPr>
            <w:noProof/>
            <w:webHidden/>
          </w:rPr>
          <w:instrText xml:space="preserve"> PAGEREF _Toc462684981 \h </w:instrText>
        </w:r>
        <w:r w:rsidR="00E6043D">
          <w:rPr>
            <w:noProof/>
            <w:webHidden/>
          </w:rPr>
        </w:r>
        <w:r w:rsidR="00E6043D">
          <w:rPr>
            <w:noProof/>
            <w:webHidden/>
          </w:rPr>
          <w:fldChar w:fldCharType="separate"/>
        </w:r>
        <w:r w:rsidR="00E6043D">
          <w:rPr>
            <w:noProof/>
            <w:webHidden/>
          </w:rPr>
          <w:t>174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2" w:history="1">
        <w:r w:rsidR="00E6043D" w:rsidRPr="00301BE2">
          <w:rPr>
            <w:rStyle w:val="Hyperlink"/>
            <w:noProof/>
            <w:lang w:val="en-GB"/>
          </w:rPr>
          <w:t xml:space="preserve">Figure 142. </w:t>
        </w:r>
        <w:r w:rsidR="00E6043D" w:rsidRPr="00301BE2">
          <w:rPr>
            <w:rStyle w:val="Hyperlink"/>
            <w:i/>
            <w:noProof/>
            <w:lang w:val="en-GB"/>
          </w:rPr>
          <w:t>Mean monthly daily maximum air temperature (°C), total monthly rainfall (mm, bar graph), mean monthly cloud cover (quarts, heavier line), and mean monthly 3pm wind speed (km.</w:t>
        </w:r>
        <w:r w:rsidR="00E6043D" w:rsidRPr="00301BE2">
          <w:rPr>
            <w:rStyle w:val="Hyperlink"/>
            <w:i/>
            <w:noProof/>
          </w:rPr>
          <w:t xml:space="preserve"> hr</w:t>
        </w:r>
        <w:r w:rsidR="00E6043D" w:rsidRPr="00301BE2">
          <w:rPr>
            <w:rStyle w:val="Hyperlink"/>
            <w:i/>
            <w:noProof/>
            <w:vertAlign w:val="superscript"/>
          </w:rPr>
          <w:t>-1</w:t>
        </w:r>
        <w:r w:rsidR="00E6043D" w:rsidRPr="00301BE2">
          <w:rPr>
            <w:rStyle w:val="Hyperlink"/>
            <w:i/>
            <w:noProof/>
            <w:lang w:val="en-GB"/>
          </w:rPr>
          <w:t>, lighter line) recorded at Cooktown airport (BOM station 031209, source www.bom.gov.au), located 16km from Archer Point monitoring sites.</w:t>
        </w:r>
        <w:r w:rsidR="00E6043D">
          <w:rPr>
            <w:noProof/>
            <w:webHidden/>
          </w:rPr>
          <w:tab/>
        </w:r>
        <w:r w:rsidR="00E6043D">
          <w:rPr>
            <w:noProof/>
            <w:webHidden/>
          </w:rPr>
          <w:fldChar w:fldCharType="begin"/>
        </w:r>
        <w:r w:rsidR="00E6043D">
          <w:rPr>
            <w:noProof/>
            <w:webHidden/>
          </w:rPr>
          <w:instrText xml:space="preserve"> PAGEREF _Toc462684982 \h </w:instrText>
        </w:r>
        <w:r w:rsidR="00E6043D">
          <w:rPr>
            <w:noProof/>
            <w:webHidden/>
          </w:rPr>
        </w:r>
        <w:r w:rsidR="00E6043D">
          <w:rPr>
            <w:noProof/>
            <w:webHidden/>
          </w:rPr>
          <w:fldChar w:fldCharType="separate"/>
        </w:r>
        <w:r w:rsidR="00E6043D">
          <w:rPr>
            <w:noProof/>
            <w:webHidden/>
          </w:rPr>
          <w:t>175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3" w:history="1">
        <w:r w:rsidR="00E6043D" w:rsidRPr="00301BE2">
          <w:rPr>
            <w:rStyle w:val="Hyperlink"/>
            <w:noProof/>
            <w:lang w:val="en-GB"/>
          </w:rPr>
          <w:t xml:space="preserve">Figure 143. </w:t>
        </w:r>
        <w:r w:rsidR="00E6043D" w:rsidRPr="00301BE2">
          <w:rPr>
            <w:rStyle w:val="Hyperlink"/>
            <w:i/>
            <w:noProof/>
            <w:lang w:val="en-GB"/>
          </w:rPr>
          <w:t>Number of days wind speed is above 25 km. hr</w:t>
        </w:r>
        <w:r w:rsidR="00E6043D" w:rsidRPr="00301BE2">
          <w:rPr>
            <w:rStyle w:val="Hyperlink"/>
            <w:i/>
            <w:noProof/>
            <w:vertAlign w:val="superscript"/>
            <w:lang w:val="en-GB"/>
          </w:rPr>
          <w:t>-1</w:t>
        </w:r>
        <w:r w:rsidR="00E6043D" w:rsidRPr="00301BE2">
          <w:rPr>
            <w:rStyle w:val="Hyperlink"/>
            <w:i/>
            <w:noProof/>
            <w:lang w:val="en-GB"/>
          </w:rPr>
          <w:t xml:space="preserve"> each monitoring period in the Cape York NRM region.</w:t>
        </w:r>
        <w:r w:rsidR="00E6043D">
          <w:rPr>
            <w:noProof/>
            <w:webHidden/>
          </w:rPr>
          <w:tab/>
        </w:r>
        <w:r w:rsidR="00E6043D">
          <w:rPr>
            <w:noProof/>
            <w:webHidden/>
          </w:rPr>
          <w:fldChar w:fldCharType="begin"/>
        </w:r>
        <w:r w:rsidR="00E6043D">
          <w:rPr>
            <w:noProof/>
            <w:webHidden/>
          </w:rPr>
          <w:instrText xml:space="preserve"> PAGEREF _Toc462684983 \h </w:instrText>
        </w:r>
        <w:r w:rsidR="00E6043D">
          <w:rPr>
            <w:noProof/>
            <w:webHidden/>
          </w:rPr>
        </w:r>
        <w:r w:rsidR="00E6043D">
          <w:rPr>
            <w:noProof/>
            <w:webHidden/>
          </w:rPr>
          <w:fldChar w:fldCharType="separate"/>
        </w:r>
        <w:r w:rsidR="00E6043D">
          <w:rPr>
            <w:noProof/>
            <w:webHidden/>
          </w:rPr>
          <w:t>175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4" w:history="1">
        <w:r w:rsidR="00E6043D" w:rsidRPr="00301BE2">
          <w:rPr>
            <w:rStyle w:val="Hyperlink"/>
            <w:noProof/>
            <w:lang w:val="en-GB"/>
          </w:rPr>
          <w:t xml:space="preserve">Figure 144. </w:t>
        </w:r>
        <w:r w:rsidR="00E6043D" w:rsidRPr="00301BE2">
          <w:rPr>
            <w:rStyle w:val="Hyperlink"/>
            <w:i/>
            <w:noProof/>
            <w:lang w:val="en-GB"/>
          </w:rPr>
          <w:t>Total monthly rainfall (mm, bar graph) recorded at Port Douglas - Warner St (BOM station 31052, source www.bom.gov.au), located approximately 11km from Yule Point and 15 from Low Isles monitoring sites.</w:t>
        </w:r>
        <w:r w:rsidR="00E6043D">
          <w:rPr>
            <w:noProof/>
            <w:webHidden/>
          </w:rPr>
          <w:tab/>
        </w:r>
        <w:r w:rsidR="00E6043D">
          <w:rPr>
            <w:noProof/>
            <w:webHidden/>
          </w:rPr>
          <w:fldChar w:fldCharType="begin"/>
        </w:r>
        <w:r w:rsidR="00E6043D">
          <w:rPr>
            <w:noProof/>
            <w:webHidden/>
          </w:rPr>
          <w:instrText xml:space="preserve"> PAGEREF _Toc462684984 \h </w:instrText>
        </w:r>
        <w:r w:rsidR="00E6043D">
          <w:rPr>
            <w:noProof/>
            <w:webHidden/>
          </w:rPr>
        </w:r>
        <w:r w:rsidR="00E6043D">
          <w:rPr>
            <w:noProof/>
            <w:webHidden/>
          </w:rPr>
          <w:fldChar w:fldCharType="separate"/>
        </w:r>
        <w:r w:rsidR="00E6043D">
          <w:rPr>
            <w:noProof/>
            <w:webHidden/>
          </w:rPr>
          <w:t>176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5" w:history="1">
        <w:r w:rsidR="00E6043D" w:rsidRPr="00301BE2">
          <w:rPr>
            <w:rStyle w:val="Hyperlink"/>
            <w:noProof/>
            <w:lang w:val="en-GB"/>
          </w:rPr>
          <w:t xml:space="preserve">Figure 145. </w:t>
        </w:r>
        <w:r w:rsidR="00E6043D" w:rsidRPr="00301BE2">
          <w:rPr>
            <w:rStyle w:val="Hyperlink"/>
            <w:i/>
            <w:noProof/>
            <w:lang w:val="en-GB"/>
          </w:rPr>
          <w:t>Mean monthly daily maximum air temperature (°C, black line), and mean monthly 3pm wind speed (km.</w:t>
        </w:r>
        <w:r w:rsidR="00E6043D" w:rsidRPr="00301BE2">
          <w:rPr>
            <w:rStyle w:val="Hyperlink"/>
            <w:i/>
            <w:noProof/>
          </w:rPr>
          <w:t xml:space="preserve"> hr</w:t>
        </w:r>
        <w:r w:rsidR="00E6043D" w:rsidRPr="00301BE2">
          <w:rPr>
            <w:rStyle w:val="Hyperlink"/>
            <w:i/>
            <w:noProof/>
            <w:vertAlign w:val="superscript"/>
          </w:rPr>
          <w:t>-1</w:t>
        </w:r>
        <w:r w:rsidR="00E6043D" w:rsidRPr="00301BE2">
          <w:rPr>
            <w:rStyle w:val="Hyperlink"/>
            <w:i/>
            <w:noProof/>
            <w:lang w:val="en-GB"/>
          </w:rPr>
          <w:t>, grey line) pre-July 2010 from Green Island (BOM station 31192).</w:t>
        </w:r>
        <w:r w:rsidR="00E6043D">
          <w:rPr>
            <w:noProof/>
            <w:webHidden/>
          </w:rPr>
          <w:tab/>
        </w:r>
        <w:r w:rsidR="00E6043D">
          <w:rPr>
            <w:noProof/>
            <w:webHidden/>
          </w:rPr>
          <w:fldChar w:fldCharType="begin"/>
        </w:r>
        <w:r w:rsidR="00E6043D">
          <w:rPr>
            <w:noProof/>
            <w:webHidden/>
          </w:rPr>
          <w:instrText xml:space="preserve"> PAGEREF _Toc462684985 \h </w:instrText>
        </w:r>
        <w:r w:rsidR="00E6043D">
          <w:rPr>
            <w:noProof/>
            <w:webHidden/>
          </w:rPr>
        </w:r>
        <w:r w:rsidR="00E6043D">
          <w:rPr>
            <w:noProof/>
            <w:webHidden/>
          </w:rPr>
          <w:fldChar w:fldCharType="separate"/>
        </w:r>
        <w:r w:rsidR="00E6043D">
          <w:rPr>
            <w:noProof/>
            <w:webHidden/>
          </w:rPr>
          <w:t>176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6" w:history="1">
        <w:r w:rsidR="00E6043D" w:rsidRPr="00301BE2">
          <w:rPr>
            <w:rStyle w:val="Hyperlink"/>
            <w:noProof/>
          </w:rPr>
          <w:t xml:space="preserve">Figure 146. </w:t>
        </w:r>
        <w:r w:rsidR="00E6043D" w:rsidRPr="00301BE2">
          <w:rPr>
            <w:rStyle w:val="Hyperlink"/>
            <w:i/>
            <w:noProof/>
          </w:rPr>
          <w:t>Total monthly rainfall (mm, bar graph), recorded at Dunk Island Resort (BOM station 32118, source www.bom.gov.au).</w:t>
        </w:r>
        <w:r w:rsidR="00E6043D">
          <w:rPr>
            <w:noProof/>
            <w:webHidden/>
          </w:rPr>
          <w:tab/>
        </w:r>
        <w:r w:rsidR="00E6043D">
          <w:rPr>
            <w:noProof/>
            <w:webHidden/>
          </w:rPr>
          <w:fldChar w:fldCharType="begin"/>
        </w:r>
        <w:r w:rsidR="00E6043D">
          <w:rPr>
            <w:noProof/>
            <w:webHidden/>
          </w:rPr>
          <w:instrText xml:space="preserve"> PAGEREF _Toc462684986 \h </w:instrText>
        </w:r>
        <w:r w:rsidR="00E6043D">
          <w:rPr>
            <w:noProof/>
            <w:webHidden/>
          </w:rPr>
        </w:r>
        <w:r w:rsidR="00E6043D">
          <w:rPr>
            <w:noProof/>
            <w:webHidden/>
          </w:rPr>
          <w:fldChar w:fldCharType="separate"/>
        </w:r>
        <w:r w:rsidR="00E6043D">
          <w:rPr>
            <w:noProof/>
            <w:webHidden/>
          </w:rPr>
          <w:t>177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7" w:history="1">
        <w:r w:rsidR="00E6043D" w:rsidRPr="00301BE2">
          <w:rPr>
            <w:rStyle w:val="Hyperlink"/>
            <w:noProof/>
          </w:rPr>
          <w:t xml:space="preserve">Figure 147. </w:t>
        </w:r>
        <w:r w:rsidR="00E6043D" w:rsidRPr="00301BE2">
          <w:rPr>
            <w:rStyle w:val="Hyperlink"/>
            <w:i/>
            <w:noProof/>
          </w:rPr>
          <w:t>Number of days wind speed is above 25 km. hr</w:t>
        </w:r>
        <w:r w:rsidR="00E6043D" w:rsidRPr="00301BE2">
          <w:rPr>
            <w:rStyle w:val="Hyperlink"/>
            <w:i/>
            <w:noProof/>
            <w:vertAlign w:val="superscript"/>
          </w:rPr>
          <w:t>-1</w:t>
        </w:r>
        <w:r w:rsidR="00E6043D" w:rsidRPr="00301BE2">
          <w:rPr>
            <w:rStyle w:val="Hyperlink"/>
            <w:i/>
            <w:noProof/>
          </w:rPr>
          <w:t xml:space="preserve"> each monitoring period in the Wet Tropics NRM region.</w:t>
        </w:r>
        <w:r w:rsidR="00E6043D">
          <w:rPr>
            <w:noProof/>
            <w:webHidden/>
          </w:rPr>
          <w:tab/>
        </w:r>
        <w:r w:rsidR="00E6043D">
          <w:rPr>
            <w:noProof/>
            <w:webHidden/>
          </w:rPr>
          <w:fldChar w:fldCharType="begin"/>
        </w:r>
        <w:r w:rsidR="00E6043D">
          <w:rPr>
            <w:noProof/>
            <w:webHidden/>
          </w:rPr>
          <w:instrText xml:space="preserve"> PAGEREF _Toc462684987 \h </w:instrText>
        </w:r>
        <w:r w:rsidR="00E6043D">
          <w:rPr>
            <w:noProof/>
            <w:webHidden/>
          </w:rPr>
        </w:r>
        <w:r w:rsidR="00E6043D">
          <w:rPr>
            <w:noProof/>
            <w:webHidden/>
          </w:rPr>
          <w:fldChar w:fldCharType="separate"/>
        </w:r>
        <w:r w:rsidR="00E6043D">
          <w:rPr>
            <w:noProof/>
            <w:webHidden/>
          </w:rPr>
          <w:t>177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8" w:history="1">
        <w:r w:rsidR="00E6043D" w:rsidRPr="00301BE2">
          <w:rPr>
            <w:rStyle w:val="Hyperlink"/>
            <w:noProof/>
            <w:lang w:val="en-GB"/>
          </w:rPr>
          <w:t xml:space="preserve">Figure 148. </w:t>
        </w:r>
        <w:r w:rsidR="00E6043D" w:rsidRPr="00301BE2">
          <w:rPr>
            <w:rStyle w:val="Hyperlink"/>
            <w:i/>
            <w:noProof/>
            <w:lang w:val="en-GB"/>
          </w:rPr>
          <w:t>Mean monthly daily maximum temperature (°C, line), total monthly rainfall (grey bars), mean monthly cloud cover (quarts, black line), and mean monthly 3pm wind speed (km.</w:t>
        </w:r>
        <w:r w:rsidR="00E6043D" w:rsidRPr="00301BE2">
          <w:rPr>
            <w:rStyle w:val="Hyperlink"/>
            <w:i/>
            <w:noProof/>
          </w:rPr>
          <w:t xml:space="preserve"> hr</w:t>
        </w:r>
        <w:r w:rsidR="00E6043D" w:rsidRPr="00301BE2">
          <w:rPr>
            <w:rStyle w:val="Hyperlink"/>
            <w:i/>
            <w:noProof/>
            <w:vertAlign w:val="superscript"/>
          </w:rPr>
          <w:t>-1</w:t>
        </w:r>
        <w:r w:rsidR="00E6043D" w:rsidRPr="00301BE2">
          <w:rPr>
            <w:rStyle w:val="Hyperlink"/>
            <w:i/>
            <w:noProof/>
            <w:lang w:val="en-GB"/>
          </w:rPr>
          <w:t>, grey line) recorded at Townsville Airport (BOM station 032040, source www.bom.gov.au).</w:t>
        </w:r>
        <w:r w:rsidR="00E6043D">
          <w:rPr>
            <w:noProof/>
            <w:webHidden/>
          </w:rPr>
          <w:tab/>
        </w:r>
        <w:r w:rsidR="00E6043D">
          <w:rPr>
            <w:noProof/>
            <w:webHidden/>
          </w:rPr>
          <w:fldChar w:fldCharType="begin"/>
        </w:r>
        <w:r w:rsidR="00E6043D">
          <w:rPr>
            <w:noProof/>
            <w:webHidden/>
          </w:rPr>
          <w:instrText xml:space="preserve"> PAGEREF _Toc462684988 \h </w:instrText>
        </w:r>
        <w:r w:rsidR="00E6043D">
          <w:rPr>
            <w:noProof/>
            <w:webHidden/>
          </w:rPr>
        </w:r>
        <w:r w:rsidR="00E6043D">
          <w:rPr>
            <w:noProof/>
            <w:webHidden/>
          </w:rPr>
          <w:fldChar w:fldCharType="separate"/>
        </w:r>
        <w:r w:rsidR="00E6043D">
          <w:rPr>
            <w:noProof/>
            <w:webHidden/>
          </w:rPr>
          <w:t>178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89" w:history="1">
        <w:r w:rsidR="00E6043D" w:rsidRPr="00301BE2">
          <w:rPr>
            <w:rStyle w:val="Hyperlink"/>
            <w:noProof/>
            <w:lang w:val="en-GB"/>
          </w:rPr>
          <w:t xml:space="preserve">Figure 149. </w:t>
        </w:r>
        <w:r w:rsidR="00E6043D" w:rsidRPr="00301BE2">
          <w:rPr>
            <w:rStyle w:val="Hyperlink"/>
            <w:i/>
            <w:noProof/>
            <w:lang w:val="en-GB"/>
          </w:rPr>
          <w:t>Mean monthly daily maximum temperature (°C, line), total monthly rainfall (grey bars), and mean monthly 3pm wind speed (km.</w:t>
        </w:r>
        <w:r w:rsidR="00E6043D" w:rsidRPr="00301BE2">
          <w:rPr>
            <w:rStyle w:val="Hyperlink"/>
            <w:i/>
            <w:noProof/>
          </w:rPr>
          <w:t xml:space="preserve"> hr</w:t>
        </w:r>
        <w:r w:rsidR="00E6043D" w:rsidRPr="00301BE2">
          <w:rPr>
            <w:rStyle w:val="Hyperlink"/>
            <w:i/>
            <w:noProof/>
            <w:vertAlign w:val="superscript"/>
          </w:rPr>
          <w:t>-1</w:t>
        </w:r>
        <w:r w:rsidR="00E6043D" w:rsidRPr="00301BE2">
          <w:rPr>
            <w:rStyle w:val="Hyperlink"/>
            <w:i/>
            <w:noProof/>
            <w:lang w:val="en-GB"/>
          </w:rPr>
          <w:t>, grey line) recorded at Ayr (BOM station 033002, source www.bom.gov.au), located approximately 26km from Jerona (Bowling Green Bay) monitoring sites.</w:t>
        </w:r>
        <w:r w:rsidR="00E6043D">
          <w:rPr>
            <w:noProof/>
            <w:webHidden/>
          </w:rPr>
          <w:tab/>
        </w:r>
        <w:r w:rsidR="00E6043D">
          <w:rPr>
            <w:noProof/>
            <w:webHidden/>
          </w:rPr>
          <w:fldChar w:fldCharType="begin"/>
        </w:r>
        <w:r w:rsidR="00E6043D">
          <w:rPr>
            <w:noProof/>
            <w:webHidden/>
          </w:rPr>
          <w:instrText xml:space="preserve"> PAGEREF _Toc462684989 \h </w:instrText>
        </w:r>
        <w:r w:rsidR="00E6043D">
          <w:rPr>
            <w:noProof/>
            <w:webHidden/>
          </w:rPr>
        </w:r>
        <w:r w:rsidR="00E6043D">
          <w:rPr>
            <w:noProof/>
            <w:webHidden/>
          </w:rPr>
          <w:fldChar w:fldCharType="separate"/>
        </w:r>
        <w:r w:rsidR="00E6043D">
          <w:rPr>
            <w:noProof/>
            <w:webHidden/>
          </w:rPr>
          <w:t>178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0" w:history="1">
        <w:r w:rsidR="00E6043D" w:rsidRPr="00301BE2">
          <w:rPr>
            <w:rStyle w:val="Hyperlink"/>
            <w:noProof/>
            <w:lang w:val="en-GB"/>
          </w:rPr>
          <w:t xml:space="preserve">Figure 150. </w:t>
        </w:r>
        <w:r w:rsidR="00E6043D" w:rsidRPr="00301BE2">
          <w:rPr>
            <w:rStyle w:val="Hyperlink"/>
            <w:i/>
            <w:noProof/>
            <w:lang w:val="en-GB"/>
          </w:rPr>
          <w:t>Number of days wind speed is above 25 km. hr</w:t>
        </w:r>
        <w:r w:rsidR="00E6043D" w:rsidRPr="00301BE2">
          <w:rPr>
            <w:rStyle w:val="Hyperlink"/>
            <w:i/>
            <w:noProof/>
            <w:vertAlign w:val="superscript"/>
            <w:lang w:val="en-GB"/>
          </w:rPr>
          <w:t>-1</w:t>
        </w:r>
        <w:r w:rsidR="00E6043D" w:rsidRPr="00301BE2">
          <w:rPr>
            <w:rStyle w:val="Hyperlink"/>
            <w:i/>
            <w:noProof/>
            <w:lang w:val="en-GB"/>
          </w:rPr>
          <w:t xml:space="preserve"> each monitoring period in the Burdekin NRM region.</w:t>
        </w:r>
        <w:r w:rsidR="00E6043D">
          <w:rPr>
            <w:noProof/>
            <w:webHidden/>
          </w:rPr>
          <w:tab/>
        </w:r>
        <w:r w:rsidR="00E6043D">
          <w:rPr>
            <w:noProof/>
            <w:webHidden/>
          </w:rPr>
          <w:fldChar w:fldCharType="begin"/>
        </w:r>
        <w:r w:rsidR="00E6043D">
          <w:rPr>
            <w:noProof/>
            <w:webHidden/>
          </w:rPr>
          <w:instrText xml:space="preserve"> PAGEREF _Toc462684990 \h </w:instrText>
        </w:r>
        <w:r w:rsidR="00E6043D">
          <w:rPr>
            <w:noProof/>
            <w:webHidden/>
          </w:rPr>
        </w:r>
        <w:r w:rsidR="00E6043D">
          <w:rPr>
            <w:noProof/>
            <w:webHidden/>
          </w:rPr>
          <w:fldChar w:fldCharType="separate"/>
        </w:r>
        <w:r w:rsidR="00E6043D">
          <w:rPr>
            <w:noProof/>
            <w:webHidden/>
          </w:rPr>
          <w:t>179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1" w:history="1">
        <w:r w:rsidR="00E6043D" w:rsidRPr="00301BE2">
          <w:rPr>
            <w:rStyle w:val="Hyperlink"/>
            <w:noProof/>
            <w:lang w:val="en-GB"/>
          </w:rPr>
          <w:t xml:space="preserve">Figure 151. </w:t>
        </w:r>
        <w:r w:rsidR="00E6043D" w:rsidRPr="00301BE2">
          <w:rPr>
            <w:rStyle w:val="Hyperlink"/>
            <w:i/>
            <w:noProof/>
            <w:lang w:val="en-GB"/>
          </w:rPr>
          <w:t>Total monthly rainfall (grey bars) (post December 2004), mean monthly daily maximum temperature (°C, black line), mean monthly cloud cover (quarts, black line), and mean monthly 3pm wind speed (km.</w:t>
        </w:r>
        <w:r w:rsidR="00E6043D" w:rsidRPr="00301BE2">
          <w:rPr>
            <w:rStyle w:val="Hyperlink"/>
            <w:i/>
            <w:noProof/>
          </w:rPr>
          <w:t xml:space="preserve"> hr</w:t>
        </w:r>
        <w:r w:rsidR="00E6043D" w:rsidRPr="00301BE2">
          <w:rPr>
            <w:rStyle w:val="Hyperlink"/>
            <w:i/>
            <w:noProof/>
            <w:vertAlign w:val="superscript"/>
          </w:rPr>
          <w:t>-1</w:t>
        </w:r>
        <w:r w:rsidR="00E6043D" w:rsidRPr="00301BE2">
          <w:rPr>
            <w:rStyle w:val="Hyperlink"/>
            <w:i/>
            <w:noProof/>
            <w:lang w:val="en-GB"/>
          </w:rPr>
          <w:t>, grey line) recorded at Proserpine Post Office</w:t>
        </w:r>
        <w:r w:rsidR="00E6043D">
          <w:rPr>
            <w:noProof/>
            <w:webHidden/>
          </w:rPr>
          <w:tab/>
        </w:r>
        <w:r w:rsidR="00E6043D">
          <w:rPr>
            <w:noProof/>
            <w:webHidden/>
          </w:rPr>
          <w:fldChar w:fldCharType="begin"/>
        </w:r>
        <w:r w:rsidR="00E6043D">
          <w:rPr>
            <w:noProof/>
            <w:webHidden/>
          </w:rPr>
          <w:instrText xml:space="preserve"> PAGEREF _Toc462684991 \h </w:instrText>
        </w:r>
        <w:r w:rsidR="00E6043D">
          <w:rPr>
            <w:noProof/>
            <w:webHidden/>
          </w:rPr>
        </w:r>
        <w:r w:rsidR="00E6043D">
          <w:rPr>
            <w:noProof/>
            <w:webHidden/>
          </w:rPr>
          <w:fldChar w:fldCharType="separate"/>
        </w:r>
        <w:r w:rsidR="00E6043D">
          <w:rPr>
            <w:noProof/>
            <w:webHidden/>
          </w:rPr>
          <w:t>179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2" w:history="1">
        <w:r w:rsidR="00E6043D" w:rsidRPr="00301BE2">
          <w:rPr>
            <w:rStyle w:val="Hyperlink"/>
            <w:noProof/>
            <w:lang w:val="en-GB"/>
          </w:rPr>
          <w:t xml:space="preserve">Figure 152. </w:t>
        </w:r>
        <w:r w:rsidR="00E6043D" w:rsidRPr="00301BE2">
          <w:rPr>
            <w:rStyle w:val="Hyperlink"/>
            <w:i/>
            <w:noProof/>
            <w:lang w:val="en-GB"/>
          </w:rPr>
          <w:t>Mean monthly daily maximum temperature (°C), total monthly rainfall, mean monthly cloud cover (quarts), and mean monthly 3pm wind speed (km.</w:t>
        </w:r>
        <w:r w:rsidR="00E6043D" w:rsidRPr="00301BE2">
          <w:rPr>
            <w:rStyle w:val="Hyperlink"/>
            <w:i/>
            <w:noProof/>
          </w:rPr>
          <w:t xml:space="preserve"> hr</w:t>
        </w:r>
        <w:r w:rsidR="00E6043D" w:rsidRPr="00301BE2">
          <w:rPr>
            <w:rStyle w:val="Hyperlink"/>
            <w:i/>
            <w:noProof/>
            <w:vertAlign w:val="superscript"/>
          </w:rPr>
          <w:t>-1</w:t>
        </w:r>
        <w:r w:rsidR="00E6043D" w:rsidRPr="00301BE2">
          <w:rPr>
            <w:rStyle w:val="Hyperlink"/>
            <w:i/>
            <w:noProof/>
            <w:lang w:val="en-GB"/>
          </w:rPr>
          <w:t>) recorded at Hamilton Island (BOM station 033106, source www.bom.gov.au), located 1.5km from Hamilton Island monitoring sites.</w:t>
        </w:r>
        <w:r w:rsidR="00E6043D">
          <w:rPr>
            <w:noProof/>
            <w:webHidden/>
          </w:rPr>
          <w:tab/>
        </w:r>
        <w:r w:rsidR="00E6043D">
          <w:rPr>
            <w:noProof/>
            <w:webHidden/>
          </w:rPr>
          <w:fldChar w:fldCharType="begin"/>
        </w:r>
        <w:r w:rsidR="00E6043D">
          <w:rPr>
            <w:noProof/>
            <w:webHidden/>
          </w:rPr>
          <w:instrText xml:space="preserve"> PAGEREF _Toc462684992 \h </w:instrText>
        </w:r>
        <w:r w:rsidR="00E6043D">
          <w:rPr>
            <w:noProof/>
            <w:webHidden/>
          </w:rPr>
        </w:r>
        <w:r w:rsidR="00E6043D">
          <w:rPr>
            <w:noProof/>
            <w:webHidden/>
          </w:rPr>
          <w:fldChar w:fldCharType="separate"/>
        </w:r>
        <w:r w:rsidR="00E6043D">
          <w:rPr>
            <w:noProof/>
            <w:webHidden/>
          </w:rPr>
          <w:t>180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3" w:history="1">
        <w:r w:rsidR="00E6043D" w:rsidRPr="00301BE2">
          <w:rPr>
            <w:rStyle w:val="Hyperlink"/>
            <w:noProof/>
            <w:lang w:val="en-GB"/>
          </w:rPr>
          <w:t xml:space="preserve">Figure 153. </w:t>
        </w:r>
        <w:r w:rsidR="00E6043D" w:rsidRPr="00301BE2">
          <w:rPr>
            <w:rStyle w:val="Hyperlink"/>
            <w:i/>
            <w:noProof/>
            <w:lang w:val="en-GB"/>
          </w:rPr>
          <w:t>Total monthly rainfall (grey bars) recorded at Plane Creek Sugar Mill (BOM station 033059, source www.bom.gov.au), located 10km from Sarina Inlet monitoring sites.</w:t>
        </w:r>
        <w:r w:rsidR="00E6043D">
          <w:rPr>
            <w:noProof/>
            <w:webHidden/>
          </w:rPr>
          <w:tab/>
        </w:r>
        <w:r w:rsidR="00E6043D">
          <w:rPr>
            <w:noProof/>
            <w:webHidden/>
          </w:rPr>
          <w:fldChar w:fldCharType="begin"/>
        </w:r>
        <w:r w:rsidR="00E6043D">
          <w:rPr>
            <w:noProof/>
            <w:webHidden/>
          </w:rPr>
          <w:instrText xml:space="preserve"> PAGEREF _Toc462684993 \h </w:instrText>
        </w:r>
        <w:r w:rsidR="00E6043D">
          <w:rPr>
            <w:noProof/>
            <w:webHidden/>
          </w:rPr>
        </w:r>
        <w:r w:rsidR="00E6043D">
          <w:rPr>
            <w:noProof/>
            <w:webHidden/>
          </w:rPr>
          <w:fldChar w:fldCharType="separate"/>
        </w:r>
        <w:r w:rsidR="00E6043D">
          <w:rPr>
            <w:noProof/>
            <w:webHidden/>
          </w:rPr>
          <w:t>180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4" w:history="1">
        <w:r w:rsidR="00E6043D" w:rsidRPr="00301BE2">
          <w:rPr>
            <w:rStyle w:val="Hyperlink"/>
            <w:noProof/>
            <w:lang w:val="en-GB"/>
          </w:rPr>
          <w:t xml:space="preserve">Figure 154. </w:t>
        </w:r>
        <w:r w:rsidR="00E6043D" w:rsidRPr="00301BE2">
          <w:rPr>
            <w:rStyle w:val="Hyperlink"/>
            <w:i/>
            <w:noProof/>
            <w:lang w:val="en-GB"/>
          </w:rPr>
          <w:t>Number of days wind speed is above 25 km. hr</w:t>
        </w:r>
        <w:r w:rsidR="00E6043D" w:rsidRPr="00301BE2">
          <w:rPr>
            <w:rStyle w:val="Hyperlink"/>
            <w:i/>
            <w:noProof/>
            <w:vertAlign w:val="superscript"/>
            <w:lang w:val="en-GB"/>
          </w:rPr>
          <w:t>-1</w:t>
        </w:r>
        <w:r w:rsidR="00E6043D" w:rsidRPr="00301BE2">
          <w:rPr>
            <w:rStyle w:val="Hyperlink"/>
            <w:i/>
            <w:noProof/>
            <w:lang w:val="en-GB"/>
          </w:rPr>
          <w:t xml:space="preserve"> each monitoring period in the Mackay Whitsunday NRM region.</w:t>
        </w:r>
        <w:r w:rsidR="00E6043D">
          <w:rPr>
            <w:noProof/>
            <w:webHidden/>
          </w:rPr>
          <w:tab/>
        </w:r>
        <w:r w:rsidR="00E6043D">
          <w:rPr>
            <w:noProof/>
            <w:webHidden/>
          </w:rPr>
          <w:fldChar w:fldCharType="begin"/>
        </w:r>
        <w:r w:rsidR="00E6043D">
          <w:rPr>
            <w:noProof/>
            <w:webHidden/>
          </w:rPr>
          <w:instrText xml:space="preserve"> PAGEREF _Toc462684994 \h </w:instrText>
        </w:r>
        <w:r w:rsidR="00E6043D">
          <w:rPr>
            <w:noProof/>
            <w:webHidden/>
          </w:rPr>
        </w:r>
        <w:r w:rsidR="00E6043D">
          <w:rPr>
            <w:noProof/>
            <w:webHidden/>
          </w:rPr>
          <w:fldChar w:fldCharType="separate"/>
        </w:r>
        <w:r w:rsidR="00E6043D">
          <w:rPr>
            <w:noProof/>
            <w:webHidden/>
          </w:rPr>
          <w:t>181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5" w:history="1">
        <w:r w:rsidR="00E6043D" w:rsidRPr="00301BE2">
          <w:rPr>
            <w:rStyle w:val="Hyperlink"/>
            <w:noProof/>
            <w:lang w:val="en-GB"/>
          </w:rPr>
          <w:t xml:space="preserve">Figure 155. </w:t>
        </w:r>
        <w:r w:rsidR="00E6043D" w:rsidRPr="00301BE2">
          <w:rPr>
            <w:rStyle w:val="Hyperlink"/>
            <w:i/>
            <w:noProof/>
            <w:lang w:val="en-GB"/>
          </w:rPr>
          <w:t>Total monthly rainfall (grey bar), mean monthly daily maximum temperature (°C) and mean monthly 3pm wind speed (km.</w:t>
        </w:r>
        <w:r w:rsidR="00E6043D" w:rsidRPr="00301BE2">
          <w:rPr>
            <w:rStyle w:val="Hyperlink"/>
            <w:i/>
            <w:noProof/>
          </w:rPr>
          <w:t xml:space="preserve"> hr</w:t>
        </w:r>
        <w:r w:rsidR="00E6043D" w:rsidRPr="00301BE2">
          <w:rPr>
            <w:rStyle w:val="Hyperlink"/>
            <w:i/>
            <w:noProof/>
            <w:vertAlign w:val="superscript"/>
          </w:rPr>
          <w:t>-1</w:t>
        </w:r>
        <w:r w:rsidR="00E6043D" w:rsidRPr="00301BE2">
          <w:rPr>
            <w:rStyle w:val="Hyperlink"/>
            <w:i/>
            <w:noProof/>
            <w:lang w:val="en-GB"/>
          </w:rPr>
          <w:t>) post May 2005 recorded at Williamson, Shoalwater Bay (BOM station 033260, source www.bom.gov.au), located 10km from the monitoring sites</w:t>
        </w:r>
        <w:r w:rsidR="00E6043D">
          <w:rPr>
            <w:noProof/>
            <w:webHidden/>
          </w:rPr>
          <w:tab/>
        </w:r>
        <w:r w:rsidR="00E6043D">
          <w:rPr>
            <w:noProof/>
            <w:webHidden/>
          </w:rPr>
          <w:fldChar w:fldCharType="begin"/>
        </w:r>
        <w:r w:rsidR="00E6043D">
          <w:rPr>
            <w:noProof/>
            <w:webHidden/>
          </w:rPr>
          <w:instrText xml:space="preserve"> PAGEREF _Toc462684995 \h </w:instrText>
        </w:r>
        <w:r w:rsidR="00E6043D">
          <w:rPr>
            <w:noProof/>
            <w:webHidden/>
          </w:rPr>
        </w:r>
        <w:r w:rsidR="00E6043D">
          <w:rPr>
            <w:noProof/>
            <w:webHidden/>
          </w:rPr>
          <w:fldChar w:fldCharType="separate"/>
        </w:r>
        <w:r w:rsidR="00E6043D">
          <w:rPr>
            <w:noProof/>
            <w:webHidden/>
          </w:rPr>
          <w:t>181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6" w:history="1">
        <w:r w:rsidR="00E6043D" w:rsidRPr="00301BE2">
          <w:rPr>
            <w:rStyle w:val="Hyperlink"/>
            <w:noProof/>
          </w:rPr>
          <w:t xml:space="preserve">Figure 156. </w:t>
        </w:r>
        <w:r w:rsidR="00E6043D" w:rsidRPr="00301BE2">
          <w:rPr>
            <w:rStyle w:val="Hyperlink"/>
            <w:i/>
            <w:noProof/>
          </w:rPr>
          <w:t>Total monthly rainfall (grey bar) recorded at Svendsen Beach, Great Keppel Island (BOM station 033260, source www.bom.gov.au), located 4.5km from the monitoring sites.</w:t>
        </w:r>
        <w:r w:rsidR="00E6043D">
          <w:rPr>
            <w:noProof/>
            <w:webHidden/>
          </w:rPr>
          <w:tab/>
        </w:r>
        <w:r w:rsidR="00E6043D">
          <w:rPr>
            <w:noProof/>
            <w:webHidden/>
          </w:rPr>
          <w:fldChar w:fldCharType="begin"/>
        </w:r>
        <w:r w:rsidR="00E6043D">
          <w:rPr>
            <w:noProof/>
            <w:webHidden/>
          </w:rPr>
          <w:instrText xml:space="preserve"> PAGEREF _Toc462684996 \h </w:instrText>
        </w:r>
        <w:r w:rsidR="00E6043D">
          <w:rPr>
            <w:noProof/>
            <w:webHidden/>
          </w:rPr>
        </w:r>
        <w:r w:rsidR="00E6043D">
          <w:rPr>
            <w:noProof/>
            <w:webHidden/>
          </w:rPr>
          <w:fldChar w:fldCharType="separate"/>
        </w:r>
        <w:r w:rsidR="00E6043D">
          <w:rPr>
            <w:noProof/>
            <w:webHidden/>
          </w:rPr>
          <w:t>182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7" w:history="1">
        <w:r w:rsidR="00E6043D" w:rsidRPr="00301BE2">
          <w:rPr>
            <w:rStyle w:val="Hyperlink"/>
            <w:noProof/>
            <w:lang w:val="en-GB"/>
          </w:rPr>
          <w:t xml:space="preserve">Figure 157. </w:t>
        </w:r>
        <w:r w:rsidR="00E6043D" w:rsidRPr="00301BE2">
          <w:rPr>
            <w:rStyle w:val="Hyperlink"/>
            <w:i/>
            <w:noProof/>
            <w:lang w:val="en-GB"/>
          </w:rPr>
          <w:t>Total monthly rainfall (grey bars) recorded at Southend Curtis Island (BOM station 039241, source www.bom.gov.au), located 1km from monitoring sites.</w:t>
        </w:r>
        <w:r w:rsidR="00E6043D">
          <w:rPr>
            <w:noProof/>
            <w:webHidden/>
          </w:rPr>
          <w:tab/>
        </w:r>
        <w:r w:rsidR="00E6043D">
          <w:rPr>
            <w:noProof/>
            <w:webHidden/>
          </w:rPr>
          <w:fldChar w:fldCharType="begin"/>
        </w:r>
        <w:r w:rsidR="00E6043D">
          <w:rPr>
            <w:noProof/>
            <w:webHidden/>
          </w:rPr>
          <w:instrText xml:space="preserve"> PAGEREF _Toc462684997 \h </w:instrText>
        </w:r>
        <w:r w:rsidR="00E6043D">
          <w:rPr>
            <w:noProof/>
            <w:webHidden/>
          </w:rPr>
        </w:r>
        <w:r w:rsidR="00E6043D">
          <w:rPr>
            <w:noProof/>
            <w:webHidden/>
          </w:rPr>
          <w:fldChar w:fldCharType="separate"/>
        </w:r>
        <w:r w:rsidR="00E6043D">
          <w:rPr>
            <w:noProof/>
            <w:webHidden/>
          </w:rPr>
          <w:t>182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8" w:history="1">
        <w:r w:rsidR="00E6043D" w:rsidRPr="00301BE2">
          <w:rPr>
            <w:rStyle w:val="Hyperlink"/>
            <w:noProof/>
            <w:lang w:val="en-GB"/>
          </w:rPr>
          <w:t xml:space="preserve">Figure 158. </w:t>
        </w:r>
        <w:r w:rsidR="00E6043D" w:rsidRPr="00301BE2">
          <w:rPr>
            <w:rStyle w:val="Hyperlink"/>
            <w:i/>
            <w:noProof/>
            <w:lang w:val="en-GB"/>
          </w:rPr>
          <w:t>Number of days wind speed is above 25 km. hr</w:t>
        </w:r>
        <w:r w:rsidR="00E6043D" w:rsidRPr="00301BE2">
          <w:rPr>
            <w:rStyle w:val="Hyperlink"/>
            <w:i/>
            <w:noProof/>
            <w:vertAlign w:val="superscript"/>
            <w:lang w:val="en-GB"/>
          </w:rPr>
          <w:t>-1</w:t>
        </w:r>
        <w:r w:rsidR="00E6043D" w:rsidRPr="00301BE2">
          <w:rPr>
            <w:rStyle w:val="Hyperlink"/>
            <w:i/>
            <w:noProof/>
            <w:lang w:val="en-GB"/>
          </w:rPr>
          <w:t xml:space="preserve"> each monitoring period in the Fitzroy NRM region.</w:t>
        </w:r>
        <w:r w:rsidR="00E6043D">
          <w:rPr>
            <w:noProof/>
            <w:webHidden/>
          </w:rPr>
          <w:tab/>
        </w:r>
        <w:r w:rsidR="00E6043D">
          <w:rPr>
            <w:noProof/>
            <w:webHidden/>
          </w:rPr>
          <w:fldChar w:fldCharType="begin"/>
        </w:r>
        <w:r w:rsidR="00E6043D">
          <w:rPr>
            <w:noProof/>
            <w:webHidden/>
          </w:rPr>
          <w:instrText xml:space="preserve"> PAGEREF _Toc462684998 \h </w:instrText>
        </w:r>
        <w:r w:rsidR="00E6043D">
          <w:rPr>
            <w:noProof/>
            <w:webHidden/>
          </w:rPr>
        </w:r>
        <w:r w:rsidR="00E6043D">
          <w:rPr>
            <w:noProof/>
            <w:webHidden/>
          </w:rPr>
          <w:fldChar w:fldCharType="separate"/>
        </w:r>
        <w:r w:rsidR="00E6043D">
          <w:rPr>
            <w:noProof/>
            <w:webHidden/>
          </w:rPr>
          <w:t>183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4999" w:history="1">
        <w:r w:rsidR="00E6043D" w:rsidRPr="00301BE2">
          <w:rPr>
            <w:rStyle w:val="Hyperlink"/>
            <w:noProof/>
            <w:lang w:val="en-GB"/>
          </w:rPr>
          <w:t xml:space="preserve">Figure 159. </w:t>
        </w:r>
        <w:r w:rsidR="00E6043D" w:rsidRPr="00301BE2">
          <w:rPr>
            <w:rStyle w:val="Hyperlink"/>
            <w:i/>
            <w:noProof/>
            <w:lang w:val="en-GB"/>
          </w:rPr>
          <w:t>Mean monthly daily maximum temperature (°C) (black line), mean monthly cloud cover (quarts) (black line), and mean monthly 3pm wind speed (km.</w:t>
        </w:r>
        <w:r w:rsidR="00E6043D" w:rsidRPr="00301BE2">
          <w:rPr>
            <w:rStyle w:val="Hyperlink"/>
            <w:i/>
            <w:noProof/>
          </w:rPr>
          <w:t xml:space="preserve"> hr</w:t>
        </w:r>
        <w:r w:rsidR="00E6043D" w:rsidRPr="00301BE2">
          <w:rPr>
            <w:rStyle w:val="Hyperlink"/>
            <w:i/>
            <w:noProof/>
            <w:vertAlign w:val="superscript"/>
          </w:rPr>
          <w:t>-1</w:t>
        </w:r>
        <w:r w:rsidR="00E6043D" w:rsidRPr="00301BE2">
          <w:rPr>
            <w:rStyle w:val="Hyperlink"/>
            <w:i/>
            <w:noProof/>
            <w:lang w:val="en-GB"/>
          </w:rPr>
          <w:t>) (grey line) recorded at Seventeen Seventy</w:t>
        </w:r>
        <w:r w:rsidR="00E6043D">
          <w:rPr>
            <w:noProof/>
            <w:webHidden/>
          </w:rPr>
          <w:tab/>
        </w:r>
        <w:r w:rsidR="00E6043D">
          <w:rPr>
            <w:noProof/>
            <w:webHidden/>
          </w:rPr>
          <w:fldChar w:fldCharType="begin"/>
        </w:r>
        <w:r w:rsidR="00E6043D">
          <w:rPr>
            <w:noProof/>
            <w:webHidden/>
          </w:rPr>
          <w:instrText xml:space="preserve"> PAGEREF _Toc462684999 \h </w:instrText>
        </w:r>
        <w:r w:rsidR="00E6043D">
          <w:rPr>
            <w:noProof/>
            <w:webHidden/>
          </w:rPr>
        </w:r>
        <w:r w:rsidR="00E6043D">
          <w:rPr>
            <w:noProof/>
            <w:webHidden/>
          </w:rPr>
          <w:fldChar w:fldCharType="separate"/>
        </w:r>
        <w:r w:rsidR="00E6043D">
          <w:rPr>
            <w:noProof/>
            <w:webHidden/>
          </w:rPr>
          <w:t>183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0" w:history="1">
        <w:r w:rsidR="00E6043D" w:rsidRPr="00301BE2">
          <w:rPr>
            <w:rStyle w:val="Hyperlink"/>
            <w:noProof/>
            <w:lang w:val="en-GB"/>
          </w:rPr>
          <w:t xml:space="preserve">Figure 160. </w:t>
        </w:r>
        <w:r w:rsidR="00E6043D" w:rsidRPr="00301BE2">
          <w:rPr>
            <w:rStyle w:val="Hyperlink"/>
            <w:i/>
            <w:noProof/>
            <w:lang w:val="en-GB"/>
          </w:rPr>
          <w:t>Mean monthly daily maximum temperature (°C), total monthly rainfall, and mean monthly 3pm wind speed (km.</w:t>
        </w:r>
        <w:r w:rsidR="00E6043D" w:rsidRPr="00301BE2">
          <w:rPr>
            <w:rStyle w:val="Hyperlink"/>
            <w:i/>
            <w:noProof/>
          </w:rPr>
          <w:t xml:space="preserve"> hr</w:t>
        </w:r>
        <w:r w:rsidR="00E6043D" w:rsidRPr="00301BE2">
          <w:rPr>
            <w:rStyle w:val="Hyperlink"/>
            <w:i/>
            <w:noProof/>
            <w:vertAlign w:val="superscript"/>
          </w:rPr>
          <w:t>-1</w:t>
        </w:r>
        <w:r w:rsidR="00E6043D" w:rsidRPr="00301BE2">
          <w:rPr>
            <w:rStyle w:val="Hyperlink"/>
            <w:i/>
            <w:noProof/>
            <w:lang w:val="en-GB"/>
          </w:rPr>
          <w:t>) recorded at Hervey Bay Airport (BOM station 040405, source www.bom.gov.au), approximately 3km from Urangan monitoring sites.</w:t>
        </w:r>
        <w:r w:rsidR="00E6043D">
          <w:rPr>
            <w:noProof/>
            <w:webHidden/>
          </w:rPr>
          <w:tab/>
        </w:r>
        <w:r w:rsidR="00E6043D">
          <w:rPr>
            <w:noProof/>
            <w:webHidden/>
          </w:rPr>
          <w:fldChar w:fldCharType="begin"/>
        </w:r>
        <w:r w:rsidR="00E6043D">
          <w:rPr>
            <w:noProof/>
            <w:webHidden/>
          </w:rPr>
          <w:instrText xml:space="preserve"> PAGEREF _Toc462685000 \h </w:instrText>
        </w:r>
        <w:r w:rsidR="00E6043D">
          <w:rPr>
            <w:noProof/>
            <w:webHidden/>
          </w:rPr>
        </w:r>
        <w:r w:rsidR="00E6043D">
          <w:rPr>
            <w:noProof/>
            <w:webHidden/>
          </w:rPr>
          <w:fldChar w:fldCharType="separate"/>
        </w:r>
        <w:r w:rsidR="00E6043D">
          <w:rPr>
            <w:noProof/>
            <w:webHidden/>
          </w:rPr>
          <w:t>184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1" w:history="1">
        <w:r w:rsidR="00E6043D" w:rsidRPr="00301BE2">
          <w:rPr>
            <w:rStyle w:val="Hyperlink"/>
            <w:noProof/>
            <w:lang w:val="en-GB"/>
          </w:rPr>
          <w:t xml:space="preserve">Figure 161. </w:t>
        </w:r>
        <w:r w:rsidR="00E6043D" w:rsidRPr="00301BE2">
          <w:rPr>
            <w:rStyle w:val="Hyperlink"/>
            <w:i/>
            <w:noProof/>
            <w:lang w:val="en-GB"/>
          </w:rPr>
          <w:t>Number of days wind speed is above 25 km. hr</w:t>
        </w:r>
        <w:r w:rsidR="00E6043D" w:rsidRPr="00301BE2">
          <w:rPr>
            <w:rStyle w:val="Hyperlink"/>
            <w:i/>
            <w:noProof/>
            <w:vertAlign w:val="superscript"/>
            <w:lang w:val="en-GB"/>
          </w:rPr>
          <w:t>-1</w:t>
        </w:r>
        <w:r w:rsidR="00E6043D" w:rsidRPr="00301BE2">
          <w:rPr>
            <w:rStyle w:val="Hyperlink"/>
            <w:i/>
            <w:noProof/>
            <w:lang w:val="en-GB"/>
          </w:rPr>
          <w:t xml:space="preserve"> each monitoring period in the Burnett Mary NRM region.</w:t>
        </w:r>
        <w:r w:rsidR="00E6043D">
          <w:rPr>
            <w:noProof/>
            <w:webHidden/>
          </w:rPr>
          <w:tab/>
        </w:r>
        <w:r w:rsidR="00E6043D">
          <w:rPr>
            <w:noProof/>
            <w:webHidden/>
          </w:rPr>
          <w:fldChar w:fldCharType="begin"/>
        </w:r>
        <w:r w:rsidR="00E6043D">
          <w:rPr>
            <w:noProof/>
            <w:webHidden/>
          </w:rPr>
          <w:instrText xml:space="preserve"> PAGEREF _Toc462685001 \h </w:instrText>
        </w:r>
        <w:r w:rsidR="00E6043D">
          <w:rPr>
            <w:noProof/>
            <w:webHidden/>
          </w:rPr>
        </w:r>
        <w:r w:rsidR="00E6043D">
          <w:rPr>
            <w:noProof/>
            <w:webHidden/>
          </w:rPr>
          <w:fldChar w:fldCharType="separate"/>
        </w:r>
        <w:r w:rsidR="00E6043D">
          <w:rPr>
            <w:noProof/>
            <w:webHidden/>
          </w:rPr>
          <w:t>184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2" w:history="1">
        <w:r w:rsidR="00E6043D" w:rsidRPr="00301BE2">
          <w:rPr>
            <w:rStyle w:val="Hyperlink"/>
            <w:noProof/>
          </w:rPr>
          <w:t xml:space="preserve">Figure 162. </w:t>
        </w:r>
        <w:r w:rsidR="00E6043D" w:rsidRPr="00301BE2">
          <w:rPr>
            <w:rStyle w:val="Hyperlink"/>
            <w:i/>
            <w:noProof/>
          </w:rPr>
          <w:t>Annual daytime tidal exposure (total hours) and long-term median (dashed line) of intertidal reef seagrass meadows at Archer Point, Cape York NRM region; 2011 - 2015</w:t>
        </w:r>
        <w:r w:rsidR="00E6043D">
          <w:rPr>
            <w:noProof/>
            <w:webHidden/>
          </w:rPr>
          <w:tab/>
        </w:r>
        <w:r w:rsidR="00E6043D">
          <w:rPr>
            <w:noProof/>
            <w:webHidden/>
          </w:rPr>
          <w:fldChar w:fldCharType="begin"/>
        </w:r>
        <w:r w:rsidR="00E6043D">
          <w:rPr>
            <w:noProof/>
            <w:webHidden/>
          </w:rPr>
          <w:instrText xml:space="preserve"> PAGEREF _Toc462685002 \h </w:instrText>
        </w:r>
        <w:r w:rsidR="00E6043D">
          <w:rPr>
            <w:noProof/>
            <w:webHidden/>
          </w:rPr>
        </w:r>
        <w:r w:rsidR="00E6043D">
          <w:rPr>
            <w:noProof/>
            <w:webHidden/>
          </w:rPr>
          <w:fldChar w:fldCharType="separate"/>
        </w:r>
        <w:r w:rsidR="00E6043D">
          <w:rPr>
            <w:noProof/>
            <w:webHidden/>
          </w:rPr>
          <w:t>186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3" w:history="1">
        <w:r w:rsidR="00E6043D" w:rsidRPr="00301BE2">
          <w:rPr>
            <w:rStyle w:val="Hyperlink"/>
            <w:noProof/>
          </w:rPr>
          <w:t xml:space="preserve">Figure 163. </w:t>
        </w:r>
        <w:r w:rsidR="00E6043D" w:rsidRPr="00301BE2">
          <w:rPr>
            <w:rStyle w:val="Hyperlink"/>
            <w:i/>
            <w:noProof/>
          </w:rPr>
          <w:t>Annual daytime tidal exposure (total hours) and long-term median (dashed line) of intertidal reef seagrass meadows in the Wet Tropics NRM region; 1999 - 2015.</w:t>
        </w:r>
        <w:r w:rsidR="00E6043D">
          <w:rPr>
            <w:noProof/>
            <w:webHidden/>
          </w:rPr>
          <w:tab/>
        </w:r>
        <w:r w:rsidR="00E6043D">
          <w:rPr>
            <w:noProof/>
            <w:webHidden/>
          </w:rPr>
          <w:fldChar w:fldCharType="begin"/>
        </w:r>
        <w:r w:rsidR="00E6043D">
          <w:rPr>
            <w:noProof/>
            <w:webHidden/>
          </w:rPr>
          <w:instrText xml:space="preserve"> PAGEREF _Toc462685003 \h </w:instrText>
        </w:r>
        <w:r w:rsidR="00E6043D">
          <w:rPr>
            <w:noProof/>
            <w:webHidden/>
          </w:rPr>
        </w:r>
        <w:r w:rsidR="00E6043D">
          <w:rPr>
            <w:noProof/>
            <w:webHidden/>
          </w:rPr>
          <w:fldChar w:fldCharType="separate"/>
        </w:r>
        <w:r w:rsidR="00E6043D">
          <w:rPr>
            <w:noProof/>
            <w:webHidden/>
          </w:rPr>
          <w:t>186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4" w:history="1">
        <w:r w:rsidR="00E6043D" w:rsidRPr="00301BE2">
          <w:rPr>
            <w:rStyle w:val="Hyperlink"/>
            <w:noProof/>
          </w:rPr>
          <w:t xml:space="preserve">Figure 164. </w:t>
        </w:r>
        <w:r w:rsidR="00E6043D" w:rsidRPr="00301BE2">
          <w:rPr>
            <w:rStyle w:val="Hyperlink"/>
            <w:i/>
            <w:noProof/>
          </w:rPr>
          <w:t>Annual daytime tidal exposure (total hours) and long-term median (dashed line) of intertidal coastal seagrass meadows in Wet Tropics NRM region; 1999 - 2015.</w:t>
        </w:r>
        <w:r w:rsidR="00E6043D">
          <w:rPr>
            <w:noProof/>
            <w:webHidden/>
          </w:rPr>
          <w:tab/>
        </w:r>
        <w:r w:rsidR="00E6043D">
          <w:rPr>
            <w:noProof/>
            <w:webHidden/>
          </w:rPr>
          <w:fldChar w:fldCharType="begin"/>
        </w:r>
        <w:r w:rsidR="00E6043D">
          <w:rPr>
            <w:noProof/>
            <w:webHidden/>
          </w:rPr>
          <w:instrText xml:space="preserve"> PAGEREF _Toc462685004 \h </w:instrText>
        </w:r>
        <w:r w:rsidR="00E6043D">
          <w:rPr>
            <w:noProof/>
            <w:webHidden/>
          </w:rPr>
        </w:r>
        <w:r w:rsidR="00E6043D">
          <w:rPr>
            <w:noProof/>
            <w:webHidden/>
          </w:rPr>
          <w:fldChar w:fldCharType="separate"/>
        </w:r>
        <w:r w:rsidR="00E6043D">
          <w:rPr>
            <w:noProof/>
            <w:webHidden/>
          </w:rPr>
          <w:t>186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5" w:history="1">
        <w:r w:rsidR="00E6043D" w:rsidRPr="00301BE2">
          <w:rPr>
            <w:rStyle w:val="Hyperlink"/>
            <w:noProof/>
          </w:rPr>
          <w:t xml:space="preserve">Figure 165. </w:t>
        </w:r>
        <w:r w:rsidR="00E6043D" w:rsidRPr="00301BE2">
          <w:rPr>
            <w:rStyle w:val="Hyperlink"/>
            <w:i/>
            <w:noProof/>
          </w:rPr>
          <w:t>Annual daytime tidal exposure (total hours) and long-term median (dashed line) of intertidal coastal seagrass meadows in Burdekin NRM region; 2000 - 2015.</w:t>
        </w:r>
        <w:r w:rsidR="00E6043D">
          <w:rPr>
            <w:noProof/>
            <w:webHidden/>
          </w:rPr>
          <w:tab/>
        </w:r>
        <w:r w:rsidR="00E6043D">
          <w:rPr>
            <w:noProof/>
            <w:webHidden/>
          </w:rPr>
          <w:fldChar w:fldCharType="begin"/>
        </w:r>
        <w:r w:rsidR="00E6043D">
          <w:rPr>
            <w:noProof/>
            <w:webHidden/>
          </w:rPr>
          <w:instrText xml:space="preserve"> PAGEREF _Toc462685005 \h </w:instrText>
        </w:r>
        <w:r w:rsidR="00E6043D">
          <w:rPr>
            <w:noProof/>
            <w:webHidden/>
          </w:rPr>
        </w:r>
        <w:r w:rsidR="00E6043D">
          <w:rPr>
            <w:noProof/>
            <w:webHidden/>
          </w:rPr>
          <w:fldChar w:fldCharType="separate"/>
        </w:r>
        <w:r w:rsidR="00E6043D">
          <w:rPr>
            <w:noProof/>
            <w:webHidden/>
          </w:rPr>
          <w:t>187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6" w:history="1">
        <w:r w:rsidR="00E6043D" w:rsidRPr="00301BE2">
          <w:rPr>
            <w:rStyle w:val="Hyperlink"/>
            <w:noProof/>
          </w:rPr>
          <w:t xml:space="preserve">Figure 166. </w:t>
        </w:r>
        <w:r w:rsidR="00E6043D" w:rsidRPr="00301BE2">
          <w:rPr>
            <w:rStyle w:val="Hyperlink"/>
            <w:i/>
            <w:noProof/>
          </w:rPr>
          <w:t>Annual daytime tidal exposure (total hours) and long-term median (dashed line) of intertidal reef seagrass meadows in Burdekin NRM region; 2000 - 2015.</w:t>
        </w:r>
        <w:r w:rsidR="00E6043D">
          <w:rPr>
            <w:noProof/>
            <w:webHidden/>
          </w:rPr>
          <w:tab/>
        </w:r>
        <w:r w:rsidR="00E6043D">
          <w:rPr>
            <w:noProof/>
            <w:webHidden/>
          </w:rPr>
          <w:fldChar w:fldCharType="begin"/>
        </w:r>
        <w:r w:rsidR="00E6043D">
          <w:rPr>
            <w:noProof/>
            <w:webHidden/>
          </w:rPr>
          <w:instrText xml:space="preserve"> PAGEREF _Toc462685006 \h </w:instrText>
        </w:r>
        <w:r w:rsidR="00E6043D">
          <w:rPr>
            <w:noProof/>
            <w:webHidden/>
          </w:rPr>
        </w:r>
        <w:r w:rsidR="00E6043D">
          <w:rPr>
            <w:noProof/>
            <w:webHidden/>
          </w:rPr>
          <w:fldChar w:fldCharType="separate"/>
        </w:r>
        <w:r w:rsidR="00E6043D">
          <w:rPr>
            <w:noProof/>
            <w:webHidden/>
          </w:rPr>
          <w:t>187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7" w:history="1">
        <w:r w:rsidR="00E6043D" w:rsidRPr="00301BE2">
          <w:rPr>
            <w:rStyle w:val="Hyperlink"/>
            <w:noProof/>
          </w:rPr>
          <w:t xml:space="preserve">Figure 167. </w:t>
        </w:r>
        <w:r w:rsidR="00E6043D" w:rsidRPr="00301BE2">
          <w:rPr>
            <w:rStyle w:val="Hyperlink"/>
            <w:i/>
            <w:noProof/>
          </w:rPr>
          <w:t>Annual daytime tidal exposure (total hours) and long-term median (dashed line) of intertidal estuarine (a, b) coastal (c, d) and reef (e, f) seagrass meadows in Mackay Whitsunday NRM region; 1999 - 2015.</w:t>
        </w:r>
        <w:r w:rsidR="00E6043D">
          <w:rPr>
            <w:noProof/>
            <w:webHidden/>
          </w:rPr>
          <w:tab/>
        </w:r>
        <w:r w:rsidR="00E6043D">
          <w:rPr>
            <w:noProof/>
            <w:webHidden/>
          </w:rPr>
          <w:fldChar w:fldCharType="begin"/>
        </w:r>
        <w:r w:rsidR="00E6043D">
          <w:rPr>
            <w:noProof/>
            <w:webHidden/>
          </w:rPr>
          <w:instrText xml:space="preserve"> PAGEREF _Toc462685007 \h </w:instrText>
        </w:r>
        <w:r w:rsidR="00E6043D">
          <w:rPr>
            <w:noProof/>
            <w:webHidden/>
          </w:rPr>
        </w:r>
        <w:r w:rsidR="00E6043D">
          <w:rPr>
            <w:noProof/>
            <w:webHidden/>
          </w:rPr>
          <w:fldChar w:fldCharType="separate"/>
        </w:r>
        <w:r w:rsidR="00E6043D">
          <w:rPr>
            <w:noProof/>
            <w:webHidden/>
          </w:rPr>
          <w:t>187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8" w:history="1">
        <w:r w:rsidR="00E6043D" w:rsidRPr="00301BE2">
          <w:rPr>
            <w:rStyle w:val="Hyperlink"/>
            <w:noProof/>
          </w:rPr>
          <w:t xml:space="preserve">Figure 168. </w:t>
        </w:r>
        <w:r w:rsidR="00E6043D" w:rsidRPr="00301BE2">
          <w:rPr>
            <w:rStyle w:val="Hyperlink"/>
            <w:i/>
            <w:noProof/>
          </w:rPr>
          <w:t>Annual daytime tidal exposure (total hours) and long-term median (dashed line) of intertidal estuarine (a, b) coastal (c, d) and reef (e, f) seagrass meadows in the Fitzroy NRM region; 1999 - 2015.</w:t>
        </w:r>
        <w:r w:rsidR="00E6043D">
          <w:rPr>
            <w:noProof/>
            <w:webHidden/>
          </w:rPr>
          <w:tab/>
        </w:r>
        <w:r w:rsidR="00E6043D">
          <w:rPr>
            <w:noProof/>
            <w:webHidden/>
          </w:rPr>
          <w:fldChar w:fldCharType="begin"/>
        </w:r>
        <w:r w:rsidR="00E6043D">
          <w:rPr>
            <w:noProof/>
            <w:webHidden/>
          </w:rPr>
          <w:instrText xml:space="preserve"> PAGEREF _Toc462685008 \h </w:instrText>
        </w:r>
        <w:r w:rsidR="00E6043D">
          <w:rPr>
            <w:noProof/>
            <w:webHidden/>
          </w:rPr>
        </w:r>
        <w:r w:rsidR="00E6043D">
          <w:rPr>
            <w:noProof/>
            <w:webHidden/>
          </w:rPr>
          <w:fldChar w:fldCharType="separate"/>
        </w:r>
        <w:r w:rsidR="00E6043D">
          <w:rPr>
            <w:noProof/>
            <w:webHidden/>
          </w:rPr>
          <w:t>188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09" w:history="1">
        <w:r w:rsidR="00E6043D" w:rsidRPr="00301BE2">
          <w:rPr>
            <w:rStyle w:val="Hyperlink"/>
            <w:noProof/>
          </w:rPr>
          <w:t xml:space="preserve">Figure 169. </w:t>
        </w:r>
        <w:r w:rsidR="00E6043D" w:rsidRPr="00301BE2">
          <w:rPr>
            <w:rStyle w:val="Hyperlink"/>
            <w:i/>
            <w:noProof/>
          </w:rPr>
          <w:t>Annual daytime tidal exposure (total hours) and long-term median (dashed line) of intertidal estuarine seagrass meadows in the Burnett Mary NRM region; 1999 - 2015.</w:t>
        </w:r>
        <w:r w:rsidR="00E6043D">
          <w:rPr>
            <w:noProof/>
            <w:webHidden/>
          </w:rPr>
          <w:tab/>
        </w:r>
        <w:r w:rsidR="00E6043D">
          <w:rPr>
            <w:noProof/>
            <w:webHidden/>
          </w:rPr>
          <w:fldChar w:fldCharType="begin"/>
        </w:r>
        <w:r w:rsidR="00E6043D">
          <w:rPr>
            <w:noProof/>
            <w:webHidden/>
          </w:rPr>
          <w:instrText xml:space="preserve"> PAGEREF _Toc462685009 \h </w:instrText>
        </w:r>
        <w:r w:rsidR="00E6043D">
          <w:rPr>
            <w:noProof/>
            <w:webHidden/>
          </w:rPr>
        </w:r>
        <w:r w:rsidR="00E6043D">
          <w:rPr>
            <w:noProof/>
            <w:webHidden/>
          </w:rPr>
          <w:fldChar w:fldCharType="separate"/>
        </w:r>
        <w:r w:rsidR="00E6043D">
          <w:rPr>
            <w:noProof/>
            <w:webHidden/>
          </w:rPr>
          <w:t>188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0" w:history="1">
        <w:r w:rsidR="00E6043D" w:rsidRPr="00301BE2">
          <w:rPr>
            <w:rStyle w:val="Hyperlink"/>
            <w:noProof/>
          </w:rPr>
          <w:t xml:space="preserve">Figure 170. </w:t>
        </w:r>
        <w:r w:rsidR="00E6043D" w:rsidRPr="00301BE2">
          <w:rPr>
            <w:rStyle w:val="Hyperlink"/>
            <w:i/>
            <w:noProof/>
          </w:rPr>
          <w:t>Within seagrass canopy temperatures (°C) at intertidal monitoring locations in the Cape York NRM region</w:t>
        </w:r>
        <w:r w:rsidR="00E6043D">
          <w:rPr>
            <w:noProof/>
            <w:webHidden/>
          </w:rPr>
          <w:tab/>
        </w:r>
        <w:r w:rsidR="00E6043D">
          <w:rPr>
            <w:noProof/>
            <w:webHidden/>
          </w:rPr>
          <w:fldChar w:fldCharType="begin"/>
        </w:r>
        <w:r w:rsidR="00E6043D">
          <w:rPr>
            <w:noProof/>
            <w:webHidden/>
          </w:rPr>
          <w:instrText xml:space="preserve"> PAGEREF _Toc462685010 \h </w:instrText>
        </w:r>
        <w:r w:rsidR="00E6043D">
          <w:rPr>
            <w:noProof/>
            <w:webHidden/>
          </w:rPr>
        </w:r>
        <w:r w:rsidR="00E6043D">
          <w:rPr>
            <w:noProof/>
            <w:webHidden/>
          </w:rPr>
          <w:fldChar w:fldCharType="separate"/>
        </w:r>
        <w:r w:rsidR="00E6043D">
          <w:rPr>
            <w:noProof/>
            <w:webHidden/>
          </w:rPr>
          <w:t>189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1" w:history="1">
        <w:r w:rsidR="00E6043D" w:rsidRPr="00301BE2">
          <w:rPr>
            <w:rStyle w:val="Hyperlink"/>
            <w:noProof/>
          </w:rPr>
          <w:t xml:space="preserve">Figure 171. </w:t>
        </w:r>
        <w:r w:rsidR="00E6043D" w:rsidRPr="00301BE2">
          <w:rPr>
            <w:rStyle w:val="Hyperlink"/>
            <w:i/>
            <w:noProof/>
          </w:rPr>
          <w:t>Within seagrass canopy temperatures (°C) at intertidal monitoring locations in Wet Tropics NRM region</w:t>
        </w:r>
        <w:r w:rsidR="00E6043D">
          <w:rPr>
            <w:noProof/>
            <w:webHidden/>
          </w:rPr>
          <w:tab/>
        </w:r>
        <w:r w:rsidR="00E6043D">
          <w:rPr>
            <w:noProof/>
            <w:webHidden/>
          </w:rPr>
          <w:fldChar w:fldCharType="begin"/>
        </w:r>
        <w:r w:rsidR="00E6043D">
          <w:rPr>
            <w:noProof/>
            <w:webHidden/>
          </w:rPr>
          <w:instrText xml:space="preserve"> PAGEREF _Toc462685011 \h </w:instrText>
        </w:r>
        <w:r w:rsidR="00E6043D">
          <w:rPr>
            <w:noProof/>
            <w:webHidden/>
          </w:rPr>
        </w:r>
        <w:r w:rsidR="00E6043D">
          <w:rPr>
            <w:noProof/>
            <w:webHidden/>
          </w:rPr>
          <w:fldChar w:fldCharType="separate"/>
        </w:r>
        <w:r w:rsidR="00E6043D">
          <w:rPr>
            <w:noProof/>
            <w:webHidden/>
          </w:rPr>
          <w:t>190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2" w:history="1">
        <w:r w:rsidR="00E6043D" w:rsidRPr="00301BE2">
          <w:rPr>
            <w:rStyle w:val="Hyperlink"/>
            <w:noProof/>
          </w:rPr>
          <w:t xml:space="preserve">Figure 172. </w:t>
        </w:r>
        <w:r w:rsidR="00E6043D" w:rsidRPr="00301BE2">
          <w:rPr>
            <w:rStyle w:val="Hyperlink"/>
            <w:i/>
            <w:noProof/>
          </w:rPr>
          <w:t>Daily within seagrass canopy temperature (°C) over the 2013-15 monitoring period (left) and long-term monthly mean and maximum (right) at Low Isles (top), Green Island (middle) and Dunk Island (bottom) subtidal meadows within the Wet Tropics region.</w:t>
        </w:r>
        <w:r w:rsidR="00E6043D">
          <w:rPr>
            <w:noProof/>
            <w:webHidden/>
          </w:rPr>
          <w:tab/>
        </w:r>
        <w:r w:rsidR="00E6043D">
          <w:rPr>
            <w:noProof/>
            <w:webHidden/>
          </w:rPr>
          <w:fldChar w:fldCharType="begin"/>
        </w:r>
        <w:r w:rsidR="00E6043D">
          <w:rPr>
            <w:noProof/>
            <w:webHidden/>
          </w:rPr>
          <w:instrText xml:space="preserve"> PAGEREF _Toc462685012 \h </w:instrText>
        </w:r>
        <w:r w:rsidR="00E6043D">
          <w:rPr>
            <w:noProof/>
            <w:webHidden/>
          </w:rPr>
        </w:r>
        <w:r w:rsidR="00E6043D">
          <w:rPr>
            <w:noProof/>
            <w:webHidden/>
          </w:rPr>
          <w:fldChar w:fldCharType="separate"/>
        </w:r>
        <w:r w:rsidR="00E6043D">
          <w:rPr>
            <w:noProof/>
            <w:webHidden/>
          </w:rPr>
          <w:t>190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3" w:history="1">
        <w:r w:rsidR="00E6043D" w:rsidRPr="00301BE2">
          <w:rPr>
            <w:rStyle w:val="Hyperlink"/>
            <w:noProof/>
          </w:rPr>
          <w:t xml:space="preserve">Figure 173. </w:t>
        </w:r>
        <w:r w:rsidR="00E6043D" w:rsidRPr="00301BE2">
          <w:rPr>
            <w:rStyle w:val="Hyperlink"/>
            <w:i/>
            <w:noProof/>
          </w:rPr>
          <w:t>Within seagrass canopy temperatures (°C) at intertidal monitoring locations in Burdekin NRM region</w:t>
        </w:r>
        <w:r w:rsidR="00E6043D">
          <w:rPr>
            <w:noProof/>
            <w:webHidden/>
          </w:rPr>
          <w:tab/>
        </w:r>
        <w:r w:rsidR="00E6043D">
          <w:rPr>
            <w:noProof/>
            <w:webHidden/>
          </w:rPr>
          <w:fldChar w:fldCharType="begin"/>
        </w:r>
        <w:r w:rsidR="00E6043D">
          <w:rPr>
            <w:noProof/>
            <w:webHidden/>
          </w:rPr>
          <w:instrText xml:space="preserve"> PAGEREF _Toc462685013 \h </w:instrText>
        </w:r>
        <w:r w:rsidR="00E6043D">
          <w:rPr>
            <w:noProof/>
            <w:webHidden/>
          </w:rPr>
        </w:r>
        <w:r w:rsidR="00E6043D">
          <w:rPr>
            <w:noProof/>
            <w:webHidden/>
          </w:rPr>
          <w:fldChar w:fldCharType="separate"/>
        </w:r>
        <w:r w:rsidR="00E6043D">
          <w:rPr>
            <w:noProof/>
            <w:webHidden/>
          </w:rPr>
          <w:t>191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4" w:history="1">
        <w:r w:rsidR="00E6043D" w:rsidRPr="00301BE2">
          <w:rPr>
            <w:rStyle w:val="Hyperlink"/>
            <w:noProof/>
          </w:rPr>
          <w:t xml:space="preserve">Figure 174. </w:t>
        </w:r>
        <w:r w:rsidR="00E6043D" w:rsidRPr="00301BE2">
          <w:rPr>
            <w:rStyle w:val="Hyperlink"/>
            <w:i/>
            <w:noProof/>
          </w:rPr>
          <w:t>Within seagrass canopy temperatures (°C) at subtidal monitoring locations in Burdekin NRM region</w:t>
        </w:r>
        <w:r w:rsidR="00E6043D">
          <w:rPr>
            <w:noProof/>
            <w:webHidden/>
          </w:rPr>
          <w:tab/>
        </w:r>
        <w:r w:rsidR="00E6043D">
          <w:rPr>
            <w:noProof/>
            <w:webHidden/>
          </w:rPr>
          <w:fldChar w:fldCharType="begin"/>
        </w:r>
        <w:r w:rsidR="00E6043D">
          <w:rPr>
            <w:noProof/>
            <w:webHidden/>
          </w:rPr>
          <w:instrText xml:space="preserve"> PAGEREF _Toc462685014 \h </w:instrText>
        </w:r>
        <w:r w:rsidR="00E6043D">
          <w:rPr>
            <w:noProof/>
            <w:webHidden/>
          </w:rPr>
        </w:r>
        <w:r w:rsidR="00E6043D">
          <w:rPr>
            <w:noProof/>
            <w:webHidden/>
          </w:rPr>
          <w:fldChar w:fldCharType="separate"/>
        </w:r>
        <w:r w:rsidR="00E6043D">
          <w:rPr>
            <w:noProof/>
            <w:webHidden/>
          </w:rPr>
          <w:t>191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5" w:history="1">
        <w:r w:rsidR="00E6043D" w:rsidRPr="00301BE2">
          <w:rPr>
            <w:rStyle w:val="Hyperlink"/>
            <w:noProof/>
          </w:rPr>
          <w:t xml:space="preserve">Figure 175. </w:t>
        </w:r>
        <w:r w:rsidR="00E6043D" w:rsidRPr="00301BE2">
          <w:rPr>
            <w:rStyle w:val="Hyperlink"/>
            <w:i/>
            <w:noProof/>
          </w:rPr>
          <w:t>Within seagrass canopy temperatures (°C) at intertidal monitoring locations in Mackay Whitsunday NRM region</w:t>
        </w:r>
        <w:r w:rsidR="00E6043D">
          <w:rPr>
            <w:noProof/>
            <w:webHidden/>
          </w:rPr>
          <w:tab/>
        </w:r>
        <w:r w:rsidR="00E6043D">
          <w:rPr>
            <w:noProof/>
            <w:webHidden/>
          </w:rPr>
          <w:fldChar w:fldCharType="begin"/>
        </w:r>
        <w:r w:rsidR="00E6043D">
          <w:rPr>
            <w:noProof/>
            <w:webHidden/>
          </w:rPr>
          <w:instrText xml:space="preserve"> PAGEREF _Toc462685015 \h </w:instrText>
        </w:r>
        <w:r w:rsidR="00E6043D">
          <w:rPr>
            <w:noProof/>
            <w:webHidden/>
          </w:rPr>
        </w:r>
        <w:r w:rsidR="00E6043D">
          <w:rPr>
            <w:noProof/>
            <w:webHidden/>
          </w:rPr>
          <w:fldChar w:fldCharType="separate"/>
        </w:r>
        <w:r w:rsidR="00E6043D">
          <w:rPr>
            <w:noProof/>
            <w:webHidden/>
          </w:rPr>
          <w:t>192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6" w:history="1">
        <w:r w:rsidR="00E6043D" w:rsidRPr="00301BE2">
          <w:rPr>
            <w:rStyle w:val="Hyperlink"/>
            <w:noProof/>
          </w:rPr>
          <w:t xml:space="preserve">Figure 176. </w:t>
        </w:r>
        <w:r w:rsidR="00E6043D" w:rsidRPr="00301BE2">
          <w:rPr>
            <w:rStyle w:val="Hyperlink"/>
            <w:i/>
            <w:noProof/>
          </w:rPr>
          <w:t>Within seagrass canopy temperatures (°C) at monitoring locations in Fitzroy NRM region</w:t>
        </w:r>
        <w:r w:rsidR="00E6043D">
          <w:rPr>
            <w:noProof/>
            <w:webHidden/>
          </w:rPr>
          <w:tab/>
        </w:r>
        <w:r w:rsidR="00E6043D">
          <w:rPr>
            <w:noProof/>
            <w:webHidden/>
          </w:rPr>
          <w:fldChar w:fldCharType="begin"/>
        </w:r>
        <w:r w:rsidR="00E6043D">
          <w:rPr>
            <w:noProof/>
            <w:webHidden/>
          </w:rPr>
          <w:instrText xml:space="preserve"> PAGEREF _Toc462685016 \h </w:instrText>
        </w:r>
        <w:r w:rsidR="00E6043D">
          <w:rPr>
            <w:noProof/>
            <w:webHidden/>
          </w:rPr>
        </w:r>
        <w:r w:rsidR="00E6043D">
          <w:rPr>
            <w:noProof/>
            <w:webHidden/>
          </w:rPr>
          <w:fldChar w:fldCharType="separate"/>
        </w:r>
        <w:r w:rsidR="00E6043D">
          <w:rPr>
            <w:noProof/>
            <w:webHidden/>
          </w:rPr>
          <w:t>192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7" w:history="1">
        <w:r w:rsidR="00E6043D" w:rsidRPr="00301BE2">
          <w:rPr>
            <w:rStyle w:val="Hyperlink"/>
            <w:noProof/>
          </w:rPr>
          <w:t xml:space="preserve">Figure 177. </w:t>
        </w:r>
        <w:r w:rsidR="00E6043D" w:rsidRPr="00301BE2">
          <w:rPr>
            <w:rStyle w:val="Hyperlink"/>
            <w:i/>
            <w:noProof/>
          </w:rPr>
          <w:t>Within seagrass canopy temperatures (°C) at monitoring locations in Burnett Mary NRM region</w:t>
        </w:r>
        <w:r w:rsidR="00E6043D">
          <w:rPr>
            <w:noProof/>
            <w:webHidden/>
          </w:rPr>
          <w:tab/>
        </w:r>
        <w:r w:rsidR="00E6043D">
          <w:rPr>
            <w:noProof/>
            <w:webHidden/>
          </w:rPr>
          <w:fldChar w:fldCharType="begin"/>
        </w:r>
        <w:r w:rsidR="00E6043D">
          <w:rPr>
            <w:noProof/>
            <w:webHidden/>
          </w:rPr>
          <w:instrText xml:space="preserve"> PAGEREF _Toc462685017 \h </w:instrText>
        </w:r>
        <w:r w:rsidR="00E6043D">
          <w:rPr>
            <w:noProof/>
            <w:webHidden/>
          </w:rPr>
        </w:r>
        <w:r w:rsidR="00E6043D">
          <w:rPr>
            <w:noProof/>
            <w:webHidden/>
          </w:rPr>
          <w:fldChar w:fldCharType="separate"/>
        </w:r>
        <w:r w:rsidR="00E6043D">
          <w:rPr>
            <w:noProof/>
            <w:webHidden/>
          </w:rPr>
          <w:t>193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8" w:history="1">
        <w:r w:rsidR="00E6043D" w:rsidRPr="00301BE2">
          <w:rPr>
            <w:rStyle w:val="Hyperlink"/>
            <w:noProof/>
          </w:rPr>
          <w:t xml:space="preserve">Figure 178. </w:t>
        </w:r>
        <w:r w:rsidR="00E6043D" w:rsidRPr="00301BE2">
          <w:rPr>
            <w:rStyle w:val="Hyperlink"/>
            <w:i/>
            <w:noProof/>
          </w:rPr>
          <w:t>Daily light (28-day rolling average) at Cape York locations</w:t>
        </w:r>
        <w:r w:rsidR="00E6043D">
          <w:rPr>
            <w:noProof/>
            <w:webHidden/>
          </w:rPr>
          <w:tab/>
        </w:r>
        <w:r w:rsidR="00E6043D">
          <w:rPr>
            <w:noProof/>
            <w:webHidden/>
          </w:rPr>
          <w:fldChar w:fldCharType="begin"/>
        </w:r>
        <w:r w:rsidR="00E6043D">
          <w:rPr>
            <w:noProof/>
            <w:webHidden/>
          </w:rPr>
          <w:instrText xml:space="preserve"> PAGEREF _Toc462685018 \h </w:instrText>
        </w:r>
        <w:r w:rsidR="00E6043D">
          <w:rPr>
            <w:noProof/>
            <w:webHidden/>
          </w:rPr>
        </w:r>
        <w:r w:rsidR="00E6043D">
          <w:rPr>
            <w:noProof/>
            <w:webHidden/>
          </w:rPr>
          <w:fldChar w:fldCharType="separate"/>
        </w:r>
        <w:r w:rsidR="00E6043D">
          <w:rPr>
            <w:noProof/>
            <w:webHidden/>
          </w:rPr>
          <w:t>194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19" w:history="1">
        <w:r w:rsidR="00E6043D" w:rsidRPr="00301BE2">
          <w:rPr>
            <w:rStyle w:val="Hyperlink"/>
            <w:noProof/>
          </w:rPr>
          <w:t xml:space="preserve">Figure 179. </w:t>
        </w:r>
        <w:r w:rsidR="00E6043D" w:rsidRPr="00301BE2">
          <w:rPr>
            <w:rStyle w:val="Hyperlink"/>
            <w:i/>
            <w:noProof/>
          </w:rPr>
          <w:t>Daily light (yellow line) and 28-day rolling average (orange, bold line) for locations in the northern Wet Tropics</w:t>
        </w:r>
        <w:r w:rsidR="00E6043D">
          <w:rPr>
            <w:noProof/>
            <w:webHidden/>
          </w:rPr>
          <w:tab/>
        </w:r>
        <w:r w:rsidR="00E6043D">
          <w:rPr>
            <w:noProof/>
            <w:webHidden/>
          </w:rPr>
          <w:fldChar w:fldCharType="begin"/>
        </w:r>
        <w:r w:rsidR="00E6043D">
          <w:rPr>
            <w:noProof/>
            <w:webHidden/>
          </w:rPr>
          <w:instrText xml:space="preserve"> PAGEREF _Toc462685019 \h </w:instrText>
        </w:r>
        <w:r w:rsidR="00E6043D">
          <w:rPr>
            <w:noProof/>
            <w:webHidden/>
          </w:rPr>
        </w:r>
        <w:r w:rsidR="00E6043D">
          <w:rPr>
            <w:noProof/>
            <w:webHidden/>
          </w:rPr>
          <w:fldChar w:fldCharType="separate"/>
        </w:r>
        <w:r w:rsidR="00E6043D">
          <w:rPr>
            <w:noProof/>
            <w:webHidden/>
          </w:rPr>
          <w:t>195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0" w:history="1">
        <w:r w:rsidR="00E6043D" w:rsidRPr="00301BE2">
          <w:rPr>
            <w:rStyle w:val="Hyperlink"/>
            <w:noProof/>
          </w:rPr>
          <w:t xml:space="preserve">Figure 180. </w:t>
        </w:r>
        <w:r w:rsidR="00E6043D" w:rsidRPr="00301BE2">
          <w:rPr>
            <w:rStyle w:val="Hyperlink"/>
            <w:i/>
            <w:noProof/>
          </w:rPr>
          <w:t>Daily light (yellow line) and 28-day rolling average (orange, bold line) for locations in the southern Wet Tropics</w:t>
        </w:r>
        <w:r w:rsidR="00E6043D">
          <w:rPr>
            <w:noProof/>
            <w:webHidden/>
          </w:rPr>
          <w:tab/>
        </w:r>
        <w:r w:rsidR="00E6043D">
          <w:rPr>
            <w:noProof/>
            <w:webHidden/>
          </w:rPr>
          <w:fldChar w:fldCharType="begin"/>
        </w:r>
        <w:r w:rsidR="00E6043D">
          <w:rPr>
            <w:noProof/>
            <w:webHidden/>
          </w:rPr>
          <w:instrText xml:space="preserve"> PAGEREF _Toc462685020 \h </w:instrText>
        </w:r>
        <w:r w:rsidR="00E6043D">
          <w:rPr>
            <w:noProof/>
            <w:webHidden/>
          </w:rPr>
        </w:r>
        <w:r w:rsidR="00E6043D">
          <w:rPr>
            <w:noProof/>
            <w:webHidden/>
          </w:rPr>
          <w:fldChar w:fldCharType="separate"/>
        </w:r>
        <w:r w:rsidR="00E6043D">
          <w:rPr>
            <w:noProof/>
            <w:webHidden/>
          </w:rPr>
          <w:t>196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1" w:history="1">
        <w:r w:rsidR="00E6043D" w:rsidRPr="00301BE2">
          <w:rPr>
            <w:rStyle w:val="Hyperlink"/>
            <w:noProof/>
          </w:rPr>
          <w:t xml:space="preserve">Figure 181. </w:t>
        </w:r>
        <w:r w:rsidR="00E6043D" w:rsidRPr="00301BE2">
          <w:rPr>
            <w:rStyle w:val="Hyperlink"/>
            <w:i/>
            <w:noProof/>
          </w:rPr>
          <w:t>Daily light (yellow line) and 28-day rolling average (orange, bold line) at locations in the Burdekin region</w:t>
        </w:r>
        <w:r w:rsidR="00E6043D">
          <w:rPr>
            <w:noProof/>
            <w:webHidden/>
          </w:rPr>
          <w:tab/>
        </w:r>
        <w:r w:rsidR="00E6043D">
          <w:rPr>
            <w:noProof/>
            <w:webHidden/>
          </w:rPr>
          <w:fldChar w:fldCharType="begin"/>
        </w:r>
        <w:r w:rsidR="00E6043D">
          <w:rPr>
            <w:noProof/>
            <w:webHidden/>
          </w:rPr>
          <w:instrText xml:space="preserve"> PAGEREF _Toc462685021 \h </w:instrText>
        </w:r>
        <w:r w:rsidR="00E6043D">
          <w:rPr>
            <w:noProof/>
            <w:webHidden/>
          </w:rPr>
        </w:r>
        <w:r w:rsidR="00E6043D">
          <w:rPr>
            <w:noProof/>
            <w:webHidden/>
          </w:rPr>
          <w:fldChar w:fldCharType="separate"/>
        </w:r>
        <w:r w:rsidR="00E6043D">
          <w:rPr>
            <w:noProof/>
            <w:webHidden/>
          </w:rPr>
          <w:t>197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2" w:history="1">
        <w:r w:rsidR="00E6043D" w:rsidRPr="00301BE2">
          <w:rPr>
            <w:rStyle w:val="Hyperlink"/>
            <w:noProof/>
            <w:lang w:val="en-GB"/>
          </w:rPr>
          <w:t>Figure 182.</w:t>
        </w:r>
        <w:r w:rsidR="00E6043D" w:rsidRPr="00301BE2">
          <w:rPr>
            <w:rStyle w:val="Hyperlink"/>
            <w:i/>
            <w:noProof/>
          </w:rPr>
          <w:t xml:space="preserve"> Daily light (yellow line) and 28-day rolling average (orange, bold line) at Mackay Whitsunday habitats.</w:t>
        </w:r>
        <w:r w:rsidR="00E6043D">
          <w:rPr>
            <w:noProof/>
            <w:webHidden/>
          </w:rPr>
          <w:tab/>
        </w:r>
        <w:r w:rsidR="00E6043D">
          <w:rPr>
            <w:noProof/>
            <w:webHidden/>
          </w:rPr>
          <w:fldChar w:fldCharType="begin"/>
        </w:r>
        <w:r w:rsidR="00E6043D">
          <w:rPr>
            <w:noProof/>
            <w:webHidden/>
          </w:rPr>
          <w:instrText xml:space="preserve"> PAGEREF _Toc462685022 \h </w:instrText>
        </w:r>
        <w:r w:rsidR="00E6043D">
          <w:rPr>
            <w:noProof/>
            <w:webHidden/>
          </w:rPr>
        </w:r>
        <w:r w:rsidR="00E6043D">
          <w:rPr>
            <w:noProof/>
            <w:webHidden/>
          </w:rPr>
          <w:fldChar w:fldCharType="separate"/>
        </w:r>
        <w:r w:rsidR="00E6043D">
          <w:rPr>
            <w:noProof/>
            <w:webHidden/>
          </w:rPr>
          <w:t>198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3" w:history="1">
        <w:r w:rsidR="00E6043D" w:rsidRPr="00301BE2">
          <w:rPr>
            <w:rStyle w:val="Hyperlink"/>
            <w:noProof/>
          </w:rPr>
          <w:t xml:space="preserve">Figure 183. </w:t>
        </w:r>
        <w:r w:rsidR="00E6043D" w:rsidRPr="00301BE2">
          <w:rPr>
            <w:rStyle w:val="Hyperlink"/>
            <w:i/>
            <w:noProof/>
          </w:rPr>
          <w:t>Daily light (yellow line) and 28-day rolling average (orange, bold line) at monitoring locations in the Fitzroy NRM region</w:t>
        </w:r>
        <w:r w:rsidR="00E6043D">
          <w:rPr>
            <w:noProof/>
            <w:webHidden/>
          </w:rPr>
          <w:tab/>
        </w:r>
        <w:r w:rsidR="00E6043D">
          <w:rPr>
            <w:noProof/>
            <w:webHidden/>
          </w:rPr>
          <w:fldChar w:fldCharType="begin"/>
        </w:r>
        <w:r w:rsidR="00E6043D">
          <w:rPr>
            <w:noProof/>
            <w:webHidden/>
          </w:rPr>
          <w:instrText xml:space="preserve"> PAGEREF _Toc462685023 \h </w:instrText>
        </w:r>
        <w:r w:rsidR="00E6043D">
          <w:rPr>
            <w:noProof/>
            <w:webHidden/>
          </w:rPr>
        </w:r>
        <w:r w:rsidR="00E6043D">
          <w:rPr>
            <w:noProof/>
            <w:webHidden/>
          </w:rPr>
          <w:fldChar w:fldCharType="separate"/>
        </w:r>
        <w:r w:rsidR="00E6043D">
          <w:rPr>
            <w:noProof/>
            <w:webHidden/>
          </w:rPr>
          <w:t>199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4" w:history="1">
        <w:r w:rsidR="00E6043D" w:rsidRPr="00301BE2">
          <w:rPr>
            <w:rStyle w:val="Hyperlink"/>
            <w:noProof/>
            <w:lang w:val="en-GB"/>
          </w:rPr>
          <w:t xml:space="preserve">Figure 184. </w:t>
        </w:r>
        <w:r w:rsidR="00E6043D" w:rsidRPr="00301BE2">
          <w:rPr>
            <w:rStyle w:val="Hyperlink"/>
            <w:i/>
            <w:noProof/>
          </w:rPr>
          <w:t>Daily light (yellow line) and 28-day rolling average (orange, bold line) at monitoring locations in the Burnett Mary NRM region</w:t>
        </w:r>
        <w:r w:rsidR="00E6043D">
          <w:rPr>
            <w:noProof/>
            <w:webHidden/>
          </w:rPr>
          <w:tab/>
        </w:r>
        <w:r w:rsidR="00E6043D">
          <w:rPr>
            <w:noProof/>
            <w:webHidden/>
          </w:rPr>
          <w:fldChar w:fldCharType="begin"/>
        </w:r>
        <w:r w:rsidR="00E6043D">
          <w:rPr>
            <w:noProof/>
            <w:webHidden/>
          </w:rPr>
          <w:instrText xml:space="preserve"> PAGEREF _Toc462685024 \h </w:instrText>
        </w:r>
        <w:r w:rsidR="00E6043D">
          <w:rPr>
            <w:noProof/>
            <w:webHidden/>
          </w:rPr>
        </w:r>
        <w:r w:rsidR="00E6043D">
          <w:rPr>
            <w:noProof/>
            <w:webHidden/>
          </w:rPr>
          <w:fldChar w:fldCharType="separate"/>
        </w:r>
        <w:r w:rsidR="00E6043D">
          <w:rPr>
            <w:noProof/>
            <w:webHidden/>
          </w:rPr>
          <w:t>199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5" w:history="1">
        <w:r w:rsidR="00E6043D" w:rsidRPr="00301BE2">
          <w:rPr>
            <w:rStyle w:val="Hyperlink"/>
            <w:noProof/>
          </w:rPr>
          <w:t xml:space="preserve">Figure 185. </w:t>
        </w:r>
        <w:r w:rsidR="00E6043D" w:rsidRPr="00301BE2">
          <w:rPr>
            <w:rStyle w:val="Hyperlink"/>
            <w:i/>
            <w:noProof/>
          </w:rPr>
          <w:t>Sediment grain size composition at reef habitat monitoring sites in the Cape York region, 2003-2015.</w:t>
        </w:r>
        <w:r w:rsidR="00E6043D">
          <w:rPr>
            <w:noProof/>
            <w:webHidden/>
          </w:rPr>
          <w:tab/>
        </w:r>
        <w:r w:rsidR="00E6043D">
          <w:rPr>
            <w:noProof/>
            <w:webHidden/>
          </w:rPr>
          <w:fldChar w:fldCharType="begin"/>
        </w:r>
        <w:r w:rsidR="00E6043D">
          <w:rPr>
            <w:noProof/>
            <w:webHidden/>
          </w:rPr>
          <w:instrText xml:space="preserve"> PAGEREF _Toc462685025 \h </w:instrText>
        </w:r>
        <w:r w:rsidR="00E6043D">
          <w:rPr>
            <w:noProof/>
            <w:webHidden/>
          </w:rPr>
        </w:r>
        <w:r w:rsidR="00E6043D">
          <w:rPr>
            <w:noProof/>
            <w:webHidden/>
          </w:rPr>
          <w:fldChar w:fldCharType="separate"/>
        </w:r>
        <w:r w:rsidR="00E6043D">
          <w:rPr>
            <w:noProof/>
            <w:webHidden/>
          </w:rPr>
          <w:t>200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6" w:history="1">
        <w:r w:rsidR="00E6043D" w:rsidRPr="00301BE2">
          <w:rPr>
            <w:rStyle w:val="Hyperlink"/>
            <w:noProof/>
          </w:rPr>
          <w:t xml:space="preserve">Figure 186. </w:t>
        </w:r>
        <w:r w:rsidR="00E6043D" w:rsidRPr="00301BE2">
          <w:rPr>
            <w:rStyle w:val="Hyperlink"/>
            <w:i/>
            <w:noProof/>
          </w:rPr>
          <w:t>Sediment grain size composition at coastal habitat monitoring sites in the Cape York region, 2013-2015.</w:t>
        </w:r>
        <w:r w:rsidR="00E6043D">
          <w:rPr>
            <w:noProof/>
            <w:webHidden/>
          </w:rPr>
          <w:tab/>
        </w:r>
        <w:r w:rsidR="00E6043D">
          <w:rPr>
            <w:noProof/>
            <w:webHidden/>
          </w:rPr>
          <w:fldChar w:fldCharType="begin"/>
        </w:r>
        <w:r w:rsidR="00E6043D">
          <w:rPr>
            <w:noProof/>
            <w:webHidden/>
          </w:rPr>
          <w:instrText xml:space="preserve"> PAGEREF _Toc462685026 \h </w:instrText>
        </w:r>
        <w:r w:rsidR="00E6043D">
          <w:rPr>
            <w:noProof/>
            <w:webHidden/>
          </w:rPr>
        </w:r>
        <w:r w:rsidR="00E6043D">
          <w:rPr>
            <w:noProof/>
            <w:webHidden/>
          </w:rPr>
          <w:fldChar w:fldCharType="separate"/>
        </w:r>
        <w:r w:rsidR="00E6043D">
          <w:rPr>
            <w:noProof/>
            <w:webHidden/>
          </w:rPr>
          <w:t>201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7" w:history="1">
        <w:r w:rsidR="00E6043D" w:rsidRPr="00301BE2">
          <w:rPr>
            <w:rStyle w:val="Hyperlink"/>
            <w:noProof/>
          </w:rPr>
          <w:t xml:space="preserve">Figure 187.  </w:t>
        </w:r>
        <w:r w:rsidR="00E6043D" w:rsidRPr="00301BE2">
          <w:rPr>
            <w:rStyle w:val="Hyperlink"/>
            <w:i/>
            <w:noProof/>
          </w:rPr>
          <w:t>Sediment grain size composition at intertidal coastal habitat monitoring sites in the Wet Tropics region, 2001-2015.</w:t>
        </w:r>
        <w:r w:rsidR="00E6043D">
          <w:rPr>
            <w:noProof/>
            <w:webHidden/>
          </w:rPr>
          <w:tab/>
        </w:r>
        <w:r w:rsidR="00E6043D">
          <w:rPr>
            <w:noProof/>
            <w:webHidden/>
          </w:rPr>
          <w:fldChar w:fldCharType="begin"/>
        </w:r>
        <w:r w:rsidR="00E6043D">
          <w:rPr>
            <w:noProof/>
            <w:webHidden/>
          </w:rPr>
          <w:instrText xml:space="preserve"> PAGEREF _Toc462685027 \h </w:instrText>
        </w:r>
        <w:r w:rsidR="00E6043D">
          <w:rPr>
            <w:noProof/>
            <w:webHidden/>
          </w:rPr>
        </w:r>
        <w:r w:rsidR="00E6043D">
          <w:rPr>
            <w:noProof/>
            <w:webHidden/>
          </w:rPr>
          <w:fldChar w:fldCharType="separate"/>
        </w:r>
        <w:r w:rsidR="00E6043D">
          <w:rPr>
            <w:noProof/>
            <w:webHidden/>
          </w:rPr>
          <w:t>202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8" w:history="1">
        <w:r w:rsidR="00E6043D" w:rsidRPr="00301BE2">
          <w:rPr>
            <w:rStyle w:val="Hyperlink"/>
            <w:noProof/>
          </w:rPr>
          <w:t xml:space="preserve">Figure 188.  </w:t>
        </w:r>
        <w:r w:rsidR="00E6043D" w:rsidRPr="00301BE2">
          <w:rPr>
            <w:rStyle w:val="Hyperlink"/>
            <w:i/>
            <w:noProof/>
          </w:rPr>
          <w:t>Sediment grain size composition at intertidal reef habitat monitoring sites in the Wet Tropics region, 2001-2015.</w:t>
        </w:r>
        <w:r w:rsidR="00E6043D">
          <w:rPr>
            <w:noProof/>
            <w:webHidden/>
          </w:rPr>
          <w:tab/>
        </w:r>
        <w:r w:rsidR="00E6043D">
          <w:rPr>
            <w:noProof/>
            <w:webHidden/>
          </w:rPr>
          <w:fldChar w:fldCharType="begin"/>
        </w:r>
        <w:r w:rsidR="00E6043D">
          <w:rPr>
            <w:noProof/>
            <w:webHidden/>
          </w:rPr>
          <w:instrText xml:space="preserve"> PAGEREF _Toc462685028 \h </w:instrText>
        </w:r>
        <w:r w:rsidR="00E6043D">
          <w:rPr>
            <w:noProof/>
            <w:webHidden/>
          </w:rPr>
        </w:r>
        <w:r w:rsidR="00E6043D">
          <w:rPr>
            <w:noProof/>
            <w:webHidden/>
          </w:rPr>
          <w:fldChar w:fldCharType="separate"/>
        </w:r>
        <w:r w:rsidR="00E6043D">
          <w:rPr>
            <w:noProof/>
            <w:webHidden/>
          </w:rPr>
          <w:t>203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29" w:history="1">
        <w:r w:rsidR="00E6043D" w:rsidRPr="00301BE2">
          <w:rPr>
            <w:rStyle w:val="Hyperlink"/>
            <w:noProof/>
          </w:rPr>
          <w:t xml:space="preserve">Figure 189.  </w:t>
        </w:r>
        <w:r w:rsidR="00E6043D" w:rsidRPr="00301BE2">
          <w:rPr>
            <w:rStyle w:val="Hyperlink"/>
            <w:i/>
            <w:noProof/>
          </w:rPr>
          <w:t>Sediment grain size composition at subtidal reef habitat monitoring sites in the Wet Tropics region, 2008-2015.</w:t>
        </w:r>
        <w:r w:rsidR="00E6043D">
          <w:rPr>
            <w:noProof/>
            <w:webHidden/>
          </w:rPr>
          <w:tab/>
        </w:r>
        <w:r w:rsidR="00E6043D">
          <w:rPr>
            <w:noProof/>
            <w:webHidden/>
          </w:rPr>
          <w:fldChar w:fldCharType="begin"/>
        </w:r>
        <w:r w:rsidR="00E6043D">
          <w:rPr>
            <w:noProof/>
            <w:webHidden/>
          </w:rPr>
          <w:instrText xml:space="preserve"> PAGEREF _Toc462685029 \h </w:instrText>
        </w:r>
        <w:r w:rsidR="00E6043D">
          <w:rPr>
            <w:noProof/>
            <w:webHidden/>
          </w:rPr>
        </w:r>
        <w:r w:rsidR="00E6043D">
          <w:rPr>
            <w:noProof/>
            <w:webHidden/>
          </w:rPr>
          <w:fldChar w:fldCharType="separate"/>
        </w:r>
        <w:r w:rsidR="00E6043D">
          <w:rPr>
            <w:noProof/>
            <w:webHidden/>
          </w:rPr>
          <w:t>204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0" w:history="1">
        <w:r w:rsidR="00E6043D" w:rsidRPr="00301BE2">
          <w:rPr>
            <w:rStyle w:val="Hyperlink"/>
            <w:noProof/>
          </w:rPr>
          <w:t xml:space="preserve">Figure 190. </w:t>
        </w:r>
        <w:r w:rsidR="00E6043D" w:rsidRPr="00301BE2">
          <w:rPr>
            <w:rStyle w:val="Hyperlink"/>
            <w:i/>
            <w:noProof/>
          </w:rPr>
          <w:t>Sediment grain size composition at intertidal coastal habitat monitoring sites in the Burdekin region, 2001-2015.</w:t>
        </w:r>
        <w:r w:rsidR="00E6043D">
          <w:rPr>
            <w:noProof/>
            <w:webHidden/>
          </w:rPr>
          <w:tab/>
        </w:r>
        <w:r w:rsidR="00E6043D">
          <w:rPr>
            <w:noProof/>
            <w:webHidden/>
          </w:rPr>
          <w:fldChar w:fldCharType="begin"/>
        </w:r>
        <w:r w:rsidR="00E6043D">
          <w:rPr>
            <w:noProof/>
            <w:webHidden/>
          </w:rPr>
          <w:instrText xml:space="preserve"> PAGEREF _Toc462685030 \h </w:instrText>
        </w:r>
        <w:r w:rsidR="00E6043D">
          <w:rPr>
            <w:noProof/>
            <w:webHidden/>
          </w:rPr>
        </w:r>
        <w:r w:rsidR="00E6043D">
          <w:rPr>
            <w:noProof/>
            <w:webHidden/>
          </w:rPr>
          <w:fldChar w:fldCharType="separate"/>
        </w:r>
        <w:r w:rsidR="00E6043D">
          <w:rPr>
            <w:noProof/>
            <w:webHidden/>
          </w:rPr>
          <w:t>205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1" w:history="1">
        <w:r w:rsidR="00E6043D" w:rsidRPr="00301BE2">
          <w:rPr>
            <w:rStyle w:val="Hyperlink"/>
            <w:noProof/>
          </w:rPr>
          <w:t xml:space="preserve">Figure 191. </w:t>
        </w:r>
        <w:r w:rsidR="00E6043D" w:rsidRPr="00301BE2">
          <w:rPr>
            <w:rStyle w:val="Hyperlink"/>
            <w:i/>
            <w:noProof/>
          </w:rPr>
          <w:t>Sediment grain size composition at intertidal reef habitat monitoring sites in the Burdekin region, 2004-2015.</w:t>
        </w:r>
        <w:r w:rsidR="00E6043D">
          <w:rPr>
            <w:noProof/>
            <w:webHidden/>
          </w:rPr>
          <w:tab/>
        </w:r>
        <w:r w:rsidR="00E6043D">
          <w:rPr>
            <w:noProof/>
            <w:webHidden/>
          </w:rPr>
          <w:fldChar w:fldCharType="begin"/>
        </w:r>
        <w:r w:rsidR="00E6043D">
          <w:rPr>
            <w:noProof/>
            <w:webHidden/>
          </w:rPr>
          <w:instrText xml:space="preserve"> PAGEREF _Toc462685031 \h </w:instrText>
        </w:r>
        <w:r w:rsidR="00E6043D">
          <w:rPr>
            <w:noProof/>
            <w:webHidden/>
          </w:rPr>
        </w:r>
        <w:r w:rsidR="00E6043D">
          <w:rPr>
            <w:noProof/>
            <w:webHidden/>
          </w:rPr>
          <w:fldChar w:fldCharType="separate"/>
        </w:r>
        <w:r w:rsidR="00E6043D">
          <w:rPr>
            <w:noProof/>
            <w:webHidden/>
          </w:rPr>
          <w:t>205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2" w:history="1">
        <w:r w:rsidR="00E6043D" w:rsidRPr="00301BE2">
          <w:rPr>
            <w:rStyle w:val="Hyperlink"/>
            <w:noProof/>
          </w:rPr>
          <w:t xml:space="preserve">Figure 192.  </w:t>
        </w:r>
        <w:r w:rsidR="00E6043D" w:rsidRPr="00301BE2">
          <w:rPr>
            <w:rStyle w:val="Hyperlink"/>
            <w:i/>
            <w:noProof/>
          </w:rPr>
          <w:t>Sediment grain size composition at subtidal reef habitat monitoring sites in the Burdekin region, 2010-2015.</w:t>
        </w:r>
        <w:r w:rsidR="00E6043D">
          <w:rPr>
            <w:noProof/>
            <w:webHidden/>
          </w:rPr>
          <w:tab/>
        </w:r>
        <w:r w:rsidR="00E6043D">
          <w:rPr>
            <w:noProof/>
            <w:webHidden/>
          </w:rPr>
          <w:fldChar w:fldCharType="begin"/>
        </w:r>
        <w:r w:rsidR="00E6043D">
          <w:rPr>
            <w:noProof/>
            <w:webHidden/>
          </w:rPr>
          <w:instrText xml:space="preserve"> PAGEREF _Toc462685032 \h </w:instrText>
        </w:r>
        <w:r w:rsidR="00E6043D">
          <w:rPr>
            <w:noProof/>
            <w:webHidden/>
          </w:rPr>
        </w:r>
        <w:r w:rsidR="00E6043D">
          <w:rPr>
            <w:noProof/>
            <w:webHidden/>
          </w:rPr>
          <w:fldChar w:fldCharType="separate"/>
        </w:r>
        <w:r w:rsidR="00E6043D">
          <w:rPr>
            <w:noProof/>
            <w:webHidden/>
          </w:rPr>
          <w:t>206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3" w:history="1">
        <w:r w:rsidR="00E6043D" w:rsidRPr="00301BE2">
          <w:rPr>
            <w:rStyle w:val="Hyperlink"/>
            <w:noProof/>
          </w:rPr>
          <w:t xml:space="preserve">Figure 193.  </w:t>
        </w:r>
        <w:r w:rsidR="00E6043D" w:rsidRPr="00301BE2">
          <w:rPr>
            <w:rStyle w:val="Hyperlink"/>
            <w:i/>
            <w:noProof/>
          </w:rPr>
          <w:t>Sediment grain size composition at intertidal estuary habitat monitoring sites in the Mackay Whitsunday region, 2005-2015.</w:t>
        </w:r>
        <w:r w:rsidR="00E6043D">
          <w:rPr>
            <w:noProof/>
            <w:webHidden/>
          </w:rPr>
          <w:tab/>
        </w:r>
        <w:r w:rsidR="00E6043D">
          <w:rPr>
            <w:noProof/>
            <w:webHidden/>
          </w:rPr>
          <w:fldChar w:fldCharType="begin"/>
        </w:r>
        <w:r w:rsidR="00E6043D">
          <w:rPr>
            <w:noProof/>
            <w:webHidden/>
          </w:rPr>
          <w:instrText xml:space="preserve"> PAGEREF _Toc462685033 \h </w:instrText>
        </w:r>
        <w:r w:rsidR="00E6043D">
          <w:rPr>
            <w:noProof/>
            <w:webHidden/>
          </w:rPr>
        </w:r>
        <w:r w:rsidR="00E6043D">
          <w:rPr>
            <w:noProof/>
            <w:webHidden/>
          </w:rPr>
          <w:fldChar w:fldCharType="separate"/>
        </w:r>
        <w:r w:rsidR="00E6043D">
          <w:rPr>
            <w:noProof/>
            <w:webHidden/>
          </w:rPr>
          <w:t>206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4" w:history="1">
        <w:r w:rsidR="00E6043D" w:rsidRPr="00301BE2">
          <w:rPr>
            <w:rStyle w:val="Hyperlink"/>
            <w:noProof/>
          </w:rPr>
          <w:t xml:space="preserve">Figure 194.  </w:t>
        </w:r>
        <w:r w:rsidR="00E6043D" w:rsidRPr="00301BE2">
          <w:rPr>
            <w:rStyle w:val="Hyperlink"/>
            <w:i/>
            <w:noProof/>
          </w:rPr>
          <w:t>Sediment grain size composition at intertidal coastal habitat monitoring sites in the Mackay Whitsunday region, 1999-2015.</w:t>
        </w:r>
        <w:r w:rsidR="00E6043D">
          <w:rPr>
            <w:noProof/>
            <w:webHidden/>
          </w:rPr>
          <w:tab/>
        </w:r>
        <w:r w:rsidR="00E6043D">
          <w:rPr>
            <w:noProof/>
            <w:webHidden/>
          </w:rPr>
          <w:fldChar w:fldCharType="begin"/>
        </w:r>
        <w:r w:rsidR="00E6043D">
          <w:rPr>
            <w:noProof/>
            <w:webHidden/>
          </w:rPr>
          <w:instrText xml:space="preserve"> PAGEREF _Toc462685034 \h </w:instrText>
        </w:r>
        <w:r w:rsidR="00E6043D">
          <w:rPr>
            <w:noProof/>
            <w:webHidden/>
          </w:rPr>
        </w:r>
        <w:r w:rsidR="00E6043D">
          <w:rPr>
            <w:noProof/>
            <w:webHidden/>
          </w:rPr>
          <w:fldChar w:fldCharType="separate"/>
        </w:r>
        <w:r w:rsidR="00E6043D">
          <w:rPr>
            <w:noProof/>
            <w:webHidden/>
          </w:rPr>
          <w:t>207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5" w:history="1">
        <w:r w:rsidR="00E6043D" w:rsidRPr="00301BE2">
          <w:rPr>
            <w:rStyle w:val="Hyperlink"/>
            <w:noProof/>
          </w:rPr>
          <w:t xml:space="preserve">Figure 195.  </w:t>
        </w:r>
        <w:r w:rsidR="00E6043D" w:rsidRPr="00301BE2">
          <w:rPr>
            <w:rStyle w:val="Hyperlink"/>
            <w:i/>
            <w:noProof/>
          </w:rPr>
          <w:t>Sediment grain size composition at intertidal reef habitat monitoring sites in the Mackay Whitsunday region, 2007-2015.</w:t>
        </w:r>
        <w:r w:rsidR="00E6043D">
          <w:rPr>
            <w:noProof/>
            <w:webHidden/>
          </w:rPr>
          <w:tab/>
        </w:r>
        <w:r w:rsidR="00E6043D">
          <w:rPr>
            <w:noProof/>
            <w:webHidden/>
          </w:rPr>
          <w:fldChar w:fldCharType="begin"/>
        </w:r>
        <w:r w:rsidR="00E6043D">
          <w:rPr>
            <w:noProof/>
            <w:webHidden/>
          </w:rPr>
          <w:instrText xml:space="preserve"> PAGEREF _Toc462685035 \h </w:instrText>
        </w:r>
        <w:r w:rsidR="00E6043D">
          <w:rPr>
            <w:noProof/>
            <w:webHidden/>
          </w:rPr>
        </w:r>
        <w:r w:rsidR="00E6043D">
          <w:rPr>
            <w:noProof/>
            <w:webHidden/>
          </w:rPr>
          <w:fldChar w:fldCharType="separate"/>
        </w:r>
        <w:r w:rsidR="00E6043D">
          <w:rPr>
            <w:noProof/>
            <w:webHidden/>
          </w:rPr>
          <w:t>207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6" w:history="1">
        <w:r w:rsidR="00E6043D" w:rsidRPr="00301BE2">
          <w:rPr>
            <w:rStyle w:val="Hyperlink"/>
            <w:noProof/>
          </w:rPr>
          <w:t xml:space="preserve">Figure 196.  </w:t>
        </w:r>
        <w:r w:rsidR="00E6043D" w:rsidRPr="00301BE2">
          <w:rPr>
            <w:rStyle w:val="Hyperlink"/>
            <w:i/>
            <w:noProof/>
          </w:rPr>
          <w:t>Sediment grain size composition at intertidal estuary habitat monitoring sites in the Fitzroy region, 2005-2015.</w:t>
        </w:r>
        <w:r w:rsidR="00E6043D">
          <w:rPr>
            <w:noProof/>
            <w:webHidden/>
          </w:rPr>
          <w:tab/>
        </w:r>
        <w:r w:rsidR="00E6043D">
          <w:rPr>
            <w:noProof/>
            <w:webHidden/>
          </w:rPr>
          <w:fldChar w:fldCharType="begin"/>
        </w:r>
        <w:r w:rsidR="00E6043D">
          <w:rPr>
            <w:noProof/>
            <w:webHidden/>
          </w:rPr>
          <w:instrText xml:space="preserve"> PAGEREF _Toc462685036 \h </w:instrText>
        </w:r>
        <w:r w:rsidR="00E6043D">
          <w:rPr>
            <w:noProof/>
            <w:webHidden/>
          </w:rPr>
        </w:r>
        <w:r w:rsidR="00E6043D">
          <w:rPr>
            <w:noProof/>
            <w:webHidden/>
          </w:rPr>
          <w:fldChar w:fldCharType="separate"/>
        </w:r>
        <w:r w:rsidR="00E6043D">
          <w:rPr>
            <w:noProof/>
            <w:webHidden/>
          </w:rPr>
          <w:t>208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7" w:history="1">
        <w:r w:rsidR="00E6043D" w:rsidRPr="00301BE2">
          <w:rPr>
            <w:rStyle w:val="Hyperlink"/>
            <w:noProof/>
          </w:rPr>
          <w:t xml:space="preserve">Figure 197.  </w:t>
        </w:r>
        <w:r w:rsidR="00E6043D" w:rsidRPr="00301BE2">
          <w:rPr>
            <w:rStyle w:val="Hyperlink"/>
            <w:i/>
            <w:noProof/>
          </w:rPr>
          <w:t>Sediment grain size composition at intertidal coastal habitat monitoring sites in the Fitzroy region, 2005-2015.</w:t>
        </w:r>
        <w:r w:rsidR="00E6043D">
          <w:rPr>
            <w:noProof/>
            <w:webHidden/>
          </w:rPr>
          <w:tab/>
        </w:r>
        <w:r w:rsidR="00E6043D">
          <w:rPr>
            <w:noProof/>
            <w:webHidden/>
          </w:rPr>
          <w:fldChar w:fldCharType="begin"/>
        </w:r>
        <w:r w:rsidR="00E6043D">
          <w:rPr>
            <w:noProof/>
            <w:webHidden/>
          </w:rPr>
          <w:instrText xml:space="preserve"> PAGEREF _Toc462685037 \h </w:instrText>
        </w:r>
        <w:r w:rsidR="00E6043D">
          <w:rPr>
            <w:noProof/>
            <w:webHidden/>
          </w:rPr>
        </w:r>
        <w:r w:rsidR="00E6043D">
          <w:rPr>
            <w:noProof/>
            <w:webHidden/>
          </w:rPr>
          <w:fldChar w:fldCharType="separate"/>
        </w:r>
        <w:r w:rsidR="00E6043D">
          <w:rPr>
            <w:noProof/>
            <w:webHidden/>
          </w:rPr>
          <w:t>208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8" w:history="1">
        <w:r w:rsidR="00E6043D" w:rsidRPr="00301BE2">
          <w:rPr>
            <w:rStyle w:val="Hyperlink"/>
            <w:noProof/>
          </w:rPr>
          <w:t xml:space="preserve">Figure 198.  </w:t>
        </w:r>
        <w:r w:rsidR="00E6043D" w:rsidRPr="00301BE2">
          <w:rPr>
            <w:rStyle w:val="Hyperlink"/>
            <w:i/>
            <w:noProof/>
          </w:rPr>
          <w:t>Sediment grain size composition at intertidal reef habitat monitoring sites in the Fitzroy region, 2007-2015.</w:t>
        </w:r>
        <w:r w:rsidR="00E6043D">
          <w:rPr>
            <w:noProof/>
            <w:webHidden/>
          </w:rPr>
          <w:tab/>
        </w:r>
        <w:r w:rsidR="00E6043D">
          <w:rPr>
            <w:noProof/>
            <w:webHidden/>
          </w:rPr>
          <w:fldChar w:fldCharType="begin"/>
        </w:r>
        <w:r w:rsidR="00E6043D">
          <w:rPr>
            <w:noProof/>
            <w:webHidden/>
          </w:rPr>
          <w:instrText xml:space="preserve"> PAGEREF _Toc462685038 \h </w:instrText>
        </w:r>
        <w:r w:rsidR="00E6043D">
          <w:rPr>
            <w:noProof/>
            <w:webHidden/>
          </w:rPr>
        </w:r>
        <w:r w:rsidR="00E6043D">
          <w:rPr>
            <w:noProof/>
            <w:webHidden/>
          </w:rPr>
          <w:fldChar w:fldCharType="separate"/>
        </w:r>
        <w:r w:rsidR="00E6043D">
          <w:rPr>
            <w:noProof/>
            <w:webHidden/>
          </w:rPr>
          <w:t>209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39" w:history="1">
        <w:r w:rsidR="00E6043D" w:rsidRPr="00301BE2">
          <w:rPr>
            <w:rStyle w:val="Hyperlink"/>
            <w:noProof/>
          </w:rPr>
          <w:t xml:space="preserve">Figure 199.  </w:t>
        </w:r>
        <w:r w:rsidR="00E6043D" w:rsidRPr="00301BE2">
          <w:rPr>
            <w:rStyle w:val="Hyperlink"/>
            <w:i/>
            <w:noProof/>
          </w:rPr>
          <w:t>Sediment grain size composition at intertidal estuary habitat monitoring sites in the Burnett Mary region, 1999-2015.</w:t>
        </w:r>
        <w:r w:rsidR="00E6043D">
          <w:rPr>
            <w:noProof/>
            <w:webHidden/>
          </w:rPr>
          <w:tab/>
        </w:r>
        <w:r w:rsidR="00E6043D">
          <w:rPr>
            <w:noProof/>
            <w:webHidden/>
          </w:rPr>
          <w:fldChar w:fldCharType="begin"/>
        </w:r>
        <w:r w:rsidR="00E6043D">
          <w:rPr>
            <w:noProof/>
            <w:webHidden/>
          </w:rPr>
          <w:instrText xml:space="preserve"> PAGEREF _Toc462685039 \h </w:instrText>
        </w:r>
        <w:r w:rsidR="00E6043D">
          <w:rPr>
            <w:noProof/>
            <w:webHidden/>
          </w:rPr>
        </w:r>
        <w:r w:rsidR="00E6043D">
          <w:rPr>
            <w:noProof/>
            <w:webHidden/>
          </w:rPr>
          <w:fldChar w:fldCharType="separate"/>
        </w:r>
        <w:r w:rsidR="00E6043D">
          <w:rPr>
            <w:noProof/>
            <w:webHidden/>
          </w:rPr>
          <w:t>209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0" w:history="1">
        <w:r w:rsidR="00E6043D" w:rsidRPr="00301BE2">
          <w:rPr>
            <w:rStyle w:val="Hyperlink"/>
            <w:noProof/>
          </w:rPr>
          <w:t xml:space="preserve">Figure 200. </w:t>
        </w:r>
        <w:r w:rsidR="00E6043D" w:rsidRPr="00301BE2">
          <w:rPr>
            <w:rStyle w:val="Hyperlink"/>
            <w:i/>
            <w:noProof/>
          </w:rPr>
          <w:t>Long-term trend in mean abundance (% cover) (± Standard Error) of epiphytes and macroalgae at intertidal coastal habitats (sites pooled), Cape York NRM region</w:t>
        </w:r>
        <w:r w:rsidR="00E6043D">
          <w:rPr>
            <w:noProof/>
            <w:webHidden/>
          </w:rPr>
          <w:tab/>
        </w:r>
        <w:r w:rsidR="00E6043D">
          <w:rPr>
            <w:noProof/>
            <w:webHidden/>
          </w:rPr>
          <w:fldChar w:fldCharType="begin"/>
        </w:r>
        <w:r w:rsidR="00E6043D">
          <w:rPr>
            <w:noProof/>
            <w:webHidden/>
          </w:rPr>
          <w:instrText xml:space="preserve"> PAGEREF _Toc462685040 \h </w:instrText>
        </w:r>
        <w:r w:rsidR="00E6043D">
          <w:rPr>
            <w:noProof/>
            <w:webHidden/>
          </w:rPr>
        </w:r>
        <w:r w:rsidR="00E6043D">
          <w:rPr>
            <w:noProof/>
            <w:webHidden/>
          </w:rPr>
          <w:fldChar w:fldCharType="separate"/>
        </w:r>
        <w:r w:rsidR="00E6043D">
          <w:rPr>
            <w:noProof/>
            <w:webHidden/>
          </w:rPr>
          <w:t>210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1" w:history="1">
        <w:r w:rsidR="00E6043D" w:rsidRPr="00301BE2">
          <w:rPr>
            <w:rStyle w:val="Hyperlink"/>
            <w:noProof/>
          </w:rPr>
          <w:t xml:space="preserve">Figure 201. </w:t>
        </w:r>
        <w:r w:rsidR="00E6043D" w:rsidRPr="00301BE2">
          <w:rPr>
            <w:rStyle w:val="Hyperlink"/>
            <w:i/>
            <w:noProof/>
          </w:rPr>
          <w:t>Long-term trend in mean abundance (% cover) (± Standard Error) of epiphytes and macroalgae at intertidal reef habitats (sites pooled), Cape York NRM region</w:t>
        </w:r>
        <w:r w:rsidR="00E6043D">
          <w:rPr>
            <w:noProof/>
            <w:webHidden/>
          </w:rPr>
          <w:tab/>
        </w:r>
        <w:r w:rsidR="00E6043D">
          <w:rPr>
            <w:noProof/>
            <w:webHidden/>
          </w:rPr>
          <w:fldChar w:fldCharType="begin"/>
        </w:r>
        <w:r w:rsidR="00E6043D">
          <w:rPr>
            <w:noProof/>
            <w:webHidden/>
          </w:rPr>
          <w:instrText xml:space="preserve"> PAGEREF _Toc462685041 \h </w:instrText>
        </w:r>
        <w:r w:rsidR="00E6043D">
          <w:rPr>
            <w:noProof/>
            <w:webHidden/>
          </w:rPr>
        </w:r>
        <w:r w:rsidR="00E6043D">
          <w:rPr>
            <w:noProof/>
            <w:webHidden/>
          </w:rPr>
          <w:fldChar w:fldCharType="separate"/>
        </w:r>
        <w:r w:rsidR="00E6043D">
          <w:rPr>
            <w:noProof/>
            <w:webHidden/>
          </w:rPr>
          <w:t>210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2" w:history="1">
        <w:r w:rsidR="00E6043D" w:rsidRPr="00301BE2">
          <w:rPr>
            <w:rStyle w:val="Hyperlink"/>
            <w:noProof/>
          </w:rPr>
          <w:t xml:space="preserve">Figure 202. </w:t>
        </w:r>
        <w:r w:rsidR="00E6043D" w:rsidRPr="00301BE2">
          <w:rPr>
            <w:rStyle w:val="Hyperlink"/>
            <w:i/>
            <w:noProof/>
          </w:rPr>
          <w:t>Mean abundance (% cover) (± Standard Error) of epiphytes and macroalgae at intertidal reef seagrass monitoring locations (sites pooled) in the Wet Tropics NRM region</w:t>
        </w:r>
        <w:r w:rsidR="00E6043D">
          <w:rPr>
            <w:noProof/>
            <w:webHidden/>
          </w:rPr>
          <w:tab/>
        </w:r>
        <w:r w:rsidR="00E6043D">
          <w:rPr>
            <w:noProof/>
            <w:webHidden/>
          </w:rPr>
          <w:fldChar w:fldCharType="begin"/>
        </w:r>
        <w:r w:rsidR="00E6043D">
          <w:rPr>
            <w:noProof/>
            <w:webHidden/>
          </w:rPr>
          <w:instrText xml:space="preserve"> PAGEREF _Toc462685042 \h </w:instrText>
        </w:r>
        <w:r w:rsidR="00E6043D">
          <w:rPr>
            <w:noProof/>
            <w:webHidden/>
          </w:rPr>
        </w:r>
        <w:r w:rsidR="00E6043D">
          <w:rPr>
            <w:noProof/>
            <w:webHidden/>
          </w:rPr>
          <w:fldChar w:fldCharType="separate"/>
        </w:r>
        <w:r w:rsidR="00E6043D">
          <w:rPr>
            <w:noProof/>
            <w:webHidden/>
          </w:rPr>
          <w:t>211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3" w:history="1">
        <w:r w:rsidR="00E6043D" w:rsidRPr="00301BE2">
          <w:rPr>
            <w:rStyle w:val="Hyperlink"/>
            <w:noProof/>
          </w:rPr>
          <w:t xml:space="preserve">Figure 203. </w:t>
        </w:r>
        <w:r w:rsidR="00E6043D" w:rsidRPr="00301BE2">
          <w:rPr>
            <w:rStyle w:val="Hyperlink"/>
            <w:i/>
            <w:noProof/>
          </w:rPr>
          <w:t>Mean abundance (% cover) (± Standard Error) of epiphytes and macroalgae at coastal intertidal seagrass monitoring locations (sites pooled) in the Wet Tropics NRM region</w:t>
        </w:r>
        <w:r w:rsidR="00E6043D">
          <w:rPr>
            <w:noProof/>
            <w:webHidden/>
          </w:rPr>
          <w:tab/>
        </w:r>
        <w:r w:rsidR="00E6043D">
          <w:rPr>
            <w:noProof/>
            <w:webHidden/>
          </w:rPr>
          <w:fldChar w:fldCharType="begin"/>
        </w:r>
        <w:r w:rsidR="00E6043D">
          <w:rPr>
            <w:noProof/>
            <w:webHidden/>
          </w:rPr>
          <w:instrText xml:space="preserve"> PAGEREF _Toc462685043 \h </w:instrText>
        </w:r>
        <w:r w:rsidR="00E6043D">
          <w:rPr>
            <w:noProof/>
            <w:webHidden/>
          </w:rPr>
        </w:r>
        <w:r w:rsidR="00E6043D">
          <w:rPr>
            <w:noProof/>
            <w:webHidden/>
          </w:rPr>
          <w:fldChar w:fldCharType="separate"/>
        </w:r>
        <w:r w:rsidR="00E6043D">
          <w:rPr>
            <w:noProof/>
            <w:webHidden/>
          </w:rPr>
          <w:t>211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4" w:history="1">
        <w:r w:rsidR="00E6043D" w:rsidRPr="00301BE2">
          <w:rPr>
            <w:rStyle w:val="Hyperlink"/>
            <w:noProof/>
          </w:rPr>
          <w:t xml:space="preserve">Figure 204. </w:t>
        </w:r>
        <w:r w:rsidR="00E6043D" w:rsidRPr="00301BE2">
          <w:rPr>
            <w:rStyle w:val="Hyperlink"/>
            <w:i/>
            <w:noProof/>
          </w:rPr>
          <w:t>Mean abundance (% cover) (± Standard Error) of epiphytes and macroalgae at subtidal reef seagrass monitoring sites in the Wet Tropics NRM region</w:t>
        </w:r>
        <w:r w:rsidR="00E6043D">
          <w:rPr>
            <w:noProof/>
            <w:webHidden/>
          </w:rPr>
          <w:tab/>
        </w:r>
        <w:r w:rsidR="00E6043D">
          <w:rPr>
            <w:noProof/>
            <w:webHidden/>
          </w:rPr>
          <w:fldChar w:fldCharType="begin"/>
        </w:r>
        <w:r w:rsidR="00E6043D">
          <w:rPr>
            <w:noProof/>
            <w:webHidden/>
          </w:rPr>
          <w:instrText xml:space="preserve"> PAGEREF _Toc462685044 \h </w:instrText>
        </w:r>
        <w:r w:rsidR="00E6043D">
          <w:rPr>
            <w:noProof/>
            <w:webHidden/>
          </w:rPr>
        </w:r>
        <w:r w:rsidR="00E6043D">
          <w:rPr>
            <w:noProof/>
            <w:webHidden/>
          </w:rPr>
          <w:fldChar w:fldCharType="separate"/>
        </w:r>
        <w:r w:rsidR="00E6043D">
          <w:rPr>
            <w:noProof/>
            <w:webHidden/>
          </w:rPr>
          <w:t>212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5" w:history="1">
        <w:r w:rsidR="00E6043D" w:rsidRPr="00301BE2">
          <w:rPr>
            <w:rStyle w:val="Hyperlink"/>
            <w:noProof/>
          </w:rPr>
          <w:t xml:space="preserve">Figure 205. </w:t>
        </w:r>
        <w:r w:rsidR="00E6043D" w:rsidRPr="00301BE2">
          <w:rPr>
            <w:rStyle w:val="Hyperlink"/>
            <w:i/>
            <w:noProof/>
          </w:rPr>
          <w:t>Mean abundance (% cover) (± Standard Error) of epiphytes and macroalgae at coastal intertidal seagrass monitoring locations (sites pooled) in the Burdekin NRM region</w:t>
        </w:r>
        <w:r w:rsidR="00E6043D">
          <w:rPr>
            <w:noProof/>
            <w:webHidden/>
          </w:rPr>
          <w:tab/>
        </w:r>
        <w:r w:rsidR="00E6043D">
          <w:rPr>
            <w:noProof/>
            <w:webHidden/>
          </w:rPr>
          <w:fldChar w:fldCharType="begin"/>
        </w:r>
        <w:r w:rsidR="00E6043D">
          <w:rPr>
            <w:noProof/>
            <w:webHidden/>
          </w:rPr>
          <w:instrText xml:space="preserve"> PAGEREF _Toc462685045 \h </w:instrText>
        </w:r>
        <w:r w:rsidR="00E6043D">
          <w:rPr>
            <w:noProof/>
            <w:webHidden/>
          </w:rPr>
        </w:r>
        <w:r w:rsidR="00E6043D">
          <w:rPr>
            <w:noProof/>
            <w:webHidden/>
          </w:rPr>
          <w:fldChar w:fldCharType="separate"/>
        </w:r>
        <w:r w:rsidR="00E6043D">
          <w:rPr>
            <w:noProof/>
            <w:webHidden/>
          </w:rPr>
          <w:t>212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6" w:history="1">
        <w:r w:rsidR="00E6043D" w:rsidRPr="00301BE2">
          <w:rPr>
            <w:rStyle w:val="Hyperlink"/>
            <w:noProof/>
          </w:rPr>
          <w:t xml:space="preserve">Figure 206. </w:t>
        </w:r>
        <w:r w:rsidR="00E6043D" w:rsidRPr="00301BE2">
          <w:rPr>
            <w:rStyle w:val="Hyperlink"/>
            <w:i/>
            <w:noProof/>
          </w:rPr>
          <w:t>Mean abundance (% cover) (± Standard Error) of epiphytes and macroalgae at intertidal reef seagrass monitoring locations (sites pooled) in the Burdekin NRM region</w:t>
        </w:r>
        <w:r w:rsidR="00E6043D">
          <w:rPr>
            <w:noProof/>
            <w:webHidden/>
          </w:rPr>
          <w:tab/>
        </w:r>
        <w:r w:rsidR="00E6043D">
          <w:rPr>
            <w:noProof/>
            <w:webHidden/>
          </w:rPr>
          <w:fldChar w:fldCharType="begin"/>
        </w:r>
        <w:r w:rsidR="00E6043D">
          <w:rPr>
            <w:noProof/>
            <w:webHidden/>
          </w:rPr>
          <w:instrText xml:space="preserve"> PAGEREF _Toc462685046 \h </w:instrText>
        </w:r>
        <w:r w:rsidR="00E6043D">
          <w:rPr>
            <w:noProof/>
            <w:webHidden/>
          </w:rPr>
        </w:r>
        <w:r w:rsidR="00E6043D">
          <w:rPr>
            <w:noProof/>
            <w:webHidden/>
          </w:rPr>
          <w:fldChar w:fldCharType="separate"/>
        </w:r>
        <w:r w:rsidR="00E6043D">
          <w:rPr>
            <w:noProof/>
            <w:webHidden/>
          </w:rPr>
          <w:t>213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7" w:history="1">
        <w:r w:rsidR="00E6043D" w:rsidRPr="00301BE2">
          <w:rPr>
            <w:rStyle w:val="Hyperlink"/>
            <w:noProof/>
          </w:rPr>
          <w:t xml:space="preserve">Figure 207. </w:t>
        </w:r>
        <w:r w:rsidR="00E6043D" w:rsidRPr="00301BE2">
          <w:rPr>
            <w:rStyle w:val="Hyperlink"/>
            <w:i/>
            <w:noProof/>
          </w:rPr>
          <w:t>Mean abundance (% cover) (± Standard Error) of epiphytes and macroalgae at subtidal reef monitoring sites in Picnic Bay, Burdekin NRM region</w:t>
        </w:r>
        <w:r w:rsidR="00E6043D">
          <w:rPr>
            <w:noProof/>
            <w:webHidden/>
          </w:rPr>
          <w:tab/>
        </w:r>
        <w:r w:rsidR="00E6043D">
          <w:rPr>
            <w:noProof/>
            <w:webHidden/>
          </w:rPr>
          <w:fldChar w:fldCharType="begin"/>
        </w:r>
        <w:r w:rsidR="00E6043D">
          <w:rPr>
            <w:noProof/>
            <w:webHidden/>
          </w:rPr>
          <w:instrText xml:space="preserve"> PAGEREF _Toc462685047 \h </w:instrText>
        </w:r>
        <w:r w:rsidR="00E6043D">
          <w:rPr>
            <w:noProof/>
            <w:webHidden/>
          </w:rPr>
        </w:r>
        <w:r w:rsidR="00E6043D">
          <w:rPr>
            <w:noProof/>
            <w:webHidden/>
          </w:rPr>
          <w:fldChar w:fldCharType="separate"/>
        </w:r>
        <w:r w:rsidR="00E6043D">
          <w:rPr>
            <w:noProof/>
            <w:webHidden/>
          </w:rPr>
          <w:t>213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8" w:history="1">
        <w:r w:rsidR="00E6043D" w:rsidRPr="00301BE2">
          <w:rPr>
            <w:rStyle w:val="Hyperlink"/>
            <w:noProof/>
          </w:rPr>
          <w:t xml:space="preserve">Figure 208. </w:t>
        </w:r>
        <w:r w:rsidR="00E6043D" w:rsidRPr="00301BE2">
          <w:rPr>
            <w:rStyle w:val="Hyperlink"/>
            <w:i/>
            <w:noProof/>
          </w:rPr>
          <w:t>Mean abundance (% cover) (± Standard Error) of epiphytes and macroalgae at coastal intertidal seagrass monitoring locations (sites pooled) in the Mackay Whitsunday NRM region</w:t>
        </w:r>
        <w:r w:rsidR="00E6043D">
          <w:rPr>
            <w:noProof/>
            <w:webHidden/>
          </w:rPr>
          <w:tab/>
        </w:r>
        <w:r w:rsidR="00E6043D">
          <w:rPr>
            <w:noProof/>
            <w:webHidden/>
          </w:rPr>
          <w:fldChar w:fldCharType="begin"/>
        </w:r>
        <w:r w:rsidR="00E6043D">
          <w:rPr>
            <w:noProof/>
            <w:webHidden/>
          </w:rPr>
          <w:instrText xml:space="preserve"> PAGEREF _Toc462685048 \h </w:instrText>
        </w:r>
        <w:r w:rsidR="00E6043D">
          <w:rPr>
            <w:noProof/>
            <w:webHidden/>
          </w:rPr>
        </w:r>
        <w:r w:rsidR="00E6043D">
          <w:rPr>
            <w:noProof/>
            <w:webHidden/>
          </w:rPr>
          <w:fldChar w:fldCharType="separate"/>
        </w:r>
        <w:r w:rsidR="00E6043D">
          <w:rPr>
            <w:noProof/>
            <w:webHidden/>
          </w:rPr>
          <w:t>213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49" w:history="1">
        <w:r w:rsidR="00E6043D" w:rsidRPr="00301BE2">
          <w:rPr>
            <w:rStyle w:val="Hyperlink"/>
            <w:noProof/>
          </w:rPr>
          <w:t xml:space="preserve">Figure 209. </w:t>
        </w:r>
        <w:r w:rsidR="00E6043D" w:rsidRPr="00301BE2">
          <w:rPr>
            <w:rStyle w:val="Hyperlink"/>
            <w:i/>
            <w:noProof/>
          </w:rPr>
          <w:t>Mean abundance (% cover) (± Standard Error) of epiphytes and macroalgae at estuarine seagrass monitoring locations (sites pooled) in the Mackay Whitsunday NRM region</w:t>
        </w:r>
        <w:r w:rsidR="00E6043D">
          <w:rPr>
            <w:noProof/>
            <w:webHidden/>
          </w:rPr>
          <w:tab/>
        </w:r>
        <w:r w:rsidR="00E6043D">
          <w:rPr>
            <w:noProof/>
            <w:webHidden/>
          </w:rPr>
          <w:fldChar w:fldCharType="begin"/>
        </w:r>
        <w:r w:rsidR="00E6043D">
          <w:rPr>
            <w:noProof/>
            <w:webHidden/>
          </w:rPr>
          <w:instrText xml:space="preserve"> PAGEREF _Toc462685049 \h </w:instrText>
        </w:r>
        <w:r w:rsidR="00E6043D">
          <w:rPr>
            <w:noProof/>
            <w:webHidden/>
          </w:rPr>
        </w:r>
        <w:r w:rsidR="00E6043D">
          <w:rPr>
            <w:noProof/>
            <w:webHidden/>
          </w:rPr>
          <w:fldChar w:fldCharType="separate"/>
        </w:r>
        <w:r w:rsidR="00E6043D">
          <w:rPr>
            <w:noProof/>
            <w:webHidden/>
          </w:rPr>
          <w:t>214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0" w:history="1">
        <w:r w:rsidR="00E6043D" w:rsidRPr="00301BE2">
          <w:rPr>
            <w:rStyle w:val="Hyperlink"/>
            <w:noProof/>
          </w:rPr>
          <w:t xml:space="preserve">Figure 210. </w:t>
        </w:r>
        <w:r w:rsidR="00E6043D" w:rsidRPr="00301BE2">
          <w:rPr>
            <w:rStyle w:val="Hyperlink"/>
            <w:i/>
            <w:noProof/>
          </w:rPr>
          <w:t>Mean abundance (% cover) (± Standard Error) of epiphytes and macroalgae at reef seagrass monitoring locations (sites pooled) in the Mackay Whitsunday NRM region</w:t>
        </w:r>
        <w:r w:rsidR="00E6043D">
          <w:rPr>
            <w:noProof/>
            <w:webHidden/>
          </w:rPr>
          <w:tab/>
        </w:r>
        <w:r w:rsidR="00E6043D">
          <w:rPr>
            <w:noProof/>
            <w:webHidden/>
          </w:rPr>
          <w:fldChar w:fldCharType="begin"/>
        </w:r>
        <w:r w:rsidR="00E6043D">
          <w:rPr>
            <w:noProof/>
            <w:webHidden/>
          </w:rPr>
          <w:instrText xml:space="preserve"> PAGEREF _Toc462685050 \h </w:instrText>
        </w:r>
        <w:r w:rsidR="00E6043D">
          <w:rPr>
            <w:noProof/>
            <w:webHidden/>
          </w:rPr>
        </w:r>
        <w:r w:rsidR="00E6043D">
          <w:rPr>
            <w:noProof/>
            <w:webHidden/>
          </w:rPr>
          <w:fldChar w:fldCharType="separate"/>
        </w:r>
        <w:r w:rsidR="00E6043D">
          <w:rPr>
            <w:noProof/>
            <w:webHidden/>
          </w:rPr>
          <w:t>214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1" w:history="1">
        <w:r w:rsidR="00E6043D" w:rsidRPr="00301BE2">
          <w:rPr>
            <w:rStyle w:val="Hyperlink"/>
            <w:noProof/>
          </w:rPr>
          <w:t xml:space="preserve">Figure 211. </w:t>
        </w:r>
        <w:r w:rsidR="00E6043D" w:rsidRPr="00301BE2">
          <w:rPr>
            <w:rStyle w:val="Hyperlink"/>
            <w:i/>
            <w:noProof/>
          </w:rPr>
          <w:t>Mean abundance (% cover) (± Standard Error) of epiphytes and macroalgae at coastal intertidal seagrass monitoring locations (sites pooled) in the Fitzroy NRM region</w:t>
        </w:r>
        <w:r w:rsidR="00E6043D">
          <w:rPr>
            <w:noProof/>
            <w:webHidden/>
          </w:rPr>
          <w:tab/>
        </w:r>
        <w:r w:rsidR="00E6043D">
          <w:rPr>
            <w:noProof/>
            <w:webHidden/>
          </w:rPr>
          <w:fldChar w:fldCharType="begin"/>
        </w:r>
        <w:r w:rsidR="00E6043D">
          <w:rPr>
            <w:noProof/>
            <w:webHidden/>
          </w:rPr>
          <w:instrText xml:space="preserve"> PAGEREF _Toc462685051 \h </w:instrText>
        </w:r>
        <w:r w:rsidR="00E6043D">
          <w:rPr>
            <w:noProof/>
            <w:webHidden/>
          </w:rPr>
        </w:r>
        <w:r w:rsidR="00E6043D">
          <w:rPr>
            <w:noProof/>
            <w:webHidden/>
          </w:rPr>
          <w:fldChar w:fldCharType="separate"/>
        </w:r>
        <w:r w:rsidR="00E6043D">
          <w:rPr>
            <w:noProof/>
            <w:webHidden/>
          </w:rPr>
          <w:t>214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2" w:history="1">
        <w:r w:rsidR="00E6043D" w:rsidRPr="00301BE2">
          <w:rPr>
            <w:rStyle w:val="Hyperlink"/>
            <w:noProof/>
          </w:rPr>
          <w:t xml:space="preserve">Figure 212. </w:t>
        </w:r>
        <w:r w:rsidR="00E6043D" w:rsidRPr="00301BE2">
          <w:rPr>
            <w:rStyle w:val="Hyperlink"/>
            <w:i/>
            <w:noProof/>
          </w:rPr>
          <w:t>Mean abundance (% cover) (± Standard Error) of epiphytes and macroalgae at estuarine seagrass monitoring locations (sites pooled) in the Fitzroy NRM region</w:t>
        </w:r>
        <w:r w:rsidR="00E6043D">
          <w:rPr>
            <w:noProof/>
            <w:webHidden/>
          </w:rPr>
          <w:tab/>
        </w:r>
        <w:r w:rsidR="00E6043D">
          <w:rPr>
            <w:noProof/>
            <w:webHidden/>
          </w:rPr>
          <w:fldChar w:fldCharType="begin"/>
        </w:r>
        <w:r w:rsidR="00E6043D">
          <w:rPr>
            <w:noProof/>
            <w:webHidden/>
          </w:rPr>
          <w:instrText xml:space="preserve"> PAGEREF _Toc462685052 \h </w:instrText>
        </w:r>
        <w:r w:rsidR="00E6043D">
          <w:rPr>
            <w:noProof/>
            <w:webHidden/>
          </w:rPr>
        </w:r>
        <w:r w:rsidR="00E6043D">
          <w:rPr>
            <w:noProof/>
            <w:webHidden/>
          </w:rPr>
          <w:fldChar w:fldCharType="separate"/>
        </w:r>
        <w:r w:rsidR="00E6043D">
          <w:rPr>
            <w:noProof/>
            <w:webHidden/>
          </w:rPr>
          <w:t>214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3" w:history="1">
        <w:r w:rsidR="00E6043D" w:rsidRPr="00301BE2">
          <w:rPr>
            <w:rStyle w:val="Hyperlink"/>
            <w:noProof/>
          </w:rPr>
          <w:t xml:space="preserve">Figure 213. </w:t>
        </w:r>
        <w:r w:rsidR="00E6043D" w:rsidRPr="00301BE2">
          <w:rPr>
            <w:rStyle w:val="Hyperlink"/>
            <w:i/>
            <w:noProof/>
          </w:rPr>
          <w:t>Mean abundance (% cover) (± Standard Error) of epiphytes and macroalgae at reef seagrass monitoring locations (sites pooled) in the Fitzroy NRM region</w:t>
        </w:r>
        <w:r w:rsidR="00E6043D">
          <w:rPr>
            <w:noProof/>
            <w:webHidden/>
          </w:rPr>
          <w:tab/>
        </w:r>
        <w:r w:rsidR="00E6043D">
          <w:rPr>
            <w:noProof/>
            <w:webHidden/>
          </w:rPr>
          <w:fldChar w:fldCharType="begin"/>
        </w:r>
        <w:r w:rsidR="00E6043D">
          <w:rPr>
            <w:noProof/>
            <w:webHidden/>
          </w:rPr>
          <w:instrText xml:space="preserve"> PAGEREF _Toc462685053 \h </w:instrText>
        </w:r>
        <w:r w:rsidR="00E6043D">
          <w:rPr>
            <w:noProof/>
            <w:webHidden/>
          </w:rPr>
        </w:r>
        <w:r w:rsidR="00E6043D">
          <w:rPr>
            <w:noProof/>
            <w:webHidden/>
          </w:rPr>
          <w:fldChar w:fldCharType="separate"/>
        </w:r>
        <w:r w:rsidR="00E6043D">
          <w:rPr>
            <w:noProof/>
            <w:webHidden/>
          </w:rPr>
          <w:t>215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4" w:history="1">
        <w:r w:rsidR="00E6043D" w:rsidRPr="00301BE2">
          <w:rPr>
            <w:rStyle w:val="Hyperlink"/>
            <w:noProof/>
          </w:rPr>
          <w:t xml:space="preserve">Figure 214. </w:t>
        </w:r>
        <w:r w:rsidR="00E6043D" w:rsidRPr="00301BE2">
          <w:rPr>
            <w:rStyle w:val="Hyperlink"/>
            <w:i/>
            <w:noProof/>
          </w:rPr>
          <w:t>Mean abundance (% cover) (± Standard Error) of epiphytes and macroalgae at estuarine seagrass monitoring locations (sites pooled) in the Burnett Mary NRM region.</w:t>
        </w:r>
        <w:r w:rsidR="00E6043D">
          <w:rPr>
            <w:noProof/>
            <w:webHidden/>
          </w:rPr>
          <w:tab/>
        </w:r>
        <w:r w:rsidR="00E6043D">
          <w:rPr>
            <w:noProof/>
            <w:webHidden/>
          </w:rPr>
          <w:fldChar w:fldCharType="begin"/>
        </w:r>
        <w:r w:rsidR="00E6043D">
          <w:rPr>
            <w:noProof/>
            <w:webHidden/>
          </w:rPr>
          <w:instrText xml:space="preserve"> PAGEREF _Toc462685054 \h </w:instrText>
        </w:r>
        <w:r w:rsidR="00E6043D">
          <w:rPr>
            <w:noProof/>
            <w:webHidden/>
          </w:rPr>
        </w:r>
        <w:r w:rsidR="00E6043D">
          <w:rPr>
            <w:noProof/>
            <w:webHidden/>
          </w:rPr>
          <w:fldChar w:fldCharType="separate"/>
        </w:r>
        <w:r w:rsidR="00E6043D">
          <w:rPr>
            <w:noProof/>
            <w:webHidden/>
          </w:rPr>
          <w:t>215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5" w:history="1">
        <w:r w:rsidR="00E6043D" w:rsidRPr="00301BE2">
          <w:rPr>
            <w:rStyle w:val="Hyperlink"/>
            <w:noProof/>
          </w:rPr>
          <w:t xml:space="preserve">Figure 215. </w:t>
        </w:r>
        <w:r w:rsidR="00E6043D" w:rsidRPr="00301BE2">
          <w:rPr>
            <w:rStyle w:val="Hyperlink"/>
            <w:i/>
            <w:noProof/>
          </w:rPr>
          <w:t>Location and species composition of each long-term seagrass monitoring site (MMP) in the Cape York region.</w:t>
        </w:r>
        <w:r w:rsidR="00E6043D">
          <w:rPr>
            <w:noProof/>
            <w:webHidden/>
          </w:rPr>
          <w:tab/>
        </w:r>
        <w:r w:rsidR="00E6043D">
          <w:rPr>
            <w:noProof/>
            <w:webHidden/>
          </w:rPr>
          <w:fldChar w:fldCharType="begin"/>
        </w:r>
        <w:r w:rsidR="00E6043D">
          <w:rPr>
            <w:noProof/>
            <w:webHidden/>
          </w:rPr>
          <w:instrText xml:space="preserve"> PAGEREF _Toc462685055 \h </w:instrText>
        </w:r>
        <w:r w:rsidR="00E6043D">
          <w:rPr>
            <w:noProof/>
            <w:webHidden/>
          </w:rPr>
        </w:r>
        <w:r w:rsidR="00E6043D">
          <w:rPr>
            <w:noProof/>
            <w:webHidden/>
          </w:rPr>
          <w:fldChar w:fldCharType="separate"/>
        </w:r>
        <w:r w:rsidR="00E6043D">
          <w:rPr>
            <w:noProof/>
            <w:webHidden/>
          </w:rPr>
          <w:t>218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6" w:history="1">
        <w:r w:rsidR="00E6043D" w:rsidRPr="00301BE2">
          <w:rPr>
            <w:rStyle w:val="Hyperlink"/>
            <w:noProof/>
          </w:rPr>
          <w:t xml:space="preserve">Figure 216. </w:t>
        </w:r>
        <w:r w:rsidR="00E6043D" w:rsidRPr="00301BE2">
          <w:rPr>
            <w:rStyle w:val="Hyperlink"/>
            <w:i/>
            <w:noProof/>
          </w:rPr>
          <w:t>Location and species composition of each long-term seagrass monitoring site (MMP) in the Wet Tropics region.</w:t>
        </w:r>
        <w:r w:rsidR="00E6043D">
          <w:rPr>
            <w:noProof/>
            <w:webHidden/>
          </w:rPr>
          <w:tab/>
        </w:r>
        <w:r w:rsidR="00E6043D">
          <w:rPr>
            <w:noProof/>
            <w:webHidden/>
          </w:rPr>
          <w:fldChar w:fldCharType="begin"/>
        </w:r>
        <w:r w:rsidR="00E6043D">
          <w:rPr>
            <w:noProof/>
            <w:webHidden/>
          </w:rPr>
          <w:instrText xml:space="preserve"> PAGEREF _Toc462685056 \h </w:instrText>
        </w:r>
        <w:r w:rsidR="00E6043D">
          <w:rPr>
            <w:noProof/>
            <w:webHidden/>
          </w:rPr>
        </w:r>
        <w:r w:rsidR="00E6043D">
          <w:rPr>
            <w:noProof/>
            <w:webHidden/>
          </w:rPr>
          <w:fldChar w:fldCharType="separate"/>
        </w:r>
        <w:r w:rsidR="00E6043D">
          <w:rPr>
            <w:noProof/>
            <w:webHidden/>
          </w:rPr>
          <w:t>219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7" w:history="1">
        <w:r w:rsidR="00E6043D" w:rsidRPr="00301BE2">
          <w:rPr>
            <w:rStyle w:val="Hyperlink"/>
            <w:noProof/>
          </w:rPr>
          <w:t xml:space="preserve">Figure 217. </w:t>
        </w:r>
        <w:r w:rsidR="00E6043D" w:rsidRPr="00301BE2">
          <w:rPr>
            <w:rStyle w:val="Hyperlink"/>
            <w:i/>
            <w:noProof/>
          </w:rPr>
          <w:t>Location and species composition of each long-term seagrass monitoring site (MMP) in the Burdekin region.</w:t>
        </w:r>
        <w:r w:rsidR="00E6043D">
          <w:rPr>
            <w:noProof/>
            <w:webHidden/>
          </w:rPr>
          <w:tab/>
        </w:r>
        <w:r w:rsidR="00E6043D">
          <w:rPr>
            <w:noProof/>
            <w:webHidden/>
          </w:rPr>
          <w:fldChar w:fldCharType="begin"/>
        </w:r>
        <w:r w:rsidR="00E6043D">
          <w:rPr>
            <w:noProof/>
            <w:webHidden/>
          </w:rPr>
          <w:instrText xml:space="preserve"> PAGEREF _Toc462685057 \h </w:instrText>
        </w:r>
        <w:r w:rsidR="00E6043D">
          <w:rPr>
            <w:noProof/>
            <w:webHidden/>
          </w:rPr>
        </w:r>
        <w:r w:rsidR="00E6043D">
          <w:rPr>
            <w:noProof/>
            <w:webHidden/>
          </w:rPr>
          <w:fldChar w:fldCharType="separate"/>
        </w:r>
        <w:r w:rsidR="00E6043D">
          <w:rPr>
            <w:noProof/>
            <w:webHidden/>
          </w:rPr>
          <w:t>220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8" w:history="1">
        <w:r w:rsidR="00E6043D" w:rsidRPr="00301BE2">
          <w:rPr>
            <w:rStyle w:val="Hyperlink"/>
            <w:noProof/>
          </w:rPr>
          <w:t xml:space="preserve">Figure 218. </w:t>
        </w:r>
        <w:r w:rsidR="00E6043D" w:rsidRPr="00301BE2">
          <w:rPr>
            <w:rStyle w:val="Hyperlink"/>
            <w:i/>
            <w:noProof/>
          </w:rPr>
          <w:t>Location and species composition of each long-term seagrass monitoring site (MMP) in the Mackay Whitsunday region.</w:t>
        </w:r>
        <w:r w:rsidR="00E6043D">
          <w:rPr>
            <w:noProof/>
            <w:webHidden/>
          </w:rPr>
          <w:tab/>
        </w:r>
        <w:r w:rsidR="00E6043D">
          <w:rPr>
            <w:noProof/>
            <w:webHidden/>
          </w:rPr>
          <w:fldChar w:fldCharType="begin"/>
        </w:r>
        <w:r w:rsidR="00E6043D">
          <w:rPr>
            <w:noProof/>
            <w:webHidden/>
          </w:rPr>
          <w:instrText xml:space="preserve"> PAGEREF _Toc462685058 \h </w:instrText>
        </w:r>
        <w:r w:rsidR="00E6043D">
          <w:rPr>
            <w:noProof/>
            <w:webHidden/>
          </w:rPr>
        </w:r>
        <w:r w:rsidR="00E6043D">
          <w:rPr>
            <w:noProof/>
            <w:webHidden/>
          </w:rPr>
          <w:fldChar w:fldCharType="separate"/>
        </w:r>
        <w:r w:rsidR="00E6043D">
          <w:rPr>
            <w:noProof/>
            <w:webHidden/>
          </w:rPr>
          <w:t>221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59" w:history="1">
        <w:r w:rsidR="00E6043D" w:rsidRPr="00301BE2">
          <w:rPr>
            <w:rStyle w:val="Hyperlink"/>
            <w:noProof/>
          </w:rPr>
          <w:t xml:space="preserve">Figure 219. </w:t>
        </w:r>
        <w:r w:rsidR="00E6043D" w:rsidRPr="00301BE2">
          <w:rPr>
            <w:rStyle w:val="Hyperlink"/>
            <w:i/>
            <w:noProof/>
          </w:rPr>
          <w:t>Location and species composition of each long-term seagrass monitoring site (MMP) in the Fitzroy region.</w:t>
        </w:r>
        <w:r w:rsidR="00E6043D">
          <w:rPr>
            <w:noProof/>
            <w:webHidden/>
          </w:rPr>
          <w:tab/>
        </w:r>
        <w:r w:rsidR="00E6043D">
          <w:rPr>
            <w:noProof/>
            <w:webHidden/>
          </w:rPr>
          <w:fldChar w:fldCharType="begin"/>
        </w:r>
        <w:r w:rsidR="00E6043D">
          <w:rPr>
            <w:noProof/>
            <w:webHidden/>
          </w:rPr>
          <w:instrText xml:space="preserve"> PAGEREF _Toc462685059 \h </w:instrText>
        </w:r>
        <w:r w:rsidR="00E6043D">
          <w:rPr>
            <w:noProof/>
            <w:webHidden/>
          </w:rPr>
        </w:r>
        <w:r w:rsidR="00E6043D">
          <w:rPr>
            <w:noProof/>
            <w:webHidden/>
          </w:rPr>
          <w:fldChar w:fldCharType="separate"/>
        </w:r>
        <w:r w:rsidR="00E6043D">
          <w:rPr>
            <w:noProof/>
            <w:webHidden/>
          </w:rPr>
          <w:t>222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0" w:history="1">
        <w:r w:rsidR="00E6043D" w:rsidRPr="00301BE2">
          <w:rPr>
            <w:rStyle w:val="Hyperlink"/>
            <w:noProof/>
          </w:rPr>
          <w:t xml:space="preserve">Figure 220. </w:t>
        </w:r>
        <w:r w:rsidR="00E6043D" w:rsidRPr="00301BE2">
          <w:rPr>
            <w:rStyle w:val="Hyperlink"/>
            <w:i/>
            <w:noProof/>
          </w:rPr>
          <w:t>Location and species composition of each long-term seagrass monitoring site (MMP) in the Burnett Mary region.</w:t>
        </w:r>
        <w:r w:rsidR="00E6043D">
          <w:rPr>
            <w:noProof/>
            <w:webHidden/>
          </w:rPr>
          <w:tab/>
        </w:r>
        <w:r w:rsidR="00E6043D">
          <w:rPr>
            <w:noProof/>
            <w:webHidden/>
          </w:rPr>
          <w:fldChar w:fldCharType="begin"/>
        </w:r>
        <w:r w:rsidR="00E6043D">
          <w:rPr>
            <w:noProof/>
            <w:webHidden/>
          </w:rPr>
          <w:instrText xml:space="preserve"> PAGEREF _Toc462685060 \h </w:instrText>
        </w:r>
        <w:r w:rsidR="00E6043D">
          <w:rPr>
            <w:noProof/>
            <w:webHidden/>
          </w:rPr>
        </w:r>
        <w:r w:rsidR="00E6043D">
          <w:rPr>
            <w:noProof/>
            <w:webHidden/>
          </w:rPr>
          <w:fldChar w:fldCharType="separate"/>
        </w:r>
        <w:r w:rsidR="00E6043D">
          <w:rPr>
            <w:noProof/>
            <w:webHidden/>
          </w:rPr>
          <w:t>223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1" w:history="1">
        <w:r w:rsidR="00E6043D" w:rsidRPr="00301BE2">
          <w:rPr>
            <w:rStyle w:val="Hyperlink"/>
            <w:noProof/>
          </w:rPr>
          <w:t xml:space="preserve">Figure 221. </w:t>
        </w:r>
        <w:r w:rsidR="00E6043D" w:rsidRPr="00301BE2">
          <w:rPr>
            <w:rStyle w:val="Hyperlink"/>
            <w:i/>
            <w:noProof/>
            <w:lang w:eastAsia="en-AU"/>
          </w:rPr>
          <w:t xml:space="preserve">Elemental ratios (atomic) of seagrass leaf tissue C:N, </w:t>
        </w:r>
        <w:r w:rsidR="00E6043D" w:rsidRPr="00301BE2">
          <w:rPr>
            <w:rStyle w:val="Hyperlink"/>
            <w:i/>
            <w:iCs/>
            <w:noProof/>
            <w:lang w:eastAsia="en-AU"/>
          </w:rPr>
          <w:t>N:P and C:P</w:t>
        </w:r>
        <w:r w:rsidR="00E6043D" w:rsidRPr="00301BE2">
          <w:rPr>
            <w:rStyle w:val="Hyperlink"/>
            <w:i/>
            <w:noProof/>
            <w:lang w:eastAsia="en-AU"/>
          </w:rPr>
          <w:t xml:space="preserve"> for </w:t>
        </w:r>
        <w:r w:rsidR="00E6043D" w:rsidRPr="00301BE2">
          <w:rPr>
            <w:rStyle w:val="Hyperlink"/>
            <w:i/>
            <w:noProof/>
          </w:rPr>
          <w:t>the foundation seagrass species examined at each coastal location in the Cape York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_Toc462685061 \h </w:instrText>
        </w:r>
        <w:r w:rsidR="00E6043D">
          <w:rPr>
            <w:noProof/>
            <w:webHidden/>
          </w:rPr>
        </w:r>
        <w:r w:rsidR="00E6043D">
          <w:rPr>
            <w:noProof/>
            <w:webHidden/>
          </w:rPr>
          <w:fldChar w:fldCharType="separate"/>
        </w:r>
        <w:r w:rsidR="00E6043D">
          <w:rPr>
            <w:noProof/>
            <w:webHidden/>
          </w:rPr>
          <w:t>224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2" w:history="1">
        <w:r w:rsidR="00E6043D" w:rsidRPr="00301BE2">
          <w:rPr>
            <w:rStyle w:val="Hyperlink"/>
            <w:noProof/>
          </w:rPr>
          <w:t>Figure 222</w:t>
        </w:r>
        <w:r w:rsidR="00E6043D" w:rsidRPr="00301BE2">
          <w:rPr>
            <w:rStyle w:val="Hyperlink"/>
            <w:i/>
            <w:noProof/>
          </w:rPr>
          <w:t xml:space="preserve">. </w:t>
        </w:r>
        <w:r w:rsidR="00E6043D" w:rsidRPr="00301BE2">
          <w:rPr>
            <w:rStyle w:val="Hyperlink"/>
            <w:i/>
            <w:noProof/>
            <w:lang w:eastAsia="en-AU"/>
          </w:rPr>
          <w:t xml:space="preserve">Elemental ratios (atomic) of seagrass leaf tissue C:N, </w:t>
        </w:r>
        <w:r w:rsidR="00E6043D" w:rsidRPr="00301BE2">
          <w:rPr>
            <w:rStyle w:val="Hyperlink"/>
            <w:i/>
            <w:iCs/>
            <w:noProof/>
            <w:lang w:eastAsia="en-AU"/>
          </w:rPr>
          <w:t>N:P and C:P</w:t>
        </w:r>
        <w:r w:rsidR="00E6043D" w:rsidRPr="00301BE2">
          <w:rPr>
            <w:rStyle w:val="Hyperlink"/>
            <w:i/>
            <w:noProof/>
            <w:lang w:eastAsia="en-AU"/>
          </w:rPr>
          <w:t xml:space="preserve"> for </w:t>
        </w:r>
        <w:r w:rsidR="00E6043D" w:rsidRPr="00301BE2">
          <w:rPr>
            <w:rStyle w:val="Hyperlink"/>
            <w:i/>
            <w:noProof/>
          </w:rPr>
          <w:t>the foundation seagrass species examined at each reef location in the Cape York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_Toc462685062 \h </w:instrText>
        </w:r>
        <w:r w:rsidR="00E6043D">
          <w:rPr>
            <w:noProof/>
            <w:webHidden/>
          </w:rPr>
        </w:r>
        <w:r w:rsidR="00E6043D">
          <w:rPr>
            <w:noProof/>
            <w:webHidden/>
          </w:rPr>
          <w:fldChar w:fldCharType="separate"/>
        </w:r>
        <w:r w:rsidR="00E6043D">
          <w:rPr>
            <w:noProof/>
            <w:webHidden/>
          </w:rPr>
          <w:t>225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3" w:history="1">
        <w:r w:rsidR="00E6043D" w:rsidRPr="00301BE2">
          <w:rPr>
            <w:rStyle w:val="Hyperlink"/>
            <w:noProof/>
          </w:rPr>
          <w:t xml:space="preserve">Figure 223. </w:t>
        </w:r>
        <w:r w:rsidR="00E6043D" w:rsidRPr="00301BE2">
          <w:rPr>
            <w:rStyle w:val="Hyperlink"/>
            <w:i/>
            <w:noProof/>
            <w:lang w:eastAsia="en-AU"/>
          </w:rPr>
          <w:t xml:space="preserve">Elemental ratios (atomic) of seagrass leaf tissue C:N for </w:t>
        </w:r>
        <w:r w:rsidR="00E6043D" w:rsidRPr="00301BE2">
          <w:rPr>
            <w:rStyle w:val="Hyperlink"/>
            <w:i/>
            <w:noProof/>
          </w:rPr>
          <w:t>the foundation seagrass species examined at each habitat and location in the Wet Tropics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_Toc462685063 \h </w:instrText>
        </w:r>
        <w:r w:rsidR="00E6043D">
          <w:rPr>
            <w:noProof/>
            <w:webHidden/>
          </w:rPr>
        </w:r>
        <w:r w:rsidR="00E6043D">
          <w:rPr>
            <w:noProof/>
            <w:webHidden/>
          </w:rPr>
          <w:fldChar w:fldCharType="separate"/>
        </w:r>
        <w:r w:rsidR="00E6043D">
          <w:rPr>
            <w:noProof/>
            <w:webHidden/>
          </w:rPr>
          <w:t>226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4" w:history="1">
        <w:r w:rsidR="00E6043D" w:rsidRPr="00301BE2">
          <w:rPr>
            <w:rStyle w:val="Hyperlink"/>
            <w:noProof/>
          </w:rPr>
          <w:t xml:space="preserve">Figure 224. </w:t>
        </w:r>
        <w:r w:rsidR="00E6043D" w:rsidRPr="00301BE2">
          <w:rPr>
            <w:rStyle w:val="Hyperlink"/>
            <w:i/>
            <w:noProof/>
            <w:lang w:eastAsia="en-AU"/>
          </w:rPr>
          <w:t xml:space="preserve">Elemental ratios (atomic) of seagrass leaf tissue C:P and N:P for </w:t>
        </w:r>
        <w:r w:rsidR="00E6043D" w:rsidRPr="00301BE2">
          <w:rPr>
            <w:rStyle w:val="Hyperlink"/>
            <w:i/>
            <w:noProof/>
          </w:rPr>
          <w:t>the foundation seagrass species examined at intertidal coastal habitats in the Wet Tropics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_Toc462685064 \h </w:instrText>
        </w:r>
        <w:r w:rsidR="00E6043D">
          <w:rPr>
            <w:noProof/>
            <w:webHidden/>
          </w:rPr>
        </w:r>
        <w:r w:rsidR="00E6043D">
          <w:rPr>
            <w:noProof/>
            <w:webHidden/>
          </w:rPr>
          <w:fldChar w:fldCharType="separate"/>
        </w:r>
        <w:r w:rsidR="00E6043D">
          <w:rPr>
            <w:noProof/>
            <w:webHidden/>
          </w:rPr>
          <w:t>226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5" w:history="1">
        <w:r w:rsidR="00E6043D" w:rsidRPr="00301BE2">
          <w:rPr>
            <w:rStyle w:val="Hyperlink"/>
            <w:noProof/>
          </w:rPr>
          <w:t xml:space="preserve">Figure 225. </w:t>
        </w:r>
        <w:r w:rsidR="00E6043D" w:rsidRPr="00301BE2">
          <w:rPr>
            <w:rStyle w:val="Hyperlink"/>
            <w:i/>
            <w:noProof/>
            <w:lang w:eastAsia="en-AU"/>
          </w:rPr>
          <w:t xml:space="preserve">Elemental ratios (atomic) of seagrass leaf tissue C:P and N:P for </w:t>
        </w:r>
        <w:r w:rsidR="00E6043D" w:rsidRPr="00301BE2">
          <w:rPr>
            <w:rStyle w:val="Hyperlink"/>
            <w:i/>
            <w:noProof/>
          </w:rPr>
          <w:t>the foundation seagrass species examined at intertidal reef habitats in the Wet Tropics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_Toc462685065 \h </w:instrText>
        </w:r>
        <w:r w:rsidR="00E6043D">
          <w:rPr>
            <w:noProof/>
            <w:webHidden/>
          </w:rPr>
        </w:r>
        <w:r w:rsidR="00E6043D">
          <w:rPr>
            <w:noProof/>
            <w:webHidden/>
          </w:rPr>
          <w:fldChar w:fldCharType="separate"/>
        </w:r>
        <w:r w:rsidR="00E6043D">
          <w:rPr>
            <w:noProof/>
            <w:webHidden/>
          </w:rPr>
          <w:t>227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6" w:history="1">
        <w:r w:rsidR="00E6043D" w:rsidRPr="00301BE2">
          <w:rPr>
            <w:rStyle w:val="Hyperlink"/>
            <w:noProof/>
          </w:rPr>
          <w:t xml:space="preserve">Figure 226. </w:t>
        </w:r>
        <w:r w:rsidR="00E6043D" w:rsidRPr="00301BE2">
          <w:rPr>
            <w:rStyle w:val="Hyperlink"/>
            <w:i/>
            <w:noProof/>
            <w:lang w:eastAsia="en-AU"/>
          </w:rPr>
          <w:t xml:space="preserve">Elemental ratios (atomic) of seagrass leaf tissue C:P and N:P for </w:t>
        </w:r>
        <w:r w:rsidR="00E6043D" w:rsidRPr="00301BE2">
          <w:rPr>
            <w:rStyle w:val="Hyperlink"/>
            <w:i/>
            <w:noProof/>
          </w:rPr>
          <w:t>the foundation seagrass species examined at subtidal reef habitats in the Wet Tropics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_Toc462685066 \h </w:instrText>
        </w:r>
        <w:r w:rsidR="00E6043D">
          <w:rPr>
            <w:noProof/>
            <w:webHidden/>
          </w:rPr>
        </w:r>
        <w:r w:rsidR="00E6043D">
          <w:rPr>
            <w:noProof/>
            <w:webHidden/>
          </w:rPr>
          <w:fldChar w:fldCharType="separate"/>
        </w:r>
        <w:r w:rsidR="00E6043D">
          <w:rPr>
            <w:noProof/>
            <w:webHidden/>
          </w:rPr>
          <w:t>227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7" w:history="1">
        <w:r w:rsidR="00E6043D" w:rsidRPr="00301BE2">
          <w:rPr>
            <w:rStyle w:val="Hyperlink"/>
            <w:noProof/>
          </w:rPr>
          <w:t xml:space="preserve">Figure 227. </w:t>
        </w:r>
        <w:r w:rsidR="00E6043D" w:rsidRPr="00301BE2">
          <w:rPr>
            <w:rStyle w:val="Hyperlink"/>
            <w:i/>
            <w:noProof/>
            <w:lang w:eastAsia="en-AU"/>
          </w:rPr>
          <w:t xml:space="preserve">Elemental ratios (atomic) of seagrass leaf tissue C:N, </w:t>
        </w:r>
        <w:r w:rsidR="00E6043D" w:rsidRPr="00301BE2">
          <w:rPr>
            <w:rStyle w:val="Hyperlink"/>
            <w:i/>
            <w:iCs/>
            <w:noProof/>
            <w:lang w:eastAsia="en-AU"/>
          </w:rPr>
          <w:t>N:P and C:P</w:t>
        </w:r>
        <w:r w:rsidR="00E6043D" w:rsidRPr="00301BE2">
          <w:rPr>
            <w:rStyle w:val="Hyperlink"/>
            <w:i/>
            <w:noProof/>
            <w:lang w:eastAsia="en-AU"/>
          </w:rPr>
          <w:t xml:space="preserve"> for </w:t>
        </w:r>
        <w:r w:rsidR="00E6043D" w:rsidRPr="00301BE2">
          <w:rPr>
            <w:rStyle w:val="Hyperlink"/>
            <w:i/>
            <w:noProof/>
          </w:rPr>
          <w:t>the foundation seagrass species examined at each habitat and location in the Burdekin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_Toc462685067 \h </w:instrText>
        </w:r>
        <w:r w:rsidR="00E6043D">
          <w:rPr>
            <w:noProof/>
            <w:webHidden/>
          </w:rPr>
        </w:r>
        <w:r w:rsidR="00E6043D">
          <w:rPr>
            <w:noProof/>
            <w:webHidden/>
          </w:rPr>
          <w:fldChar w:fldCharType="separate"/>
        </w:r>
        <w:r w:rsidR="00E6043D">
          <w:rPr>
            <w:noProof/>
            <w:webHidden/>
          </w:rPr>
          <w:t>228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8" w:history="1">
        <w:r w:rsidR="00E6043D" w:rsidRPr="00301BE2">
          <w:rPr>
            <w:rStyle w:val="Hyperlink"/>
            <w:noProof/>
          </w:rPr>
          <w:t xml:space="preserve">Figure 228. </w:t>
        </w:r>
        <w:r w:rsidR="00E6043D" w:rsidRPr="00301BE2">
          <w:rPr>
            <w:rStyle w:val="Hyperlink"/>
            <w:i/>
            <w:noProof/>
            <w:lang w:eastAsia="en-AU"/>
          </w:rPr>
          <w:t xml:space="preserve">Elemental ratios (atomic) of seagrass leaf tissue C:N, </w:t>
        </w:r>
        <w:r w:rsidR="00E6043D" w:rsidRPr="00301BE2">
          <w:rPr>
            <w:rStyle w:val="Hyperlink"/>
            <w:i/>
            <w:iCs/>
            <w:noProof/>
            <w:lang w:eastAsia="en-AU"/>
          </w:rPr>
          <w:t>N:P and C:P</w:t>
        </w:r>
        <w:r w:rsidR="00E6043D" w:rsidRPr="00301BE2">
          <w:rPr>
            <w:rStyle w:val="Hyperlink"/>
            <w:i/>
            <w:noProof/>
            <w:lang w:eastAsia="en-AU"/>
          </w:rPr>
          <w:t xml:space="preserve"> for </w:t>
        </w:r>
        <w:r w:rsidR="00E6043D" w:rsidRPr="00301BE2">
          <w:rPr>
            <w:rStyle w:val="Hyperlink"/>
            <w:i/>
            <w:noProof/>
          </w:rPr>
          <w:t>the foundation seagrass species examined at coastal habitats in the Mackay Whitsunday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_Toc462685068 \h </w:instrText>
        </w:r>
        <w:r w:rsidR="00E6043D">
          <w:rPr>
            <w:noProof/>
            <w:webHidden/>
          </w:rPr>
        </w:r>
        <w:r w:rsidR="00E6043D">
          <w:rPr>
            <w:noProof/>
            <w:webHidden/>
          </w:rPr>
          <w:fldChar w:fldCharType="separate"/>
        </w:r>
        <w:r w:rsidR="00E6043D">
          <w:rPr>
            <w:noProof/>
            <w:webHidden/>
          </w:rPr>
          <w:t>228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69" w:history="1">
        <w:r w:rsidR="00E6043D" w:rsidRPr="00301BE2">
          <w:rPr>
            <w:rStyle w:val="Hyperlink"/>
            <w:noProof/>
          </w:rPr>
          <w:t xml:space="preserve">Figure 229. </w:t>
        </w:r>
        <w:r w:rsidR="00E6043D" w:rsidRPr="00301BE2">
          <w:rPr>
            <w:rStyle w:val="Hyperlink"/>
            <w:i/>
            <w:noProof/>
            <w:lang w:eastAsia="en-AU"/>
          </w:rPr>
          <w:t xml:space="preserve">Elemental ratios (atomic) of seagrass leaf tissue C:N for </w:t>
        </w:r>
        <w:r w:rsidR="00E6043D" w:rsidRPr="00301BE2">
          <w:rPr>
            <w:rStyle w:val="Hyperlink"/>
            <w:i/>
            <w:noProof/>
          </w:rPr>
          <w:t>the foundation seagrass species examined at each habitat in the Burnett Mary region</w:t>
        </w:r>
        <w:r w:rsidR="00E6043D" w:rsidRPr="00301BE2">
          <w:rPr>
            <w:rStyle w:val="Hyperlink"/>
            <w:i/>
            <w:noProof/>
            <w:lang w:eastAsia="en-AU"/>
          </w:rPr>
          <w:t xml:space="preserve"> each year</w:t>
        </w:r>
        <w:r w:rsidR="00E6043D">
          <w:rPr>
            <w:noProof/>
            <w:webHidden/>
          </w:rPr>
          <w:tab/>
        </w:r>
        <w:r w:rsidR="00E6043D">
          <w:rPr>
            <w:noProof/>
            <w:webHidden/>
          </w:rPr>
          <w:fldChar w:fldCharType="begin"/>
        </w:r>
        <w:r w:rsidR="00E6043D">
          <w:rPr>
            <w:noProof/>
            <w:webHidden/>
          </w:rPr>
          <w:instrText xml:space="preserve"> PAGEREF _Toc462685069 \h </w:instrText>
        </w:r>
        <w:r w:rsidR="00E6043D">
          <w:rPr>
            <w:noProof/>
            <w:webHidden/>
          </w:rPr>
        </w:r>
        <w:r w:rsidR="00E6043D">
          <w:rPr>
            <w:noProof/>
            <w:webHidden/>
          </w:rPr>
          <w:fldChar w:fldCharType="separate"/>
        </w:r>
        <w:r w:rsidR="00E6043D">
          <w:rPr>
            <w:noProof/>
            <w:webHidden/>
          </w:rPr>
          <w:t>229</w:t>
        </w:r>
        <w:r w:rsidR="00E6043D">
          <w:rPr>
            <w:noProof/>
            <w:webHidden/>
          </w:rPr>
          <w:fldChar w:fldCharType="end"/>
        </w:r>
      </w:hyperlink>
    </w:p>
    <w:p w:rsidR="001F4593" w:rsidRPr="0095258E" w:rsidRDefault="001F4593" w:rsidP="001F4593">
      <w:pPr>
        <w:tabs>
          <w:tab w:val="left" w:pos="1134"/>
          <w:tab w:val="left" w:pos="1418"/>
          <w:tab w:val="right" w:leader="dot" w:pos="9072"/>
        </w:tabs>
        <w:ind w:left="567" w:hanging="567"/>
        <w:rPr>
          <w:color w:val="000000"/>
        </w:rPr>
      </w:pPr>
      <w:r w:rsidRPr="00A93D8C">
        <w:rPr>
          <w:color w:val="000000"/>
          <w:sz w:val="20"/>
          <w:szCs w:val="20"/>
        </w:rPr>
        <w:fldChar w:fldCharType="end"/>
      </w:r>
      <w:r w:rsidRPr="0095258E">
        <w:rPr>
          <w:color w:val="000000"/>
        </w:rPr>
        <w:br w:type="page"/>
      </w:r>
    </w:p>
    <w:p w:rsidR="001F4593" w:rsidRPr="0095258E" w:rsidRDefault="001F4593" w:rsidP="001F4593">
      <w:pPr>
        <w:spacing w:after="240"/>
        <w:rPr>
          <w:rFonts w:ascii="Century Gothic" w:hAnsi="Century Gothic"/>
          <w:b/>
          <w:color w:val="000000"/>
          <w:sz w:val="36"/>
          <w:szCs w:val="36"/>
        </w:rPr>
      </w:pPr>
      <w:r w:rsidRPr="0095258E">
        <w:rPr>
          <w:rFonts w:ascii="Century Gothic" w:hAnsi="Century Gothic"/>
          <w:b/>
          <w:color w:val="000000"/>
          <w:sz w:val="36"/>
          <w:szCs w:val="36"/>
        </w:rPr>
        <w:lastRenderedPageBreak/>
        <w:t>List of Tables</w:t>
      </w:r>
    </w:p>
    <w:p w:rsidR="00E6043D" w:rsidRDefault="001F4593">
      <w:pPr>
        <w:pStyle w:val="TableofFigures"/>
        <w:tabs>
          <w:tab w:val="right" w:leader="dot" w:pos="9060"/>
        </w:tabs>
        <w:rPr>
          <w:rFonts w:asciiTheme="minorHAnsi" w:eastAsiaTheme="minorEastAsia" w:hAnsiTheme="minorHAnsi" w:cstheme="minorBidi"/>
          <w:noProof/>
          <w:szCs w:val="22"/>
          <w:lang w:eastAsia="en-AU"/>
        </w:rPr>
      </w:pPr>
      <w:r w:rsidRPr="002E6AD0">
        <w:rPr>
          <w:rFonts w:cs="Arial"/>
          <w:color w:val="000000"/>
          <w:sz w:val="20"/>
          <w:szCs w:val="20"/>
        </w:rPr>
        <w:fldChar w:fldCharType="begin"/>
      </w:r>
      <w:r w:rsidRPr="002E6AD0">
        <w:rPr>
          <w:rFonts w:cs="Arial"/>
          <w:color w:val="000000"/>
          <w:sz w:val="20"/>
          <w:szCs w:val="20"/>
        </w:rPr>
        <w:instrText xml:space="preserve"> TOC \h \z \c "Table" </w:instrText>
      </w:r>
      <w:r w:rsidRPr="002E6AD0">
        <w:rPr>
          <w:rFonts w:cs="Arial"/>
          <w:color w:val="000000"/>
          <w:sz w:val="20"/>
          <w:szCs w:val="20"/>
        </w:rPr>
        <w:fldChar w:fldCharType="separate"/>
      </w:r>
      <w:hyperlink w:anchor="_Toc462685070" w:history="1">
        <w:r w:rsidR="00E6043D" w:rsidRPr="00F86057">
          <w:rPr>
            <w:rStyle w:val="Hyperlink"/>
            <w:noProof/>
          </w:rPr>
          <w:t xml:space="preserve">Table 1. </w:t>
        </w:r>
        <w:r w:rsidR="00E6043D" w:rsidRPr="00F86057">
          <w:rPr>
            <w:rStyle w:val="Hyperlink"/>
            <w:i/>
            <w:noProof/>
          </w:rPr>
          <w:t>Report card for seagrass condition for the GBR and each NRM region: June 2014 - May 2015.</w:t>
        </w:r>
        <w:r w:rsidR="00E6043D">
          <w:rPr>
            <w:noProof/>
            <w:webHidden/>
          </w:rPr>
          <w:tab/>
        </w:r>
        <w:r w:rsidR="00E6043D">
          <w:rPr>
            <w:noProof/>
            <w:webHidden/>
          </w:rPr>
          <w:fldChar w:fldCharType="begin"/>
        </w:r>
        <w:r w:rsidR="00E6043D">
          <w:rPr>
            <w:noProof/>
            <w:webHidden/>
          </w:rPr>
          <w:instrText xml:space="preserve"> PAGEREF _Toc462685070 \h </w:instrText>
        </w:r>
        <w:r w:rsidR="00E6043D">
          <w:rPr>
            <w:noProof/>
            <w:webHidden/>
          </w:rPr>
        </w:r>
        <w:r w:rsidR="00E6043D">
          <w:rPr>
            <w:noProof/>
            <w:webHidden/>
          </w:rPr>
          <w:fldChar w:fldCharType="separate"/>
        </w:r>
        <w:r w:rsidR="00E6043D">
          <w:rPr>
            <w:noProof/>
            <w:webHidden/>
          </w:rPr>
          <w:t>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71" w:history="1">
        <w:r w:rsidR="00E6043D" w:rsidRPr="00F86057">
          <w:rPr>
            <w:rStyle w:val="Hyperlink"/>
            <w:noProof/>
          </w:rPr>
          <w:t xml:space="preserve">Table 2. </w:t>
        </w:r>
        <w:r w:rsidR="00E6043D" w:rsidRPr="00F86057">
          <w:rPr>
            <w:rStyle w:val="Hyperlink"/>
            <w:i/>
            <w:noProof/>
          </w:rPr>
          <w:t xml:space="preserve"> Summary of climate and environment data included in this report</w:t>
        </w:r>
        <w:r w:rsidR="00E6043D">
          <w:rPr>
            <w:noProof/>
            <w:webHidden/>
          </w:rPr>
          <w:tab/>
        </w:r>
        <w:r w:rsidR="00E6043D">
          <w:rPr>
            <w:noProof/>
            <w:webHidden/>
          </w:rPr>
          <w:fldChar w:fldCharType="begin"/>
        </w:r>
        <w:r w:rsidR="00E6043D">
          <w:rPr>
            <w:noProof/>
            <w:webHidden/>
          </w:rPr>
          <w:instrText xml:space="preserve"> PAGEREF _Toc462685071 \h </w:instrText>
        </w:r>
        <w:r w:rsidR="00E6043D">
          <w:rPr>
            <w:noProof/>
            <w:webHidden/>
          </w:rPr>
        </w:r>
        <w:r w:rsidR="00E6043D">
          <w:rPr>
            <w:noProof/>
            <w:webHidden/>
          </w:rPr>
          <w:fldChar w:fldCharType="separate"/>
        </w:r>
        <w:r w:rsidR="00E6043D">
          <w:rPr>
            <w:noProof/>
            <w:webHidden/>
          </w:rPr>
          <w:t>10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72" w:history="1">
        <w:r w:rsidR="00E6043D" w:rsidRPr="00F86057">
          <w:rPr>
            <w:rStyle w:val="Hyperlink"/>
            <w:noProof/>
          </w:rPr>
          <w:t>Table 3</w:t>
        </w:r>
        <w:r w:rsidR="00E6043D" w:rsidRPr="00F86057">
          <w:rPr>
            <w:rStyle w:val="Hyperlink"/>
            <w:i/>
            <w:noProof/>
          </w:rPr>
          <w:t>. MMP inshore seagrass long-term monitoring site details including presence of foundation (</w:t>
        </w:r>
        <w:r w:rsidR="00E6043D" w:rsidRPr="00F86057">
          <w:rPr>
            <w:rStyle w:val="Hyperlink"/>
            <w:noProof/>
          </w:rPr>
          <w:sym w:font="Wingdings" w:char="F06E"/>
        </w:r>
        <w:r w:rsidR="00E6043D" w:rsidRPr="00F86057">
          <w:rPr>
            <w:rStyle w:val="Hyperlink"/>
            <w:i/>
            <w:noProof/>
          </w:rPr>
          <w:t>) and other (</w:t>
        </w:r>
        <w:r w:rsidR="00E6043D" w:rsidRPr="00F86057">
          <w:rPr>
            <w:rStyle w:val="Hyperlink"/>
            <w:noProof/>
          </w:rPr>
          <w:sym w:font="Wingdings" w:char="F0A8"/>
        </w:r>
        <w:r w:rsidR="00E6043D" w:rsidRPr="00F86057">
          <w:rPr>
            <w:rStyle w:val="Hyperlink"/>
            <w:i/>
            <w:noProof/>
          </w:rPr>
          <w:t>) seagrass species sampled for plant tissue and reproductive health.</w:t>
        </w:r>
        <w:r w:rsidR="00E6043D">
          <w:rPr>
            <w:noProof/>
            <w:webHidden/>
          </w:rPr>
          <w:tab/>
        </w:r>
        <w:r w:rsidR="00E6043D">
          <w:rPr>
            <w:noProof/>
            <w:webHidden/>
          </w:rPr>
          <w:fldChar w:fldCharType="begin"/>
        </w:r>
        <w:r w:rsidR="00E6043D">
          <w:rPr>
            <w:noProof/>
            <w:webHidden/>
          </w:rPr>
          <w:instrText xml:space="preserve"> PAGEREF _Toc462685072 \h </w:instrText>
        </w:r>
        <w:r w:rsidR="00E6043D">
          <w:rPr>
            <w:noProof/>
            <w:webHidden/>
          </w:rPr>
        </w:r>
        <w:r w:rsidR="00E6043D">
          <w:rPr>
            <w:noProof/>
            <w:webHidden/>
          </w:rPr>
          <w:fldChar w:fldCharType="separate"/>
        </w:r>
        <w:r w:rsidR="00E6043D">
          <w:rPr>
            <w:noProof/>
            <w:webHidden/>
          </w:rPr>
          <w:t>13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73" w:history="1">
        <w:r w:rsidR="00E6043D" w:rsidRPr="00F86057">
          <w:rPr>
            <w:rStyle w:val="Hyperlink"/>
            <w:noProof/>
          </w:rPr>
          <w:t>Table 4</w:t>
        </w:r>
        <w:r w:rsidR="00E6043D" w:rsidRPr="00F86057">
          <w:rPr>
            <w:rStyle w:val="Hyperlink"/>
            <w:i/>
            <w:noProof/>
          </w:rPr>
          <w:t>. Details of additional inshore seagrass long-term monitoring sites from the Seagrass-Watch program, including presence of foundation (</w:t>
        </w:r>
        <w:r w:rsidR="00E6043D" w:rsidRPr="00F86057">
          <w:rPr>
            <w:rStyle w:val="Hyperlink"/>
            <w:noProof/>
          </w:rPr>
          <w:sym w:font="Wingdings" w:char="F06E"/>
        </w:r>
        <w:r w:rsidR="00E6043D" w:rsidRPr="00F86057">
          <w:rPr>
            <w:rStyle w:val="Hyperlink"/>
            <w:i/>
            <w:noProof/>
          </w:rPr>
          <w:t>) and other (</w:t>
        </w:r>
        <w:r w:rsidR="00E6043D" w:rsidRPr="00F86057">
          <w:rPr>
            <w:rStyle w:val="Hyperlink"/>
            <w:noProof/>
          </w:rPr>
          <w:sym w:font="Wingdings" w:char="F0A8"/>
        </w:r>
        <w:r w:rsidR="00E6043D" w:rsidRPr="00F86057">
          <w:rPr>
            <w:rStyle w:val="Hyperlink"/>
            <w:i/>
            <w:noProof/>
          </w:rPr>
          <w:t>) seagrass species.</w:t>
        </w:r>
        <w:r w:rsidR="00E6043D">
          <w:rPr>
            <w:noProof/>
            <w:webHidden/>
          </w:rPr>
          <w:tab/>
        </w:r>
        <w:r w:rsidR="00E6043D">
          <w:rPr>
            <w:noProof/>
            <w:webHidden/>
          </w:rPr>
          <w:fldChar w:fldCharType="begin"/>
        </w:r>
        <w:r w:rsidR="00E6043D">
          <w:rPr>
            <w:noProof/>
            <w:webHidden/>
          </w:rPr>
          <w:instrText xml:space="preserve"> PAGEREF _Toc462685073 \h </w:instrText>
        </w:r>
        <w:r w:rsidR="00E6043D">
          <w:rPr>
            <w:noProof/>
            <w:webHidden/>
          </w:rPr>
        </w:r>
        <w:r w:rsidR="00E6043D">
          <w:rPr>
            <w:noProof/>
            <w:webHidden/>
          </w:rPr>
          <w:fldChar w:fldCharType="separate"/>
        </w:r>
        <w:r w:rsidR="00E6043D">
          <w:rPr>
            <w:noProof/>
            <w:webHidden/>
          </w:rPr>
          <w:t>14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74" w:history="1">
        <w:r w:rsidR="00E6043D" w:rsidRPr="00F86057">
          <w:rPr>
            <w:rStyle w:val="Hyperlink"/>
            <w:noProof/>
          </w:rPr>
          <w:t xml:space="preserve">Table 5. </w:t>
        </w:r>
        <w:r w:rsidR="00E6043D" w:rsidRPr="00F86057">
          <w:rPr>
            <w:rStyle w:val="Hyperlink"/>
            <w:rFonts w:cs="Arial"/>
            <w:i/>
            <w:noProof/>
          </w:rPr>
          <w:t>Scoring threshold table to determine seagrass abundance status.</w:t>
        </w:r>
        <w:r w:rsidR="00E6043D">
          <w:rPr>
            <w:noProof/>
            <w:webHidden/>
          </w:rPr>
          <w:tab/>
        </w:r>
        <w:r w:rsidR="00E6043D">
          <w:rPr>
            <w:noProof/>
            <w:webHidden/>
          </w:rPr>
          <w:fldChar w:fldCharType="begin"/>
        </w:r>
        <w:r w:rsidR="00E6043D">
          <w:rPr>
            <w:noProof/>
            <w:webHidden/>
          </w:rPr>
          <w:instrText xml:space="preserve"> PAGEREF _Toc462685074 \h </w:instrText>
        </w:r>
        <w:r w:rsidR="00E6043D">
          <w:rPr>
            <w:noProof/>
            <w:webHidden/>
          </w:rPr>
        </w:r>
        <w:r w:rsidR="00E6043D">
          <w:rPr>
            <w:noProof/>
            <w:webHidden/>
          </w:rPr>
          <w:fldChar w:fldCharType="separate"/>
        </w:r>
        <w:r w:rsidR="00E6043D">
          <w:rPr>
            <w:noProof/>
            <w:webHidden/>
          </w:rPr>
          <w:t>18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75" w:history="1">
        <w:r w:rsidR="00E6043D" w:rsidRPr="00F86057">
          <w:rPr>
            <w:rStyle w:val="Hyperlink"/>
            <w:noProof/>
          </w:rPr>
          <w:t xml:space="preserve">Table 6. </w:t>
        </w:r>
        <w:r w:rsidR="00E6043D" w:rsidRPr="00F86057">
          <w:rPr>
            <w:rStyle w:val="Hyperlink"/>
            <w:rFonts w:cs="Arial"/>
            <w:i/>
            <w:noProof/>
          </w:rPr>
          <w:t xml:space="preserve">Scores for </w:t>
        </w:r>
        <w:r w:rsidR="00E6043D" w:rsidRPr="00F86057">
          <w:rPr>
            <w:rStyle w:val="Hyperlink"/>
            <w:i/>
            <w:iCs/>
            <w:noProof/>
            <w:lang w:eastAsia="en-AU"/>
          </w:rPr>
          <w:t xml:space="preserve">late dry </w:t>
        </w:r>
        <w:r w:rsidR="00E6043D" w:rsidRPr="00F86057">
          <w:rPr>
            <w:rStyle w:val="Hyperlink"/>
            <w:rFonts w:cs="Arial"/>
            <w:i/>
            <w:noProof/>
          </w:rPr>
          <w:t xml:space="preserve">monitoring period reproductive effort average against long-term (2005-2010) GBR habitat average. </w:t>
        </w:r>
        <w:r w:rsidR="00E6043D" w:rsidRPr="00F86057">
          <w:rPr>
            <w:rStyle w:val="Hyperlink"/>
            <w:i/>
            <w:noProof/>
          </w:rPr>
          <w:t>NB: scores are unitless.</w:t>
        </w:r>
        <w:r w:rsidR="00E6043D">
          <w:rPr>
            <w:noProof/>
            <w:webHidden/>
          </w:rPr>
          <w:tab/>
        </w:r>
        <w:r w:rsidR="00E6043D">
          <w:rPr>
            <w:noProof/>
            <w:webHidden/>
          </w:rPr>
          <w:fldChar w:fldCharType="begin"/>
        </w:r>
        <w:r w:rsidR="00E6043D">
          <w:rPr>
            <w:noProof/>
            <w:webHidden/>
          </w:rPr>
          <w:instrText xml:space="preserve"> PAGEREF _Toc462685075 \h </w:instrText>
        </w:r>
        <w:r w:rsidR="00E6043D">
          <w:rPr>
            <w:noProof/>
            <w:webHidden/>
          </w:rPr>
        </w:r>
        <w:r w:rsidR="00E6043D">
          <w:rPr>
            <w:noProof/>
            <w:webHidden/>
          </w:rPr>
          <w:fldChar w:fldCharType="separate"/>
        </w:r>
        <w:r w:rsidR="00E6043D">
          <w:rPr>
            <w:noProof/>
            <w:webHidden/>
          </w:rPr>
          <w:t>18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76" w:history="1">
        <w:r w:rsidR="00E6043D" w:rsidRPr="00F86057">
          <w:rPr>
            <w:rStyle w:val="Hyperlink"/>
            <w:noProof/>
          </w:rPr>
          <w:t xml:space="preserve">Table 7. </w:t>
        </w:r>
        <w:r w:rsidR="00E6043D" w:rsidRPr="00F86057">
          <w:rPr>
            <w:rStyle w:val="Hyperlink"/>
            <w:rFonts w:cs="Arial"/>
            <w:i/>
            <w:noProof/>
          </w:rPr>
          <w:t>Scores for leaf tissue C:N against guideline to determine light and nutrient availability.</w:t>
        </w:r>
        <w:r w:rsidR="00E6043D" w:rsidRPr="00F86057">
          <w:rPr>
            <w:rStyle w:val="Hyperlink"/>
            <w:i/>
            <w:noProof/>
          </w:rPr>
          <w:t xml:space="preserve"> NB: scores are unitless.</w:t>
        </w:r>
        <w:r w:rsidR="00E6043D">
          <w:rPr>
            <w:noProof/>
            <w:webHidden/>
          </w:rPr>
          <w:tab/>
        </w:r>
        <w:r w:rsidR="00E6043D">
          <w:rPr>
            <w:noProof/>
            <w:webHidden/>
          </w:rPr>
          <w:fldChar w:fldCharType="begin"/>
        </w:r>
        <w:r w:rsidR="00E6043D">
          <w:rPr>
            <w:noProof/>
            <w:webHidden/>
          </w:rPr>
          <w:instrText xml:space="preserve"> PAGEREF _Toc462685076 \h </w:instrText>
        </w:r>
        <w:r w:rsidR="00E6043D">
          <w:rPr>
            <w:noProof/>
            <w:webHidden/>
          </w:rPr>
        </w:r>
        <w:r w:rsidR="00E6043D">
          <w:rPr>
            <w:noProof/>
            <w:webHidden/>
          </w:rPr>
          <w:fldChar w:fldCharType="separate"/>
        </w:r>
        <w:r w:rsidR="00E6043D">
          <w:rPr>
            <w:noProof/>
            <w:webHidden/>
          </w:rPr>
          <w:t>19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77" w:history="1">
        <w:r w:rsidR="00E6043D" w:rsidRPr="00F86057">
          <w:rPr>
            <w:rStyle w:val="Hyperlink"/>
            <w:noProof/>
          </w:rPr>
          <w:t xml:space="preserve">Table 8. </w:t>
        </w:r>
        <w:r w:rsidR="00E6043D" w:rsidRPr="00F86057">
          <w:rPr>
            <w:rStyle w:val="Hyperlink"/>
            <w:i/>
            <w:noProof/>
          </w:rPr>
          <w:t>Area of seagrass shallower than 15m in each NRM region (from McKenzie, et al. 2010c) within the boundaries of the Great Barrier Reef World Heritage Area.</w:t>
        </w:r>
        <w:r w:rsidR="00E6043D">
          <w:rPr>
            <w:noProof/>
            <w:webHidden/>
          </w:rPr>
          <w:tab/>
        </w:r>
        <w:r w:rsidR="00E6043D">
          <w:rPr>
            <w:noProof/>
            <w:webHidden/>
          </w:rPr>
          <w:fldChar w:fldCharType="begin"/>
        </w:r>
        <w:r w:rsidR="00E6043D">
          <w:rPr>
            <w:noProof/>
            <w:webHidden/>
          </w:rPr>
          <w:instrText xml:space="preserve"> PAGEREF _Toc462685077 \h </w:instrText>
        </w:r>
        <w:r w:rsidR="00E6043D">
          <w:rPr>
            <w:noProof/>
            <w:webHidden/>
          </w:rPr>
        </w:r>
        <w:r w:rsidR="00E6043D">
          <w:rPr>
            <w:noProof/>
            <w:webHidden/>
          </w:rPr>
          <w:fldChar w:fldCharType="separate"/>
        </w:r>
        <w:r w:rsidR="00E6043D">
          <w:rPr>
            <w:noProof/>
            <w:webHidden/>
          </w:rPr>
          <w:t>19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78" w:history="1">
        <w:r w:rsidR="00E6043D" w:rsidRPr="00F86057">
          <w:rPr>
            <w:rStyle w:val="Hyperlink"/>
            <w:noProof/>
          </w:rPr>
          <w:t xml:space="preserve">Table 9. </w:t>
        </w:r>
        <w:r w:rsidR="00E6043D" w:rsidRPr="00F86057">
          <w:rPr>
            <w:rStyle w:val="Hyperlink"/>
            <w:i/>
            <w:noProof/>
          </w:rPr>
          <w:t>Summary of environmental conditions at monitoring sites across the GBR in 2014-15 compared to the long-term average (range indicated for each data set). Regional and habitat-specific levels are provided in later sections. *intertidal only.</w:t>
        </w:r>
        <w:r w:rsidR="00E6043D" w:rsidRPr="00F86057">
          <w:rPr>
            <w:rStyle w:val="Hyperlink"/>
            <w:noProof/>
            <w:vertAlign w:val="superscript"/>
          </w:rPr>
          <w:t xml:space="preserve"> </w:t>
        </w:r>
        <w:r w:rsidR="00E6043D" w:rsidRPr="00F86057">
          <w:rPr>
            <w:rStyle w:val="Hyperlink"/>
            <w:noProof/>
            <w:sz w:val="20"/>
            <w:vertAlign w:val="superscript"/>
          </w:rPr>
          <w:sym w:font="Wingdings 2" w:char="F085"/>
        </w:r>
        <w:r w:rsidR="00E6043D" w:rsidRPr="00F86057">
          <w:rPr>
            <w:rStyle w:val="Hyperlink"/>
            <w:noProof/>
          </w:rPr>
          <w:t>1969-1997</w:t>
        </w:r>
        <w:r w:rsidR="00E6043D">
          <w:rPr>
            <w:noProof/>
            <w:webHidden/>
          </w:rPr>
          <w:tab/>
        </w:r>
        <w:r w:rsidR="00E6043D">
          <w:rPr>
            <w:noProof/>
            <w:webHidden/>
          </w:rPr>
          <w:fldChar w:fldCharType="begin"/>
        </w:r>
        <w:r w:rsidR="00E6043D">
          <w:rPr>
            <w:noProof/>
            <w:webHidden/>
          </w:rPr>
          <w:instrText xml:space="preserve"> PAGEREF _Toc462685078 \h </w:instrText>
        </w:r>
        <w:r w:rsidR="00E6043D">
          <w:rPr>
            <w:noProof/>
            <w:webHidden/>
          </w:rPr>
        </w:r>
        <w:r w:rsidR="00E6043D">
          <w:rPr>
            <w:noProof/>
            <w:webHidden/>
          </w:rPr>
          <w:fldChar w:fldCharType="separate"/>
        </w:r>
        <w:r w:rsidR="00E6043D">
          <w:rPr>
            <w:noProof/>
            <w:webHidden/>
          </w:rPr>
          <w:t>23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79" w:history="1">
        <w:r w:rsidR="00E6043D" w:rsidRPr="00F86057">
          <w:rPr>
            <w:rStyle w:val="Hyperlink"/>
            <w:noProof/>
          </w:rPr>
          <w:t xml:space="preserve">Table 10. </w:t>
        </w:r>
        <w:r w:rsidR="00E6043D" w:rsidRPr="00F86057">
          <w:rPr>
            <w:rStyle w:val="Hyperlink"/>
            <w:i/>
            <w:noProof/>
          </w:rPr>
          <w:t>Long term annual discharge (in megalitres) for the major GBR catchment rivers in proximity to the inshore seagrass monitoring sites (where data available) for the 2014-15 wet season</w:t>
        </w:r>
        <w:r w:rsidR="00E6043D">
          <w:rPr>
            <w:noProof/>
            <w:webHidden/>
          </w:rPr>
          <w:tab/>
        </w:r>
        <w:r w:rsidR="00E6043D">
          <w:rPr>
            <w:noProof/>
            <w:webHidden/>
          </w:rPr>
          <w:fldChar w:fldCharType="begin"/>
        </w:r>
        <w:r w:rsidR="00E6043D">
          <w:rPr>
            <w:noProof/>
            <w:webHidden/>
          </w:rPr>
          <w:instrText xml:space="preserve"> PAGEREF _Toc462685079 \h </w:instrText>
        </w:r>
        <w:r w:rsidR="00E6043D">
          <w:rPr>
            <w:noProof/>
            <w:webHidden/>
          </w:rPr>
        </w:r>
        <w:r w:rsidR="00E6043D">
          <w:rPr>
            <w:noProof/>
            <w:webHidden/>
          </w:rPr>
          <w:fldChar w:fldCharType="separate"/>
        </w:r>
        <w:r w:rsidR="00E6043D">
          <w:rPr>
            <w:noProof/>
            <w:webHidden/>
          </w:rPr>
          <w:t>24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0" w:history="1">
        <w:r w:rsidR="00E6043D" w:rsidRPr="00F86057">
          <w:rPr>
            <w:rStyle w:val="Hyperlink"/>
            <w:noProof/>
          </w:rPr>
          <w:t xml:space="preserve">Table 11. </w:t>
        </w:r>
        <w:r w:rsidR="00E6043D" w:rsidRPr="00F86057">
          <w:rPr>
            <w:rStyle w:val="Hyperlink"/>
            <w:i/>
            <w:noProof/>
          </w:rPr>
          <w:t>Long-term average ( ±SE) sediment composition for each seagrass habitat (pooled across regions and time) monitoring within the GBR (1999-2015)</w:t>
        </w:r>
        <w:r w:rsidR="00E6043D">
          <w:rPr>
            <w:noProof/>
            <w:webHidden/>
          </w:rPr>
          <w:tab/>
        </w:r>
        <w:r w:rsidR="00E6043D">
          <w:rPr>
            <w:noProof/>
            <w:webHidden/>
          </w:rPr>
          <w:fldChar w:fldCharType="begin"/>
        </w:r>
        <w:r w:rsidR="00E6043D">
          <w:rPr>
            <w:noProof/>
            <w:webHidden/>
          </w:rPr>
          <w:instrText xml:space="preserve"> PAGEREF _Toc462685080 \h </w:instrText>
        </w:r>
        <w:r w:rsidR="00E6043D">
          <w:rPr>
            <w:noProof/>
            <w:webHidden/>
          </w:rPr>
        </w:r>
        <w:r w:rsidR="00E6043D">
          <w:rPr>
            <w:noProof/>
            <w:webHidden/>
          </w:rPr>
          <w:fldChar w:fldCharType="separate"/>
        </w:r>
        <w:r w:rsidR="00E6043D">
          <w:rPr>
            <w:noProof/>
            <w:webHidden/>
          </w:rPr>
          <w:t>37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1" w:history="1">
        <w:r w:rsidR="00E6043D" w:rsidRPr="00F86057">
          <w:rPr>
            <w:rStyle w:val="Hyperlink"/>
            <w:noProof/>
          </w:rPr>
          <w:t xml:space="preserve">Table 12.  </w:t>
        </w:r>
        <w:r w:rsidR="00E6043D" w:rsidRPr="00F86057">
          <w:rPr>
            <w:rStyle w:val="Hyperlink"/>
            <w:i/>
            <w:noProof/>
          </w:rPr>
          <w:t>Summary of environmental conditions at monitoring sites in Cape York region in 2014-15 compared to the long-term average (long-term range indicated for each data set).</w:t>
        </w:r>
        <w:r w:rsidR="00E6043D">
          <w:rPr>
            <w:noProof/>
            <w:webHidden/>
          </w:rPr>
          <w:tab/>
        </w:r>
        <w:r w:rsidR="00E6043D">
          <w:rPr>
            <w:noProof/>
            <w:webHidden/>
          </w:rPr>
          <w:fldChar w:fldCharType="begin"/>
        </w:r>
        <w:r w:rsidR="00E6043D">
          <w:rPr>
            <w:noProof/>
            <w:webHidden/>
          </w:rPr>
          <w:instrText xml:space="preserve"> PAGEREF _Toc462685081 \h </w:instrText>
        </w:r>
        <w:r w:rsidR="00E6043D">
          <w:rPr>
            <w:noProof/>
            <w:webHidden/>
          </w:rPr>
        </w:r>
        <w:r w:rsidR="00E6043D">
          <w:rPr>
            <w:noProof/>
            <w:webHidden/>
          </w:rPr>
          <w:fldChar w:fldCharType="separate"/>
        </w:r>
        <w:r w:rsidR="00E6043D">
          <w:rPr>
            <w:noProof/>
            <w:webHidden/>
          </w:rPr>
          <w:t>41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2" w:history="1">
        <w:r w:rsidR="00E6043D" w:rsidRPr="00F86057">
          <w:rPr>
            <w:rStyle w:val="Hyperlink"/>
            <w:noProof/>
          </w:rPr>
          <w:t xml:space="preserve">Table 13.  </w:t>
        </w:r>
        <w:r w:rsidR="00E6043D" w:rsidRPr="00F86057">
          <w:rPr>
            <w:rStyle w:val="Hyperlink"/>
            <w:i/>
            <w:noProof/>
          </w:rPr>
          <w:t>Water type at each site (Loc) derived from MODIS true colour images</w:t>
        </w:r>
        <w:r w:rsidR="00E6043D">
          <w:rPr>
            <w:noProof/>
            <w:webHidden/>
          </w:rPr>
          <w:tab/>
        </w:r>
        <w:r w:rsidR="00E6043D">
          <w:rPr>
            <w:noProof/>
            <w:webHidden/>
          </w:rPr>
          <w:fldChar w:fldCharType="begin"/>
        </w:r>
        <w:r w:rsidR="00E6043D">
          <w:rPr>
            <w:noProof/>
            <w:webHidden/>
          </w:rPr>
          <w:instrText xml:space="preserve"> PAGEREF _Toc462685082 \h </w:instrText>
        </w:r>
        <w:r w:rsidR="00E6043D">
          <w:rPr>
            <w:noProof/>
            <w:webHidden/>
          </w:rPr>
        </w:r>
        <w:r w:rsidR="00E6043D">
          <w:rPr>
            <w:noProof/>
            <w:webHidden/>
          </w:rPr>
          <w:fldChar w:fldCharType="separate"/>
        </w:r>
        <w:r w:rsidR="00E6043D">
          <w:rPr>
            <w:noProof/>
            <w:webHidden/>
          </w:rPr>
          <w:t>41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3" w:history="1">
        <w:r w:rsidR="00E6043D" w:rsidRPr="00F86057">
          <w:rPr>
            <w:rStyle w:val="Hyperlink"/>
            <w:noProof/>
          </w:rPr>
          <w:t xml:space="preserve">Table 14. </w:t>
        </w:r>
        <w:r w:rsidR="00E6043D" w:rsidRPr="00F86057">
          <w:rPr>
            <w:rStyle w:val="Hyperlink"/>
            <w:i/>
            <w:noProof/>
          </w:rPr>
          <w:t>Long-term report card scores for seagrass abundance, reproductive and leaf tissue nutrient status for each habitat in the Cape York NRM region: June 2005 – May 2015.</w:t>
        </w:r>
        <w:r w:rsidR="00E6043D">
          <w:rPr>
            <w:noProof/>
            <w:webHidden/>
          </w:rPr>
          <w:tab/>
        </w:r>
        <w:r w:rsidR="00E6043D">
          <w:rPr>
            <w:noProof/>
            <w:webHidden/>
          </w:rPr>
          <w:fldChar w:fldCharType="begin"/>
        </w:r>
        <w:r w:rsidR="00E6043D">
          <w:rPr>
            <w:noProof/>
            <w:webHidden/>
          </w:rPr>
          <w:instrText xml:space="preserve"> PAGEREF _Toc462685083 \h </w:instrText>
        </w:r>
        <w:r w:rsidR="00E6043D">
          <w:rPr>
            <w:noProof/>
            <w:webHidden/>
          </w:rPr>
        </w:r>
        <w:r w:rsidR="00E6043D">
          <w:rPr>
            <w:noProof/>
            <w:webHidden/>
          </w:rPr>
          <w:fldChar w:fldCharType="separate"/>
        </w:r>
        <w:r w:rsidR="00E6043D">
          <w:rPr>
            <w:noProof/>
            <w:webHidden/>
          </w:rPr>
          <w:t>48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4" w:history="1">
        <w:r w:rsidR="00E6043D" w:rsidRPr="00F86057">
          <w:rPr>
            <w:rStyle w:val="Hyperlink"/>
            <w:noProof/>
          </w:rPr>
          <w:t xml:space="preserve">Table 15.  </w:t>
        </w:r>
        <w:r w:rsidR="00E6043D" w:rsidRPr="00F86057">
          <w:rPr>
            <w:rStyle w:val="Hyperlink"/>
            <w:i/>
            <w:noProof/>
          </w:rPr>
          <w:t>Summary of environmental conditions at monitoring sites in the Wet Tropics region in 2014-15 compared to the long-term average (long-term range indicated for each data set).</w:t>
        </w:r>
        <w:r w:rsidR="00E6043D">
          <w:rPr>
            <w:noProof/>
            <w:webHidden/>
          </w:rPr>
          <w:tab/>
        </w:r>
        <w:r w:rsidR="00E6043D">
          <w:rPr>
            <w:noProof/>
            <w:webHidden/>
          </w:rPr>
          <w:fldChar w:fldCharType="begin"/>
        </w:r>
        <w:r w:rsidR="00E6043D">
          <w:rPr>
            <w:noProof/>
            <w:webHidden/>
          </w:rPr>
          <w:instrText xml:space="preserve"> PAGEREF _Toc462685084 \h </w:instrText>
        </w:r>
        <w:r w:rsidR="00E6043D">
          <w:rPr>
            <w:noProof/>
            <w:webHidden/>
          </w:rPr>
        </w:r>
        <w:r w:rsidR="00E6043D">
          <w:rPr>
            <w:noProof/>
            <w:webHidden/>
          </w:rPr>
          <w:fldChar w:fldCharType="separate"/>
        </w:r>
        <w:r w:rsidR="00E6043D">
          <w:rPr>
            <w:noProof/>
            <w:webHidden/>
          </w:rPr>
          <w:t>50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5" w:history="1">
        <w:r w:rsidR="00E6043D" w:rsidRPr="00F86057">
          <w:rPr>
            <w:rStyle w:val="Hyperlink"/>
            <w:noProof/>
          </w:rPr>
          <w:t xml:space="preserve">Table 16.  </w:t>
        </w:r>
        <w:r w:rsidR="00E6043D" w:rsidRPr="00F86057">
          <w:rPr>
            <w:rStyle w:val="Hyperlink"/>
            <w:i/>
            <w:noProof/>
          </w:rPr>
          <w:t>Water type at each location (Loc) in the Wet Tropics region derived from MODIS true colour images</w:t>
        </w:r>
        <w:r w:rsidR="00E6043D">
          <w:rPr>
            <w:noProof/>
            <w:webHidden/>
          </w:rPr>
          <w:tab/>
        </w:r>
        <w:r w:rsidR="00E6043D">
          <w:rPr>
            <w:noProof/>
            <w:webHidden/>
          </w:rPr>
          <w:fldChar w:fldCharType="begin"/>
        </w:r>
        <w:r w:rsidR="00E6043D">
          <w:rPr>
            <w:noProof/>
            <w:webHidden/>
          </w:rPr>
          <w:instrText xml:space="preserve"> PAGEREF _Toc462685085 \h </w:instrText>
        </w:r>
        <w:r w:rsidR="00E6043D">
          <w:rPr>
            <w:noProof/>
            <w:webHidden/>
          </w:rPr>
        </w:r>
        <w:r w:rsidR="00E6043D">
          <w:rPr>
            <w:noProof/>
            <w:webHidden/>
          </w:rPr>
          <w:fldChar w:fldCharType="separate"/>
        </w:r>
        <w:r w:rsidR="00E6043D">
          <w:rPr>
            <w:noProof/>
            <w:webHidden/>
          </w:rPr>
          <w:t>50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6" w:history="1">
        <w:r w:rsidR="00E6043D" w:rsidRPr="00F86057">
          <w:rPr>
            <w:rStyle w:val="Hyperlink"/>
            <w:noProof/>
          </w:rPr>
          <w:t xml:space="preserve">Table 17.  </w:t>
        </w:r>
        <w:r w:rsidR="00E6043D" w:rsidRPr="00F86057">
          <w:rPr>
            <w:rStyle w:val="Hyperlink"/>
            <w:i/>
            <w:noProof/>
          </w:rPr>
          <w:t>Long-term report card scores for seagrass abundance, reproductive and leaf tissue nutrient status for each habitat in the Wet Tropics NRM region: June 2005 – May 2015.</w:t>
        </w:r>
        <w:r w:rsidR="00E6043D">
          <w:rPr>
            <w:noProof/>
            <w:webHidden/>
          </w:rPr>
          <w:tab/>
        </w:r>
        <w:r w:rsidR="00E6043D">
          <w:rPr>
            <w:noProof/>
            <w:webHidden/>
          </w:rPr>
          <w:fldChar w:fldCharType="begin"/>
        </w:r>
        <w:r w:rsidR="00E6043D">
          <w:rPr>
            <w:noProof/>
            <w:webHidden/>
          </w:rPr>
          <w:instrText xml:space="preserve"> PAGEREF _Toc462685086 \h </w:instrText>
        </w:r>
        <w:r w:rsidR="00E6043D">
          <w:rPr>
            <w:noProof/>
            <w:webHidden/>
          </w:rPr>
        </w:r>
        <w:r w:rsidR="00E6043D">
          <w:rPr>
            <w:noProof/>
            <w:webHidden/>
          </w:rPr>
          <w:fldChar w:fldCharType="separate"/>
        </w:r>
        <w:r w:rsidR="00E6043D">
          <w:rPr>
            <w:noProof/>
            <w:webHidden/>
          </w:rPr>
          <w:t>58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7" w:history="1">
        <w:r w:rsidR="00E6043D" w:rsidRPr="00F86057">
          <w:rPr>
            <w:rStyle w:val="Hyperlink"/>
            <w:noProof/>
          </w:rPr>
          <w:t xml:space="preserve">Table 18.  </w:t>
        </w:r>
        <w:r w:rsidR="00E6043D" w:rsidRPr="00F86057">
          <w:rPr>
            <w:rStyle w:val="Hyperlink"/>
            <w:i/>
            <w:noProof/>
          </w:rPr>
          <w:t>Summary of environmental conditions at monitoring sites in the Burdekin in 2014-15 compared to the long-term average (long-term range indicated for each data set) including climate, discharge, plume, and within seagrass canopy conditions.</w:t>
        </w:r>
        <w:r w:rsidR="00E6043D">
          <w:rPr>
            <w:noProof/>
            <w:webHidden/>
          </w:rPr>
          <w:tab/>
        </w:r>
        <w:r w:rsidR="00E6043D">
          <w:rPr>
            <w:noProof/>
            <w:webHidden/>
          </w:rPr>
          <w:fldChar w:fldCharType="begin"/>
        </w:r>
        <w:r w:rsidR="00E6043D">
          <w:rPr>
            <w:noProof/>
            <w:webHidden/>
          </w:rPr>
          <w:instrText xml:space="preserve"> PAGEREF _Toc462685087 \h </w:instrText>
        </w:r>
        <w:r w:rsidR="00E6043D">
          <w:rPr>
            <w:noProof/>
            <w:webHidden/>
          </w:rPr>
        </w:r>
        <w:r w:rsidR="00E6043D">
          <w:rPr>
            <w:noProof/>
            <w:webHidden/>
          </w:rPr>
          <w:fldChar w:fldCharType="separate"/>
        </w:r>
        <w:r w:rsidR="00E6043D">
          <w:rPr>
            <w:noProof/>
            <w:webHidden/>
          </w:rPr>
          <w:t>60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8" w:history="1">
        <w:r w:rsidR="00E6043D" w:rsidRPr="00F86057">
          <w:rPr>
            <w:rStyle w:val="Hyperlink"/>
            <w:noProof/>
          </w:rPr>
          <w:t xml:space="preserve">Table 19.  </w:t>
        </w:r>
        <w:r w:rsidR="00E6043D" w:rsidRPr="00F86057">
          <w:rPr>
            <w:rStyle w:val="Hyperlink"/>
            <w:i/>
            <w:noProof/>
          </w:rPr>
          <w:t>Water type at each seagrass monitoring site in the Burdekin NRM region, derived from MODIS true colour images</w:t>
        </w:r>
        <w:r w:rsidR="00E6043D">
          <w:rPr>
            <w:noProof/>
            <w:webHidden/>
          </w:rPr>
          <w:tab/>
        </w:r>
        <w:r w:rsidR="00E6043D">
          <w:rPr>
            <w:noProof/>
            <w:webHidden/>
          </w:rPr>
          <w:fldChar w:fldCharType="begin"/>
        </w:r>
        <w:r w:rsidR="00E6043D">
          <w:rPr>
            <w:noProof/>
            <w:webHidden/>
          </w:rPr>
          <w:instrText xml:space="preserve"> PAGEREF _Toc462685088 \h </w:instrText>
        </w:r>
        <w:r w:rsidR="00E6043D">
          <w:rPr>
            <w:noProof/>
            <w:webHidden/>
          </w:rPr>
        </w:r>
        <w:r w:rsidR="00E6043D">
          <w:rPr>
            <w:noProof/>
            <w:webHidden/>
          </w:rPr>
          <w:fldChar w:fldCharType="separate"/>
        </w:r>
        <w:r w:rsidR="00E6043D">
          <w:rPr>
            <w:noProof/>
            <w:webHidden/>
          </w:rPr>
          <w:t>61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89" w:history="1">
        <w:r w:rsidR="00E6043D" w:rsidRPr="00F86057">
          <w:rPr>
            <w:rStyle w:val="Hyperlink"/>
            <w:noProof/>
          </w:rPr>
          <w:t xml:space="preserve">Table 20. </w:t>
        </w:r>
        <w:r w:rsidR="00E6043D" w:rsidRPr="00F86057">
          <w:rPr>
            <w:rStyle w:val="Hyperlink"/>
            <w:i/>
            <w:noProof/>
          </w:rPr>
          <w:t>Long-term report card scores for seagrass abundance, reproductive and leaf tissue nutrient status for each habitat in the Burdekin region: June 2005 – May 2015.</w:t>
        </w:r>
        <w:r w:rsidR="00E6043D">
          <w:rPr>
            <w:noProof/>
            <w:webHidden/>
          </w:rPr>
          <w:tab/>
        </w:r>
        <w:r w:rsidR="00E6043D">
          <w:rPr>
            <w:noProof/>
            <w:webHidden/>
          </w:rPr>
          <w:fldChar w:fldCharType="begin"/>
        </w:r>
        <w:r w:rsidR="00E6043D">
          <w:rPr>
            <w:noProof/>
            <w:webHidden/>
          </w:rPr>
          <w:instrText xml:space="preserve"> PAGEREF _Toc462685089 \h </w:instrText>
        </w:r>
        <w:r w:rsidR="00E6043D">
          <w:rPr>
            <w:noProof/>
            <w:webHidden/>
          </w:rPr>
        </w:r>
        <w:r w:rsidR="00E6043D">
          <w:rPr>
            <w:noProof/>
            <w:webHidden/>
          </w:rPr>
          <w:fldChar w:fldCharType="separate"/>
        </w:r>
        <w:r w:rsidR="00E6043D">
          <w:rPr>
            <w:noProof/>
            <w:webHidden/>
          </w:rPr>
          <w:t>68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0" w:history="1">
        <w:r w:rsidR="00E6043D" w:rsidRPr="00F86057">
          <w:rPr>
            <w:rStyle w:val="Hyperlink"/>
            <w:noProof/>
          </w:rPr>
          <w:t xml:space="preserve">Table 21. </w:t>
        </w:r>
        <w:r w:rsidR="00E6043D" w:rsidRPr="00F86057">
          <w:rPr>
            <w:rStyle w:val="Hyperlink"/>
            <w:i/>
            <w:noProof/>
          </w:rPr>
          <w:t>Summary of environmental conditions at monitoring sites in Mackay Whitsunday region in 2014-15 compared to the long-term average (long-term range indicated for each data set).</w:t>
        </w:r>
        <w:r w:rsidR="00E6043D">
          <w:rPr>
            <w:noProof/>
            <w:webHidden/>
          </w:rPr>
          <w:tab/>
        </w:r>
        <w:r w:rsidR="00E6043D">
          <w:rPr>
            <w:noProof/>
            <w:webHidden/>
          </w:rPr>
          <w:fldChar w:fldCharType="begin"/>
        </w:r>
        <w:r w:rsidR="00E6043D">
          <w:rPr>
            <w:noProof/>
            <w:webHidden/>
          </w:rPr>
          <w:instrText xml:space="preserve"> PAGEREF _Toc462685090 \h </w:instrText>
        </w:r>
        <w:r w:rsidR="00E6043D">
          <w:rPr>
            <w:noProof/>
            <w:webHidden/>
          </w:rPr>
        </w:r>
        <w:r w:rsidR="00E6043D">
          <w:rPr>
            <w:noProof/>
            <w:webHidden/>
          </w:rPr>
          <w:fldChar w:fldCharType="separate"/>
        </w:r>
        <w:r w:rsidR="00E6043D">
          <w:rPr>
            <w:noProof/>
            <w:webHidden/>
          </w:rPr>
          <w:t>70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1" w:history="1">
        <w:r w:rsidR="00E6043D" w:rsidRPr="00F86057">
          <w:rPr>
            <w:rStyle w:val="Hyperlink"/>
            <w:noProof/>
          </w:rPr>
          <w:t>Table 22</w:t>
        </w:r>
        <w:r w:rsidR="00E6043D" w:rsidRPr="00F86057">
          <w:rPr>
            <w:rStyle w:val="Hyperlink"/>
            <w:i/>
            <w:noProof/>
          </w:rPr>
          <w:t>. Water type at each location in the Mackay Whitsunday region derived from MODIS true colour images</w:t>
        </w:r>
        <w:r w:rsidR="00E6043D">
          <w:rPr>
            <w:noProof/>
            <w:webHidden/>
          </w:rPr>
          <w:tab/>
        </w:r>
        <w:r w:rsidR="00E6043D">
          <w:rPr>
            <w:noProof/>
            <w:webHidden/>
          </w:rPr>
          <w:fldChar w:fldCharType="begin"/>
        </w:r>
        <w:r w:rsidR="00E6043D">
          <w:rPr>
            <w:noProof/>
            <w:webHidden/>
          </w:rPr>
          <w:instrText xml:space="preserve"> PAGEREF _Toc462685091 \h </w:instrText>
        </w:r>
        <w:r w:rsidR="00E6043D">
          <w:rPr>
            <w:noProof/>
            <w:webHidden/>
          </w:rPr>
        </w:r>
        <w:r w:rsidR="00E6043D">
          <w:rPr>
            <w:noProof/>
            <w:webHidden/>
          </w:rPr>
          <w:fldChar w:fldCharType="separate"/>
        </w:r>
        <w:r w:rsidR="00E6043D">
          <w:rPr>
            <w:noProof/>
            <w:webHidden/>
          </w:rPr>
          <w:t>70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2" w:history="1">
        <w:r w:rsidR="00E6043D" w:rsidRPr="00F86057">
          <w:rPr>
            <w:rStyle w:val="Hyperlink"/>
            <w:noProof/>
          </w:rPr>
          <w:t xml:space="preserve">Table 23. </w:t>
        </w:r>
        <w:r w:rsidR="00E6043D" w:rsidRPr="00F86057">
          <w:rPr>
            <w:rStyle w:val="Hyperlink"/>
            <w:i/>
            <w:noProof/>
          </w:rPr>
          <w:t>Long-term report card scores for seagrass abundance, reproductive and leaf tissue nutrient status for each habitat in the Mackay Whitsunday region: June 2005 – May 2015.</w:t>
        </w:r>
        <w:r w:rsidR="00E6043D">
          <w:rPr>
            <w:noProof/>
            <w:webHidden/>
          </w:rPr>
          <w:tab/>
        </w:r>
        <w:r w:rsidR="00E6043D">
          <w:rPr>
            <w:noProof/>
            <w:webHidden/>
          </w:rPr>
          <w:fldChar w:fldCharType="begin"/>
        </w:r>
        <w:r w:rsidR="00E6043D">
          <w:rPr>
            <w:noProof/>
            <w:webHidden/>
          </w:rPr>
          <w:instrText xml:space="preserve"> PAGEREF _Toc462685092 \h </w:instrText>
        </w:r>
        <w:r w:rsidR="00E6043D">
          <w:rPr>
            <w:noProof/>
            <w:webHidden/>
          </w:rPr>
        </w:r>
        <w:r w:rsidR="00E6043D">
          <w:rPr>
            <w:noProof/>
            <w:webHidden/>
          </w:rPr>
          <w:fldChar w:fldCharType="separate"/>
        </w:r>
        <w:r w:rsidR="00E6043D">
          <w:rPr>
            <w:noProof/>
            <w:webHidden/>
          </w:rPr>
          <w:t>77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3" w:history="1">
        <w:r w:rsidR="00E6043D" w:rsidRPr="00F86057">
          <w:rPr>
            <w:rStyle w:val="Hyperlink"/>
            <w:noProof/>
          </w:rPr>
          <w:t xml:space="preserve">Table 24.  </w:t>
        </w:r>
        <w:r w:rsidR="00E6043D" w:rsidRPr="00F86057">
          <w:rPr>
            <w:rStyle w:val="Hyperlink"/>
            <w:i/>
            <w:noProof/>
          </w:rPr>
          <w:t>Summary of environmental conditions at monitoring sites in the Fitzroy region in 2014-15 compared to the long-term average (long-term range indicated for each data set).</w:t>
        </w:r>
        <w:r w:rsidR="00E6043D">
          <w:rPr>
            <w:noProof/>
            <w:webHidden/>
          </w:rPr>
          <w:tab/>
        </w:r>
        <w:r w:rsidR="00E6043D">
          <w:rPr>
            <w:noProof/>
            <w:webHidden/>
          </w:rPr>
          <w:fldChar w:fldCharType="begin"/>
        </w:r>
        <w:r w:rsidR="00E6043D">
          <w:rPr>
            <w:noProof/>
            <w:webHidden/>
          </w:rPr>
          <w:instrText xml:space="preserve"> PAGEREF _Toc462685093 \h </w:instrText>
        </w:r>
        <w:r w:rsidR="00E6043D">
          <w:rPr>
            <w:noProof/>
            <w:webHidden/>
          </w:rPr>
        </w:r>
        <w:r w:rsidR="00E6043D">
          <w:rPr>
            <w:noProof/>
            <w:webHidden/>
          </w:rPr>
          <w:fldChar w:fldCharType="separate"/>
        </w:r>
        <w:r w:rsidR="00E6043D">
          <w:rPr>
            <w:noProof/>
            <w:webHidden/>
          </w:rPr>
          <w:t>79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4" w:history="1">
        <w:r w:rsidR="00E6043D" w:rsidRPr="00F86057">
          <w:rPr>
            <w:rStyle w:val="Hyperlink"/>
            <w:noProof/>
          </w:rPr>
          <w:t>Table 25</w:t>
        </w:r>
        <w:r w:rsidR="00E6043D" w:rsidRPr="00F86057">
          <w:rPr>
            <w:rStyle w:val="Hyperlink"/>
            <w:i/>
            <w:noProof/>
          </w:rPr>
          <w:t>. Water type at each site (Loc) in the Fitzroy region derived from MODIS true colour images</w:t>
        </w:r>
        <w:r w:rsidR="00E6043D">
          <w:rPr>
            <w:noProof/>
            <w:webHidden/>
          </w:rPr>
          <w:tab/>
        </w:r>
        <w:r w:rsidR="00E6043D">
          <w:rPr>
            <w:noProof/>
            <w:webHidden/>
          </w:rPr>
          <w:fldChar w:fldCharType="begin"/>
        </w:r>
        <w:r w:rsidR="00E6043D">
          <w:rPr>
            <w:noProof/>
            <w:webHidden/>
          </w:rPr>
          <w:instrText xml:space="preserve"> PAGEREF _Toc462685094 \h </w:instrText>
        </w:r>
        <w:r w:rsidR="00E6043D">
          <w:rPr>
            <w:noProof/>
            <w:webHidden/>
          </w:rPr>
        </w:r>
        <w:r w:rsidR="00E6043D">
          <w:rPr>
            <w:noProof/>
            <w:webHidden/>
          </w:rPr>
          <w:fldChar w:fldCharType="separate"/>
        </w:r>
        <w:r w:rsidR="00E6043D">
          <w:rPr>
            <w:noProof/>
            <w:webHidden/>
          </w:rPr>
          <w:t>80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5" w:history="1">
        <w:r w:rsidR="00E6043D" w:rsidRPr="00F86057">
          <w:rPr>
            <w:rStyle w:val="Hyperlink"/>
            <w:noProof/>
          </w:rPr>
          <w:t xml:space="preserve">Table 26. </w:t>
        </w:r>
        <w:r w:rsidR="00E6043D" w:rsidRPr="00F86057">
          <w:rPr>
            <w:rStyle w:val="Hyperlink"/>
            <w:i/>
            <w:noProof/>
          </w:rPr>
          <w:t>Long-term report card scores for seagrass abundance, reproductive and leaf tissue nutrient status for each habitat in the Fitzroy region: June 2005 – May 2015.</w:t>
        </w:r>
        <w:r w:rsidR="00E6043D">
          <w:rPr>
            <w:noProof/>
            <w:webHidden/>
          </w:rPr>
          <w:tab/>
        </w:r>
        <w:r w:rsidR="00E6043D">
          <w:rPr>
            <w:noProof/>
            <w:webHidden/>
          </w:rPr>
          <w:fldChar w:fldCharType="begin"/>
        </w:r>
        <w:r w:rsidR="00E6043D">
          <w:rPr>
            <w:noProof/>
            <w:webHidden/>
          </w:rPr>
          <w:instrText xml:space="preserve"> PAGEREF _Toc462685095 \h </w:instrText>
        </w:r>
        <w:r w:rsidR="00E6043D">
          <w:rPr>
            <w:noProof/>
            <w:webHidden/>
          </w:rPr>
        </w:r>
        <w:r w:rsidR="00E6043D">
          <w:rPr>
            <w:noProof/>
            <w:webHidden/>
          </w:rPr>
          <w:fldChar w:fldCharType="separate"/>
        </w:r>
        <w:r w:rsidR="00E6043D">
          <w:rPr>
            <w:noProof/>
            <w:webHidden/>
          </w:rPr>
          <w:t>86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6" w:history="1">
        <w:r w:rsidR="00E6043D" w:rsidRPr="00F86057">
          <w:rPr>
            <w:rStyle w:val="Hyperlink"/>
            <w:noProof/>
          </w:rPr>
          <w:t xml:space="preserve">Table 27.  </w:t>
        </w:r>
        <w:r w:rsidR="00E6043D" w:rsidRPr="00F86057">
          <w:rPr>
            <w:rStyle w:val="Hyperlink"/>
            <w:i/>
            <w:noProof/>
          </w:rPr>
          <w:t>Summary of environmental conditions at monitoring sites in the Burnett Mary in 2014-15 compared to the long-term average (long-term range indicated for each data set).</w:t>
        </w:r>
        <w:r w:rsidR="00E6043D">
          <w:rPr>
            <w:noProof/>
            <w:webHidden/>
          </w:rPr>
          <w:tab/>
        </w:r>
        <w:r w:rsidR="00E6043D">
          <w:rPr>
            <w:noProof/>
            <w:webHidden/>
          </w:rPr>
          <w:fldChar w:fldCharType="begin"/>
        </w:r>
        <w:r w:rsidR="00E6043D">
          <w:rPr>
            <w:noProof/>
            <w:webHidden/>
          </w:rPr>
          <w:instrText xml:space="preserve"> PAGEREF _Toc462685096 \h </w:instrText>
        </w:r>
        <w:r w:rsidR="00E6043D">
          <w:rPr>
            <w:noProof/>
            <w:webHidden/>
          </w:rPr>
        </w:r>
        <w:r w:rsidR="00E6043D">
          <w:rPr>
            <w:noProof/>
            <w:webHidden/>
          </w:rPr>
          <w:fldChar w:fldCharType="separate"/>
        </w:r>
        <w:r w:rsidR="00E6043D">
          <w:rPr>
            <w:noProof/>
            <w:webHidden/>
          </w:rPr>
          <w:t>88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7" w:history="1">
        <w:r w:rsidR="00E6043D" w:rsidRPr="00F86057">
          <w:rPr>
            <w:rStyle w:val="Hyperlink"/>
            <w:noProof/>
          </w:rPr>
          <w:t>Table 28</w:t>
        </w:r>
        <w:r w:rsidR="00E6043D" w:rsidRPr="00F86057">
          <w:rPr>
            <w:rStyle w:val="Hyperlink"/>
            <w:i/>
            <w:noProof/>
          </w:rPr>
          <w:t>. Water type at each location in the Burnett Mary NRM derived from MODIS true colour images</w:t>
        </w:r>
        <w:r w:rsidR="00E6043D">
          <w:rPr>
            <w:noProof/>
            <w:webHidden/>
          </w:rPr>
          <w:tab/>
        </w:r>
        <w:r w:rsidR="00E6043D">
          <w:rPr>
            <w:noProof/>
            <w:webHidden/>
          </w:rPr>
          <w:fldChar w:fldCharType="begin"/>
        </w:r>
        <w:r w:rsidR="00E6043D">
          <w:rPr>
            <w:noProof/>
            <w:webHidden/>
          </w:rPr>
          <w:instrText xml:space="preserve"> PAGEREF _Toc462685097 \h </w:instrText>
        </w:r>
        <w:r w:rsidR="00E6043D">
          <w:rPr>
            <w:noProof/>
            <w:webHidden/>
          </w:rPr>
        </w:r>
        <w:r w:rsidR="00E6043D">
          <w:rPr>
            <w:noProof/>
            <w:webHidden/>
          </w:rPr>
          <w:fldChar w:fldCharType="separate"/>
        </w:r>
        <w:r w:rsidR="00E6043D">
          <w:rPr>
            <w:noProof/>
            <w:webHidden/>
          </w:rPr>
          <w:t>88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8" w:history="1">
        <w:r w:rsidR="00E6043D" w:rsidRPr="00F86057">
          <w:rPr>
            <w:rStyle w:val="Hyperlink"/>
            <w:noProof/>
          </w:rPr>
          <w:t xml:space="preserve">Table 29. </w:t>
        </w:r>
        <w:r w:rsidR="00E6043D" w:rsidRPr="00F86057">
          <w:rPr>
            <w:rStyle w:val="Hyperlink"/>
            <w:i/>
            <w:noProof/>
          </w:rPr>
          <w:t>Long-term report card scores for seagrass abundance, reproductive and leaf tissue nutrient status for each habitat in the Burnett Mary region: June 2005 – May 2015.</w:t>
        </w:r>
        <w:r w:rsidR="00E6043D">
          <w:rPr>
            <w:noProof/>
            <w:webHidden/>
          </w:rPr>
          <w:tab/>
        </w:r>
        <w:r w:rsidR="00E6043D">
          <w:rPr>
            <w:noProof/>
            <w:webHidden/>
          </w:rPr>
          <w:fldChar w:fldCharType="begin"/>
        </w:r>
        <w:r w:rsidR="00E6043D">
          <w:rPr>
            <w:noProof/>
            <w:webHidden/>
          </w:rPr>
          <w:instrText xml:space="preserve"> PAGEREF _Toc462685098 \h </w:instrText>
        </w:r>
        <w:r w:rsidR="00E6043D">
          <w:rPr>
            <w:noProof/>
            <w:webHidden/>
          </w:rPr>
        </w:r>
        <w:r w:rsidR="00E6043D">
          <w:rPr>
            <w:noProof/>
            <w:webHidden/>
          </w:rPr>
          <w:fldChar w:fldCharType="separate"/>
        </w:r>
        <w:r w:rsidR="00E6043D">
          <w:rPr>
            <w:noProof/>
            <w:webHidden/>
          </w:rPr>
          <w:t>94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099" w:history="1">
        <w:r w:rsidR="00E6043D" w:rsidRPr="00F86057">
          <w:rPr>
            <w:rStyle w:val="Hyperlink"/>
            <w:noProof/>
          </w:rPr>
          <w:t xml:space="preserve">Table 30. </w:t>
        </w:r>
        <w:r w:rsidR="00E6043D" w:rsidRPr="00F86057">
          <w:rPr>
            <w:rStyle w:val="Hyperlink"/>
            <w:i/>
            <w:noProof/>
          </w:rPr>
          <w:t>Samples collected at each MMP inshore monitoring site per parameter for each season. Activities include: SG = seagrass cover &amp; composition, SM=seed monitoring, TN=tissue nutrients, EM=edge mapping, RH=reproductive health, TL=temperature loggers, LL=light loggers, SH=sediment herbicides. ^=subtidal.</w:t>
        </w:r>
        <w:r w:rsidR="00E6043D">
          <w:rPr>
            <w:noProof/>
            <w:webHidden/>
          </w:rPr>
          <w:tab/>
        </w:r>
        <w:r w:rsidR="00E6043D">
          <w:rPr>
            <w:noProof/>
            <w:webHidden/>
          </w:rPr>
          <w:fldChar w:fldCharType="begin"/>
        </w:r>
        <w:r w:rsidR="00E6043D">
          <w:rPr>
            <w:noProof/>
            <w:webHidden/>
          </w:rPr>
          <w:instrText xml:space="preserve"> PAGEREF _Toc462685099 \h </w:instrText>
        </w:r>
        <w:r w:rsidR="00E6043D">
          <w:rPr>
            <w:noProof/>
            <w:webHidden/>
          </w:rPr>
        </w:r>
        <w:r w:rsidR="00E6043D">
          <w:rPr>
            <w:noProof/>
            <w:webHidden/>
          </w:rPr>
          <w:fldChar w:fldCharType="separate"/>
        </w:r>
        <w:r w:rsidR="00E6043D">
          <w:rPr>
            <w:noProof/>
            <w:webHidden/>
          </w:rPr>
          <w:t>143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0" w:history="1">
        <w:r w:rsidR="00E6043D" w:rsidRPr="00F86057">
          <w:rPr>
            <w:rStyle w:val="Hyperlink"/>
            <w:noProof/>
          </w:rPr>
          <w:t xml:space="preserve">Table 31. </w:t>
        </w:r>
        <w:r w:rsidR="00E6043D" w:rsidRPr="00F86057">
          <w:rPr>
            <w:rStyle w:val="Hyperlink"/>
            <w:i/>
            <w:noProof/>
          </w:rPr>
          <w:t>Minimum light requirements (MLR) derived from the literature (15-25%) were converted to daily irradiance from surface light at sites where surface light is also monitored.</w:t>
        </w:r>
        <w:r w:rsidR="00E6043D">
          <w:rPr>
            <w:noProof/>
            <w:webHidden/>
          </w:rPr>
          <w:tab/>
        </w:r>
        <w:r w:rsidR="00E6043D">
          <w:rPr>
            <w:noProof/>
            <w:webHidden/>
          </w:rPr>
          <w:fldChar w:fldCharType="begin"/>
        </w:r>
        <w:r w:rsidR="00E6043D">
          <w:rPr>
            <w:noProof/>
            <w:webHidden/>
          </w:rPr>
          <w:instrText xml:space="preserve"> PAGEREF _Toc462685100 \h </w:instrText>
        </w:r>
        <w:r w:rsidR="00E6043D">
          <w:rPr>
            <w:noProof/>
            <w:webHidden/>
          </w:rPr>
        </w:r>
        <w:r w:rsidR="00E6043D">
          <w:rPr>
            <w:noProof/>
            <w:webHidden/>
          </w:rPr>
          <w:fldChar w:fldCharType="separate"/>
        </w:r>
        <w:r w:rsidR="00E6043D">
          <w:rPr>
            <w:noProof/>
            <w:webHidden/>
          </w:rPr>
          <w:t>146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1" w:history="1">
        <w:r w:rsidR="00E6043D" w:rsidRPr="00F86057">
          <w:rPr>
            <w:rStyle w:val="Hyperlink"/>
            <w:noProof/>
          </w:rPr>
          <w:t xml:space="preserve">Table 32. </w:t>
        </w:r>
        <w:r w:rsidR="00E6043D" w:rsidRPr="00F86057">
          <w:rPr>
            <w:rStyle w:val="Hyperlink"/>
            <w:i/>
            <w:noProof/>
          </w:rPr>
          <w:t>Long-term average proportion (±SE) of colonising species in each GBR seagrass habitat type.</w:t>
        </w:r>
        <w:r w:rsidR="00E6043D">
          <w:rPr>
            <w:noProof/>
            <w:webHidden/>
          </w:rPr>
          <w:tab/>
        </w:r>
        <w:r w:rsidR="00E6043D">
          <w:rPr>
            <w:noProof/>
            <w:webHidden/>
          </w:rPr>
          <w:fldChar w:fldCharType="begin"/>
        </w:r>
        <w:r w:rsidR="00E6043D">
          <w:rPr>
            <w:noProof/>
            <w:webHidden/>
          </w:rPr>
          <w:instrText xml:space="preserve"> PAGEREF _Toc462685101 \h </w:instrText>
        </w:r>
        <w:r w:rsidR="00E6043D">
          <w:rPr>
            <w:noProof/>
            <w:webHidden/>
          </w:rPr>
        </w:r>
        <w:r w:rsidR="00E6043D">
          <w:rPr>
            <w:noProof/>
            <w:webHidden/>
          </w:rPr>
          <w:fldChar w:fldCharType="separate"/>
        </w:r>
        <w:r w:rsidR="00E6043D">
          <w:rPr>
            <w:noProof/>
            <w:webHidden/>
          </w:rPr>
          <w:t>149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2" w:history="1">
        <w:r w:rsidR="00E6043D" w:rsidRPr="00F86057">
          <w:rPr>
            <w:rStyle w:val="Hyperlink"/>
            <w:noProof/>
          </w:rPr>
          <w:t xml:space="preserve">Table 33. </w:t>
        </w:r>
        <w:r w:rsidR="00E6043D" w:rsidRPr="00F86057">
          <w:rPr>
            <w:rStyle w:val="Hyperlink"/>
            <w:i/>
            <w:noProof/>
          </w:rPr>
          <w:t>Seagrass percentage cover guidelines (“the seagrass guidelines”) for each site/location and the subregional guidelines (bold) for each NRM habitat.</w:t>
        </w:r>
        <w:r w:rsidR="00E6043D">
          <w:rPr>
            <w:noProof/>
            <w:webHidden/>
          </w:rPr>
          <w:tab/>
        </w:r>
        <w:r w:rsidR="00E6043D">
          <w:rPr>
            <w:noProof/>
            <w:webHidden/>
          </w:rPr>
          <w:fldChar w:fldCharType="begin"/>
        </w:r>
        <w:r w:rsidR="00E6043D">
          <w:rPr>
            <w:noProof/>
            <w:webHidden/>
          </w:rPr>
          <w:instrText xml:space="preserve"> PAGEREF _Toc462685102 \h </w:instrText>
        </w:r>
        <w:r w:rsidR="00E6043D">
          <w:rPr>
            <w:noProof/>
            <w:webHidden/>
          </w:rPr>
        </w:r>
        <w:r w:rsidR="00E6043D">
          <w:rPr>
            <w:noProof/>
            <w:webHidden/>
          </w:rPr>
          <w:fldChar w:fldCharType="separate"/>
        </w:r>
        <w:r w:rsidR="00E6043D">
          <w:rPr>
            <w:noProof/>
            <w:webHidden/>
          </w:rPr>
          <w:t>160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3" w:history="1">
        <w:r w:rsidR="00E6043D" w:rsidRPr="00F86057">
          <w:rPr>
            <w:rStyle w:val="Hyperlink"/>
            <w:noProof/>
          </w:rPr>
          <w:t xml:space="preserve">Table 34. </w:t>
        </w:r>
        <w:r w:rsidR="00E6043D" w:rsidRPr="00F86057">
          <w:rPr>
            <w:rStyle w:val="Hyperlink"/>
            <w:rFonts w:cs="Arial"/>
            <w:i/>
            <w:noProof/>
          </w:rPr>
          <w:t>Scoring threshold table to determine seagrass abundance status.</w:t>
        </w:r>
        <w:r w:rsidR="00E6043D">
          <w:rPr>
            <w:noProof/>
            <w:webHidden/>
          </w:rPr>
          <w:tab/>
        </w:r>
        <w:r w:rsidR="00E6043D">
          <w:rPr>
            <w:noProof/>
            <w:webHidden/>
          </w:rPr>
          <w:fldChar w:fldCharType="begin"/>
        </w:r>
        <w:r w:rsidR="00E6043D">
          <w:rPr>
            <w:noProof/>
            <w:webHidden/>
          </w:rPr>
          <w:instrText xml:space="preserve"> PAGEREF _Toc462685103 \h </w:instrText>
        </w:r>
        <w:r w:rsidR="00E6043D">
          <w:rPr>
            <w:noProof/>
            <w:webHidden/>
          </w:rPr>
        </w:r>
        <w:r w:rsidR="00E6043D">
          <w:rPr>
            <w:noProof/>
            <w:webHidden/>
          </w:rPr>
          <w:fldChar w:fldCharType="separate"/>
        </w:r>
        <w:r w:rsidR="00E6043D">
          <w:rPr>
            <w:noProof/>
            <w:webHidden/>
          </w:rPr>
          <w:t>161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4" w:history="1">
        <w:r w:rsidR="00E6043D" w:rsidRPr="00F86057">
          <w:rPr>
            <w:rStyle w:val="Hyperlink"/>
            <w:noProof/>
          </w:rPr>
          <w:t xml:space="preserve">Table 35. </w:t>
        </w:r>
        <w:r w:rsidR="00E6043D" w:rsidRPr="00F86057">
          <w:rPr>
            <w:rStyle w:val="Hyperlink"/>
            <w:i/>
            <w:noProof/>
          </w:rPr>
          <w:t>Mean and median seagrass % cover and report score for each long-term monitoring site within each Cape York NRM region habitat over the 2014-15 period.</w:t>
        </w:r>
        <w:r w:rsidR="00E6043D">
          <w:rPr>
            <w:noProof/>
            <w:webHidden/>
          </w:rPr>
          <w:tab/>
        </w:r>
        <w:r w:rsidR="00E6043D">
          <w:rPr>
            <w:noProof/>
            <w:webHidden/>
          </w:rPr>
          <w:fldChar w:fldCharType="begin"/>
        </w:r>
        <w:r w:rsidR="00E6043D">
          <w:rPr>
            <w:noProof/>
            <w:webHidden/>
          </w:rPr>
          <w:instrText xml:space="preserve"> PAGEREF _Toc462685104 \h </w:instrText>
        </w:r>
        <w:r w:rsidR="00E6043D">
          <w:rPr>
            <w:noProof/>
            <w:webHidden/>
          </w:rPr>
        </w:r>
        <w:r w:rsidR="00E6043D">
          <w:rPr>
            <w:noProof/>
            <w:webHidden/>
          </w:rPr>
          <w:fldChar w:fldCharType="separate"/>
        </w:r>
        <w:r w:rsidR="00E6043D">
          <w:rPr>
            <w:noProof/>
            <w:webHidden/>
          </w:rPr>
          <w:t>161</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5" w:history="1">
        <w:r w:rsidR="00E6043D" w:rsidRPr="00F86057">
          <w:rPr>
            <w:rStyle w:val="Hyperlink"/>
            <w:noProof/>
          </w:rPr>
          <w:t xml:space="preserve">Table 36. </w:t>
        </w:r>
        <w:r w:rsidR="00E6043D" w:rsidRPr="00F86057">
          <w:rPr>
            <w:rStyle w:val="Hyperlink"/>
            <w:i/>
            <w:noProof/>
          </w:rPr>
          <w:t>Mean and median seagrass % cover and report score for each long-term monitoring site within each Wet Tropics NRM region habitat over the 2014-15 period.</w:t>
        </w:r>
        <w:r w:rsidR="00E6043D">
          <w:rPr>
            <w:noProof/>
            <w:webHidden/>
          </w:rPr>
          <w:tab/>
        </w:r>
        <w:r w:rsidR="00E6043D">
          <w:rPr>
            <w:noProof/>
            <w:webHidden/>
          </w:rPr>
          <w:fldChar w:fldCharType="begin"/>
        </w:r>
        <w:r w:rsidR="00E6043D">
          <w:rPr>
            <w:noProof/>
            <w:webHidden/>
          </w:rPr>
          <w:instrText xml:space="preserve"> PAGEREF _Toc462685105 \h </w:instrText>
        </w:r>
        <w:r w:rsidR="00E6043D">
          <w:rPr>
            <w:noProof/>
            <w:webHidden/>
          </w:rPr>
        </w:r>
        <w:r w:rsidR="00E6043D">
          <w:rPr>
            <w:noProof/>
            <w:webHidden/>
          </w:rPr>
          <w:fldChar w:fldCharType="separate"/>
        </w:r>
        <w:r w:rsidR="00E6043D">
          <w:rPr>
            <w:noProof/>
            <w:webHidden/>
          </w:rPr>
          <w:t>162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6" w:history="1">
        <w:r w:rsidR="00E6043D" w:rsidRPr="00F86057">
          <w:rPr>
            <w:rStyle w:val="Hyperlink"/>
            <w:noProof/>
          </w:rPr>
          <w:t xml:space="preserve">Table 37. </w:t>
        </w:r>
        <w:r w:rsidR="00E6043D" w:rsidRPr="00F86057">
          <w:rPr>
            <w:rStyle w:val="Hyperlink"/>
            <w:i/>
            <w:noProof/>
          </w:rPr>
          <w:t>Mean and median seagrass % cover and report score for each long-term monitoring site within each Burdekin NRM region habitat over the 2014-15 period.</w:t>
        </w:r>
        <w:r w:rsidR="00E6043D">
          <w:rPr>
            <w:noProof/>
            <w:webHidden/>
          </w:rPr>
          <w:tab/>
        </w:r>
        <w:r w:rsidR="00E6043D">
          <w:rPr>
            <w:noProof/>
            <w:webHidden/>
          </w:rPr>
          <w:fldChar w:fldCharType="begin"/>
        </w:r>
        <w:r w:rsidR="00E6043D">
          <w:rPr>
            <w:noProof/>
            <w:webHidden/>
          </w:rPr>
          <w:instrText xml:space="preserve"> PAGEREF _Toc462685106 \h </w:instrText>
        </w:r>
        <w:r w:rsidR="00E6043D">
          <w:rPr>
            <w:noProof/>
            <w:webHidden/>
          </w:rPr>
        </w:r>
        <w:r w:rsidR="00E6043D">
          <w:rPr>
            <w:noProof/>
            <w:webHidden/>
          </w:rPr>
          <w:fldChar w:fldCharType="separate"/>
        </w:r>
        <w:r w:rsidR="00E6043D">
          <w:rPr>
            <w:noProof/>
            <w:webHidden/>
          </w:rPr>
          <w:t>163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7" w:history="1">
        <w:r w:rsidR="00E6043D" w:rsidRPr="00F86057">
          <w:rPr>
            <w:rStyle w:val="Hyperlink"/>
            <w:noProof/>
          </w:rPr>
          <w:t xml:space="preserve">Table 38. </w:t>
        </w:r>
        <w:r w:rsidR="00E6043D" w:rsidRPr="00F86057">
          <w:rPr>
            <w:rStyle w:val="Hyperlink"/>
            <w:i/>
            <w:noProof/>
          </w:rPr>
          <w:t>Mean and median seagrass % cover and report score for each long-term monitoring site within each Mackay Whitsunday NRM region habitat over the 2014-15 period.</w:t>
        </w:r>
        <w:r w:rsidR="00E6043D">
          <w:rPr>
            <w:noProof/>
            <w:webHidden/>
          </w:rPr>
          <w:tab/>
        </w:r>
        <w:r w:rsidR="00E6043D">
          <w:rPr>
            <w:noProof/>
            <w:webHidden/>
          </w:rPr>
          <w:fldChar w:fldCharType="begin"/>
        </w:r>
        <w:r w:rsidR="00E6043D">
          <w:rPr>
            <w:noProof/>
            <w:webHidden/>
          </w:rPr>
          <w:instrText xml:space="preserve"> PAGEREF _Toc462685107 \h </w:instrText>
        </w:r>
        <w:r w:rsidR="00E6043D">
          <w:rPr>
            <w:noProof/>
            <w:webHidden/>
          </w:rPr>
        </w:r>
        <w:r w:rsidR="00E6043D">
          <w:rPr>
            <w:noProof/>
            <w:webHidden/>
          </w:rPr>
          <w:fldChar w:fldCharType="separate"/>
        </w:r>
        <w:r w:rsidR="00E6043D">
          <w:rPr>
            <w:noProof/>
            <w:webHidden/>
          </w:rPr>
          <w:t>163</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8" w:history="1">
        <w:r w:rsidR="00E6043D" w:rsidRPr="00F86057">
          <w:rPr>
            <w:rStyle w:val="Hyperlink"/>
            <w:noProof/>
          </w:rPr>
          <w:t xml:space="preserve">Table 39. </w:t>
        </w:r>
        <w:r w:rsidR="00E6043D" w:rsidRPr="00F86057">
          <w:rPr>
            <w:rStyle w:val="Hyperlink"/>
            <w:i/>
            <w:noProof/>
          </w:rPr>
          <w:t>Mean and median seagrass % cover and report score for each long-term monitoring site within each Fitzroy NRM region habitat over the 2014-15 period.</w:t>
        </w:r>
        <w:r w:rsidR="00E6043D">
          <w:rPr>
            <w:noProof/>
            <w:webHidden/>
          </w:rPr>
          <w:tab/>
        </w:r>
        <w:r w:rsidR="00E6043D">
          <w:rPr>
            <w:noProof/>
            <w:webHidden/>
          </w:rPr>
          <w:fldChar w:fldCharType="begin"/>
        </w:r>
        <w:r w:rsidR="00E6043D">
          <w:rPr>
            <w:noProof/>
            <w:webHidden/>
          </w:rPr>
          <w:instrText xml:space="preserve"> PAGEREF _Toc462685108 \h </w:instrText>
        </w:r>
        <w:r w:rsidR="00E6043D">
          <w:rPr>
            <w:noProof/>
            <w:webHidden/>
          </w:rPr>
        </w:r>
        <w:r w:rsidR="00E6043D">
          <w:rPr>
            <w:noProof/>
            <w:webHidden/>
          </w:rPr>
          <w:fldChar w:fldCharType="separate"/>
        </w:r>
        <w:r w:rsidR="00E6043D">
          <w:rPr>
            <w:noProof/>
            <w:webHidden/>
          </w:rPr>
          <w:t>164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09" w:history="1">
        <w:r w:rsidR="00E6043D" w:rsidRPr="00F86057">
          <w:rPr>
            <w:rStyle w:val="Hyperlink"/>
            <w:noProof/>
          </w:rPr>
          <w:t xml:space="preserve">Table 40. </w:t>
        </w:r>
        <w:r w:rsidR="00E6043D" w:rsidRPr="00F86057">
          <w:rPr>
            <w:rStyle w:val="Hyperlink"/>
            <w:i/>
            <w:noProof/>
          </w:rPr>
          <w:t>Mean and median seagrass % cover and report score for each long-term monitoring site within each Burnett Mary NRM region habitat over the 2014-15 period.</w:t>
        </w:r>
        <w:r w:rsidR="00E6043D">
          <w:rPr>
            <w:noProof/>
            <w:webHidden/>
          </w:rPr>
          <w:tab/>
        </w:r>
        <w:r w:rsidR="00E6043D">
          <w:rPr>
            <w:noProof/>
            <w:webHidden/>
          </w:rPr>
          <w:fldChar w:fldCharType="begin"/>
        </w:r>
        <w:r w:rsidR="00E6043D">
          <w:rPr>
            <w:noProof/>
            <w:webHidden/>
          </w:rPr>
          <w:instrText xml:space="preserve"> PAGEREF _Toc462685109 \h </w:instrText>
        </w:r>
        <w:r w:rsidR="00E6043D">
          <w:rPr>
            <w:noProof/>
            <w:webHidden/>
          </w:rPr>
        </w:r>
        <w:r w:rsidR="00E6043D">
          <w:rPr>
            <w:noProof/>
            <w:webHidden/>
          </w:rPr>
          <w:fldChar w:fldCharType="separate"/>
        </w:r>
        <w:r w:rsidR="00E6043D">
          <w:rPr>
            <w:noProof/>
            <w:webHidden/>
          </w:rPr>
          <w:t>164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0" w:history="1">
        <w:r w:rsidR="00E6043D" w:rsidRPr="00F86057">
          <w:rPr>
            <w:rStyle w:val="Hyperlink"/>
            <w:noProof/>
          </w:rPr>
          <w:t xml:space="preserve">Table 41. </w:t>
        </w:r>
        <w:r w:rsidR="00E6043D" w:rsidRPr="00F86057">
          <w:rPr>
            <w:rStyle w:val="Hyperlink"/>
            <w:rFonts w:cs="Arial"/>
            <w:i/>
            <w:noProof/>
          </w:rPr>
          <w:t xml:space="preserve">Scores for </w:t>
        </w:r>
        <w:r w:rsidR="00E6043D" w:rsidRPr="00F86057">
          <w:rPr>
            <w:rStyle w:val="Hyperlink"/>
            <w:i/>
            <w:iCs/>
            <w:noProof/>
            <w:lang w:eastAsia="en-AU"/>
          </w:rPr>
          <w:t xml:space="preserve">late dry </w:t>
        </w:r>
        <w:r w:rsidR="00E6043D" w:rsidRPr="00F86057">
          <w:rPr>
            <w:rStyle w:val="Hyperlink"/>
            <w:rFonts w:cs="Arial"/>
            <w:i/>
            <w:noProof/>
          </w:rPr>
          <w:t xml:space="preserve">monitoring period reproductive effort average against long-term (2005-2010) GBR habitat average. </w:t>
        </w:r>
        <w:r w:rsidR="00E6043D" w:rsidRPr="00F86057">
          <w:rPr>
            <w:rStyle w:val="Hyperlink"/>
            <w:i/>
            <w:noProof/>
          </w:rPr>
          <w:t>NB: scores are unitless.</w:t>
        </w:r>
        <w:r w:rsidR="00E6043D">
          <w:rPr>
            <w:noProof/>
            <w:webHidden/>
          </w:rPr>
          <w:tab/>
        </w:r>
        <w:r w:rsidR="00E6043D">
          <w:rPr>
            <w:noProof/>
            <w:webHidden/>
          </w:rPr>
          <w:fldChar w:fldCharType="begin"/>
        </w:r>
        <w:r w:rsidR="00E6043D">
          <w:rPr>
            <w:noProof/>
            <w:webHidden/>
          </w:rPr>
          <w:instrText xml:space="preserve"> PAGEREF _Toc462685110 \h </w:instrText>
        </w:r>
        <w:r w:rsidR="00E6043D">
          <w:rPr>
            <w:noProof/>
            <w:webHidden/>
          </w:rPr>
        </w:r>
        <w:r w:rsidR="00E6043D">
          <w:rPr>
            <w:noProof/>
            <w:webHidden/>
          </w:rPr>
          <w:fldChar w:fldCharType="separate"/>
        </w:r>
        <w:r w:rsidR="00E6043D">
          <w:rPr>
            <w:noProof/>
            <w:webHidden/>
          </w:rPr>
          <w:t>165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1" w:history="1">
        <w:r w:rsidR="00E6043D" w:rsidRPr="00F86057">
          <w:rPr>
            <w:rStyle w:val="Hyperlink"/>
            <w:noProof/>
          </w:rPr>
          <w:t xml:space="preserve">Table 42. </w:t>
        </w:r>
        <w:r w:rsidR="00E6043D" w:rsidRPr="00F86057">
          <w:rPr>
            <w:rStyle w:val="Hyperlink"/>
            <w:i/>
            <w:noProof/>
          </w:rPr>
          <w:t>Late dry season average seagrass reproductive effort (RE ±Standard Error) and report card scores for each monitoring site (species pooled) within each NRM region habitat.</w:t>
        </w:r>
        <w:r w:rsidR="00E6043D">
          <w:rPr>
            <w:noProof/>
            <w:webHidden/>
          </w:rPr>
          <w:tab/>
        </w:r>
        <w:r w:rsidR="00E6043D">
          <w:rPr>
            <w:noProof/>
            <w:webHidden/>
          </w:rPr>
          <w:fldChar w:fldCharType="begin"/>
        </w:r>
        <w:r w:rsidR="00E6043D">
          <w:rPr>
            <w:noProof/>
            <w:webHidden/>
          </w:rPr>
          <w:instrText xml:space="preserve"> PAGEREF _Toc462685111 \h </w:instrText>
        </w:r>
        <w:r w:rsidR="00E6043D">
          <w:rPr>
            <w:noProof/>
            <w:webHidden/>
          </w:rPr>
        </w:r>
        <w:r w:rsidR="00E6043D">
          <w:rPr>
            <w:noProof/>
            <w:webHidden/>
          </w:rPr>
          <w:fldChar w:fldCharType="separate"/>
        </w:r>
        <w:r w:rsidR="00E6043D">
          <w:rPr>
            <w:noProof/>
            <w:webHidden/>
          </w:rPr>
          <w:t>166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2" w:history="1">
        <w:r w:rsidR="00E6043D" w:rsidRPr="00F86057">
          <w:rPr>
            <w:rStyle w:val="Hyperlink"/>
            <w:noProof/>
          </w:rPr>
          <w:t xml:space="preserve">Table 43. </w:t>
        </w:r>
        <w:r w:rsidR="00E6043D" w:rsidRPr="00F86057">
          <w:rPr>
            <w:rStyle w:val="Hyperlink"/>
            <w:rFonts w:cs="Arial"/>
            <w:i/>
            <w:noProof/>
          </w:rPr>
          <w:t>Scores for leaf tissue C:N against guideline to determine light and nutrient availability.</w:t>
        </w:r>
        <w:r w:rsidR="00E6043D" w:rsidRPr="00F86057">
          <w:rPr>
            <w:rStyle w:val="Hyperlink"/>
            <w:i/>
            <w:noProof/>
          </w:rPr>
          <w:t xml:space="preserve"> NB: scores are unitless.</w:t>
        </w:r>
        <w:r w:rsidR="00E6043D">
          <w:rPr>
            <w:noProof/>
            <w:webHidden/>
          </w:rPr>
          <w:tab/>
        </w:r>
        <w:r w:rsidR="00E6043D">
          <w:rPr>
            <w:noProof/>
            <w:webHidden/>
          </w:rPr>
          <w:fldChar w:fldCharType="begin"/>
        </w:r>
        <w:r w:rsidR="00E6043D">
          <w:rPr>
            <w:noProof/>
            <w:webHidden/>
          </w:rPr>
          <w:instrText xml:space="preserve"> PAGEREF _Toc462685112 \h </w:instrText>
        </w:r>
        <w:r w:rsidR="00E6043D">
          <w:rPr>
            <w:noProof/>
            <w:webHidden/>
          </w:rPr>
        </w:r>
        <w:r w:rsidR="00E6043D">
          <w:rPr>
            <w:noProof/>
            <w:webHidden/>
          </w:rPr>
          <w:fldChar w:fldCharType="separate"/>
        </w:r>
        <w:r w:rsidR="00E6043D">
          <w:rPr>
            <w:noProof/>
            <w:webHidden/>
          </w:rPr>
          <w:t>167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3" w:history="1">
        <w:r w:rsidR="00E6043D" w:rsidRPr="00F86057">
          <w:rPr>
            <w:rStyle w:val="Hyperlink"/>
            <w:noProof/>
          </w:rPr>
          <w:t xml:space="preserve">Table 44. </w:t>
        </w:r>
        <w:r w:rsidR="00E6043D" w:rsidRPr="00F86057">
          <w:rPr>
            <w:rStyle w:val="Hyperlink"/>
            <w:i/>
            <w:noProof/>
          </w:rPr>
          <w:t>Average seagrass leaf tissue C:N ratios and report scores for each monitoring site (species pooled) within each NRM region habitat.</w:t>
        </w:r>
        <w:r w:rsidR="00E6043D">
          <w:rPr>
            <w:noProof/>
            <w:webHidden/>
          </w:rPr>
          <w:tab/>
        </w:r>
        <w:r w:rsidR="00E6043D">
          <w:rPr>
            <w:noProof/>
            <w:webHidden/>
          </w:rPr>
          <w:fldChar w:fldCharType="begin"/>
        </w:r>
        <w:r w:rsidR="00E6043D">
          <w:rPr>
            <w:noProof/>
            <w:webHidden/>
          </w:rPr>
          <w:instrText xml:space="preserve"> PAGEREF _Toc462685113 \h </w:instrText>
        </w:r>
        <w:r w:rsidR="00E6043D">
          <w:rPr>
            <w:noProof/>
            <w:webHidden/>
          </w:rPr>
        </w:r>
        <w:r w:rsidR="00E6043D">
          <w:rPr>
            <w:noProof/>
            <w:webHidden/>
          </w:rPr>
          <w:fldChar w:fldCharType="separate"/>
        </w:r>
        <w:r w:rsidR="00E6043D">
          <w:rPr>
            <w:noProof/>
            <w:webHidden/>
          </w:rPr>
          <w:t>168</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4" w:history="1">
        <w:r w:rsidR="00E6043D" w:rsidRPr="00F86057">
          <w:rPr>
            <w:rStyle w:val="Hyperlink"/>
            <w:noProof/>
          </w:rPr>
          <w:t xml:space="preserve">Table 45. </w:t>
        </w:r>
        <w:r w:rsidR="00E6043D" w:rsidRPr="00F86057">
          <w:rPr>
            <w:rStyle w:val="Hyperlink"/>
            <w:i/>
            <w:noProof/>
          </w:rPr>
          <w:t xml:space="preserve">Area of seagrass shallower than 15m in each NRM region (from </w:t>
        </w:r>
        <w:r w:rsidR="00E6043D" w:rsidRPr="00F86057">
          <w:rPr>
            <w:rStyle w:val="Hyperlink"/>
            <w:noProof/>
          </w:rPr>
          <w:t>McKenzie</w:t>
        </w:r>
        <w:r w:rsidR="00E6043D" w:rsidRPr="00F86057">
          <w:rPr>
            <w:rStyle w:val="Hyperlink"/>
            <w:i/>
            <w:noProof/>
          </w:rPr>
          <w:t>, et al.</w:t>
        </w:r>
        <w:r w:rsidR="00E6043D" w:rsidRPr="00F86057">
          <w:rPr>
            <w:rStyle w:val="Hyperlink"/>
            <w:noProof/>
          </w:rPr>
          <w:t xml:space="preserve"> 2010c</w:t>
        </w:r>
        <w:r w:rsidR="00E6043D" w:rsidRPr="00F86057">
          <w:rPr>
            <w:rStyle w:val="Hyperlink"/>
            <w:i/>
            <w:noProof/>
          </w:rPr>
          <w:t>) within the boundaries of the Great Barrier Reef World Heritage Area.</w:t>
        </w:r>
        <w:r w:rsidR="00E6043D">
          <w:rPr>
            <w:noProof/>
            <w:webHidden/>
          </w:rPr>
          <w:tab/>
        </w:r>
        <w:r w:rsidR="00E6043D">
          <w:rPr>
            <w:noProof/>
            <w:webHidden/>
          </w:rPr>
          <w:fldChar w:fldCharType="begin"/>
        </w:r>
        <w:r w:rsidR="00E6043D">
          <w:rPr>
            <w:noProof/>
            <w:webHidden/>
          </w:rPr>
          <w:instrText xml:space="preserve"> PAGEREF _Toc462685114 \h </w:instrText>
        </w:r>
        <w:r w:rsidR="00E6043D">
          <w:rPr>
            <w:noProof/>
            <w:webHidden/>
          </w:rPr>
        </w:r>
        <w:r w:rsidR="00E6043D">
          <w:rPr>
            <w:noProof/>
            <w:webHidden/>
          </w:rPr>
          <w:fldChar w:fldCharType="separate"/>
        </w:r>
        <w:r w:rsidR="00E6043D">
          <w:rPr>
            <w:noProof/>
            <w:webHidden/>
          </w:rPr>
          <w:t>169</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5" w:history="1">
        <w:r w:rsidR="00E6043D" w:rsidRPr="00F86057">
          <w:rPr>
            <w:rStyle w:val="Hyperlink"/>
            <w:noProof/>
          </w:rPr>
          <w:t xml:space="preserve">Table 46. </w:t>
        </w:r>
        <w:r w:rsidR="00E6043D" w:rsidRPr="00F86057">
          <w:rPr>
            <w:rStyle w:val="Hyperlink"/>
            <w:i/>
            <w:noProof/>
          </w:rPr>
          <w:t>Height of intertidal monitoring meadows/sites above Lowest Astronomical Tide (LAT) and annual daytime tidal exposure (total hours) when meadows become exposed at a low tide.</w:t>
        </w:r>
        <w:r w:rsidR="00E6043D">
          <w:rPr>
            <w:noProof/>
            <w:webHidden/>
          </w:rPr>
          <w:tab/>
        </w:r>
        <w:r w:rsidR="00E6043D">
          <w:rPr>
            <w:noProof/>
            <w:webHidden/>
          </w:rPr>
          <w:fldChar w:fldCharType="begin"/>
        </w:r>
        <w:r w:rsidR="00E6043D">
          <w:rPr>
            <w:noProof/>
            <w:webHidden/>
          </w:rPr>
          <w:instrText xml:space="preserve"> PAGEREF _Toc462685115 \h </w:instrText>
        </w:r>
        <w:r w:rsidR="00E6043D">
          <w:rPr>
            <w:noProof/>
            <w:webHidden/>
          </w:rPr>
        </w:r>
        <w:r w:rsidR="00E6043D">
          <w:rPr>
            <w:noProof/>
            <w:webHidden/>
          </w:rPr>
          <w:fldChar w:fldCharType="separate"/>
        </w:r>
        <w:r w:rsidR="00E6043D">
          <w:rPr>
            <w:noProof/>
            <w:webHidden/>
          </w:rPr>
          <w:t>185</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6" w:history="1">
        <w:r w:rsidR="00E6043D" w:rsidRPr="00F86057">
          <w:rPr>
            <w:rStyle w:val="Hyperlink"/>
            <w:noProof/>
          </w:rPr>
          <w:t xml:space="preserve">Table 47. </w:t>
        </w:r>
        <w:r w:rsidR="00E6043D" w:rsidRPr="00F86057">
          <w:rPr>
            <w:rStyle w:val="Hyperlink"/>
            <w:i/>
            <w:noProof/>
          </w:rPr>
          <w:t>Proportion of area (within 100m radius of each monitoring site) which is covered by seagrass in the Cape York and Wet Tropics NRM regions.</w:t>
        </w:r>
        <w:r w:rsidR="00E6043D">
          <w:rPr>
            <w:noProof/>
            <w:webHidden/>
          </w:rPr>
          <w:tab/>
        </w:r>
        <w:r w:rsidR="00E6043D">
          <w:rPr>
            <w:noProof/>
            <w:webHidden/>
          </w:rPr>
          <w:fldChar w:fldCharType="begin"/>
        </w:r>
        <w:r w:rsidR="00E6043D">
          <w:rPr>
            <w:noProof/>
            <w:webHidden/>
          </w:rPr>
          <w:instrText xml:space="preserve"> PAGEREF _Toc462685116 \h </w:instrText>
        </w:r>
        <w:r w:rsidR="00E6043D">
          <w:rPr>
            <w:noProof/>
            <w:webHidden/>
          </w:rPr>
        </w:r>
        <w:r w:rsidR="00E6043D">
          <w:rPr>
            <w:noProof/>
            <w:webHidden/>
          </w:rPr>
          <w:fldChar w:fldCharType="separate"/>
        </w:r>
        <w:r w:rsidR="00E6043D">
          <w:rPr>
            <w:noProof/>
            <w:webHidden/>
          </w:rPr>
          <w:t>216</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7" w:history="1">
        <w:r w:rsidR="00E6043D" w:rsidRPr="00F86057">
          <w:rPr>
            <w:rStyle w:val="Hyperlink"/>
            <w:noProof/>
          </w:rPr>
          <w:t xml:space="preserve">Table 48. </w:t>
        </w:r>
        <w:r w:rsidR="00E6043D" w:rsidRPr="00F86057">
          <w:rPr>
            <w:rStyle w:val="Hyperlink"/>
            <w:i/>
            <w:noProof/>
          </w:rPr>
          <w:t>Proportion of area (within 100m radius of each monitoring site) which is covered by seagrass in the Burdekin, Mackay Whitsunday, Fitzroy and Burnett Mary NRM regions.</w:t>
        </w:r>
        <w:r w:rsidR="00E6043D">
          <w:rPr>
            <w:noProof/>
            <w:webHidden/>
          </w:rPr>
          <w:tab/>
        </w:r>
        <w:r w:rsidR="00E6043D">
          <w:rPr>
            <w:noProof/>
            <w:webHidden/>
          </w:rPr>
          <w:fldChar w:fldCharType="begin"/>
        </w:r>
        <w:r w:rsidR="00E6043D">
          <w:rPr>
            <w:noProof/>
            <w:webHidden/>
          </w:rPr>
          <w:instrText xml:space="preserve"> PAGEREF _Toc462685117 \h </w:instrText>
        </w:r>
        <w:r w:rsidR="00E6043D">
          <w:rPr>
            <w:noProof/>
            <w:webHidden/>
          </w:rPr>
        </w:r>
        <w:r w:rsidR="00E6043D">
          <w:rPr>
            <w:noProof/>
            <w:webHidden/>
          </w:rPr>
          <w:fldChar w:fldCharType="separate"/>
        </w:r>
        <w:r w:rsidR="00E6043D">
          <w:rPr>
            <w:noProof/>
            <w:webHidden/>
          </w:rPr>
          <w:t>217</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8" w:history="1">
        <w:r w:rsidR="00E6043D" w:rsidRPr="00F86057">
          <w:rPr>
            <w:rStyle w:val="Hyperlink"/>
            <w:noProof/>
          </w:rPr>
          <w:t xml:space="preserve">Table 49. </w:t>
        </w:r>
        <w:r w:rsidR="00E6043D" w:rsidRPr="00F86057">
          <w:rPr>
            <w:rStyle w:val="Hyperlink"/>
            <w:i/>
            <w:noProof/>
            <w:lang w:val="en-US"/>
          </w:rPr>
          <w:t xml:space="preserve">Seagrass leaf tissue nutrient, </w:t>
        </w:r>
        <w:r w:rsidR="00E6043D" w:rsidRPr="00F86057">
          <w:rPr>
            <w:rStyle w:val="Hyperlink"/>
            <w:i/>
            <w:noProof/>
          </w:rPr>
          <w:t>δ</w:t>
        </w:r>
        <w:r w:rsidR="00E6043D" w:rsidRPr="00F86057">
          <w:rPr>
            <w:rStyle w:val="Hyperlink"/>
            <w:i/>
            <w:noProof/>
            <w:vertAlign w:val="superscript"/>
          </w:rPr>
          <w:t>13</w:t>
        </w:r>
        <w:r w:rsidR="00E6043D" w:rsidRPr="00F86057">
          <w:rPr>
            <w:rStyle w:val="Hyperlink"/>
            <w:i/>
            <w:noProof/>
          </w:rPr>
          <w:t>C</w:t>
        </w:r>
        <w:r w:rsidR="00E6043D" w:rsidRPr="00F86057">
          <w:rPr>
            <w:rStyle w:val="Hyperlink"/>
            <w:i/>
            <w:noProof/>
            <w:lang w:val="en-US"/>
          </w:rPr>
          <w:t xml:space="preserve"> and </w:t>
        </w:r>
        <w:r w:rsidR="00E6043D" w:rsidRPr="00F86057">
          <w:rPr>
            <w:rStyle w:val="Hyperlink"/>
            <w:i/>
            <w:noProof/>
          </w:rPr>
          <w:t>δ</w:t>
        </w:r>
        <w:r w:rsidR="00E6043D" w:rsidRPr="00F86057">
          <w:rPr>
            <w:rStyle w:val="Hyperlink"/>
            <w:i/>
            <w:noProof/>
            <w:vertAlign w:val="superscript"/>
          </w:rPr>
          <w:t>15</w:t>
        </w:r>
        <w:r w:rsidR="00E6043D" w:rsidRPr="00F86057">
          <w:rPr>
            <w:rStyle w:val="Hyperlink"/>
            <w:i/>
            <w:noProof/>
          </w:rPr>
          <w:t>N</w:t>
        </w:r>
        <w:r w:rsidR="00E6043D" w:rsidRPr="00F86057">
          <w:rPr>
            <w:rStyle w:val="Hyperlink"/>
            <w:i/>
            <w:noProof/>
            <w:lang w:val="en-US"/>
          </w:rPr>
          <w:t xml:space="preserve"> concentrations from each NRM region in the late dry 2011 to 2014.</w:t>
        </w:r>
        <w:r w:rsidR="00E6043D">
          <w:rPr>
            <w:noProof/>
            <w:webHidden/>
          </w:rPr>
          <w:tab/>
        </w:r>
        <w:r w:rsidR="00E6043D">
          <w:rPr>
            <w:noProof/>
            <w:webHidden/>
          </w:rPr>
          <w:fldChar w:fldCharType="begin"/>
        </w:r>
        <w:r w:rsidR="00E6043D">
          <w:rPr>
            <w:noProof/>
            <w:webHidden/>
          </w:rPr>
          <w:instrText xml:space="preserve"> PAGEREF _Toc462685118 \h </w:instrText>
        </w:r>
        <w:r w:rsidR="00E6043D">
          <w:rPr>
            <w:noProof/>
            <w:webHidden/>
          </w:rPr>
        </w:r>
        <w:r w:rsidR="00E6043D">
          <w:rPr>
            <w:noProof/>
            <w:webHidden/>
          </w:rPr>
          <w:fldChar w:fldCharType="separate"/>
        </w:r>
        <w:r w:rsidR="00E6043D">
          <w:rPr>
            <w:noProof/>
            <w:webHidden/>
          </w:rPr>
          <w:t>230</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19" w:history="1">
        <w:r w:rsidR="00E6043D" w:rsidRPr="00F86057">
          <w:rPr>
            <w:rStyle w:val="Hyperlink"/>
            <w:noProof/>
          </w:rPr>
          <w:t xml:space="preserve">Table 50. </w:t>
        </w:r>
        <w:r w:rsidR="00E6043D" w:rsidRPr="00F86057">
          <w:rPr>
            <w:rStyle w:val="Hyperlink"/>
            <w:i/>
            <w:noProof/>
          </w:rPr>
          <w:t>Percent carbon in seagrass leaf tissue from published literature.</w:t>
        </w:r>
        <w:r w:rsidR="00E6043D">
          <w:rPr>
            <w:noProof/>
            <w:webHidden/>
          </w:rPr>
          <w:tab/>
        </w:r>
        <w:r w:rsidR="00E6043D">
          <w:rPr>
            <w:noProof/>
            <w:webHidden/>
          </w:rPr>
          <w:fldChar w:fldCharType="begin"/>
        </w:r>
        <w:r w:rsidR="00E6043D">
          <w:rPr>
            <w:noProof/>
            <w:webHidden/>
          </w:rPr>
          <w:instrText xml:space="preserve"> PAGEREF _Toc462685119 \h </w:instrText>
        </w:r>
        <w:r w:rsidR="00E6043D">
          <w:rPr>
            <w:noProof/>
            <w:webHidden/>
          </w:rPr>
        </w:r>
        <w:r w:rsidR="00E6043D">
          <w:rPr>
            <w:noProof/>
            <w:webHidden/>
          </w:rPr>
          <w:fldChar w:fldCharType="separate"/>
        </w:r>
        <w:r w:rsidR="00E6043D">
          <w:rPr>
            <w:noProof/>
            <w:webHidden/>
          </w:rPr>
          <w:t>232</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20" w:history="1">
        <w:r w:rsidR="00E6043D" w:rsidRPr="00F86057">
          <w:rPr>
            <w:rStyle w:val="Hyperlink"/>
            <w:noProof/>
          </w:rPr>
          <w:t xml:space="preserve">Table 51. </w:t>
        </w:r>
        <w:r w:rsidR="00E6043D" w:rsidRPr="00F86057">
          <w:rPr>
            <w:rStyle w:val="Hyperlink"/>
            <w:i/>
            <w:noProof/>
          </w:rPr>
          <w:t>Summary of GAMM for average cover vs time analysis for 2014-15.</w:t>
        </w:r>
        <w:r w:rsidR="00E6043D">
          <w:rPr>
            <w:noProof/>
            <w:webHidden/>
          </w:rPr>
          <w:tab/>
        </w:r>
        <w:r w:rsidR="00E6043D">
          <w:rPr>
            <w:noProof/>
            <w:webHidden/>
          </w:rPr>
          <w:fldChar w:fldCharType="begin"/>
        </w:r>
        <w:r w:rsidR="00E6043D">
          <w:rPr>
            <w:noProof/>
            <w:webHidden/>
          </w:rPr>
          <w:instrText xml:space="preserve"> PAGEREF _Toc462685120 \h </w:instrText>
        </w:r>
        <w:r w:rsidR="00E6043D">
          <w:rPr>
            <w:noProof/>
            <w:webHidden/>
          </w:rPr>
        </w:r>
        <w:r w:rsidR="00E6043D">
          <w:rPr>
            <w:noProof/>
            <w:webHidden/>
          </w:rPr>
          <w:fldChar w:fldCharType="separate"/>
        </w:r>
        <w:r w:rsidR="00E6043D">
          <w:rPr>
            <w:noProof/>
            <w:webHidden/>
          </w:rPr>
          <w:t>234</w:t>
        </w:r>
        <w:r w:rsidR="00E6043D">
          <w:rPr>
            <w:noProof/>
            <w:webHidden/>
          </w:rPr>
          <w:fldChar w:fldCharType="end"/>
        </w:r>
      </w:hyperlink>
    </w:p>
    <w:p w:rsidR="00E6043D" w:rsidRDefault="00AF19E7">
      <w:pPr>
        <w:pStyle w:val="TableofFigures"/>
        <w:tabs>
          <w:tab w:val="right" w:leader="dot" w:pos="9060"/>
        </w:tabs>
        <w:rPr>
          <w:rFonts w:asciiTheme="minorHAnsi" w:eastAsiaTheme="minorEastAsia" w:hAnsiTheme="minorHAnsi" w:cstheme="minorBidi"/>
          <w:noProof/>
          <w:szCs w:val="22"/>
          <w:lang w:eastAsia="en-AU"/>
        </w:rPr>
      </w:pPr>
      <w:hyperlink w:anchor="_Toc462685121" w:history="1">
        <w:r w:rsidR="00E6043D" w:rsidRPr="00F86057">
          <w:rPr>
            <w:rStyle w:val="Hyperlink"/>
            <w:noProof/>
          </w:rPr>
          <w:t xml:space="preserve">Table 52. </w:t>
        </w:r>
        <w:r w:rsidR="00E6043D" w:rsidRPr="00F86057">
          <w:rPr>
            <w:rStyle w:val="Hyperlink"/>
            <w:i/>
            <w:noProof/>
          </w:rPr>
          <w:t xml:space="preserve"> Summary of GAMM statistical output for light vs time analysis for 2014-15.</w:t>
        </w:r>
        <w:r w:rsidR="00E6043D">
          <w:rPr>
            <w:noProof/>
            <w:webHidden/>
          </w:rPr>
          <w:tab/>
        </w:r>
        <w:r w:rsidR="00E6043D">
          <w:rPr>
            <w:noProof/>
            <w:webHidden/>
          </w:rPr>
          <w:fldChar w:fldCharType="begin"/>
        </w:r>
        <w:r w:rsidR="00E6043D">
          <w:rPr>
            <w:noProof/>
            <w:webHidden/>
          </w:rPr>
          <w:instrText xml:space="preserve"> PAGEREF _Toc462685121 \h </w:instrText>
        </w:r>
        <w:r w:rsidR="00E6043D">
          <w:rPr>
            <w:noProof/>
            <w:webHidden/>
          </w:rPr>
        </w:r>
        <w:r w:rsidR="00E6043D">
          <w:rPr>
            <w:noProof/>
            <w:webHidden/>
          </w:rPr>
          <w:fldChar w:fldCharType="separate"/>
        </w:r>
        <w:r w:rsidR="00E6043D">
          <w:rPr>
            <w:noProof/>
            <w:webHidden/>
          </w:rPr>
          <w:t>235</w:t>
        </w:r>
        <w:r w:rsidR="00E6043D">
          <w:rPr>
            <w:noProof/>
            <w:webHidden/>
          </w:rPr>
          <w:fldChar w:fldCharType="end"/>
        </w:r>
      </w:hyperlink>
    </w:p>
    <w:p w:rsidR="001F4593" w:rsidRPr="0095258E" w:rsidRDefault="001F4593" w:rsidP="001F4593">
      <w:pPr>
        <w:tabs>
          <w:tab w:val="right" w:leader="dot" w:pos="9060"/>
        </w:tabs>
        <w:ind w:left="567" w:hanging="567"/>
        <w:rPr>
          <w:rFonts w:cs="Arial"/>
          <w:color w:val="000000"/>
        </w:rPr>
      </w:pPr>
      <w:r w:rsidRPr="002E6AD0">
        <w:rPr>
          <w:rFonts w:cs="Arial"/>
          <w:color w:val="000000"/>
        </w:rPr>
        <w:fldChar w:fldCharType="end"/>
      </w:r>
    </w:p>
    <w:p w:rsidR="001F4593" w:rsidRPr="0095258E" w:rsidRDefault="001F4593" w:rsidP="001F4593">
      <w:pPr>
        <w:pStyle w:val="Heading1"/>
        <w:pageBreakBefore w:val="0"/>
        <w:numPr>
          <w:ilvl w:val="0"/>
          <w:numId w:val="0"/>
        </w:numPr>
        <w:rPr>
          <w:rFonts w:ascii="Century Gothic" w:hAnsi="Century Gothic"/>
          <w:color w:val="000000"/>
        </w:rPr>
      </w:pPr>
      <w:r w:rsidRPr="0095258E">
        <w:rPr>
          <w:color w:val="000000"/>
        </w:rPr>
        <w:br w:type="page"/>
      </w:r>
      <w:bookmarkStart w:id="1" w:name="_Toc265677012"/>
      <w:bookmarkStart w:id="2" w:name="_Toc184101939"/>
      <w:bookmarkStart w:id="3" w:name="_Toc462047312"/>
      <w:r w:rsidRPr="0095258E">
        <w:rPr>
          <w:rFonts w:ascii="Century Gothic" w:hAnsi="Century Gothic"/>
          <w:color w:val="000000"/>
        </w:rPr>
        <w:lastRenderedPageBreak/>
        <w:t xml:space="preserve">Acronyms </w:t>
      </w:r>
      <w:r w:rsidRPr="004C62BA">
        <w:rPr>
          <w:rFonts w:ascii="Century Gothic" w:hAnsi="Century Gothic"/>
          <w:color w:val="000000"/>
        </w:rPr>
        <w:t>&amp; A</w:t>
      </w:r>
      <w:r>
        <w:rPr>
          <w:rFonts w:ascii="Century Gothic" w:hAnsi="Century Gothic"/>
          <w:color w:val="000000"/>
        </w:rPr>
        <w:t>bbreviations</w:t>
      </w:r>
      <w:r w:rsidRPr="004C62BA">
        <w:rPr>
          <w:rFonts w:ascii="Century Gothic" w:hAnsi="Century Gothic"/>
          <w:color w:val="000000"/>
        </w:rPr>
        <w:t xml:space="preserve"> </w:t>
      </w:r>
      <w:r w:rsidRPr="0095258E">
        <w:rPr>
          <w:rFonts w:ascii="Century Gothic" w:hAnsi="Century Gothic"/>
          <w:color w:val="000000"/>
        </w:rPr>
        <w:t>Used In This Report</w:t>
      </w:r>
      <w:bookmarkEnd w:id="1"/>
      <w:bookmarkEnd w:id="2"/>
      <w:bookmarkEnd w:id="3"/>
    </w:p>
    <w:p w:rsidR="001F4593" w:rsidRPr="004C62BA" w:rsidRDefault="001F4593" w:rsidP="001F4593">
      <w:pPr>
        <w:tabs>
          <w:tab w:val="left" w:pos="1701"/>
        </w:tabs>
        <w:ind w:left="1701" w:hanging="1701"/>
        <w:rPr>
          <w:rFonts w:cs="Calibri"/>
          <w:color w:val="000000"/>
          <w:szCs w:val="22"/>
          <w:lang w:val="en-GB" w:eastAsia="en-AU"/>
        </w:rPr>
      </w:pPr>
      <w:r w:rsidRPr="004C62BA">
        <w:rPr>
          <w:rFonts w:cs="Calibri"/>
          <w:color w:val="000000"/>
          <w:szCs w:val="22"/>
          <w:lang w:val="en-GB" w:eastAsia="en-AU"/>
        </w:rPr>
        <w:t>CV</w:t>
      </w:r>
      <w:r>
        <w:rPr>
          <w:rFonts w:cs="Calibri"/>
          <w:color w:val="000000"/>
          <w:szCs w:val="22"/>
          <w:lang w:val="en-GB" w:eastAsia="en-AU"/>
        </w:rPr>
        <w:tab/>
      </w:r>
      <w:r w:rsidRPr="004C62BA">
        <w:rPr>
          <w:rFonts w:cs="Calibri"/>
          <w:color w:val="000000"/>
          <w:szCs w:val="22"/>
          <w:lang w:val="en-GB" w:eastAsia="en-AU"/>
        </w:rPr>
        <w:t>coefficient of variation</w:t>
      </w:r>
    </w:p>
    <w:p w:rsidR="001F4593" w:rsidRPr="0095258E" w:rsidRDefault="001F4593" w:rsidP="001F4593">
      <w:pPr>
        <w:tabs>
          <w:tab w:val="left" w:pos="1701"/>
        </w:tabs>
        <w:ind w:left="1701" w:hanging="1701"/>
        <w:rPr>
          <w:color w:val="000000"/>
          <w:szCs w:val="22"/>
        </w:rPr>
      </w:pPr>
      <w:r w:rsidRPr="0095258E">
        <w:rPr>
          <w:color w:val="000000"/>
          <w:szCs w:val="22"/>
        </w:rPr>
        <w:t>DAFF</w:t>
      </w:r>
      <w:r w:rsidRPr="0095258E">
        <w:rPr>
          <w:color w:val="000000"/>
          <w:szCs w:val="22"/>
        </w:rPr>
        <w:tab/>
        <w:t>Department of Agriculture, Fisheries and Forestry</w:t>
      </w:r>
    </w:p>
    <w:p w:rsidR="001F4593" w:rsidRPr="0095258E" w:rsidRDefault="001F4593" w:rsidP="001F4593">
      <w:pPr>
        <w:tabs>
          <w:tab w:val="left" w:pos="1701"/>
        </w:tabs>
        <w:ind w:left="1701" w:hanging="1701"/>
        <w:rPr>
          <w:color w:val="000000"/>
          <w:szCs w:val="22"/>
        </w:rPr>
      </w:pPr>
      <w:r w:rsidRPr="0095258E">
        <w:rPr>
          <w:color w:val="000000"/>
          <w:szCs w:val="22"/>
        </w:rPr>
        <w:t>DERM</w:t>
      </w:r>
      <w:r w:rsidRPr="0095258E">
        <w:rPr>
          <w:color w:val="000000"/>
          <w:szCs w:val="22"/>
        </w:rPr>
        <w:tab/>
        <w:t>Department of Environment and Resource Management</w:t>
      </w:r>
    </w:p>
    <w:p w:rsidR="001F4593" w:rsidRPr="0095258E" w:rsidRDefault="001F4593" w:rsidP="001F4593">
      <w:pPr>
        <w:tabs>
          <w:tab w:val="left" w:pos="1701"/>
        </w:tabs>
        <w:ind w:left="1701" w:hanging="1701"/>
        <w:rPr>
          <w:color w:val="000000"/>
          <w:szCs w:val="22"/>
        </w:rPr>
      </w:pPr>
      <w:r w:rsidRPr="0095258E">
        <w:rPr>
          <w:color w:val="000000"/>
          <w:szCs w:val="22"/>
        </w:rPr>
        <w:t>Fisheries QLD</w:t>
      </w:r>
      <w:r w:rsidRPr="0095258E">
        <w:rPr>
          <w:color w:val="000000"/>
          <w:szCs w:val="22"/>
        </w:rPr>
        <w:tab/>
        <w:t>Fisheries Queensland (DAFF)</w:t>
      </w:r>
    </w:p>
    <w:p w:rsidR="001F4593" w:rsidRPr="0095258E" w:rsidRDefault="001F4593" w:rsidP="001F4593">
      <w:pPr>
        <w:tabs>
          <w:tab w:val="left" w:pos="1701"/>
        </w:tabs>
        <w:ind w:left="1701" w:hanging="1701"/>
        <w:rPr>
          <w:color w:val="000000"/>
          <w:szCs w:val="22"/>
        </w:rPr>
      </w:pPr>
      <w:r w:rsidRPr="0095258E">
        <w:rPr>
          <w:color w:val="000000"/>
          <w:szCs w:val="22"/>
        </w:rPr>
        <w:t>GBR</w:t>
      </w:r>
      <w:r w:rsidRPr="0095258E">
        <w:rPr>
          <w:color w:val="000000"/>
          <w:szCs w:val="22"/>
        </w:rPr>
        <w:tab/>
        <w:t>Great Barrier Reef</w:t>
      </w:r>
    </w:p>
    <w:p w:rsidR="001F4593" w:rsidRPr="0095258E" w:rsidRDefault="001F4593" w:rsidP="001F4593">
      <w:pPr>
        <w:tabs>
          <w:tab w:val="left" w:pos="1701"/>
        </w:tabs>
        <w:ind w:left="1701" w:hanging="1701"/>
        <w:rPr>
          <w:color w:val="000000"/>
          <w:szCs w:val="22"/>
        </w:rPr>
      </w:pPr>
      <w:r w:rsidRPr="0095258E">
        <w:rPr>
          <w:color w:val="000000"/>
          <w:szCs w:val="22"/>
        </w:rPr>
        <w:t>GBRMPA</w:t>
      </w:r>
      <w:r w:rsidRPr="0095258E">
        <w:rPr>
          <w:color w:val="000000"/>
          <w:szCs w:val="22"/>
        </w:rPr>
        <w:tab/>
        <w:t>Great Barrier Reef Marine Park Authority</w:t>
      </w:r>
    </w:p>
    <w:p w:rsidR="001F4593" w:rsidRPr="0095258E" w:rsidRDefault="001F4593" w:rsidP="001F4593">
      <w:pPr>
        <w:tabs>
          <w:tab w:val="left" w:pos="1701"/>
        </w:tabs>
        <w:ind w:left="1701" w:hanging="1701"/>
        <w:rPr>
          <w:color w:val="000000"/>
          <w:szCs w:val="22"/>
        </w:rPr>
      </w:pPr>
      <w:r w:rsidRPr="0095258E">
        <w:rPr>
          <w:color w:val="000000"/>
          <w:szCs w:val="22"/>
        </w:rPr>
        <w:t>JCU</w:t>
      </w:r>
      <w:r w:rsidRPr="0095258E">
        <w:rPr>
          <w:color w:val="000000"/>
          <w:szCs w:val="22"/>
        </w:rPr>
        <w:tab/>
        <w:t xml:space="preserve">James Cook University </w:t>
      </w:r>
    </w:p>
    <w:p w:rsidR="001F4593" w:rsidRPr="004C62BA" w:rsidRDefault="001F4593" w:rsidP="001F4593">
      <w:pPr>
        <w:tabs>
          <w:tab w:val="left" w:pos="1701"/>
        </w:tabs>
        <w:ind w:left="1701" w:hanging="1701"/>
        <w:rPr>
          <w:color w:val="000000"/>
          <w:szCs w:val="22"/>
        </w:rPr>
      </w:pPr>
      <w:proofErr w:type="gramStart"/>
      <w:r w:rsidRPr="004C62BA">
        <w:rPr>
          <w:color w:val="000000"/>
          <w:szCs w:val="22"/>
        </w:rPr>
        <w:t>km</w:t>
      </w:r>
      <w:proofErr w:type="gramEnd"/>
      <w:r w:rsidRPr="004C62BA">
        <w:rPr>
          <w:color w:val="000000"/>
          <w:szCs w:val="22"/>
        </w:rPr>
        <w:tab/>
        <w:t>kilometre</w:t>
      </w:r>
    </w:p>
    <w:p w:rsidR="001F4593" w:rsidRPr="004C62BA" w:rsidRDefault="001F4593" w:rsidP="001F4593">
      <w:pPr>
        <w:tabs>
          <w:tab w:val="left" w:pos="1701"/>
        </w:tabs>
        <w:ind w:left="1701" w:hanging="1701"/>
        <w:rPr>
          <w:color w:val="000000"/>
          <w:szCs w:val="22"/>
        </w:rPr>
      </w:pPr>
      <w:proofErr w:type="gramStart"/>
      <w:r w:rsidRPr="004C62BA">
        <w:rPr>
          <w:color w:val="000000"/>
          <w:szCs w:val="22"/>
        </w:rPr>
        <w:t>m</w:t>
      </w:r>
      <w:proofErr w:type="gramEnd"/>
      <w:r w:rsidRPr="004C62BA">
        <w:rPr>
          <w:color w:val="000000"/>
          <w:szCs w:val="22"/>
        </w:rPr>
        <w:tab/>
        <w:t>metre</w:t>
      </w:r>
    </w:p>
    <w:p w:rsidR="001F4593" w:rsidRPr="0095258E" w:rsidRDefault="001F4593" w:rsidP="001F4593">
      <w:pPr>
        <w:tabs>
          <w:tab w:val="left" w:pos="1701"/>
        </w:tabs>
        <w:ind w:left="1701" w:hanging="1701"/>
        <w:rPr>
          <w:color w:val="000000"/>
          <w:szCs w:val="22"/>
        </w:rPr>
      </w:pPr>
      <w:r w:rsidRPr="0095258E">
        <w:rPr>
          <w:color w:val="000000"/>
          <w:szCs w:val="22"/>
        </w:rPr>
        <w:t>MMP</w:t>
      </w:r>
      <w:r w:rsidRPr="0095258E">
        <w:rPr>
          <w:color w:val="000000"/>
          <w:szCs w:val="22"/>
        </w:rPr>
        <w:tab/>
        <w:t>Marine Monitoring Program</w:t>
      </w:r>
    </w:p>
    <w:p w:rsidR="001F4593" w:rsidRPr="0095258E" w:rsidRDefault="001F4593" w:rsidP="001F4593">
      <w:pPr>
        <w:tabs>
          <w:tab w:val="left" w:pos="1701"/>
        </w:tabs>
        <w:ind w:left="1701" w:hanging="1701"/>
        <w:rPr>
          <w:color w:val="000000"/>
          <w:szCs w:val="22"/>
        </w:rPr>
      </w:pPr>
      <w:r w:rsidRPr="0095258E">
        <w:rPr>
          <w:color w:val="000000"/>
          <w:szCs w:val="22"/>
        </w:rPr>
        <w:t>NRM</w:t>
      </w:r>
      <w:r w:rsidRPr="0095258E">
        <w:rPr>
          <w:color w:val="000000"/>
          <w:szCs w:val="22"/>
        </w:rPr>
        <w:tab/>
        <w:t xml:space="preserve">Natural Resource Management </w:t>
      </w:r>
    </w:p>
    <w:p w:rsidR="001F4593" w:rsidRPr="0095258E" w:rsidRDefault="001F4593" w:rsidP="001F4593">
      <w:pPr>
        <w:tabs>
          <w:tab w:val="left" w:pos="1701"/>
        </w:tabs>
        <w:ind w:left="1701" w:hanging="1701"/>
        <w:rPr>
          <w:color w:val="000000"/>
          <w:szCs w:val="22"/>
        </w:rPr>
      </w:pPr>
      <w:r w:rsidRPr="0095258E">
        <w:rPr>
          <w:color w:val="000000"/>
          <w:szCs w:val="22"/>
        </w:rPr>
        <w:t>Paddock to Reef</w:t>
      </w:r>
      <w:r w:rsidRPr="0095258E">
        <w:rPr>
          <w:color w:val="000000"/>
          <w:szCs w:val="22"/>
        </w:rPr>
        <w:tab/>
        <w:t>Paddock to Reef Integrated Monitoring, Modelling and Reporting Program</w:t>
      </w:r>
    </w:p>
    <w:p w:rsidR="001F4593" w:rsidRPr="004C62BA" w:rsidRDefault="001F4593" w:rsidP="001F4593">
      <w:pPr>
        <w:tabs>
          <w:tab w:val="left" w:pos="1701"/>
        </w:tabs>
        <w:ind w:left="1701" w:hanging="1701"/>
        <w:rPr>
          <w:color w:val="000000"/>
          <w:szCs w:val="22"/>
        </w:rPr>
      </w:pPr>
      <w:r>
        <w:rPr>
          <w:color w:val="000000"/>
          <w:szCs w:val="22"/>
        </w:rPr>
        <w:t>SE</w:t>
      </w:r>
      <w:r w:rsidRPr="004C62BA">
        <w:rPr>
          <w:color w:val="000000"/>
          <w:szCs w:val="22"/>
        </w:rPr>
        <w:tab/>
        <w:t>Standard Error</w:t>
      </w:r>
    </w:p>
    <w:p w:rsidR="001F4593" w:rsidRPr="004C62BA" w:rsidRDefault="001F4593" w:rsidP="001F4593">
      <w:pPr>
        <w:tabs>
          <w:tab w:val="left" w:pos="1701"/>
        </w:tabs>
        <w:ind w:left="1701" w:hanging="1701"/>
        <w:rPr>
          <w:color w:val="000000"/>
          <w:szCs w:val="22"/>
        </w:rPr>
      </w:pPr>
      <w:proofErr w:type="spellStart"/>
      <w:r w:rsidRPr="004C62BA">
        <w:rPr>
          <w:color w:val="000000"/>
          <w:szCs w:val="22"/>
        </w:rPr>
        <w:t>TropWATER</w:t>
      </w:r>
      <w:proofErr w:type="spellEnd"/>
      <w:r w:rsidRPr="004C62BA">
        <w:rPr>
          <w:color w:val="000000"/>
          <w:szCs w:val="22"/>
        </w:rPr>
        <w:tab/>
        <w:t>Centre for Tropical Water &amp; Aquatic Ecosystem Research</w:t>
      </w:r>
    </w:p>
    <w:p w:rsidR="001F4593" w:rsidRDefault="001F4593" w:rsidP="001F4593">
      <w:pPr>
        <w:tabs>
          <w:tab w:val="left" w:pos="1701"/>
        </w:tabs>
        <w:ind w:left="1701" w:hanging="1701"/>
        <w:rPr>
          <w:color w:val="000000"/>
          <w:szCs w:val="22"/>
          <w:lang w:val="en-US"/>
        </w:rPr>
      </w:pPr>
      <w:r w:rsidRPr="0086636D">
        <w:rPr>
          <w:color w:val="000000"/>
          <w:szCs w:val="22"/>
          <w:lang w:val="en-US"/>
        </w:rPr>
        <w:t>QPSMP</w:t>
      </w:r>
      <w:r>
        <w:rPr>
          <w:color w:val="000000"/>
          <w:szCs w:val="22"/>
          <w:lang w:val="en-US"/>
        </w:rPr>
        <w:tab/>
      </w:r>
      <w:r w:rsidRPr="0086636D">
        <w:rPr>
          <w:color w:val="000000"/>
          <w:szCs w:val="22"/>
          <w:lang w:val="en-US"/>
        </w:rPr>
        <w:t>Queensland Por</w:t>
      </w:r>
      <w:r>
        <w:rPr>
          <w:color w:val="000000"/>
          <w:szCs w:val="22"/>
          <w:lang w:val="en-US"/>
        </w:rPr>
        <w:t>ts Seagrass Monitoring Program</w:t>
      </w:r>
    </w:p>
    <w:p w:rsidR="001F4593" w:rsidRPr="004C62BA" w:rsidRDefault="001F4593" w:rsidP="001F4593">
      <w:pPr>
        <w:tabs>
          <w:tab w:val="left" w:pos="1701"/>
        </w:tabs>
        <w:ind w:left="1701" w:hanging="1701"/>
        <w:rPr>
          <w:rFonts w:cs="Calibri"/>
          <w:color w:val="000000"/>
          <w:szCs w:val="22"/>
          <w:lang w:eastAsia="en-AU"/>
        </w:rPr>
      </w:pPr>
    </w:p>
    <w:p w:rsidR="001F4593" w:rsidRPr="0095258E" w:rsidRDefault="001F4593" w:rsidP="001F4593">
      <w:pPr>
        <w:tabs>
          <w:tab w:val="left" w:pos="1701"/>
        </w:tabs>
        <w:ind w:left="1701" w:hanging="1701"/>
        <w:rPr>
          <w:color w:val="000000"/>
          <w:szCs w:val="22"/>
        </w:rPr>
      </w:pPr>
    </w:p>
    <w:p w:rsidR="001F4593" w:rsidRPr="00015190" w:rsidRDefault="001F4593" w:rsidP="001F4593">
      <w:pPr>
        <w:pStyle w:val="Heading1"/>
        <w:pageBreakBefore w:val="0"/>
        <w:numPr>
          <w:ilvl w:val="0"/>
          <w:numId w:val="0"/>
        </w:numPr>
        <w:rPr>
          <w:rFonts w:ascii="Century Gothic" w:hAnsi="Century Gothic"/>
          <w:color w:val="000000"/>
        </w:rPr>
      </w:pPr>
      <w:r w:rsidRPr="00015190">
        <w:rPr>
          <w:color w:val="0000FF"/>
        </w:rPr>
        <w:br w:type="page"/>
      </w:r>
      <w:bookmarkStart w:id="4" w:name="_Toc462047313"/>
      <w:r w:rsidRPr="00015190">
        <w:rPr>
          <w:rFonts w:ascii="Century Gothic" w:hAnsi="Century Gothic"/>
          <w:color w:val="000000"/>
        </w:rPr>
        <w:lastRenderedPageBreak/>
        <w:t>Acknowledgements</w:t>
      </w:r>
      <w:bookmarkEnd w:id="4"/>
    </w:p>
    <w:p w:rsidR="001F4593" w:rsidRPr="00145B89" w:rsidRDefault="001F4593" w:rsidP="001F4593">
      <w:pPr>
        <w:rPr>
          <w:szCs w:val="22"/>
        </w:rPr>
      </w:pPr>
      <w:r w:rsidRPr="00145B89">
        <w:rPr>
          <w:szCs w:val="22"/>
        </w:rPr>
        <w:t xml:space="preserve">We thank Louise Johns and Christina </w:t>
      </w:r>
      <w:proofErr w:type="spellStart"/>
      <w:r w:rsidRPr="00145B89">
        <w:rPr>
          <w:szCs w:val="22"/>
        </w:rPr>
        <w:t>Howley</w:t>
      </w:r>
      <w:proofErr w:type="spellEnd"/>
      <w:r w:rsidRPr="00145B89">
        <w:rPr>
          <w:szCs w:val="22"/>
        </w:rPr>
        <w:t xml:space="preserve"> for their assistance with field collections. We also thank the volunteers who assisted with field monitoring in Townsville and Pioneer Bay, and Nicky Yoshida for assisting with the processing of laboratory samples.</w:t>
      </w:r>
      <w:r w:rsidR="00145B89" w:rsidRPr="00145B89">
        <w:rPr>
          <w:szCs w:val="22"/>
        </w:rPr>
        <w:t xml:space="preserve"> We thank Dieter Tracey for production of flood plume exposure maps included in this report.</w:t>
      </w:r>
    </w:p>
    <w:p w:rsidR="001F4593" w:rsidRPr="0072117E" w:rsidRDefault="001F4593" w:rsidP="001F4593">
      <w:pPr>
        <w:rPr>
          <w:szCs w:val="22"/>
          <w:lang w:eastAsia="en-AU"/>
        </w:rPr>
      </w:pPr>
      <w:r w:rsidRPr="0072117E">
        <w:rPr>
          <w:szCs w:val="22"/>
        </w:rPr>
        <w:t>We thank the Range Control Officer (Department of Defence) for providing support and access to the Shoalwater Bay Training Area to conduct biannual monitoring;</w:t>
      </w:r>
      <w:r w:rsidRPr="0072117E">
        <w:rPr>
          <w:szCs w:val="22"/>
          <w:lang w:eastAsia="en-AU"/>
        </w:rPr>
        <w:t xml:space="preserve"> Great Adventures (part of the Quicksilver Group) for providing discounted transfers to Green Island; and </w:t>
      </w:r>
      <w:r w:rsidR="00216E1F" w:rsidRPr="00216E1F">
        <w:rPr>
          <w:szCs w:val="22"/>
          <w:lang w:eastAsia="en-AU"/>
        </w:rPr>
        <w:t>Steven “</w:t>
      </w:r>
      <w:proofErr w:type="spellStart"/>
      <w:r w:rsidR="00216E1F" w:rsidRPr="00216E1F">
        <w:rPr>
          <w:szCs w:val="22"/>
          <w:lang w:eastAsia="en-AU"/>
        </w:rPr>
        <w:t>Fozzy</w:t>
      </w:r>
      <w:proofErr w:type="spellEnd"/>
      <w:r w:rsidR="00216E1F" w:rsidRPr="00216E1F">
        <w:rPr>
          <w:szCs w:val="22"/>
          <w:lang w:eastAsia="en-AU"/>
        </w:rPr>
        <w:t>” Foster and Nancy Lowe</w:t>
      </w:r>
      <w:r w:rsidR="00216E1F">
        <w:rPr>
          <w:szCs w:val="22"/>
          <w:lang w:eastAsia="en-AU"/>
        </w:rPr>
        <w:t xml:space="preserve"> of </w:t>
      </w:r>
      <w:r w:rsidRPr="0072117E">
        <w:rPr>
          <w:szCs w:val="22"/>
          <w:lang w:eastAsia="en-AU"/>
        </w:rPr>
        <w:t xml:space="preserve">Dunk Island </w:t>
      </w:r>
      <w:r w:rsidR="00216E1F">
        <w:rPr>
          <w:szCs w:val="22"/>
          <w:lang w:eastAsia="en-AU"/>
        </w:rPr>
        <w:t>W</w:t>
      </w:r>
      <w:r w:rsidRPr="0072117E">
        <w:rPr>
          <w:szCs w:val="22"/>
          <w:lang w:eastAsia="en-AU"/>
        </w:rPr>
        <w:t xml:space="preserve">ater </w:t>
      </w:r>
      <w:r w:rsidR="00216E1F">
        <w:rPr>
          <w:szCs w:val="22"/>
          <w:lang w:eastAsia="en-AU"/>
        </w:rPr>
        <w:t>T</w:t>
      </w:r>
      <w:r w:rsidRPr="0072117E">
        <w:rPr>
          <w:szCs w:val="22"/>
          <w:lang w:eastAsia="en-AU"/>
        </w:rPr>
        <w:t>axi for assistance with the maintenance of light loggers at Mission Beach.</w:t>
      </w:r>
      <w:r w:rsidRPr="0072117E">
        <w:rPr>
          <w:szCs w:val="22"/>
        </w:rPr>
        <w:t xml:space="preserve"> We also thank </w:t>
      </w:r>
      <w:r w:rsidRPr="0072117E">
        <w:rPr>
          <w:szCs w:val="22"/>
          <w:lang w:eastAsia="en-AU"/>
        </w:rPr>
        <w:t>the Traditional Owners of the Sea Countries we visited to conduct our monitoring.</w:t>
      </w:r>
    </w:p>
    <w:p w:rsidR="001F4593" w:rsidRPr="0072117E" w:rsidRDefault="001F4593" w:rsidP="001F4593">
      <w:pPr>
        <w:spacing w:after="0"/>
        <w:rPr>
          <w:szCs w:val="22"/>
        </w:rPr>
      </w:pPr>
      <w:r w:rsidRPr="0072117E">
        <w:rPr>
          <w:szCs w:val="22"/>
        </w:rPr>
        <w:t>River discharge data provided by the State of Queensland (Department of Natural Resources and Mines) 2015. The conceptual diagram symbols are courtesy of the Integration and Application Network (ian.umces.edu/symbols/), University of Maryland Center for Environmental Science. Climate data courtesy of the Australian Bureau of Meteorology, and tide data courtesy Maritime Safety Queensland, Department of Transport and Main Roads.</w:t>
      </w:r>
    </w:p>
    <w:p w:rsidR="001F4593" w:rsidRDefault="001F4593" w:rsidP="001F4593">
      <w:pPr>
        <w:rPr>
          <w:color w:val="000000"/>
          <w:szCs w:val="22"/>
        </w:rPr>
      </w:pPr>
    </w:p>
    <w:p w:rsidR="001F4593" w:rsidRDefault="001F4593" w:rsidP="001F4593">
      <w:pPr>
        <w:rPr>
          <w:color w:val="000000"/>
          <w:szCs w:val="22"/>
        </w:rPr>
      </w:pPr>
    </w:p>
    <w:p w:rsidR="001F4593" w:rsidRPr="006E0687" w:rsidRDefault="001F4593" w:rsidP="001F4593">
      <w:pPr>
        <w:rPr>
          <w:color w:val="000000"/>
          <w:szCs w:val="22"/>
        </w:rPr>
      </w:pPr>
    </w:p>
    <w:p w:rsidR="005132EF" w:rsidRPr="006E0687" w:rsidRDefault="005132EF" w:rsidP="00034AD4">
      <w:pPr>
        <w:rPr>
          <w:color w:val="000000"/>
        </w:rPr>
      </w:pPr>
    </w:p>
    <w:p w:rsidR="005132EF" w:rsidRPr="00015190" w:rsidRDefault="005132EF" w:rsidP="00034AD4">
      <w:pPr>
        <w:rPr>
          <w:color w:val="0000FF"/>
        </w:rPr>
        <w:sectPr w:rsidR="005132EF" w:rsidRPr="00015190" w:rsidSect="00034AD4">
          <w:headerReference w:type="even" r:id="rId18"/>
          <w:headerReference w:type="default" r:id="rId19"/>
          <w:footerReference w:type="even" r:id="rId20"/>
          <w:footerReference w:type="default" r:id="rId21"/>
          <w:headerReference w:type="first" r:id="rId22"/>
          <w:pgSz w:w="11906" w:h="16838" w:code="9"/>
          <w:pgMar w:top="1418" w:right="1418" w:bottom="1418" w:left="1418" w:header="709" w:footer="709" w:gutter="0"/>
          <w:pgNumType w:fmt="lowerRoman" w:start="1"/>
          <w:cols w:space="708"/>
          <w:titlePg/>
          <w:docGrid w:linePitch="360"/>
        </w:sectPr>
      </w:pPr>
    </w:p>
    <w:p w:rsidR="005132EF" w:rsidRPr="00015190" w:rsidRDefault="005132EF" w:rsidP="006E13F5">
      <w:pPr>
        <w:pStyle w:val="Heading1"/>
        <w:numPr>
          <w:ilvl w:val="0"/>
          <w:numId w:val="0"/>
        </w:numPr>
        <w:spacing w:before="0"/>
        <w:rPr>
          <w:rFonts w:ascii="Century Gothic" w:hAnsi="Century Gothic"/>
          <w:color w:val="000000"/>
          <w:sz w:val="36"/>
          <w:szCs w:val="36"/>
        </w:rPr>
      </w:pPr>
      <w:bookmarkStart w:id="5" w:name="_Toc176079531"/>
      <w:bookmarkStart w:id="6" w:name="_Toc232845888"/>
      <w:bookmarkStart w:id="7" w:name="_Toc184101941"/>
      <w:bookmarkStart w:id="8" w:name="_Toc431493732"/>
      <w:bookmarkStart w:id="9" w:name="_Toc462047314"/>
      <w:bookmarkStart w:id="10" w:name="OLE_LINK1"/>
      <w:bookmarkStart w:id="11" w:name="OLE_LINK2"/>
      <w:bookmarkStart w:id="12" w:name="_Toc175991037"/>
      <w:r w:rsidRPr="00015190">
        <w:rPr>
          <w:rFonts w:ascii="Century Gothic" w:hAnsi="Century Gothic"/>
          <w:color w:val="000000"/>
          <w:sz w:val="36"/>
          <w:szCs w:val="36"/>
        </w:rPr>
        <w:lastRenderedPageBreak/>
        <w:t>Executive summary</w:t>
      </w:r>
      <w:bookmarkEnd w:id="5"/>
      <w:bookmarkEnd w:id="6"/>
      <w:bookmarkEnd w:id="7"/>
      <w:bookmarkEnd w:id="8"/>
      <w:bookmarkEnd w:id="9"/>
      <w:r w:rsidRPr="00015190">
        <w:rPr>
          <w:rFonts w:ascii="Century Gothic" w:hAnsi="Century Gothic"/>
          <w:color w:val="000000"/>
          <w:sz w:val="36"/>
          <w:szCs w:val="36"/>
        </w:rPr>
        <w:t xml:space="preserve"> </w:t>
      </w:r>
    </w:p>
    <w:p w:rsidR="00472503" w:rsidRPr="00F22330" w:rsidRDefault="00472503" w:rsidP="0048142F">
      <w:pPr>
        <w:tabs>
          <w:tab w:val="left" w:pos="6804"/>
        </w:tabs>
        <w:rPr>
          <w:szCs w:val="22"/>
        </w:rPr>
      </w:pPr>
      <w:r w:rsidRPr="00F22330">
        <w:rPr>
          <w:szCs w:val="22"/>
        </w:rPr>
        <w:t xml:space="preserve">The Marine Monitoring Program (herein referred to as the MMP) undertaken in the Great Barrier Reef (GBR) lagoon assesses the long-term effectiveness of the Australian and Queensland Government’s Reef Water Quality Protection Plan (Reef Plan) and the Australian Government’s initiative, formerly known as Reef Rescue. Established in 2005 to help assess the long-term status and health of GBR ecosystems, the MMP is a critical component in assessing improvements in regional water quality as land management practices are improved across Reef catchments. The program forms an integral part of the Reef Plan Paddock to Reef Integrated Monitoring, Modelling and Reporting Program (P2R program) supported through Reef Plan. This includes an annual report card summarising progress towards Reef Plan objectives. This report details the results of sampling that has occurred under the MMP to assess the </w:t>
      </w:r>
      <w:r w:rsidR="00A1555C" w:rsidRPr="00F22330">
        <w:rPr>
          <w:szCs w:val="22"/>
        </w:rPr>
        <w:t>condition</w:t>
      </w:r>
      <w:r w:rsidRPr="00F22330">
        <w:rPr>
          <w:szCs w:val="22"/>
        </w:rPr>
        <w:t xml:space="preserve"> of inshore seagrass ecosystems of the GBR and identify responses to the environmental drivers. It also summarises results as report card scores for inclusion in the GBR-wide report card.</w:t>
      </w:r>
    </w:p>
    <w:p w:rsidR="00472503" w:rsidRPr="00F22330" w:rsidRDefault="00472503" w:rsidP="00472503">
      <w:pPr>
        <w:tabs>
          <w:tab w:val="left" w:pos="6804"/>
        </w:tabs>
        <w:rPr>
          <w:szCs w:val="22"/>
        </w:rPr>
      </w:pPr>
      <w:r w:rsidRPr="00F22330">
        <w:rPr>
          <w:szCs w:val="22"/>
        </w:rPr>
        <w:t xml:space="preserve">The inshore seagrass monitoring component of the MMP assessed seagrass abundance (percentage cover), community structure, </w:t>
      </w:r>
      <w:r w:rsidR="009467D3" w:rsidRPr="00F22330">
        <w:rPr>
          <w:szCs w:val="22"/>
        </w:rPr>
        <w:t xml:space="preserve">relative </w:t>
      </w:r>
      <w:r w:rsidRPr="00F22330">
        <w:rPr>
          <w:szCs w:val="22"/>
        </w:rPr>
        <w:t xml:space="preserve">meadow extent, reproductive health, and nutrient status from inshore seagrass meadows at 21 locations throughout the GBR. Within each of the Natural Resource Management regions (Cape York, Wet Tropics, Burdekin, Mackay Whitsunday, Fitzroy and Burnett Mary), monitoring locations included each of the major seagrass habitat types where possible (estuarine, coastal, reef, subtidal reef). Locations were predominately lower littoral (only exposed to air at the lowest of low tides), hereafter referred to as intertidal, although four locations also included shallow subtidal meadows. Environmental pressures are also recorded including within-canopy water temperature, within-canopy light, sediment composition as well as </w:t>
      </w:r>
      <w:proofErr w:type="spellStart"/>
      <w:r w:rsidRPr="00F22330">
        <w:rPr>
          <w:szCs w:val="22"/>
        </w:rPr>
        <w:t>macroalgae</w:t>
      </w:r>
      <w:proofErr w:type="spellEnd"/>
      <w:r w:rsidRPr="00F22330">
        <w:rPr>
          <w:szCs w:val="22"/>
        </w:rPr>
        <w:t xml:space="preserve"> and epiphyte abundance, with further data obtained from the Australian Bureau of Meteorology and from the MMP inshore water quality subprogram. </w:t>
      </w:r>
    </w:p>
    <w:p w:rsidR="00472503" w:rsidRPr="00F22330" w:rsidRDefault="00472503" w:rsidP="006E13F5">
      <w:pPr>
        <w:rPr>
          <w:szCs w:val="22"/>
        </w:rPr>
      </w:pPr>
      <w:r w:rsidRPr="00F22330">
        <w:rPr>
          <w:szCs w:val="22"/>
          <w:lang w:val="en-GB"/>
        </w:rPr>
        <w:t>D</w:t>
      </w:r>
      <w:proofErr w:type="spellStart"/>
      <w:r w:rsidRPr="00F22330">
        <w:rPr>
          <w:szCs w:val="22"/>
        </w:rPr>
        <w:t>ischarge</w:t>
      </w:r>
      <w:proofErr w:type="spellEnd"/>
      <w:r w:rsidRPr="00F22330">
        <w:rPr>
          <w:szCs w:val="22"/>
        </w:rPr>
        <w:t xml:space="preserve"> from most GBR rivers in 2014-15 was at or below the long‐term median. Despite this, seagrass meadows in southern regions were exposed to </w:t>
      </w:r>
      <w:r w:rsidR="007D29D0" w:rsidRPr="00F22330">
        <w:rPr>
          <w:szCs w:val="22"/>
        </w:rPr>
        <w:t xml:space="preserve">turbid </w:t>
      </w:r>
      <w:r w:rsidR="001B6B00" w:rsidRPr="00F22330">
        <w:rPr>
          <w:szCs w:val="22"/>
        </w:rPr>
        <w:t>sediment laden</w:t>
      </w:r>
      <w:r w:rsidRPr="00F22330">
        <w:rPr>
          <w:szCs w:val="22"/>
        </w:rPr>
        <w:t xml:space="preserve"> waters for much of the wet season. Northern regions (Cape York to Burdekin) were exposed more frequently to green </w:t>
      </w:r>
      <w:r w:rsidR="001B6B00" w:rsidRPr="00F22330">
        <w:rPr>
          <w:szCs w:val="22"/>
        </w:rPr>
        <w:t>high nutrient</w:t>
      </w:r>
      <w:r w:rsidRPr="00F22330">
        <w:rPr>
          <w:szCs w:val="22"/>
        </w:rPr>
        <w:t xml:space="preserve"> waters; suggesting the possibility of some nutrient enrichment. Furthermore, e</w:t>
      </w:r>
      <w:r w:rsidRPr="00F22330">
        <w:rPr>
          <w:rFonts w:cs="TimesNewRoman"/>
          <w:szCs w:val="22"/>
        </w:rPr>
        <w:t>lemental ratios within seagrass leaves (tissue nutrients) indicate some meadows in the Wet Tropics, Burdekin and Mackay Whitsunday regions have degraded water quality with an excess of nutrients. D</w:t>
      </w:r>
      <w:r w:rsidRPr="00F22330">
        <w:rPr>
          <w:szCs w:val="22"/>
        </w:rPr>
        <w:t xml:space="preserve">aily light was slightly lower than the long‐term average at many locations, particularly those covered in green secondary waters. Within‐canopy seawater temperatures during 2014-15 were higher in the central and northern GBR than the long‐term (10 year) average; the warmest in 9 years. While these water temperatures were not excessive (&gt;40°C), and may not impact photosynthetic efficiency in most GBR seagrass species, some species, such as </w:t>
      </w:r>
      <w:r w:rsidRPr="00F22330">
        <w:rPr>
          <w:i/>
          <w:szCs w:val="22"/>
        </w:rPr>
        <w:t xml:space="preserve">Z. </w:t>
      </w:r>
      <w:proofErr w:type="spellStart"/>
      <w:r w:rsidRPr="00F22330">
        <w:rPr>
          <w:i/>
          <w:szCs w:val="22"/>
        </w:rPr>
        <w:t>muelleri</w:t>
      </w:r>
      <w:proofErr w:type="spellEnd"/>
      <w:r w:rsidRPr="00F22330">
        <w:rPr>
          <w:szCs w:val="22"/>
        </w:rPr>
        <w:t xml:space="preserve">, are sensitive to prolonged exposure. The higher temperatures coupled with the lower light availability, may have </w:t>
      </w:r>
      <w:r w:rsidR="007D29D0" w:rsidRPr="00F22330">
        <w:rPr>
          <w:szCs w:val="22"/>
        </w:rPr>
        <w:t xml:space="preserve">restricted </w:t>
      </w:r>
      <w:r w:rsidRPr="00F22330">
        <w:rPr>
          <w:szCs w:val="22"/>
        </w:rPr>
        <w:t xml:space="preserve">seagrass growth in some meadows in </w:t>
      </w:r>
      <w:r w:rsidR="008B255F">
        <w:rPr>
          <w:szCs w:val="22"/>
        </w:rPr>
        <w:t xml:space="preserve">all </w:t>
      </w:r>
      <w:r w:rsidRPr="00F22330">
        <w:rPr>
          <w:szCs w:val="22"/>
        </w:rPr>
        <w:t>GBR regions</w:t>
      </w:r>
      <w:r w:rsidR="008B255F">
        <w:rPr>
          <w:szCs w:val="22"/>
        </w:rPr>
        <w:t xml:space="preserve"> except the far north</w:t>
      </w:r>
      <w:r w:rsidRPr="00F22330">
        <w:rPr>
          <w:szCs w:val="22"/>
        </w:rPr>
        <w:t xml:space="preserve">. </w:t>
      </w:r>
    </w:p>
    <w:p w:rsidR="00472503" w:rsidRPr="00F22330" w:rsidRDefault="00472503" w:rsidP="0048142F">
      <w:pPr>
        <w:tabs>
          <w:tab w:val="left" w:pos="6804"/>
        </w:tabs>
        <w:rPr>
          <w:szCs w:val="22"/>
        </w:rPr>
      </w:pPr>
      <w:r w:rsidRPr="00F22330">
        <w:rPr>
          <w:szCs w:val="22"/>
        </w:rPr>
        <w:t xml:space="preserve">To summarise the environmental pressures: 64% of locations had lower than average daily light, particularly across the Wet Tropics, Burdekin, Mackay Whitsunday and Fitzroy NRM regions; </w:t>
      </w:r>
      <w:r w:rsidR="00316CD7" w:rsidRPr="00F22330">
        <w:rPr>
          <w:szCs w:val="22"/>
        </w:rPr>
        <w:t xml:space="preserve">seagrass in Mackay Whitsunday and Wet Tropics were exposed to high seawater temperatures for more than 15% of the year; </w:t>
      </w:r>
      <w:r w:rsidRPr="00F22330">
        <w:rPr>
          <w:szCs w:val="22"/>
        </w:rPr>
        <w:t>increasing epiphyte loads resulted in above GBR average cover at 40% sites; and increasing nutrient enrichment at 39% sites and of these, 56% with either high or elevated nitrogen.</w:t>
      </w:r>
    </w:p>
    <w:p w:rsidR="00316CD7" w:rsidRPr="00F22330" w:rsidRDefault="00316CD7" w:rsidP="00316CD7">
      <w:pPr>
        <w:tabs>
          <w:tab w:val="left" w:pos="6804"/>
        </w:tabs>
        <w:rPr>
          <w:szCs w:val="22"/>
        </w:rPr>
      </w:pPr>
      <w:r w:rsidRPr="00F22330">
        <w:rPr>
          <w:rFonts w:cs="TimesNewRoman"/>
          <w:szCs w:val="22"/>
        </w:rPr>
        <w:t xml:space="preserve">In the 2014-15 monitoring period, overall </w:t>
      </w:r>
      <w:r w:rsidRPr="00F22330">
        <w:rPr>
          <w:szCs w:val="22"/>
        </w:rPr>
        <w:t>seagrass abundance</w:t>
      </w:r>
      <w:r w:rsidRPr="00F22330">
        <w:rPr>
          <w:rFonts w:cs="TimesNewRoman"/>
          <w:szCs w:val="22"/>
        </w:rPr>
        <w:t xml:space="preserve"> improved relative to the previous year; however, 62% of sites remained classified as poor or very poor in abundance (below the guidelines)</w:t>
      </w:r>
      <w:r w:rsidRPr="00F22330">
        <w:rPr>
          <w:szCs w:val="22"/>
        </w:rPr>
        <w:t xml:space="preserve">. </w:t>
      </w:r>
      <w:r w:rsidR="007D29D0" w:rsidRPr="00F22330">
        <w:rPr>
          <w:szCs w:val="22"/>
        </w:rPr>
        <w:t>Seagrass a</w:t>
      </w:r>
      <w:r w:rsidRPr="00F22330">
        <w:rPr>
          <w:szCs w:val="22"/>
        </w:rPr>
        <w:t xml:space="preserve">bundance has generally been increasing since 2011 as meadows recover from widespread declines occurring from 2009 to 2011. This earlier decline was the result of </w:t>
      </w:r>
      <w:r w:rsidRPr="00F22330">
        <w:rPr>
          <w:rFonts w:cs="Calibri"/>
          <w:szCs w:val="22"/>
          <w:lang w:eastAsia="en-AU"/>
        </w:rPr>
        <w:t xml:space="preserve">multiple years of above average rainfall and climate-related impacts followed by </w:t>
      </w:r>
      <w:r w:rsidRPr="00F22330">
        <w:rPr>
          <w:szCs w:val="22"/>
        </w:rPr>
        <w:t xml:space="preserve">extreme weather events in early 2011. The seagrass losses had significant flow-on effects </w:t>
      </w:r>
      <w:r w:rsidR="007D29D0" w:rsidRPr="00F22330">
        <w:rPr>
          <w:szCs w:val="22"/>
        </w:rPr>
        <w:t>for</w:t>
      </w:r>
      <w:r w:rsidRPr="00F22330">
        <w:rPr>
          <w:szCs w:val="22"/>
        </w:rPr>
        <w:t xml:space="preserve"> dugong and green turtle </w:t>
      </w:r>
      <w:r w:rsidRPr="00F22330">
        <w:rPr>
          <w:szCs w:val="22"/>
        </w:rPr>
        <w:lastRenderedPageBreak/>
        <w:t>populations (</w:t>
      </w:r>
      <w:hyperlink w:anchor="_ENREF_184" w:tooltip="Meager, 2012 #9824" w:history="1">
        <w:r w:rsidR="00E6043D" w:rsidRPr="00F22330">
          <w:rPr>
            <w:szCs w:val="22"/>
          </w:rPr>
          <w:fldChar w:fldCharType="begin"/>
        </w:r>
        <w:r w:rsidR="00E6043D">
          <w:rPr>
            <w:szCs w:val="22"/>
          </w:rPr>
          <w:instrText xml:space="preserve"> ADDIN EN.CITE &lt;EndNote&gt;&lt;Cite&gt;&lt;Author&gt;Meager&lt;/Author&gt;&lt;Year&gt;2012&lt;/Year&gt;&lt;RecNum&gt;9824&lt;/RecNum&gt;&lt;DisplayText&gt;Meager and Limpus 2012&lt;/DisplayText&gt;&lt;record&gt;&lt;rec-number&gt;9824&lt;/rec-number&gt;&lt;foreign-keys&gt;&lt;key app="EN" db-id="0eve55x9y5vfd6e9dacxtew4eatve2dzds9a"&gt;9824&lt;/key&gt;&lt;/foreign-keys&gt;&lt;ref-type name="Journal Article"&gt;17&lt;/ref-type&gt;&lt;contributors&gt;&lt;authors&gt;&lt;author&gt;Meager, J J&lt;/author&gt;&lt;author&gt;Limpus, Col J&lt;/author&gt;&lt;/authors&gt;&lt;/contributors&gt;&lt;titles&gt;&lt;title&gt;Marine wildlife stranding and mortality database annual report 2011. III. Marine Turtle&lt;/title&gt;&lt;secondary-title&gt;Conservation Technical and Data Report&lt;/secondary-title&gt;&lt;/titles&gt;&lt;periodical&gt;&lt;full-title&gt;Conservation Technical and Data Report&lt;/full-title&gt;&lt;/periodical&gt;&lt;pages&gt;1-46&lt;/pages&gt;&lt;volume&gt;2012&lt;/volume&gt;&lt;number&gt;3&lt;/number&gt;&lt;dates&gt;&lt;year&gt;2012&lt;/year&gt;&lt;/dates&gt;&lt;urls&gt;&lt;/urls&gt;&lt;/record&gt;&lt;/Cite&gt;&lt;/EndNote&gt;</w:instrText>
        </w:r>
        <w:r w:rsidR="00E6043D" w:rsidRPr="00F22330">
          <w:rPr>
            <w:szCs w:val="22"/>
          </w:rPr>
          <w:fldChar w:fldCharType="separate"/>
        </w:r>
        <w:r w:rsidR="00E6043D">
          <w:rPr>
            <w:noProof/>
            <w:szCs w:val="22"/>
          </w:rPr>
          <w:t>Meager and Limpus 2012</w:t>
        </w:r>
        <w:r w:rsidR="00E6043D" w:rsidRPr="00F22330">
          <w:rPr>
            <w:szCs w:val="22"/>
          </w:rPr>
          <w:fldChar w:fldCharType="end"/>
        </w:r>
      </w:hyperlink>
      <w:r w:rsidRPr="00F22330">
        <w:rPr>
          <w:szCs w:val="22"/>
        </w:rPr>
        <w:t>), which are highly dependent on certain seagrass</w:t>
      </w:r>
      <w:r w:rsidR="007D29D0" w:rsidRPr="00F22330">
        <w:rPr>
          <w:szCs w:val="22"/>
        </w:rPr>
        <w:t xml:space="preserve"> species</w:t>
      </w:r>
      <w:r w:rsidRPr="00F22330">
        <w:rPr>
          <w:szCs w:val="22"/>
        </w:rPr>
        <w:t xml:space="preserve"> as their primary food supply. </w:t>
      </w:r>
    </w:p>
    <w:p w:rsidR="00CC342A" w:rsidRPr="00F22330" w:rsidRDefault="00316CD7" w:rsidP="00CC342A">
      <w:pPr>
        <w:autoSpaceDE w:val="0"/>
        <w:autoSpaceDN w:val="0"/>
        <w:adjustRightInd w:val="0"/>
        <w:rPr>
          <w:szCs w:val="22"/>
        </w:rPr>
      </w:pPr>
      <w:r w:rsidRPr="00F22330">
        <w:rPr>
          <w:szCs w:val="22"/>
        </w:rPr>
        <w:t xml:space="preserve">Ecological resilience includes </w:t>
      </w:r>
      <w:r w:rsidR="007D29D0" w:rsidRPr="00F22330">
        <w:rPr>
          <w:szCs w:val="22"/>
        </w:rPr>
        <w:t xml:space="preserve">the capacity of an organism to resist </w:t>
      </w:r>
      <w:r w:rsidRPr="00F22330">
        <w:rPr>
          <w:szCs w:val="22"/>
        </w:rPr>
        <w:t>disturbance (</w:t>
      </w:r>
      <w:r w:rsidR="007D29D0" w:rsidRPr="00F22330">
        <w:rPr>
          <w:szCs w:val="22"/>
        </w:rPr>
        <w:t>“</w:t>
      </w:r>
      <w:r w:rsidRPr="00F22330">
        <w:rPr>
          <w:szCs w:val="22"/>
        </w:rPr>
        <w:t>resistance</w:t>
      </w:r>
      <w:r w:rsidR="007D29D0" w:rsidRPr="00F22330">
        <w:rPr>
          <w:szCs w:val="22"/>
        </w:rPr>
        <w:t>”</w:t>
      </w:r>
      <w:r w:rsidRPr="00F22330">
        <w:rPr>
          <w:szCs w:val="22"/>
        </w:rPr>
        <w:t xml:space="preserve">) and </w:t>
      </w:r>
      <w:r w:rsidR="007D29D0" w:rsidRPr="00F22330">
        <w:rPr>
          <w:szCs w:val="22"/>
        </w:rPr>
        <w:t xml:space="preserve">the </w:t>
      </w:r>
      <w:r w:rsidRPr="00F22330">
        <w:rPr>
          <w:szCs w:val="22"/>
        </w:rPr>
        <w:t xml:space="preserve">capacity to recover </w:t>
      </w:r>
      <w:r w:rsidR="007D29D0" w:rsidRPr="00F22330">
        <w:rPr>
          <w:szCs w:val="22"/>
        </w:rPr>
        <w:t xml:space="preserve">to a stable state </w:t>
      </w:r>
      <w:r w:rsidRPr="00F22330">
        <w:rPr>
          <w:szCs w:val="22"/>
        </w:rPr>
        <w:t>(</w:t>
      </w:r>
      <w:r w:rsidR="007D29D0" w:rsidRPr="00F22330">
        <w:rPr>
          <w:szCs w:val="22"/>
        </w:rPr>
        <w:t>“</w:t>
      </w:r>
      <w:r w:rsidRPr="00F22330">
        <w:rPr>
          <w:szCs w:val="22"/>
        </w:rPr>
        <w:t>recovery</w:t>
      </w:r>
      <w:r w:rsidR="007D29D0" w:rsidRPr="00F22330">
        <w:rPr>
          <w:szCs w:val="22"/>
        </w:rPr>
        <w:t>”</w:t>
      </w:r>
      <w:r w:rsidRPr="00F22330">
        <w:rPr>
          <w:szCs w:val="22"/>
        </w:rPr>
        <w:t>)</w:t>
      </w:r>
      <w:r w:rsidR="007D29D0" w:rsidRPr="00F22330">
        <w:rPr>
          <w:szCs w:val="22"/>
        </w:rPr>
        <w:t xml:space="preserve">, which </w:t>
      </w:r>
      <w:r w:rsidRPr="00F22330">
        <w:rPr>
          <w:szCs w:val="22"/>
        </w:rPr>
        <w:t xml:space="preserve">determines the capacity of a system to maintain its function when affected by disturbances </w:t>
      </w:r>
      <w:r w:rsidR="00B331C8" w:rsidRPr="00F22330">
        <w:rPr>
          <w:szCs w:val="22"/>
        </w:rPr>
        <w:t>(</w:t>
      </w:r>
      <w:r w:rsidR="00644A84" w:rsidRPr="00F22330">
        <w:rPr>
          <w:szCs w:val="22"/>
        </w:rPr>
        <w:fldChar w:fldCharType="begin">
          <w:fldData xml:space="preserve">PEVuZE5vdGU+PENpdGU+PEF1dGhvcj5Gb2xrZTwvQXV0aG9yPjxZZWFyPjIwMDQ8L1llYXI+PFJl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</w:fldData>
        </w:fldChar>
      </w:r>
      <w:r w:rsidR="00644A84" w:rsidRPr="00F22330">
        <w:rPr>
          <w:szCs w:val="22"/>
        </w:rPr>
        <w:instrText xml:space="preserve"> ADDIN EN.CITE </w:instrText>
      </w:r>
      <w:r w:rsidR="00644A84" w:rsidRPr="00F22330">
        <w:rPr>
          <w:szCs w:val="22"/>
        </w:rPr>
        <w:fldChar w:fldCharType="begin">
          <w:fldData xml:space="preserve">PEVuZE5vdGU+PENpdGU+PEF1dGhvcj5Gb2xrZTwvQXV0aG9yPjxZZWFyPjIwMDQ8L1llYXI+PFJl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</w:fldData>
        </w:fldChar>
      </w:r>
      <w:r w:rsidR="00644A84" w:rsidRPr="00F22330">
        <w:rPr>
          <w:szCs w:val="22"/>
        </w:rPr>
        <w:instrText xml:space="preserve"> ADDIN EN.CITE.DATA </w:instrText>
      </w:r>
      <w:r w:rsidR="00644A84" w:rsidRPr="00F22330">
        <w:rPr>
          <w:szCs w:val="22"/>
        </w:rPr>
      </w:r>
      <w:r w:rsidR="00644A84" w:rsidRPr="00F22330">
        <w:rPr>
          <w:szCs w:val="22"/>
        </w:rPr>
        <w:fldChar w:fldCharType="end"/>
      </w:r>
      <w:r w:rsidR="00644A84" w:rsidRPr="00F22330">
        <w:rPr>
          <w:szCs w:val="22"/>
        </w:rPr>
      </w:r>
      <w:r w:rsidR="00644A84" w:rsidRPr="00F22330">
        <w:rPr>
          <w:szCs w:val="22"/>
        </w:rPr>
        <w:fldChar w:fldCharType="separate"/>
      </w:r>
      <w:hyperlink w:anchor="_ENREF_104" w:tooltip="Folke, 2004 #9779" w:history="1">
        <w:r w:rsidR="00E6043D" w:rsidRPr="00F22330">
          <w:rPr>
            <w:noProof/>
            <w:szCs w:val="22"/>
          </w:rPr>
          <w:t>Folke</w:t>
        </w:r>
        <w:r w:rsidR="00E6043D" w:rsidRPr="00F22330">
          <w:rPr>
            <w:i/>
            <w:noProof/>
            <w:szCs w:val="22"/>
          </w:rPr>
          <w:t xml:space="preserve"> et al.</w:t>
        </w:r>
        <w:r w:rsidR="00E6043D" w:rsidRPr="00F22330">
          <w:rPr>
            <w:noProof/>
            <w:szCs w:val="22"/>
          </w:rPr>
          <w:t xml:space="preserve"> 2004</w:t>
        </w:r>
      </w:hyperlink>
      <w:r w:rsidR="00644A84" w:rsidRPr="00F22330">
        <w:rPr>
          <w:noProof/>
          <w:szCs w:val="22"/>
        </w:rPr>
        <w:t xml:space="preserve">; </w:t>
      </w:r>
      <w:hyperlink w:anchor="_ENREF_12" w:tooltip="Bernhardt, 2013 #9778" w:history="1">
        <w:r w:rsidR="00E6043D" w:rsidRPr="00F22330">
          <w:rPr>
            <w:noProof/>
            <w:szCs w:val="22"/>
          </w:rPr>
          <w:t>Bernhardt and Leslie 2013</w:t>
        </w:r>
      </w:hyperlink>
      <w:r w:rsidR="00644A84" w:rsidRPr="00F22330">
        <w:rPr>
          <w:noProof/>
          <w:szCs w:val="22"/>
        </w:rPr>
        <w:t xml:space="preserve">; </w:t>
      </w:r>
      <w:hyperlink w:anchor="_ENREF_231" w:tooltip="Unsworth, 2015 #10447" w:history="1">
        <w:r w:rsidR="00E6043D" w:rsidRPr="00F22330">
          <w:rPr>
            <w:noProof/>
            <w:szCs w:val="22"/>
          </w:rPr>
          <w:t>Unsworth</w:t>
        </w:r>
        <w:r w:rsidR="00E6043D" w:rsidRPr="00F22330">
          <w:rPr>
            <w:i/>
            <w:noProof/>
            <w:szCs w:val="22"/>
          </w:rPr>
          <w:t xml:space="preserve"> et al.</w:t>
        </w:r>
        <w:r w:rsidR="00E6043D" w:rsidRPr="00F22330">
          <w:rPr>
            <w:noProof/>
            <w:szCs w:val="22"/>
          </w:rPr>
          <w:t xml:space="preserve"> 2015</w:t>
        </w:r>
      </w:hyperlink>
      <w:r w:rsidR="00644A84" w:rsidRPr="00F22330">
        <w:rPr>
          <w:szCs w:val="22"/>
        </w:rPr>
        <w:fldChar w:fldCharType="end"/>
      </w:r>
      <w:r w:rsidR="00B331C8" w:rsidRPr="00F22330">
        <w:rPr>
          <w:szCs w:val="22"/>
        </w:rPr>
        <w:t xml:space="preserve">). </w:t>
      </w:r>
      <w:r w:rsidR="008F076A" w:rsidRPr="00F22330">
        <w:rPr>
          <w:szCs w:val="22"/>
        </w:rPr>
        <w:t>The attributes of seagrasses that are indicative of resistance include: abundance, species composition (in particular diversity of life history strategies including both colonising and persistent species), genetic diversity, and storage reserves, and continuity (or spatial extent) (</w:t>
      </w:r>
      <w:hyperlink w:anchor="_ENREF_231" w:tooltip="Unsworth, 2015 #10447" w:history="1">
        <w:r w:rsidR="00E6043D" w:rsidRPr="00F22330">
          <w:rPr>
            <w:szCs w:val="22"/>
          </w:rPr>
          <w:fldChar w:fldCharType="begin">
            <w:fldData xml:space="preserve">PEVuZE5vdGU+PENpdGU+PEF1dGhvcj5VbnN3b3J0aDwvQXV0aG9yPjxZZWFyPjIwMTU8L1llYXI+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</w:fldData>
          </w:fldChar>
        </w:r>
        <w:r w:rsidR="00E6043D" w:rsidRPr="00F22330">
          <w:rPr>
            <w:szCs w:val="22"/>
          </w:rPr>
          <w:instrText xml:space="preserve"> ADDIN EN.CITE </w:instrText>
        </w:r>
        <w:r w:rsidR="00E6043D" w:rsidRPr="00F22330">
          <w:rPr>
            <w:szCs w:val="22"/>
          </w:rPr>
          <w:fldChar w:fldCharType="begin">
            <w:fldData xml:space="preserve">PEVuZE5vdGU+PENpdGU+PEF1dGhvcj5VbnN3b3J0aDwvQXV0aG9yPjxZZWFyPjIwMTU8L1llYXI+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</w:fldData>
          </w:fldChar>
        </w:r>
        <w:r w:rsidR="00E6043D" w:rsidRPr="00F22330">
          <w:rPr>
            <w:szCs w:val="22"/>
          </w:rPr>
          <w:instrText xml:space="preserve"> ADDIN EN.CITE.DATA </w:instrText>
        </w:r>
        <w:r w:rsidR="00E6043D" w:rsidRPr="00F22330">
          <w:rPr>
            <w:szCs w:val="22"/>
          </w:rPr>
        </w:r>
        <w:r w:rsidR="00E6043D" w:rsidRPr="00F22330">
          <w:rPr>
            <w:szCs w:val="22"/>
          </w:rPr>
          <w:fldChar w:fldCharType="end"/>
        </w:r>
        <w:r w:rsidR="00E6043D" w:rsidRPr="00F22330">
          <w:rPr>
            <w:szCs w:val="22"/>
          </w:rPr>
        </w:r>
        <w:r w:rsidR="00E6043D" w:rsidRPr="00F22330">
          <w:rPr>
            <w:szCs w:val="22"/>
          </w:rPr>
          <w:fldChar w:fldCharType="separate"/>
        </w:r>
        <w:r w:rsidR="00E6043D" w:rsidRPr="00F22330">
          <w:rPr>
            <w:noProof/>
            <w:szCs w:val="22"/>
          </w:rPr>
          <w:t>Unsworth</w:t>
        </w:r>
        <w:r w:rsidR="00E6043D" w:rsidRPr="00F22330">
          <w:rPr>
            <w:i/>
            <w:noProof/>
            <w:szCs w:val="22"/>
          </w:rPr>
          <w:t>, et al.</w:t>
        </w:r>
        <w:r w:rsidR="00E6043D" w:rsidRPr="00F22330">
          <w:rPr>
            <w:noProof/>
            <w:szCs w:val="22"/>
          </w:rPr>
          <w:t xml:space="preserve"> 2015</w:t>
        </w:r>
        <w:r w:rsidR="00E6043D" w:rsidRPr="00F22330">
          <w:rPr>
            <w:szCs w:val="22"/>
          </w:rPr>
          <w:fldChar w:fldCharType="end"/>
        </w:r>
      </w:hyperlink>
      <w:r w:rsidR="008F076A" w:rsidRPr="00F22330">
        <w:rPr>
          <w:szCs w:val="22"/>
        </w:rPr>
        <w:t xml:space="preserve">). Recovery of seagrass meadows is facilitated by reproductive output, seed banks and </w:t>
      </w:r>
      <w:r w:rsidR="006F25DF">
        <w:rPr>
          <w:szCs w:val="22"/>
        </w:rPr>
        <w:t xml:space="preserve">seagrass </w:t>
      </w:r>
      <w:r w:rsidR="008F076A" w:rsidRPr="00F22330">
        <w:rPr>
          <w:szCs w:val="22"/>
        </w:rPr>
        <w:t>species composition</w:t>
      </w:r>
      <w:r w:rsidR="007D29D0" w:rsidRPr="00F22330">
        <w:rPr>
          <w:szCs w:val="22"/>
        </w:rPr>
        <w:t xml:space="preserve"> (noting that some attributes are vital to both)</w:t>
      </w:r>
      <w:r w:rsidR="008F076A" w:rsidRPr="00F22330">
        <w:rPr>
          <w:szCs w:val="22"/>
        </w:rPr>
        <w:t>.</w:t>
      </w:r>
    </w:p>
    <w:p w:rsidR="008F076A" w:rsidRPr="00F22330" w:rsidRDefault="008F076A" w:rsidP="008F076A">
      <w:pPr>
        <w:autoSpaceDE w:val="0"/>
        <w:autoSpaceDN w:val="0"/>
        <w:adjustRightInd w:val="0"/>
        <w:rPr>
          <w:rFonts w:cs="TimesNewRoman"/>
          <w:szCs w:val="22"/>
        </w:rPr>
      </w:pPr>
      <w:bookmarkStart w:id="13" w:name="_Ref381081697"/>
      <w:r w:rsidRPr="00F22330">
        <w:rPr>
          <w:szCs w:val="22"/>
        </w:rPr>
        <w:t xml:space="preserve">In 2014-15, the indicators of seagrass resilience </w:t>
      </w:r>
      <w:r w:rsidR="00567D6F" w:rsidRPr="00F22330">
        <w:rPr>
          <w:szCs w:val="22"/>
        </w:rPr>
        <w:t xml:space="preserve">(resistance and recovery) </w:t>
      </w:r>
      <w:r w:rsidRPr="00F22330">
        <w:rPr>
          <w:rFonts w:cs="TimesNewRoman"/>
          <w:szCs w:val="22"/>
        </w:rPr>
        <w:t>continued to improve for meadows along the GBR developing coast, although meadows still remained in a vulnerable and poor</w:t>
      </w:r>
      <w:r w:rsidR="00AF67BF" w:rsidRPr="00F22330">
        <w:rPr>
          <w:rFonts w:cs="TimesNewRoman"/>
          <w:szCs w:val="22"/>
        </w:rPr>
        <w:t>/very poor</w:t>
      </w:r>
      <w:r w:rsidRPr="00F22330">
        <w:rPr>
          <w:rFonts w:cs="TimesNewRoman"/>
          <w:szCs w:val="22"/>
        </w:rPr>
        <w:t xml:space="preserve"> state (particularly in the </w:t>
      </w:r>
      <w:r w:rsidR="00AF67BF" w:rsidRPr="00F22330">
        <w:rPr>
          <w:rFonts w:cs="TimesNewRoman"/>
          <w:szCs w:val="22"/>
        </w:rPr>
        <w:t xml:space="preserve">Wet Tropics </w:t>
      </w:r>
      <w:r w:rsidRPr="00F22330">
        <w:rPr>
          <w:rFonts w:cs="TimesNewRoman"/>
          <w:szCs w:val="22"/>
        </w:rPr>
        <w:t xml:space="preserve">and </w:t>
      </w:r>
      <w:r w:rsidR="00AF67BF" w:rsidRPr="00F22330">
        <w:rPr>
          <w:rFonts w:cs="TimesNewRoman"/>
          <w:szCs w:val="22"/>
        </w:rPr>
        <w:t xml:space="preserve">Fitzroy </w:t>
      </w:r>
      <w:r w:rsidRPr="00F22330">
        <w:rPr>
          <w:rFonts w:cs="TimesNewRoman"/>
          <w:szCs w:val="22"/>
        </w:rPr>
        <w:t xml:space="preserve">NRM regions). The </w:t>
      </w:r>
      <w:r w:rsidR="00567D6F" w:rsidRPr="00F22330">
        <w:rPr>
          <w:rFonts w:cs="TimesNewRoman"/>
          <w:szCs w:val="22"/>
        </w:rPr>
        <w:t xml:space="preserve">key </w:t>
      </w:r>
      <w:r w:rsidRPr="00F22330">
        <w:rPr>
          <w:rFonts w:cs="TimesNewRoman"/>
          <w:szCs w:val="22"/>
        </w:rPr>
        <w:t xml:space="preserve">indicators of improvement in resistance were increasing abundance (% cover) at 36% of sites (predominately estuary and reef habitats) while </w:t>
      </w:r>
      <w:r w:rsidRPr="00F22330">
        <w:rPr>
          <w:szCs w:val="22"/>
          <w:lang w:val="en-GB"/>
        </w:rPr>
        <w:t xml:space="preserve">41% of sites remained stable. </w:t>
      </w:r>
      <w:r w:rsidRPr="00F22330">
        <w:rPr>
          <w:szCs w:val="22"/>
        </w:rPr>
        <w:t xml:space="preserve">The region with the greatest improvement in abundance (% cover) during 2014-15 was the Burnett Mary NRM, </w:t>
      </w:r>
      <w:r w:rsidRPr="00F22330">
        <w:rPr>
          <w:szCs w:val="22"/>
          <w:lang w:val="en-GB"/>
        </w:rPr>
        <w:t xml:space="preserve">where 83% of sites increased from the previous monitoring period, </w:t>
      </w:r>
      <w:r w:rsidRPr="00F22330">
        <w:rPr>
          <w:szCs w:val="22"/>
        </w:rPr>
        <w:t xml:space="preserve">while the Wet Tropics experienced declines. </w:t>
      </w:r>
      <w:r w:rsidRPr="00F22330">
        <w:rPr>
          <w:rFonts w:cs="TimesNewRoman"/>
          <w:szCs w:val="22"/>
        </w:rPr>
        <w:t xml:space="preserve">Meadow area expanded or remained unchanged/at their maximum </w:t>
      </w:r>
      <w:r w:rsidR="00AF67BF" w:rsidRPr="00F22330">
        <w:rPr>
          <w:rFonts w:cs="TimesNewRoman"/>
          <w:szCs w:val="22"/>
        </w:rPr>
        <w:t xml:space="preserve">relative </w:t>
      </w:r>
      <w:r w:rsidRPr="00F22330">
        <w:rPr>
          <w:rFonts w:cs="TimesNewRoman"/>
          <w:szCs w:val="22"/>
        </w:rPr>
        <w:t xml:space="preserve">extent at 96% of sites. Furthermore, meadows continued to undergo a state change with increasing composition of foundation </w:t>
      </w:r>
      <w:r w:rsidR="00A70E4A" w:rsidRPr="00F22330">
        <w:rPr>
          <w:rFonts w:cs="TimesNewRoman"/>
          <w:szCs w:val="22"/>
        </w:rPr>
        <w:t>(</w:t>
      </w:r>
      <w:r w:rsidR="00F22330">
        <w:rPr>
          <w:rFonts w:cs="TimesNewRoman"/>
          <w:szCs w:val="22"/>
        </w:rPr>
        <w:t>opportunistic and persistent</w:t>
      </w:r>
      <w:r w:rsidR="00A70E4A" w:rsidRPr="00F22330">
        <w:rPr>
          <w:rFonts w:cs="TimesNewRoman"/>
          <w:szCs w:val="22"/>
        </w:rPr>
        <w:t xml:space="preserve">) </w:t>
      </w:r>
      <w:r w:rsidRPr="00F22330">
        <w:rPr>
          <w:rFonts w:cs="TimesNewRoman"/>
          <w:szCs w:val="22"/>
        </w:rPr>
        <w:t xml:space="preserve">species at 36% of sites replacing colonising species, which had been dominant since 2011. </w:t>
      </w:r>
    </w:p>
    <w:p w:rsidR="008F076A" w:rsidRPr="00F22330" w:rsidRDefault="008F076A" w:rsidP="008F076A">
      <w:pPr>
        <w:autoSpaceDE w:val="0"/>
        <w:autoSpaceDN w:val="0"/>
        <w:adjustRightInd w:val="0"/>
        <w:rPr>
          <w:rFonts w:cs="TimesNewRoman"/>
          <w:szCs w:val="22"/>
        </w:rPr>
      </w:pPr>
      <w:r w:rsidRPr="00F22330">
        <w:rPr>
          <w:rFonts w:cs="TimesNewRoman"/>
          <w:szCs w:val="22"/>
        </w:rPr>
        <w:t xml:space="preserve">Of </w:t>
      </w:r>
      <w:r w:rsidR="00A70E4A" w:rsidRPr="00F22330">
        <w:rPr>
          <w:rFonts w:cs="TimesNewRoman"/>
          <w:szCs w:val="22"/>
        </w:rPr>
        <w:t>notable</w:t>
      </w:r>
      <w:r w:rsidRPr="00F22330">
        <w:rPr>
          <w:rFonts w:cs="TimesNewRoman"/>
          <w:szCs w:val="22"/>
        </w:rPr>
        <w:t xml:space="preserve"> concern, </w:t>
      </w:r>
      <w:r w:rsidR="00A70E4A" w:rsidRPr="00F22330">
        <w:rPr>
          <w:rFonts w:cs="TimesNewRoman"/>
          <w:szCs w:val="22"/>
        </w:rPr>
        <w:t xml:space="preserve">however, </w:t>
      </w:r>
      <w:r w:rsidRPr="00F22330">
        <w:rPr>
          <w:rFonts w:cs="TimesNewRoman"/>
          <w:szCs w:val="22"/>
        </w:rPr>
        <w:t xml:space="preserve">is that the capacity </w:t>
      </w:r>
      <w:r w:rsidR="00A70E4A" w:rsidRPr="00F22330">
        <w:rPr>
          <w:rFonts w:cs="TimesNewRoman"/>
          <w:szCs w:val="22"/>
        </w:rPr>
        <w:t xml:space="preserve">of seagrass </w:t>
      </w:r>
      <w:r w:rsidRPr="00F22330">
        <w:rPr>
          <w:rFonts w:cs="TimesNewRoman"/>
          <w:szCs w:val="22"/>
        </w:rPr>
        <w:t xml:space="preserve">to recover </w:t>
      </w:r>
      <w:r w:rsidR="00A70E4A" w:rsidRPr="00F22330">
        <w:rPr>
          <w:rFonts w:cs="TimesNewRoman"/>
          <w:szCs w:val="22"/>
        </w:rPr>
        <w:t xml:space="preserve">from the cumulative impacts of past disturbances </w:t>
      </w:r>
      <w:r w:rsidRPr="00F22330">
        <w:rPr>
          <w:rFonts w:cs="TimesNewRoman"/>
          <w:szCs w:val="22"/>
        </w:rPr>
        <w:t xml:space="preserve">continued to remain low. The proportion of </w:t>
      </w:r>
      <w:r w:rsidR="006E13F5" w:rsidRPr="00F22330">
        <w:rPr>
          <w:rFonts w:cs="TimesNewRoman"/>
          <w:szCs w:val="22"/>
        </w:rPr>
        <w:t xml:space="preserve">seagrass displaying </w:t>
      </w:r>
      <w:r w:rsidRPr="00F22330">
        <w:rPr>
          <w:rFonts w:cs="TimesNewRoman"/>
          <w:szCs w:val="22"/>
        </w:rPr>
        <w:t xml:space="preserve">colonising </w:t>
      </w:r>
      <w:r w:rsidR="006E13F5" w:rsidRPr="00F22330">
        <w:rPr>
          <w:rFonts w:cs="TimesNewRoman"/>
          <w:szCs w:val="22"/>
        </w:rPr>
        <w:t>life history traits</w:t>
      </w:r>
      <w:r w:rsidRPr="00F22330">
        <w:rPr>
          <w:rFonts w:cs="TimesNewRoman"/>
          <w:szCs w:val="22"/>
        </w:rPr>
        <w:t xml:space="preserve"> remained above average (15% of sites had greater than GBR average composition of colonising species) and these species can facilitate recovery from disturbance. However, recovery from loss is dependent on presence of a seed bank. The indicators of low recovery capacity in 2014-15 were; the absence of seed banks at 49% of sites and declining seed banks at another 28% of sites; and below average reproductive effort at </w:t>
      </w:r>
      <w:r w:rsidR="00270DBF" w:rsidRPr="00F22330">
        <w:rPr>
          <w:rFonts w:cs="TimesNewRoman"/>
          <w:szCs w:val="22"/>
        </w:rPr>
        <w:t>80% of</w:t>
      </w:r>
      <w:r w:rsidRPr="00F22330">
        <w:rPr>
          <w:rFonts w:cs="TimesNewRoman"/>
          <w:szCs w:val="22"/>
        </w:rPr>
        <w:t xml:space="preserve"> sites. </w:t>
      </w:r>
    </w:p>
    <w:p w:rsidR="003D1F7F" w:rsidRPr="00F22330" w:rsidRDefault="008F076A" w:rsidP="008F076A">
      <w:pPr>
        <w:autoSpaceDE w:val="0"/>
        <w:autoSpaceDN w:val="0"/>
        <w:adjustRightInd w:val="0"/>
        <w:rPr>
          <w:szCs w:val="22"/>
          <w:lang w:val="en-GB"/>
        </w:rPr>
      </w:pPr>
      <w:r w:rsidRPr="00F22330">
        <w:rPr>
          <w:szCs w:val="22"/>
        </w:rPr>
        <w:t>Across the GBR NRM regions, the seagrass report card scores improved during 2014-15 in the Cape York, Wet Tropics and Mackay Whitsunday, but declined slightly in the others.</w:t>
      </w:r>
      <w:r w:rsidRPr="00F22330">
        <w:rPr>
          <w:rFonts w:cs="TimesNewRoman"/>
          <w:szCs w:val="22"/>
        </w:rPr>
        <w:t xml:space="preserve"> </w:t>
      </w:r>
      <w:r w:rsidR="00A70E4A" w:rsidRPr="00F22330">
        <w:rPr>
          <w:rFonts w:cs="TimesNewRoman"/>
          <w:szCs w:val="22"/>
        </w:rPr>
        <w:t>S</w:t>
      </w:r>
      <w:r w:rsidRPr="00F22330">
        <w:rPr>
          <w:rFonts w:cs="TimesNewRoman"/>
          <w:szCs w:val="22"/>
        </w:rPr>
        <w:t xml:space="preserve">eagrass across most of the regions </w:t>
      </w:r>
      <w:r w:rsidR="00A70E4A" w:rsidRPr="00F22330">
        <w:rPr>
          <w:rFonts w:cs="TimesNewRoman"/>
          <w:szCs w:val="22"/>
        </w:rPr>
        <w:t>is</w:t>
      </w:r>
      <w:r w:rsidRPr="00F22330">
        <w:rPr>
          <w:rFonts w:cs="TimesNewRoman"/>
          <w:szCs w:val="22"/>
        </w:rPr>
        <w:t xml:space="preserve"> still recovering from </w:t>
      </w:r>
      <w:r w:rsidRPr="00F22330">
        <w:rPr>
          <w:rFonts w:cs="Calibri"/>
          <w:szCs w:val="22"/>
          <w:lang w:eastAsia="en-AU"/>
        </w:rPr>
        <w:t xml:space="preserve">multiple years of climate related impacts, which has likely left a legacy of reduced resilience. </w:t>
      </w:r>
      <w:r w:rsidRPr="00F22330">
        <w:rPr>
          <w:rFonts w:cs="TimesNewRoman"/>
          <w:szCs w:val="22"/>
        </w:rPr>
        <w:t xml:space="preserve">Overall, the </w:t>
      </w:r>
      <w:r w:rsidR="00A1555C" w:rsidRPr="00F22330">
        <w:rPr>
          <w:rFonts w:cs="TimesNewRoman"/>
          <w:szCs w:val="22"/>
        </w:rPr>
        <w:t>condition</w:t>
      </w:r>
      <w:r w:rsidRPr="00F22330">
        <w:rPr>
          <w:rFonts w:cs="TimesNewRoman"/>
          <w:szCs w:val="22"/>
        </w:rPr>
        <w:t xml:space="preserve"> of the inshore seagrass meadows of the GBR has changed little over the last 12 months (2014-15), remaining in a </w:t>
      </w:r>
      <w:r w:rsidRPr="00F22330">
        <w:rPr>
          <w:rFonts w:cs="TimesNewRoman"/>
          <w:b/>
          <w:szCs w:val="22"/>
        </w:rPr>
        <w:t xml:space="preserve">poor state </w:t>
      </w:r>
      <w:r w:rsidRPr="00F22330">
        <w:rPr>
          <w:rFonts w:cs="TimesNewRoman"/>
          <w:szCs w:val="22"/>
        </w:rPr>
        <w:t>(Table 1)</w:t>
      </w:r>
      <w:r w:rsidR="00A70E4A" w:rsidRPr="00F22330">
        <w:rPr>
          <w:rFonts w:cs="TimesNewRoman"/>
          <w:szCs w:val="22"/>
        </w:rPr>
        <w:t>, despite generally favourable environmental conditions</w:t>
      </w:r>
      <w:r w:rsidRPr="00F22330">
        <w:rPr>
          <w:rFonts w:cs="TimesNewRoman"/>
          <w:szCs w:val="22"/>
        </w:rPr>
        <w:t xml:space="preserve">. </w:t>
      </w:r>
      <w:r w:rsidR="00A70E4A" w:rsidRPr="00F22330">
        <w:rPr>
          <w:rFonts w:cs="TimesNewRoman"/>
          <w:szCs w:val="22"/>
        </w:rPr>
        <w:t>Based on c</w:t>
      </w:r>
      <w:r w:rsidRPr="00F22330">
        <w:rPr>
          <w:rFonts w:cs="TimesNewRoman"/>
          <w:szCs w:val="22"/>
        </w:rPr>
        <w:t>urrent rates of recovery, as well as examples taken from previous localised impacts (</w:t>
      </w:r>
      <w:r w:rsidRPr="00F22330">
        <w:rPr>
          <w:rFonts w:cs="TimesNewRoman"/>
          <w:szCs w:val="22"/>
        </w:rPr>
        <w:fldChar w:fldCharType="begin"/>
      </w:r>
      <w:r w:rsidRPr="00F22330">
        <w:rPr>
          <w:rFonts w:cs="TimesNewRoman"/>
          <w:szCs w:val="22"/>
        </w:rPr>
        <w:instrText xml:space="preserve"> ADDIN EN.CITE &lt;EndNote&gt;&lt;Cite&gt;&lt;Author&gt;Birch&lt;/Author&gt;&lt;Year&gt;1984&lt;/Year&gt;&lt;RecNum&gt;177&lt;/RecNum&gt;&lt;DisplayText&gt;Birch and Birch 1984; Campbell and McKenzie 2004&lt;/DisplayText&gt;&lt;record&gt;&lt;rec-number&gt;177&lt;/rec-number&gt;&lt;foreign-keys&gt;&lt;key app="EN" db-id="0eve55x9y5vfd6e9dacxtew4eatve2dzds9a"&gt;177&lt;/key&gt;&lt;/foreign-keys&gt;&lt;ref-type name="Journal Article"&gt;17&lt;/ref-type&gt;&lt;contributors&gt;&lt;authors&gt;&lt;author&gt;Birch, WR&lt;/author&gt;&lt;author&gt;Birch, M&lt;/author&gt;&lt;/authors&gt;&lt;/contributors&gt;&lt;titles&gt;&lt;title&gt;Succession and pattern of tropical intertidal seagrasses in Cockle Bay, Queensland, Australia: a decade of observations&lt;/title&gt;&lt;secondary-title&gt;Aquatic Botany&lt;/secondary-title&gt;&lt;alt-title&gt;Aquat. Bot.&lt;/alt-title&gt;&lt;/titles&gt;&lt;periodical&gt;&lt;full-title&gt;Aquatic Botany&lt;/full-title&gt;&lt;/periodical&gt;&lt;pages&gt;343-367&lt;/pages&gt;&lt;volume&gt;19&lt;/volume&gt;&lt;keywords&gt;&lt;keyword&gt;MCKENZIE 1996&lt;/keyword&gt;&lt;keyword&gt;MOURILYAN&lt;/keyword&gt;&lt;/keywords&gt;&lt;dates&gt;&lt;year&gt;1984&lt;/year&gt;&lt;/dates&gt;&lt;label&gt;130&lt;/label&gt;&lt;urls&gt;&lt;/urls&gt;&lt;custom1&gt;Annex&lt;/custom1&gt;&lt;/record&gt;&lt;/Cite&gt;&lt;Cite&gt;&lt;Author&gt;Campbell&lt;/Author&gt;&lt;Year&gt;2004&lt;/Year&gt;&lt;RecNum&gt;2838&lt;/RecNum&gt;&lt;record&gt;&lt;rec-number&gt;2838&lt;/rec-number&gt;&lt;foreign-keys&gt;&lt;key app="EN" db-id="0eve55x9y5vfd6e9dacxtew4eatve2dzds9a"&gt;2838&lt;/key&gt;&lt;/foreign-keys&gt;&lt;ref-type name="Journal Article"&gt;17&lt;/ref-type&gt;&lt;contributors&gt;&lt;authors&gt;&lt;author&gt;Campbell, Stuart J.&lt;/author&gt;&lt;author&gt;McKenzie, Len 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number&gt;3&lt;/number&gt;&lt;dates&gt;&lt;year&gt;2004&lt;/year&gt;&lt;pub-dates&gt;&lt;date&gt;2004/7&lt;/date&gt;&lt;/pub-dates&gt;&lt;/dates&gt;&lt;urls&gt;&lt;related-urls&gt;&lt;url&gt;http://www.sciencedirect.com/science/article/B6WDV-4C4BJR5-5/2/154810987202fc6d27ba6fa35c07f197&lt;/url&gt;&lt;/related-urls&gt;&lt;/urls&gt;&lt;/record&gt;&lt;/Cite&gt;&lt;/EndNote&gt;</w:instrText>
      </w:r>
      <w:r w:rsidRPr="00F22330">
        <w:rPr>
          <w:rFonts w:cs="TimesNewRoman"/>
          <w:szCs w:val="22"/>
        </w:rPr>
        <w:fldChar w:fldCharType="separate"/>
      </w:r>
      <w:hyperlink w:anchor="_ENREF_13" w:tooltip="Birch, 1984 #177" w:history="1">
        <w:r w:rsidR="00E6043D" w:rsidRPr="00F22330">
          <w:rPr>
            <w:rFonts w:cs="TimesNewRoman"/>
            <w:noProof/>
            <w:szCs w:val="22"/>
          </w:rPr>
          <w:t>Birch and Birch 1984</w:t>
        </w:r>
      </w:hyperlink>
      <w:r w:rsidRPr="00F22330">
        <w:rPr>
          <w:rFonts w:cs="TimesNewRoman"/>
          <w:noProof/>
          <w:szCs w:val="22"/>
        </w:rPr>
        <w:t xml:space="preserve">; </w:t>
      </w:r>
      <w:hyperlink w:anchor="_ENREF_32" w:tooltip="Campbell, 2004 #2838" w:history="1">
        <w:r w:rsidR="00E6043D" w:rsidRPr="00F22330">
          <w:rPr>
            <w:rFonts w:cs="TimesNewRoman"/>
            <w:noProof/>
            <w:szCs w:val="22"/>
          </w:rPr>
          <w:t>Campbell and McKenzie 2004</w:t>
        </w:r>
      </w:hyperlink>
      <w:r w:rsidRPr="00F22330">
        <w:rPr>
          <w:rFonts w:cs="TimesNewRoman"/>
          <w:szCs w:val="22"/>
        </w:rPr>
        <w:fldChar w:fldCharType="end"/>
      </w:r>
      <w:r w:rsidRPr="00F22330">
        <w:rPr>
          <w:rFonts w:cs="TimesNewRoman"/>
          <w:szCs w:val="22"/>
        </w:rPr>
        <w:t>)</w:t>
      </w:r>
      <w:r w:rsidR="00A70E4A" w:rsidRPr="00F22330">
        <w:rPr>
          <w:rFonts w:cs="TimesNewRoman"/>
          <w:szCs w:val="22"/>
        </w:rPr>
        <w:t>,</w:t>
      </w:r>
      <w:r w:rsidRPr="00F22330">
        <w:rPr>
          <w:rFonts w:cs="TimesNewRoman"/>
          <w:szCs w:val="22"/>
        </w:rPr>
        <w:t xml:space="preserve"> a return to a moderate or good condition could occur within the next 1-2 years (i.e. &gt;5 years from impact), as long as</w:t>
      </w:r>
      <w:r w:rsidR="00AF67BF" w:rsidRPr="00F22330">
        <w:rPr>
          <w:rFonts w:cs="TimesNewRoman"/>
          <w:szCs w:val="22"/>
        </w:rPr>
        <w:t xml:space="preserve"> conditions remain favourable.</w:t>
      </w:r>
    </w:p>
    <w:p w:rsidR="003D1F7F" w:rsidRPr="00517276" w:rsidRDefault="003D1F7F" w:rsidP="003D1F7F">
      <w:pPr>
        <w:jc w:val="center"/>
        <w:rPr>
          <w:i/>
          <w:vanish/>
          <w:color w:val="000000"/>
          <w:szCs w:val="22"/>
          <w:specVanish/>
        </w:rPr>
      </w:pPr>
      <w:bookmarkStart w:id="14" w:name="_Toc431494014"/>
      <w:bookmarkStart w:id="15" w:name="_Toc462685070"/>
      <w:r w:rsidRPr="000F2C55">
        <w:rPr>
          <w:szCs w:val="22"/>
        </w:rPr>
        <w:t xml:space="preserve">Table </w:t>
      </w:r>
      <w:r w:rsidRPr="000F2C55">
        <w:rPr>
          <w:szCs w:val="22"/>
        </w:rPr>
        <w:fldChar w:fldCharType="begin"/>
      </w:r>
      <w:r w:rsidRPr="000F2C55">
        <w:rPr>
          <w:szCs w:val="22"/>
        </w:rPr>
        <w:instrText xml:space="preserve"> SEQ Table \* ARABIC </w:instrText>
      </w:r>
      <w:r w:rsidRPr="000F2C55">
        <w:rPr>
          <w:szCs w:val="22"/>
        </w:rPr>
        <w:fldChar w:fldCharType="separate"/>
      </w:r>
      <w:r w:rsidR="009C068F">
        <w:rPr>
          <w:noProof/>
          <w:szCs w:val="22"/>
        </w:rPr>
        <w:t>1</w:t>
      </w:r>
      <w:r w:rsidRPr="000F2C55">
        <w:rPr>
          <w:szCs w:val="22"/>
        </w:rPr>
        <w:fldChar w:fldCharType="end"/>
      </w:r>
      <w:r w:rsidRPr="000F2C55">
        <w:rPr>
          <w:szCs w:val="22"/>
        </w:rPr>
        <w:t xml:space="preserve">. </w:t>
      </w:r>
      <w:r w:rsidRPr="000F2C55">
        <w:rPr>
          <w:i/>
          <w:szCs w:val="22"/>
        </w:rPr>
        <w:t xml:space="preserve">Report card for seagrass </w:t>
      </w:r>
      <w:r w:rsidR="00A1555C">
        <w:rPr>
          <w:i/>
          <w:szCs w:val="22"/>
        </w:rPr>
        <w:t>condition</w:t>
      </w:r>
      <w:r w:rsidRPr="000F2C55">
        <w:rPr>
          <w:i/>
          <w:szCs w:val="22"/>
        </w:rPr>
        <w:t xml:space="preserve"> for the GBR and each NRM region: June 2014 </w:t>
      </w:r>
      <w:r>
        <w:rPr>
          <w:i/>
          <w:szCs w:val="22"/>
        </w:rPr>
        <w:t>-</w:t>
      </w:r>
      <w:r w:rsidRPr="000F2C55">
        <w:rPr>
          <w:i/>
          <w:szCs w:val="22"/>
        </w:rPr>
        <w:t xml:space="preserve"> May 201</w:t>
      </w:r>
      <w:r>
        <w:rPr>
          <w:i/>
          <w:szCs w:val="22"/>
        </w:rPr>
        <w:t>5</w:t>
      </w:r>
      <w:r w:rsidRPr="000F2C55">
        <w:rPr>
          <w:i/>
          <w:szCs w:val="22"/>
        </w:rPr>
        <w:t>.</w:t>
      </w:r>
      <w:bookmarkEnd w:id="14"/>
      <w:bookmarkEnd w:id="15"/>
      <w:r w:rsidRPr="000F2C55">
        <w:rPr>
          <w:i/>
          <w:szCs w:val="22"/>
        </w:rPr>
        <w:t xml:space="preserve"> </w:t>
      </w:r>
    </w:p>
    <w:p w:rsidR="003D1F7F" w:rsidRPr="00517276" w:rsidRDefault="003D1F7F" w:rsidP="003D1F7F">
      <w:pPr>
        <w:jc w:val="center"/>
        <w:rPr>
          <w:color w:val="000000"/>
          <w:szCs w:val="22"/>
        </w:rPr>
      </w:pPr>
      <w:r w:rsidRPr="00517276">
        <w:rPr>
          <w:i/>
          <w:color w:val="000000"/>
          <w:szCs w:val="22"/>
        </w:rPr>
        <w:t>Values</w:t>
      </w:r>
      <w:r w:rsidRPr="00E237C6">
        <w:rPr>
          <w:i/>
          <w:szCs w:val="22"/>
        </w:rPr>
        <w:t xml:space="preserve">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sidR="002605DA">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sidR="002605DA">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sidR="002605DA">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sidR="002605DA">
        <w:rPr>
          <w:i/>
          <w:szCs w:val="22"/>
        </w:rPr>
        <w:t>1</w:t>
      </w:r>
      <w:r w:rsidRPr="00E237C6">
        <w:rPr>
          <w:i/>
          <w:szCs w:val="22"/>
        </w:rPr>
        <w:t xml:space="preserve"> - 40), </w:t>
      </w:r>
      <w:r w:rsidRPr="00E237C6">
        <w:rPr>
          <w:rFonts w:ascii="Arial" w:hAnsi="Arial" w:cs="Arial"/>
          <w:i/>
          <w:color w:val="FF0000"/>
          <w:szCs w:val="22"/>
        </w:rPr>
        <w:t>■</w:t>
      </w:r>
      <w:r w:rsidR="002605DA">
        <w:rPr>
          <w:i/>
          <w:szCs w:val="22"/>
        </w:rPr>
        <w:t xml:space="preserve"> = very poor (0 - </w:t>
      </w:r>
      <w:r w:rsidRPr="00E237C6">
        <w:rPr>
          <w:i/>
          <w:szCs w:val="22"/>
        </w:rPr>
        <w:t>20).</w:t>
      </w:r>
      <w:r w:rsidRPr="00517276">
        <w:rPr>
          <w:i/>
          <w:color w:val="000000"/>
          <w:szCs w:val="22"/>
        </w:rPr>
        <w:t xml:space="preserve"> </w:t>
      </w:r>
    </w:p>
    <w:tbl>
      <w:tblPr>
        <w:tblW w:w="8013" w:type="dxa"/>
        <w:jc w:val="center"/>
        <w:tblLook w:val="0000" w:firstRow="0" w:lastRow="0" w:firstColumn="0" w:lastColumn="0" w:noHBand="0" w:noVBand="0"/>
      </w:tblPr>
      <w:tblGrid>
        <w:gridCol w:w="2227"/>
        <w:gridCol w:w="1362"/>
        <w:gridCol w:w="1540"/>
        <w:gridCol w:w="1666"/>
        <w:gridCol w:w="1218"/>
      </w:tblGrid>
      <w:tr w:rsidR="003D1F7F" w:rsidRPr="00E9464A" w:rsidTr="00E9464A">
        <w:trPr>
          <w:trHeight w:val="454"/>
          <w:jc w:val="center"/>
        </w:trPr>
        <w:tc>
          <w:tcPr>
            <w:tcW w:w="2227" w:type="dxa"/>
            <w:tcBorders>
              <w:top w:val="single" w:sz="4" w:space="0" w:color="auto"/>
              <w:left w:val="nil"/>
              <w:bottom w:val="single" w:sz="4" w:space="0" w:color="000000"/>
              <w:right w:val="nil"/>
            </w:tcBorders>
            <w:noWrap/>
            <w:vAlign w:val="center"/>
          </w:tcPr>
          <w:p w:rsidR="003D1F7F" w:rsidRPr="00E9464A" w:rsidRDefault="003D1F7F" w:rsidP="001368E7">
            <w:pPr>
              <w:spacing w:before="0" w:after="0"/>
              <w:jc w:val="center"/>
              <w:rPr>
                <w:b/>
                <w:color w:val="000000"/>
                <w:szCs w:val="22"/>
                <w:lang w:val="en-US"/>
              </w:rPr>
            </w:pPr>
            <w:r w:rsidRPr="00E9464A">
              <w:rPr>
                <w:b/>
                <w:color w:val="000000"/>
                <w:szCs w:val="22"/>
                <w:lang w:val="en-US"/>
              </w:rPr>
              <w:t>Region</w:t>
            </w:r>
          </w:p>
        </w:tc>
        <w:tc>
          <w:tcPr>
            <w:tcW w:w="1362" w:type="dxa"/>
            <w:tcBorders>
              <w:top w:val="single" w:sz="4" w:space="0" w:color="auto"/>
              <w:left w:val="nil"/>
              <w:bottom w:val="single" w:sz="4" w:space="0" w:color="000000"/>
              <w:right w:val="nil"/>
            </w:tcBorders>
            <w:vAlign w:val="center"/>
          </w:tcPr>
          <w:p w:rsidR="003D1F7F" w:rsidRPr="00E9464A" w:rsidRDefault="003D1F7F" w:rsidP="001368E7">
            <w:pPr>
              <w:spacing w:before="0" w:after="0"/>
              <w:jc w:val="center"/>
              <w:rPr>
                <w:color w:val="000000"/>
                <w:szCs w:val="22"/>
                <w:lang w:val="en-US"/>
              </w:rPr>
            </w:pPr>
            <w:r w:rsidRPr="00E9464A">
              <w:rPr>
                <w:color w:val="000000"/>
                <w:szCs w:val="22"/>
                <w:lang w:val="en-US"/>
              </w:rPr>
              <w:t>Seagrass</w:t>
            </w:r>
          </w:p>
          <w:p w:rsidR="003D1F7F" w:rsidRPr="00E9464A" w:rsidRDefault="003D1F7F" w:rsidP="001368E7">
            <w:pPr>
              <w:spacing w:before="0" w:after="0"/>
              <w:jc w:val="center"/>
              <w:rPr>
                <w:color w:val="000000"/>
                <w:szCs w:val="22"/>
                <w:lang w:val="en-US"/>
              </w:rPr>
            </w:pPr>
            <w:r w:rsidRPr="00E9464A">
              <w:rPr>
                <w:color w:val="000000"/>
                <w:szCs w:val="22"/>
                <w:lang w:val="en-US"/>
              </w:rPr>
              <w:t>Abundance</w:t>
            </w:r>
          </w:p>
        </w:tc>
        <w:tc>
          <w:tcPr>
            <w:tcW w:w="1540" w:type="dxa"/>
            <w:tcBorders>
              <w:top w:val="single" w:sz="4" w:space="0" w:color="auto"/>
              <w:left w:val="nil"/>
              <w:bottom w:val="single" w:sz="4" w:space="0" w:color="000000"/>
              <w:right w:val="nil"/>
            </w:tcBorders>
            <w:vAlign w:val="center"/>
          </w:tcPr>
          <w:p w:rsidR="003D1F7F" w:rsidRPr="00E9464A" w:rsidRDefault="003D1F7F" w:rsidP="001368E7">
            <w:pPr>
              <w:spacing w:before="0" w:after="0"/>
              <w:jc w:val="center"/>
              <w:rPr>
                <w:color w:val="000000"/>
                <w:szCs w:val="22"/>
                <w:lang w:val="en-US"/>
              </w:rPr>
            </w:pPr>
            <w:r w:rsidRPr="00E9464A">
              <w:rPr>
                <w:color w:val="000000"/>
                <w:szCs w:val="22"/>
                <w:lang w:val="en-US"/>
              </w:rPr>
              <w:t>Reproductive</w:t>
            </w:r>
          </w:p>
          <w:p w:rsidR="003D1F7F" w:rsidRPr="00E9464A" w:rsidRDefault="003D1F7F" w:rsidP="001368E7">
            <w:pPr>
              <w:spacing w:before="0" w:after="0"/>
              <w:jc w:val="center"/>
              <w:rPr>
                <w:color w:val="000000"/>
                <w:szCs w:val="22"/>
                <w:lang w:val="en-US"/>
              </w:rPr>
            </w:pPr>
            <w:r w:rsidRPr="00E9464A">
              <w:rPr>
                <w:color w:val="000000"/>
                <w:szCs w:val="22"/>
                <w:lang w:val="en-US"/>
              </w:rPr>
              <w:t>Effort</w:t>
            </w:r>
          </w:p>
        </w:tc>
        <w:tc>
          <w:tcPr>
            <w:tcW w:w="1666" w:type="dxa"/>
            <w:tcBorders>
              <w:top w:val="single" w:sz="4" w:space="0" w:color="auto"/>
              <w:left w:val="nil"/>
              <w:bottom w:val="single" w:sz="4" w:space="0" w:color="000000"/>
              <w:right w:val="nil"/>
            </w:tcBorders>
            <w:vAlign w:val="center"/>
          </w:tcPr>
          <w:p w:rsidR="003D1F7F" w:rsidRPr="00E9464A" w:rsidRDefault="003D1F7F" w:rsidP="001368E7">
            <w:pPr>
              <w:spacing w:before="0" w:after="0"/>
              <w:jc w:val="center"/>
              <w:rPr>
                <w:color w:val="000000"/>
                <w:szCs w:val="22"/>
                <w:lang w:val="fr-FR"/>
              </w:rPr>
            </w:pPr>
            <w:proofErr w:type="spellStart"/>
            <w:r w:rsidRPr="00E9464A">
              <w:rPr>
                <w:color w:val="000000"/>
                <w:szCs w:val="22"/>
                <w:lang w:val="fr-FR"/>
              </w:rPr>
              <w:t>Nutrient</w:t>
            </w:r>
            <w:proofErr w:type="spellEnd"/>
            <w:r w:rsidRPr="00E9464A">
              <w:rPr>
                <w:color w:val="000000"/>
                <w:szCs w:val="22"/>
                <w:lang w:val="fr-FR"/>
              </w:rPr>
              <w:t xml:space="preserve"> </w:t>
            </w:r>
            <w:proofErr w:type="spellStart"/>
            <w:r w:rsidRPr="00E9464A">
              <w:rPr>
                <w:color w:val="000000"/>
                <w:szCs w:val="22"/>
                <w:lang w:val="fr-FR"/>
              </w:rPr>
              <w:t>status</w:t>
            </w:r>
            <w:proofErr w:type="spellEnd"/>
          </w:p>
          <w:p w:rsidR="003D1F7F" w:rsidRPr="00E9464A" w:rsidRDefault="003D1F7F" w:rsidP="001368E7">
            <w:pPr>
              <w:spacing w:before="0" w:after="0"/>
              <w:jc w:val="center"/>
              <w:rPr>
                <w:color w:val="000000"/>
                <w:szCs w:val="22"/>
                <w:lang w:val="fr-FR"/>
              </w:rPr>
            </w:pPr>
            <w:r w:rsidRPr="00E9464A">
              <w:rPr>
                <w:color w:val="000000"/>
                <w:szCs w:val="22"/>
                <w:lang w:val="fr-FR"/>
              </w:rPr>
              <w:t>(C:N ratio)</w:t>
            </w:r>
          </w:p>
        </w:tc>
        <w:tc>
          <w:tcPr>
            <w:tcW w:w="1218" w:type="dxa"/>
            <w:tcBorders>
              <w:top w:val="single" w:sz="4" w:space="0" w:color="auto"/>
              <w:left w:val="nil"/>
              <w:bottom w:val="single" w:sz="4" w:space="0" w:color="000000"/>
              <w:right w:val="nil"/>
            </w:tcBorders>
            <w:vAlign w:val="center"/>
          </w:tcPr>
          <w:p w:rsidR="003D1F7F" w:rsidRPr="00E9464A" w:rsidRDefault="003D1F7F" w:rsidP="001368E7">
            <w:pPr>
              <w:spacing w:before="0" w:after="0"/>
              <w:jc w:val="center"/>
              <w:rPr>
                <w:b/>
                <w:bCs/>
                <w:color w:val="000000"/>
                <w:szCs w:val="22"/>
                <w:lang w:val="en-US"/>
              </w:rPr>
            </w:pPr>
            <w:r w:rsidRPr="00E9464A">
              <w:rPr>
                <w:b/>
                <w:bCs/>
                <w:color w:val="000000"/>
                <w:szCs w:val="22"/>
                <w:lang w:val="en-US"/>
              </w:rPr>
              <w:t>Seagrass Index</w:t>
            </w:r>
          </w:p>
        </w:tc>
      </w:tr>
      <w:tr w:rsidR="003D1F7F" w:rsidRPr="00E9464A" w:rsidTr="00E9464A">
        <w:trPr>
          <w:trHeight w:val="227"/>
          <w:jc w:val="center"/>
        </w:trPr>
        <w:tc>
          <w:tcPr>
            <w:tcW w:w="2227" w:type="dxa"/>
            <w:tcBorders>
              <w:top w:val="single" w:sz="4" w:space="0" w:color="000000"/>
              <w:left w:val="single" w:sz="4" w:space="0" w:color="FFFFFF"/>
              <w:bottom w:val="single" w:sz="4" w:space="0" w:color="FFFFFF"/>
              <w:right w:val="single" w:sz="4" w:space="0" w:color="FFFFFF"/>
            </w:tcBorders>
            <w:noWrap/>
            <w:vAlign w:val="bottom"/>
          </w:tcPr>
          <w:p w:rsidR="003D1F7F" w:rsidRPr="00E9464A" w:rsidRDefault="003D1F7F" w:rsidP="001368E7">
            <w:pPr>
              <w:spacing w:before="0" w:after="0"/>
              <w:rPr>
                <w:color w:val="000000"/>
                <w:szCs w:val="22"/>
                <w:lang w:val="en-US"/>
              </w:rPr>
            </w:pPr>
            <w:r w:rsidRPr="00E9464A">
              <w:rPr>
                <w:color w:val="000000"/>
                <w:szCs w:val="22"/>
                <w:lang w:val="en-US"/>
              </w:rPr>
              <w:t>Cape York</w:t>
            </w:r>
          </w:p>
        </w:tc>
        <w:tc>
          <w:tcPr>
            <w:tcW w:w="1362" w:type="dxa"/>
            <w:tcBorders>
              <w:top w:val="single" w:sz="4" w:space="0" w:color="000000"/>
              <w:left w:val="single" w:sz="4" w:space="0" w:color="FFFFFF"/>
              <w:bottom w:val="single" w:sz="4" w:space="0" w:color="FFFFFF"/>
              <w:right w:val="single" w:sz="4" w:space="0" w:color="FFFFFF"/>
            </w:tcBorders>
            <w:shd w:val="clear" w:color="auto" w:fill="FFFF00"/>
            <w:noWrap/>
            <w:vAlign w:val="bottom"/>
          </w:tcPr>
          <w:p w:rsidR="003D1F7F" w:rsidRPr="00E9464A" w:rsidRDefault="003D1F7F" w:rsidP="001368E7">
            <w:pPr>
              <w:spacing w:before="0" w:after="0"/>
              <w:jc w:val="center"/>
              <w:rPr>
                <w:color w:val="000000"/>
                <w:szCs w:val="22"/>
              </w:rPr>
            </w:pPr>
            <w:r w:rsidRPr="00E9464A">
              <w:rPr>
                <w:color w:val="000000"/>
                <w:szCs w:val="22"/>
              </w:rPr>
              <w:t>43</w:t>
            </w:r>
          </w:p>
        </w:tc>
        <w:tc>
          <w:tcPr>
            <w:tcW w:w="1540" w:type="dxa"/>
            <w:tcBorders>
              <w:top w:val="single" w:sz="4" w:space="0" w:color="000000"/>
              <w:left w:val="single" w:sz="4" w:space="0" w:color="FFFFFF"/>
              <w:bottom w:val="single" w:sz="4" w:space="0" w:color="FFFFFF"/>
              <w:right w:val="single" w:sz="4" w:space="0" w:color="FFFFFF"/>
            </w:tcBorders>
            <w:shd w:val="clear" w:color="auto" w:fill="FF0000"/>
            <w:noWrap/>
            <w:vAlign w:val="bottom"/>
          </w:tcPr>
          <w:p w:rsidR="003D1F7F" w:rsidRPr="00E9464A" w:rsidRDefault="003D1F7F" w:rsidP="001368E7">
            <w:pPr>
              <w:spacing w:before="0" w:after="0"/>
              <w:jc w:val="center"/>
              <w:rPr>
                <w:color w:val="000000"/>
                <w:szCs w:val="22"/>
              </w:rPr>
            </w:pPr>
            <w:r w:rsidRPr="00E9464A">
              <w:rPr>
                <w:color w:val="000000"/>
                <w:szCs w:val="22"/>
              </w:rPr>
              <w:t>10</w:t>
            </w:r>
          </w:p>
        </w:tc>
        <w:tc>
          <w:tcPr>
            <w:tcW w:w="1666" w:type="dxa"/>
            <w:tcBorders>
              <w:top w:val="single" w:sz="4" w:space="0" w:color="000000"/>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35</w:t>
            </w:r>
          </w:p>
        </w:tc>
        <w:tc>
          <w:tcPr>
            <w:tcW w:w="1218" w:type="dxa"/>
            <w:tcBorders>
              <w:top w:val="single" w:sz="4" w:space="0" w:color="000000"/>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30</w:t>
            </w:r>
          </w:p>
        </w:tc>
      </w:tr>
      <w:tr w:rsidR="003D1F7F" w:rsidRPr="00E9464A" w:rsidTr="00E9464A">
        <w:trPr>
          <w:trHeight w:val="170"/>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3D1F7F" w:rsidRPr="00E9464A" w:rsidRDefault="003D1F7F" w:rsidP="001368E7">
            <w:pPr>
              <w:spacing w:before="0" w:after="0"/>
              <w:rPr>
                <w:color w:val="000000"/>
                <w:szCs w:val="22"/>
                <w:lang w:val="en-US"/>
              </w:rPr>
            </w:pPr>
            <w:r w:rsidRPr="00E9464A">
              <w:rPr>
                <w:color w:val="000000"/>
                <w:szCs w:val="22"/>
                <w:lang w:val="en-US"/>
              </w:rPr>
              <w:t>Wet Tropics</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3D1F7F" w:rsidRPr="00E9464A" w:rsidRDefault="003D1F7F" w:rsidP="001368E7">
            <w:pPr>
              <w:spacing w:before="0" w:after="0"/>
              <w:jc w:val="center"/>
              <w:rPr>
                <w:color w:val="000000"/>
                <w:szCs w:val="22"/>
              </w:rPr>
            </w:pPr>
            <w:r w:rsidRPr="00E9464A">
              <w:rPr>
                <w:color w:val="000000"/>
                <w:szCs w:val="22"/>
              </w:rPr>
              <w:t>18</w:t>
            </w:r>
          </w:p>
        </w:tc>
        <w:tc>
          <w:tcPr>
            <w:tcW w:w="1540"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31</w:t>
            </w:r>
          </w:p>
        </w:tc>
        <w:tc>
          <w:tcPr>
            <w:tcW w:w="1666"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32</w:t>
            </w:r>
          </w:p>
        </w:tc>
        <w:tc>
          <w:tcPr>
            <w:tcW w:w="1218"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27</w:t>
            </w:r>
          </w:p>
        </w:tc>
      </w:tr>
      <w:tr w:rsidR="003D1F7F" w:rsidRPr="00E9464A" w:rsidTr="00E9464A">
        <w:trPr>
          <w:trHeight w:val="170"/>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3D1F7F" w:rsidRPr="00E9464A" w:rsidRDefault="003D1F7F" w:rsidP="001368E7">
            <w:pPr>
              <w:spacing w:before="0" w:after="0"/>
              <w:rPr>
                <w:color w:val="000000"/>
                <w:szCs w:val="22"/>
                <w:lang w:val="en-US"/>
              </w:rPr>
            </w:pPr>
            <w:r w:rsidRPr="00E9464A">
              <w:rPr>
                <w:color w:val="000000"/>
                <w:szCs w:val="22"/>
                <w:lang w:val="en-US"/>
              </w:rPr>
              <w:t>Burdekin</w:t>
            </w:r>
          </w:p>
        </w:tc>
        <w:tc>
          <w:tcPr>
            <w:tcW w:w="1362" w:type="dxa"/>
            <w:tcBorders>
              <w:top w:val="single" w:sz="4" w:space="0" w:color="FFFFFF"/>
              <w:left w:val="single" w:sz="4" w:space="0" w:color="FFFFFF"/>
              <w:bottom w:val="single" w:sz="4" w:space="0" w:color="FFFFFF"/>
              <w:right w:val="single" w:sz="4" w:space="0" w:color="FFFFFF"/>
            </w:tcBorders>
            <w:shd w:val="clear" w:color="auto" w:fill="FFFF00"/>
            <w:noWrap/>
            <w:vAlign w:val="bottom"/>
          </w:tcPr>
          <w:p w:rsidR="003D1F7F" w:rsidRPr="00E9464A" w:rsidRDefault="003D1F7F" w:rsidP="001368E7">
            <w:pPr>
              <w:spacing w:before="0" w:after="0"/>
              <w:jc w:val="center"/>
              <w:rPr>
                <w:color w:val="000000"/>
                <w:szCs w:val="22"/>
              </w:rPr>
            </w:pPr>
            <w:r w:rsidRPr="00E9464A">
              <w:rPr>
                <w:color w:val="000000"/>
                <w:szCs w:val="22"/>
              </w:rPr>
              <w:t>57</w:t>
            </w:r>
          </w:p>
        </w:tc>
        <w:tc>
          <w:tcPr>
            <w:tcW w:w="1540"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40</w:t>
            </w:r>
          </w:p>
        </w:tc>
        <w:tc>
          <w:tcPr>
            <w:tcW w:w="1666" w:type="dxa"/>
            <w:tcBorders>
              <w:top w:val="single" w:sz="4" w:space="0" w:color="FFFFFF"/>
              <w:left w:val="single" w:sz="4" w:space="0" w:color="FFFFFF"/>
              <w:bottom w:val="single" w:sz="4" w:space="0" w:color="FFFFFF"/>
              <w:right w:val="single" w:sz="4" w:space="0" w:color="FFFFFF"/>
            </w:tcBorders>
            <w:shd w:val="clear" w:color="auto" w:fill="92D050"/>
            <w:noWrap/>
            <w:vAlign w:val="bottom"/>
          </w:tcPr>
          <w:p w:rsidR="003D1F7F" w:rsidRPr="00E9464A" w:rsidRDefault="003D1F7F" w:rsidP="001368E7">
            <w:pPr>
              <w:spacing w:before="0" w:after="0"/>
              <w:jc w:val="center"/>
              <w:rPr>
                <w:color w:val="000000"/>
                <w:szCs w:val="22"/>
              </w:rPr>
            </w:pPr>
            <w:r w:rsidRPr="00E9464A">
              <w:rPr>
                <w:color w:val="000000"/>
                <w:szCs w:val="22"/>
              </w:rPr>
              <w:t>62</w:t>
            </w:r>
          </w:p>
        </w:tc>
        <w:tc>
          <w:tcPr>
            <w:tcW w:w="1218" w:type="dxa"/>
            <w:tcBorders>
              <w:top w:val="single" w:sz="4" w:space="0" w:color="FFFFFF"/>
              <w:left w:val="single" w:sz="4" w:space="0" w:color="FFFFFF"/>
              <w:bottom w:val="single" w:sz="4" w:space="0" w:color="FFFFFF"/>
              <w:right w:val="single" w:sz="4" w:space="0" w:color="FFFFFF"/>
            </w:tcBorders>
            <w:shd w:val="clear" w:color="auto" w:fill="FFFF00"/>
            <w:noWrap/>
            <w:vAlign w:val="bottom"/>
          </w:tcPr>
          <w:p w:rsidR="003D1F7F" w:rsidRPr="00E9464A" w:rsidRDefault="003D1F7F" w:rsidP="001368E7">
            <w:pPr>
              <w:spacing w:before="0" w:after="0"/>
              <w:jc w:val="center"/>
              <w:rPr>
                <w:color w:val="000000"/>
                <w:szCs w:val="22"/>
              </w:rPr>
            </w:pPr>
            <w:r w:rsidRPr="00E9464A">
              <w:rPr>
                <w:color w:val="000000"/>
                <w:szCs w:val="22"/>
              </w:rPr>
              <w:t>53</w:t>
            </w:r>
          </w:p>
        </w:tc>
      </w:tr>
      <w:tr w:rsidR="003D1F7F" w:rsidRPr="00E9464A" w:rsidTr="00E9464A">
        <w:trPr>
          <w:trHeight w:val="170"/>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3D1F7F" w:rsidRPr="00E9464A" w:rsidRDefault="003D1F7F" w:rsidP="001368E7">
            <w:pPr>
              <w:spacing w:before="0" w:after="0"/>
              <w:rPr>
                <w:color w:val="000000"/>
                <w:szCs w:val="22"/>
                <w:lang w:val="en-US"/>
              </w:rPr>
            </w:pPr>
            <w:r w:rsidRPr="00E9464A">
              <w:rPr>
                <w:color w:val="000000"/>
                <w:szCs w:val="22"/>
                <w:lang w:val="en-US"/>
              </w:rPr>
              <w:t>Mackay Whitsunday</w:t>
            </w:r>
          </w:p>
        </w:tc>
        <w:tc>
          <w:tcPr>
            <w:tcW w:w="1362"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30</w:t>
            </w:r>
          </w:p>
        </w:tc>
        <w:tc>
          <w:tcPr>
            <w:tcW w:w="1540"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33</w:t>
            </w:r>
          </w:p>
        </w:tc>
        <w:tc>
          <w:tcPr>
            <w:tcW w:w="1666"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31</w:t>
            </w:r>
          </w:p>
        </w:tc>
        <w:tc>
          <w:tcPr>
            <w:tcW w:w="1218"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32</w:t>
            </w:r>
          </w:p>
        </w:tc>
      </w:tr>
      <w:tr w:rsidR="003D1F7F" w:rsidRPr="00E9464A" w:rsidTr="00E9464A">
        <w:trPr>
          <w:trHeight w:val="170"/>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rsidR="003D1F7F" w:rsidRPr="00E9464A" w:rsidRDefault="003D1F7F" w:rsidP="001368E7">
            <w:pPr>
              <w:spacing w:before="0" w:after="0"/>
              <w:rPr>
                <w:color w:val="000000"/>
                <w:szCs w:val="22"/>
                <w:lang w:val="en-US"/>
              </w:rPr>
            </w:pPr>
            <w:r w:rsidRPr="00E9464A">
              <w:rPr>
                <w:color w:val="000000"/>
                <w:szCs w:val="22"/>
                <w:lang w:val="en-US"/>
              </w:rPr>
              <w:t>Fitzroy</w:t>
            </w:r>
          </w:p>
        </w:tc>
        <w:tc>
          <w:tcPr>
            <w:tcW w:w="1362"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25</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3D1F7F" w:rsidRPr="00E9464A" w:rsidRDefault="003D1F7F" w:rsidP="001368E7">
            <w:pPr>
              <w:spacing w:before="0" w:after="0"/>
              <w:jc w:val="center"/>
              <w:rPr>
                <w:color w:val="000000"/>
                <w:szCs w:val="22"/>
              </w:rPr>
            </w:pPr>
            <w:r w:rsidRPr="00E9464A">
              <w:rPr>
                <w:color w:val="000000"/>
                <w:szCs w:val="22"/>
              </w:rPr>
              <w:t>0</w:t>
            </w:r>
          </w:p>
        </w:tc>
        <w:tc>
          <w:tcPr>
            <w:tcW w:w="1666"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35</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3D1F7F" w:rsidRPr="00E9464A" w:rsidRDefault="003D1F7F" w:rsidP="001368E7">
            <w:pPr>
              <w:spacing w:before="0" w:after="0"/>
              <w:jc w:val="center"/>
              <w:rPr>
                <w:color w:val="000000"/>
                <w:szCs w:val="22"/>
              </w:rPr>
            </w:pPr>
            <w:r w:rsidRPr="00E9464A">
              <w:rPr>
                <w:color w:val="000000"/>
                <w:szCs w:val="22"/>
              </w:rPr>
              <w:t>20</w:t>
            </w:r>
          </w:p>
        </w:tc>
      </w:tr>
      <w:tr w:rsidR="003D1F7F" w:rsidRPr="00E9464A" w:rsidTr="00E9464A">
        <w:trPr>
          <w:trHeight w:val="170"/>
          <w:jc w:val="center"/>
        </w:trPr>
        <w:tc>
          <w:tcPr>
            <w:tcW w:w="2227" w:type="dxa"/>
            <w:tcBorders>
              <w:top w:val="single" w:sz="4" w:space="0" w:color="FFFFFF"/>
              <w:left w:val="single" w:sz="4" w:space="0" w:color="FFFFFF"/>
              <w:bottom w:val="single" w:sz="4" w:space="0" w:color="000000"/>
              <w:right w:val="single" w:sz="4" w:space="0" w:color="FFFFFF"/>
            </w:tcBorders>
            <w:noWrap/>
            <w:vAlign w:val="bottom"/>
          </w:tcPr>
          <w:p w:rsidR="003D1F7F" w:rsidRPr="00E9464A" w:rsidRDefault="003D1F7F" w:rsidP="001368E7">
            <w:pPr>
              <w:spacing w:before="0" w:after="0"/>
              <w:rPr>
                <w:color w:val="000000"/>
                <w:szCs w:val="22"/>
                <w:lang w:val="en-US"/>
              </w:rPr>
            </w:pPr>
            <w:r w:rsidRPr="00E9464A">
              <w:rPr>
                <w:color w:val="000000"/>
                <w:szCs w:val="22"/>
                <w:lang w:val="en-US"/>
              </w:rPr>
              <w:t>Burnett Mary</w:t>
            </w:r>
          </w:p>
        </w:tc>
        <w:tc>
          <w:tcPr>
            <w:tcW w:w="1362" w:type="dxa"/>
            <w:tcBorders>
              <w:top w:val="single" w:sz="4" w:space="0" w:color="FFFFFF"/>
              <w:left w:val="single" w:sz="4" w:space="0" w:color="FFFFFF"/>
              <w:bottom w:val="single" w:sz="4" w:space="0" w:color="000000"/>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30</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vAlign w:val="bottom"/>
          </w:tcPr>
          <w:p w:rsidR="003D1F7F" w:rsidRPr="00E9464A" w:rsidRDefault="003D1F7F" w:rsidP="001368E7">
            <w:pPr>
              <w:spacing w:before="0" w:after="0"/>
              <w:jc w:val="center"/>
              <w:rPr>
                <w:color w:val="000000"/>
                <w:szCs w:val="22"/>
              </w:rPr>
            </w:pPr>
            <w:r w:rsidRPr="00E9464A">
              <w:rPr>
                <w:color w:val="000000"/>
                <w:szCs w:val="22"/>
              </w:rPr>
              <w:t>6</w:t>
            </w:r>
          </w:p>
        </w:tc>
        <w:tc>
          <w:tcPr>
            <w:tcW w:w="1666" w:type="dxa"/>
            <w:tcBorders>
              <w:top w:val="single" w:sz="4" w:space="0" w:color="FFFFFF"/>
              <w:left w:val="single" w:sz="4" w:space="0" w:color="FFFFFF"/>
              <w:bottom w:val="single" w:sz="4" w:space="0" w:color="000000"/>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40</w:t>
            </w:r>
          </w:p>
        </w:tc>
        <w:tc>
          <w:tcPr>
            <w:tcW w:w="1218" w:type="dxa"/>
            <w:tcBorders>
              <w:top w:val="single" w:sz="4" w:space="0" w:color="FFFFFF"/>
              <w:left w:val="single" w:sz="4" w:space="0" w:color="FFFFFF"/>
              <w:bottom w:val="single" w:sz="4" w:space="0" w:color="000000"/>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25</w:t>
            </w:r>
          </w:p>
        </w:tc>
      </w:tr>
      <w:tr w:rsidR="003D1F7F" w:rsidRPr="00E9464A" w:rsidTr="00E9464A">
        <w:trPr>
          <w:trHeight w:val="170"/>
          <w:jc w:val="center"/>
        </w:trPr>
        <w:tc>
          <w:tcPr>
            <w:tcW w:w="2227" w:type="dxa"/>
            <w:tcBorders>
              <w:top w:val="single" w:sz="4" w:space="0" w:color="000000"/>
              <w:left w:val="single" w:sz="4" w:space="0" w:color="FFFFFF"/>
              <w:bottom w:val="single" w:sz="4" w:space="0" w:color="000000"/>
              <w:right w:val="single" w:sz="4" w:space="0" w:color="FFFFFF"/>
            </w:tcBorders>
            <w:noWrap/>
            <w:vAlign w:val="bottom"/>
          </w:tcPr>
          <w:p w:rsidR="003D1F7F" w:rsidRPr="00E9464A" w:rsidRDefault="003D1F7F" w:rsidP="001368E7">
            <w:pPr>
              <w:spacing w:before="0" w:after="0"/>
              <w:rPr>
                <w:b/>
                <w:color w:val="000000"/>
                <w:szCs w:val="22"/>
                <w:lang w:val="en-US"/>
              </w:rPr>
            </w:pPr>
            <w:r w:rsidRPr="00E9464A">
              <w:rPr>
                <w:b/>
                <w:color w:val="000000"/>
                <w:szCs w:val="22"/>
                <w:lang w:val="en-US"/>
              </w:rPr>
              <w:t>GBR</w:t>
            </w:r>
          </w:p>
        </w:tc>
        <w:tc>
          <w:tcPr>
            <w:tcW w:w="1362" w:type="dxa"/>
            <w:tcBorders>
              <w:top w:val="single" w:sz="4" w:space="0" w:color="000000"/>
              <w:left w:val="single" w:sz="4" w:space="0" w:color="FFFFFF"/>
              <w:bottom w:val="single" w:sz="4" w:space="0" w:color="000000"/>
              <w:right w:val="single" w:sz="4" w:space="0" w:color="FFFFFF"/>
            </w:tcBorders>
            <w:shd w:val="clear" w:color="auto" w:fill="FFFF00"/>
            <w:noWrap/>
            <w:vAlign w:val="bottom"/>
          </w:tcPr>
          <w:p w:rsidR="003D1F7F" w:rsidRPr="00E9464A" w:rsidRDefault="003D1F7F" w:rsidP="001368E7">
            <w:pPr>
              <w:spacing w:before="0" w:after="0"/>
              <w:jc w:val="center"/>
              <w:rPr>
                <w:color w:val="000000"/>
                <w:szCs w:val="22"/>
              </w:rPr>
            </w:pPr>
            <w:r w:rsidRPr="00E9464A">
              <w:rPr>
                <w:color w:val="000000"/>
                <w:szCs w:val="22"/>
              </w:rPr>
              <w:t>42</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bottom"/>
          </w:tcPr>
          <w:p w:rsidR="003D1F7F" w:rsidRPr="00E9464A" w:rsidRDefault="003D1F7F" w:rsidP="001368E7">
            <w:pPr>
              <w:spacing w:before="0" w:after="0"/>
              <w:jc w:val="center"/>
              <w:rPr>
                <w:color w:val="000000"/>
                <w:szCs w:val="22"/>
              </w:rPr>
            </w:pPr>
            <w:r w:rsidRPr="00E9464A">
              <w:rPr>
                <w:color w:val="000000"/>
                <w:szCs w:val="22"/>
              </w:rPr>
              <w:t>17</w:t>
            </w:r>
          </w:p>
        </w:tc>
        <w:tc>
          <w:tcPr>
            <w:tcW w:w="1666" w:type="dxa"/>
            <w:tcBorders>
              <w:top w:val="single" w:sz="4" w:space="0" w:color="000000"/>
              <w:left w:val="single" w:sz="4" w:space="0" w:color="FFFFFF"/>
              <w:bottom w:val="single" w:sz="4" w:space="0" w:color="000000"/>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40</w:t>
            </w:r>
          </w:p>
        </w:tc>
        <w:tc>
          <w:tcPr>
            <w:tcW w:w="1218" w:type="dxa"/>
            <w:tcBorders>
              <w:top w:val="single" w:sz="4" w:space="0" w:color="000000"/>
              <w:left w:val="single" w:sz="4" w:space="0" w:color="FFFFFF"/>
              <w:bottom w:val="single" w:sz="4" w:space="0" w:color="000000"/>
              <w:right w:val="single" w:sz="4" w:space="0" w:color="FFFFFF"/>
            </w:tcBorders>
            <w:shd w:val="clear" w:color="auto" w:fill="FFCC00"/>
            <w:noWrap/>
            <w:vAlign w:val="bottom"/>
          </w:tcPr>
          <w:p w:rsidR="003D1F7F" w:rsidRPr="00E9464A" w:rsidRDefault="003D1F7F" w:rsidP="001368E7">
            <w:pPr>
              <w:spacing w:before="0" w:after="0"/>
              <w:jc w:val="center"/>
              <w:rPr>
                <w:color w:val="000000"/>
                <w:szCs w:val="22"/>
              </w:rPr>
            </w:pPr>
            <w:r w:rsidRPr="00E9464A">
              <w:rPr>
                <w:color w:val="000000"/>
                <w:szCs w:val="22"/>
              </w:rPr>
              <w:t>33</w:t>
            </w:r>
          </w:p>
        </w:tc>
      </w:tr>
    </w:tbl>
    <w:p w:rsidR="003D1F7F" w:rsidRDefault="003D1F7F" w:rsidP="00926892">
      <w:pPr>
        <w:pStyle w:val="Heading1"/>
        <w:numPr>
          <w:ilvl w:val="0"/>
          <w:numId w:val="9"/>
        </w:numPr>
        <w:rPr>
          <w:rFonts w:ascii="Century Gothic" w:hAnsi="Century Gothic"/>
          <w:sz w:val="36"/>
          <w:szCs w:val="36"/>
        </w:rPr>
      </w:pPr>
      <w:bookmarkStart w:id="16" w:name="_Toc462047315"/>
      <w:bookmarkStart w:id="17" w:name="_Toc232845889"/>
      <w:bookmarkStart w:id="18" w:name="_Toc184101942"/>
      <w:bookmarkStart w:id="19" w:name="_Toc175991039"/>
      <w:bookmarkStart w:id="20" w:name="_Toc232845891"/>
      <w:bookmarkStart w:id="21" w:name="_Toc184101944"/>
      <w:bookmarkStart w:id="22" w:name="_Toc431493734"/>
      <w:bookmarkEnd w:id="10"/>
      <w:bookmarkEnd w:id="11"/>
      <w:bookmarkEnd w:id="12"/>
      <w:bookmarkEnd w:id="13"/>
      <w:r>
        <w:rPr>
          <w:rFonts w:ascii="Century Gothic" w:hAnsi="Century Gothic"/>
          <w:sz w:val="36"/>
          <w:szCs w:val="36"/>
        </w:rPr>
        <w:lastRenderedPageBreak/>
        <w:t>Preface</w:t>
      </w:r>
      <w:bookmarkEnd w:id="16"/>
    </w:p>
    <w:p w:rsidR="003D1F7F" w:rsidRDefault="003D1F7F" w:rsidP="003D1F7F">
      <w:pPr>
        <w:rPr>
          <w:color w:val="000000"/>
          <w:szCs w:val="22"/>
        </w:rPr>
      </w:pPr>
      <w:r>
        <w:rPr>
          <w:szCs w:val="22"/>
        </w:rPr>
        <w:t>The management of water quality remains a strategic priority for the Great Barrier Reef Marine Park Authority (GBRMPA) to ensure the long-term protection of the coastal and inshore ecosystems of the Reef (</w:t>
      </w:r>
      <w:hyperlink w:anchor="_ENREF_116" w:tooltip="Great Barrier Reef Marine Park Authority, 2014 #9980" w:history="1">
        <w:r w:rsidR="00E6043D">
          <w:rPr>
            <w:szCs w:val="22"/>
          </w:rPr>
          <w:fldChar w:fldCharType="begin"/>
        </w:r>
        <w:r w:rsidR="00E6043D">
          <w:rPr>
            <w:szCs w:val="22"/>
          </w:rPr>
          <w:instrText xml:space="preserve"> ADDIN EN.CITE &lt;EndNote&gt;&lt;Cite&gt;&lt;Author&gt;Great Barrier Reef Marine Park Authority&lt;/Author&gt;&lt;Year&gt;2014&lt;/Year&gt;&lt;RecNum&gt;9980&lt;/RecNum&gt;&lt;DisplayText&gt;Great Barrier Reef Marine Park Authority 2014&lt;/DisplayText&gt;&lt;record&gt;&lt;rec-number&gt;9980&lt;/rec-number&gt;&lt;foreign-keys&gt;&lt;key app="EN" db-id="0eve55x9y5vfd6e9dacxtew4eatve2dzds9a"&gt;9980&lt;/key&gt;&lt;/foreign-keys&gt;&lt;ref-type name="Book"&gt;6&lt;/ref-type&gt;&lt;contributors&gt;&lt;authors&gt;&lt;author&gt;Great Barrier Reef Marine Park Authority,&lt;/author&gt;&lt;/authors&gt;&lt;/contributors&gt;&lt;titles&gt;&lt;title&gt;Great Barrier Reef Marine Park Authority Science Strategy and Information Needs 2014-2019&lt;/title&gt;&lt;/titles&gt;&lt;pages&gt;34&lt;/pages&gt;&lt;dates&gt;&lt;year&gt;2014&lt;/year&gt;&lt;/dates&gt;&lt;pub-location&gt;Townsville&lt;/pub-location&gt;&lt;publisher&gt;Great Barrier Reef Marine Park Authority&lt;/publisher&gt;&lt;work-type&gt;Report ER&lt;/work-type&gt;&lt;urls&gt;&lt;related-urls&gt;&lt;url&gt;http://hdl.handle.net/11017/2872&lt;/url&gt;&lt;/related-urls&gt;&lt;/urls&gt;&lt;/record&gt;&lt;/Cite&gt;&lt;/EndNote&gt;</w:instrText>
        </w:r>
        <w:r w:rsidR="00E6043D">
          <w:rPr>
            <w:szCs w:val="22"/>
          </w:rPr>
          <w:fldChar w:fldCharType="separate"/>
        </w:r>
        <w:r w:rsidR="00E6043D">
          <w:rPr>
            <w:noProof/>
            <w:szCs w:val="22"/>
          </w:rPr>
          <w:t>Great Barrier Reef Marine Park Authority 2014</w:t>
        </w:r>
        <w:r w:rsidR="00E6043D">
          <w:rPr>
            <w:szCs w:val="22"/>
          </w:rPr>
          <w:fldChar w:fldCharType="end"/>
        </w:r>
      </w:hyperlink>
      <w:r>
        <w:rPr>
          <w:szCs w:val="22"/>
        </w:rPr>
        <w:t xml:space="preserve">). A key management tool is the Reef Water Quality Protection Plan (Reef Plan; </w:t>
      </w:r>
      <w:hyperlink w:anchor="_ENREF_5" w:tooltip="Anon, 2013 #10481" w:history="1">
        <w:r w:rsidR="00E6043D">
          <w:rPr>
            <w:szCs w:val="22"/>
          </w:rPr>
          <w:fldChar w:fldCharType="begin"/>
        </w:r>
        <w:r w:rsidR="00E6043D">
          <w:rPr>
            <w:szCs w:val="22"/>
          </w:rPr>
          <w:instrText xml:space="preserve"> ADDIN EN.CITE &lt;EndNote&gt;&lt;Cite&gt;&lt;Author&gt;Anon&lt;/Author&gt;&lt;Year&gt;2013&lt;/Year&gt;&lt;RecNum&gt;10481&lt;/RecNum&gt;&lt;DisplayText&gt;Anon 2013&lt;/DisplayText&gt;&lt;record&gt;&lt;rec-number&gt;10481&lt;/rec-number&gt;&lt;foreign-keys&gt;&lt;key app="EN" db-id="0eve55x9y5vfd6e9dacxtew4eatve2dzds9a"&gt;10481&lt;/key&gt;&lt;/foreign-keys&gt;&lt;ref-type name="Book"&gt;6&lt;/ref-type&gt;&lt;contributors&gt;&lt;authors&gt;&lt;author&gt;Anon,&lt;/author&gt;&lt;/authors&gt;&lt;/contributors&gt;&lt;titles&gt;&lt;title&gt;Reef Water Quality Protection Plan 2013.Securing the health and resilience of the Great Barrier Reef World Heritage Area and adjacent catchments.&lt;/title&gt;&lt;/titles&gt;&lt;pages&gt;34&lt;/pages&gt;&lt;dates&gt;&lt;year&gt;2013&lt;/year&gt;&lt;/dates&gt;&lt;pub-location&gt;Brisbane&lt;/pub-location&gt;&lt;publisher&gt;The State of Queensland. Reef Water Quality Protection Plan Secretariat&lt;/publisher&gt;&lt;urls&gt;&lt;related-urls&gt;&lt;url&gt;www.reefplan.qld.gov.au.&lt;/url&gt;&lt;/related-urls&gt;&lt;/urls&gt;&lt;/record&gt;&lt;/Cite&gt;&lt;/EndNote&gt;</w:instrText>
        </w:r>
        <w:r w:rsidR="00E6043D">
          <w:rPr>
            <w:szCs w:val="22"/>
          </w:rPr>
          <w:fldChar w:fldCharType="separate"/>
        </w:r>
        <w:r w:rsidR="00E6043D">
          <w:rPr>
            <w:noProof/>
            <w:szCs w:val="22"/>
          </w:rPr>
          <w:t>Anon 2013</w:t>
        </w:r>
        <w:r w:rsidR="00E6043D">
          <w:rPr>
            <w:szCs w:val="22"/>
          </w:rPr>
          <w:fldChar w:fldCharType="end"/>
        </w:r>
      </w:hyperlink>
      <w:r>
        <w:rPr>
          <w:szCs w:val="22"/>
        </w:rPr>
        <w:t>), with the actions being delivered through the Reef 2050 Plan</w:t>
      </w:r>
      <w:r>
        <w:rPr>
          <w:sz w:val="14"/>
          <w:szCs w:val="14"/>
        </w:rPr>
        <w:t>1</w:t>
      </w:r>
      <w:r>
        <w:rPr>
          <w:szCs w:val="22"/>
        </w:rPr>
        <w:t>. The Reef 2050 Plan includes the Reef Trust, to which the Australian Government has committed continued funding to protect the Reef through improvements to the quality of water flowing into the Reef lagoon, and the Reef 2050 Long Term Sustainability Plan, which provides a framework for the integrated management of the GBRWHA.</w:t>
      </w:r>
    </w:p>
    <w:p w:rsidR="003D1F7F" w:rsidRDefault="003D1F7F" w:rsidP="003D1F7F">
      <w:pPr>
        <w:rPr>
          <w:color w:val="000000"/>
          <w:szCs w:val="22"/>
        </w:rPr>
      </w:pPr>
      <w:r>
        <w:rPr>
          <w:color w:val="000000"/>
          <w:szCs w:val="22"/>
        </w:rPr>
        <w:t>Long</w:t>
      </w:r>
      <w:r w:rsidRPr="00015190">
        <w:rPr>
          <w:color w:val="000000"/>
          <w:szCs w:val="22"/>
        </w:rPr>
        <w:t xml:space="preserve">-term water quality and ecosystem monitoring in the </w:t>
      </w:r>
      <w:r>
        <w:rPr>
          <w:color w:val="000000"/>
          <w:szCs w:val="22"/>
        </w:rPr>
        <w:t xml:space="preserve">inshore </w:t>
      </w:r>
      <w:r w:rsidRPr="00015190">
        <w:rPr>
          <w:color w:val="000000"/>
          <w:szCs w:val="22"/>
        </w:rPr>
        <w:t xml:space="preserve">Great Barrier Reef </w:t>
      </w:r>
      <w:r>
        <w:rPr>
          <w:color w:val="000000"/>
          <w:szCs w:val="22"/>
        </w:rPr>
        <w:t xml:space="preserve">(GBR) </w:t>
      </w:r>
      <w:r w:rsidRPr="00015190">
        <w:rPr>
          <w:color w:val="000000"/>
          <w:szCs w:val="22"/>
        </w:rPr>
        <w:t>lagoon</w:t>
      </w:r>
      <w:r>
        <w:rPr>
          <w:color w:val="000000"/>
          <w:szCs w:val="22"/>
        </w:rPr>
        <w:t xml:space="preserve"> is undertaken through the Marine Monitoring Program (MMP), which was formerly known as the Reef Plan MMP</w:t>
      </w:r>
      <w:r w:rsidRPr="00015190">
        <w:rPr>
          <w:color w:val="000000"/>
          <w:szCs w:val="22"/>
        </w:rPr>
        <w:t xml:space="preserve">. The </w:t>
      </w:r>
      <w:r>
        <w:rPr>
          <w:color w:val="000000"/>
          <w:szCs w:val="22"/>
        </w:rPr>
        <w:t>GBRMPA</w:t>
      </w:r>
      <w:r w:rsidRPr="00015190">
        <w:rPr>
          <w:color w:val="000000"/>
          <w:szCs w:val="22"/>
        </w:rPr>
        <w:t xml:space="preserve"> has responsibility for implementation of this program. </w:t>
      </w:r>
      <w:r>
        <w:rPr>
          <w:color w:val="000000"/>
          <w:szCs w:val="22"/>
        </w:rPr>
        <w:t xml:space="preserve">Further information </w:t>
      </w:r>
      <w:r w:rsidRPr="00F70D76">
        <w:rPr>
          <w:szCs w:val="22"/>
        </w:rPr>
        <w:t xml:space="preserve">on the program objectives, and details on each sub-program are available on-line </w:t>
      </w:r>
      <w:hyperlink r:id="rId23" w:history="1">
        <w:r w:rsidR="00DC6FCF" w:rsidRPr="00F70D76">
          <w:rPr>
            <w:szCs w:val="22"/>
          </w:rPr>
          <w:t>www.gbrmpa.gov.au/managing-the-reef/how-the-reefs-managed/reef-2050-marine-monitoring-program</w:t>
        </w:r>
      </w:hyperlink>
      <w:r w:rsidRPr="00F70D76">
        <w:rPr>
          <w:szCs w:val="22"/>
        </w:rPr>
        <w:t xml:space="preserve">. The seagrass sub-program has been supported by </w:t>
      </w:r>
      <w:r w:rsidR="002B4B54" w:rsidRPr="00F70D76">
        <w:rPr>
          <w:szCs w:val="22"/>
        </w:rPr>
        <w:t>D</w:t>
      </w:r>
      <w:r w:rsidR="002B4B54">
        <w:rPr>
          <w:szCs w:val="22"/>
        </w:rPr>
        <w:t xml:space="preserve">epartment of </w:t>
      </w:r>
      <w:r w:rsidRPr="00F70D76">
        <w:rPr>
          <w:szCs w:val="22"/>
        </w:rPr>
        <w:t>A</w:t>
      </w:r>
      <w:r w:rsidR="002B4B54">
        <w:rPr>
          <w:szCs w:val="22"/>
        </w:rPr>
        <w:t>griculture, Fisheries and Forestry Queensland (DA</w:t>
      </w:r>
      <w:r w:rsidRPr="00F70D76">
        <w:rPr>
          <w:szCs w:val="22"/>
        </w:rPr>
        <w:t>FF</w:t>
      </w:r>
      <w:r w:rsidR="002B4B54">
        <w:rPr>
          <w:szCs w:val="22"/>
        </w:rPr>
        <w:t>)</w:t>
      </w:r>
      <w:r w:rsidRPr="00F70D76">
        <w:rPr>
          <w:szCs w:val="22"/>
        </w:rPr>
        <w:t xml:space="preserve"> (</w:t>
      </w:r>
      <w:r w:rsidR="00C808EF">
        <w:rPr>
          <w:szCs w:val="22"/>
        </w:rPr>
        <w:t>monitoring of</w:t>
      </w:r>
      <w:r w:rsidRPr="00F70D76">
        <w:rPr>
          <w:szCs w:val="22"/>
        </w:rPr>
        <w:t xml:space="preserve"> </w:t>
      </w:r>
      <w:r w:rsidR="00DC6FCF" w:rsidRPr="00F70D76">
        <w:rPr>
          <w:szCs w:val="22"/>
        </w:rPr>
        <w:t xml:space="preserve">additional locations in </w:t>
      </w:r>
      <w:r w:rsidRPr="00DC6FCF">
        <w:rPr>
          <w:color w:val="000000"/>
          <w:szCs w:val="22"/>
        </w:rPr>
        <w:t xml:space="preserve">Cape York </w:t>
      </w:r>
      <w:r w:rsidR="00DC6FCF" w:rsidRPr="00DC6FCF">
        <w:rPr>
          <w:color w:val="000000"/>
          <w:szCs w:val="22"/>
        </w:rPr>
        <w:t xml:space="preserve">and Burdekin regions </w:t>
      </w:r>
      <w:r w:rsidRPr="00DC6FCF">
        <w:rPr>
          <w:color w:val="000000"/>
          <w:szCs w:val="22"/>
        </w:rPr>
        <w:t>in 201</w:t>
      </w:r>
      <w:r w:rsidR="00140F52" w:rsidRPr="00DC6FCF">
        <w:rPr>
          <w:color w:val="000000"/>
          <w:szCs w:val="22"/>
        </w:rPr>
        <w:t>1-</w:t>
      </w:r>
      <w:r w:rsidR="00C808EF">
        <w:rPr>
          <w:color w:val="000000"/>
          <w:szCs w:val="22"/>
        </w:rPr>
        <w:t>14</w:t>
      </w:r>
      <w:r w:rsidRPr="00DC6FCF">
        <w:rPr>
          <w:color w:val="000000"/>
          <w:szCs w:val="22"/>
        </w:rPr>
        <w:t xml:space="preserve">), </w:t>
      </w:r>
      <w:r w:rsidR="00DC6FCF" w:rsidRPr="00DC6FCF">
        <w:rPr>
          <w:color w:val="000000"/>
          <w:szCs w:val="22"/>
        </w:rPr>
        <w:t xml:space="preserve">with contributions also </w:t>
      </w:r>
      <w:r w:rsidR="00C808EF">
        <w:rPr>
          <w:color w:val="000000"/>
          <w:szCs w:val="22"/>
        </w:rPr>
        <w:t>from</w:t>
      </w:r>
      <w:r w:rsidR="00DC6FCF" w:rsidRPr="00DC6FCF">
        <w:rPr>
          <w:color w:val="000000"/>
          <w:szCs w:val="22"/>
        </w:rPr>
        <w:t xml:space="preserve"> the Seagrass-Watch program</w:t>
      </w:r>
      <w:r w:rsidR="00C808EF">
        <w:rPr>
          <w:color w:val="000000"/>
          <w:szCs w:val="22"/>
        </w:rPr>
        <w:t xml:space="preserve"> (Cape York, Wet Tropics, Burdekin, Mackay Whitsunday and Burnett Mary 1998 - 2015)</w:t>
      </w:r>
      <w:r w:rsidR="00DC6FCF" w:rsidRPr="00DC6FCF">
        <w:rPr>
          <w:color w:val="000000"/>
          <w:szCs w:val="22"/>
        </w:rPr>
        <w:t>.</w:t>
      </w:r>
      <w:r w:rsidR="00DC6FCF">
        <w:rPr>
          <w:color w:val="000000"/>
          <w:szCs w:val="22"/>
        </w:rPr>
        <w:t xml:space="preserve"> </w:t>
      </w:r>
      <w:r>
        <w:rPr>
          <w:szCs w:val="22"/>
        </w:rPr>
        <w:t>A key output of the Paddock to Reef Program is an annual report card, including an assessment of Reef water quality and ecosystem condition to which the MMP contributes assessments and information. The first Annual Reef Plan Report Card for 2009 (</w:t>
      </w:r>
      <w:hyperlink w:anchor="_ENREF_208" w:tooltip="Reef Water Quality Protection Plan Secretariat, 2011 #9673" w:history="1">
        <w:r w:rsidR="00E6043D">
          <w:rPr>
            <w:szCs w:val="22"/>
          </w:rPr>
          <w:fldChar w:fldCharType="begin"/>
        </w:r>
        <w:r w:rsidR="00E6043D">
          <w:rPr>
            <w:szCs w:val="22"/>
          </w:rPr>
          <w:instrText xml:space="preserve"> ADDIN EN.CITE &lt;EndNote&gt;&lt;Cite&gt;&lt;Author&gt;Reef Water Quality Protection Plan Secretariat&lt;/Author&gt;&lt;Year&gt;2011&lt;/Year&gt;&lt;RecNum&gt;9673&lt;/RecNum&gt;&lt;DisplayText&gt;Reef Water Quality Protection Plan Secretariat 2011&lt;/DisplayText&gt;&lt;record&gt;&lt;rec-number&gt;9673&lt;/rec-number&gt;&lt;foreign-keys&gt;&lt;key app="EN" db-id="0eve55x9y5vfd6e9dacxtew4eatve2dzds9a"&gt;9673&lt;/key&gt;&lt;/foreign-keys&gt;&lt;ref-type name="Book"&gt;6&lt;/ref-type&gt;&lt;contributors&gt;&lt;authors&gt;&lt;author&gt;Reef Water Quality Protection Plan Secretariat,&lt;/author&gt;&lt;/authors&gt;&lt;/contributors&gt;&lt;titles&gt;&lt;title&gt;Great Barrier Reef, First Report Card, 2009 Baseline.&lt;/title&gt;&lt;/titles&gt;&lt;pages&gt;140&lt;/pages&gt;&lt;dates&gt;&lt;year&gt;2011&lt;/year&gt;&lt;/dates&gt;&lt;pub-location&gt;Brisbane, Australia&lt;/pub-location&gt;&lt;publisher&gt;The State of Queensland (Department of the Premier and Cabinet),&lt;/publisher&gt;&lt;urls&gt;&lt;/urls&gt;&lt;/record&gt;&lt;/Cite&gt;&lt;/EndNote&gt;</w:instrText>
        </w:r>
        <w:r w:rsidR="00E6043D">
          <w:rPr>
            <w:szCs w:val="22"/>
          </w:rPr>
          <w:fldChar w:fldCharType="separate"/>
        </w:r>
        <w:r w:rsidR="00E6043D">
          <w:rPr>
            <w:noProof/>
            <w:szCs w:val="22"/>
          </w:rPr>
          <w:t>Reef Water Quality Protection Plan Secretariat 2011</w:t>
        </w:r>
        <w:r w:rsidR="00E6043D">
          <w:rPr>
            <w:szCs w:val="22"/>
          </w:rPr>
          <w:fldChar w:fldCharType="end"/>
        </w:r>
      </w:hyperlink>
      <w:r>
        <w:rPr>
          <w:szCs w:val="22"/>
        </w:rPr>
        <w:t>), serves as a baseline for future assessments, and report cards for 2010, 2011</w:t>
      </w:r>
      <w:r w:rsidR="00DC6FCF">
        <w:rPr>
          <w:szCs w:val="22"/>
        </w:rPr>
        <w:t>,</w:t>
      </w:r>
      <w:r>
        <w:rPr>
          <w:szCs w:val="22"/>
        </w:rPr>
        <w:t xml:space="preserve"> 2012/13 </w:t>
      </w:r>
      <w:r w:rsidR="00DC6FCF">
        <w:rPr>
          <w:szCs w:val="22"/>
        </w:rPr>
        <w:t xml:space="preserve">and 2014 </w:t>
      </w:r>
      <w:r>
        <w:rPr>
          <w:szCs w:val="22"/>
        </w:rPr>
        <w:t>have since been released (available at www.reefplan.qld.gov.au).</w:t>
      </w:r>
    </w:p>
    <w:p w:rsidR="003D1F7F" w:rsidRDefault="003D1F7F" w:rsidP="003D1F7F">
      <w:r w:rsidRPr="00015190">
        <w:rPr>
          <w:color w:val="000000"/>
          <w:szCs w:val="22"/>
        </w:rPr>
        <w:t>James Cook University (JCU) w</w:t>
      </w:r>
      <w:r>
        <w:rPr>
          <w:color w:val="000000"/>
          <w:szCs w:val="22"/>
        </w:rPr>
        <w:t>as</w:t>
      </w:r>
      <w:r w:rsidRPr="00015190">
        <w:rPr>
          <w:color w:val="000000"/>
          <w:szCs w:val="22"/>
        </w:rPr>
        <w:t xml:space="preserve"> contracted to provide the inshore seagrass monitoring component.</w:t>
      </w:r>
      <w:r>
        <w:rPr>
          <w:color w:val="000000"/>
          <w:szCs w:val="22"/>
        </w:rPr>
        <w:t xml:space="preserve"> The program has adapted methods outlined in </w:t>
      </w:r>
      <w:hyperlink w:anchor="_ENREF_165" w:tooltip="McKenzie, 2003 #9457" w:history="1">
        <w:r w:rsidR="00E6043D">
          <w:rPr>
            <w:color w:val="000000"/>
            <w:szCs w:val="22"/>
          </w:rPr>
          <w:fldChar w:fldCharType="begin"/>
        </w:r>
        <w:r w:rsidR="00E6043D">
          <w:rPr>
            <w:color w:val="000000"/>
            <w:szCs w:val="22"/>
          </w:rPr>
          <w:instrText xml:space="preserve"> ADDIN EN.CITE &lt;EndNote&gt;&lt;Cite ExcludeYear="1"&gt;&lt;Author&gt;McKenzie&lt;/Author&gt;&lt;RecNum&gt;9457&lt;/RecNum&gt;&lt;DisplayText&gt;McKenzie&lt;style face="italic"&gt; et al.&lt;/style&gt; &lt;/DisplayText&gt;&lt;record&gt;&lt;rec-number&gt;9457&lt;/rec-number&gt;&lt;foreign-keys&gt;&lt;key app="EN" db-id="0eve55x9y5vfd6e9dacxtew4eatve2dzds9a"&gt;9457&lt;/key&gt;&lt;/foreign-keys&gt;&lt;ref-type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E6043D">
          <w:rPr>
            <w:color w:val="000000"/>
            <w:szCs w:val="22"/>
          </w:rPr>
          <w:fldChar w:fldCharType="separate"/>
        </w:r>
        <w:r w:rsidR="00E6043D">
          <w:rPr>
            <w:noProof/>
            <w:color w:val="000000"/>
            <w:szCs w:val="22"/>
          </w:rPr>
          <w:t>McKenzie</w:t>
        </w:r>
        <w:r w:rsidR="00E6043D" w:rsidRPr="00644A84">
          <w:rPr>
            <w:i/>
            <w:noProof/>
            <w:color w:val="000000"/>
            <w:szCs w:val="22"/>
          </w:rPr>
          <w:t xml:space="preserve"> et al.</w:t>
        </w:r>
        <w:r w:rsidR="00E6043D">
          <w:rPr>
            <w:noProof/>
            <w:color w:val="000000"/>
            <w:szCs w:val="22"/>
          </w:rPr>
          <w:t xml:space="preserve"> </w:t>
        </w:r>
        <w:r w:rsidR="00E6043D">
          <w:rPr>
            <w:color w:val="000000"/>
            <w:szCs w:val="22"/>
          </w:rPr>
          <w:fldChar w:fldCharType="end"/>
        </w:r>
      </w:hyperlink>
      <w:r w:rsidR="00DC6FCF">
        <w:rPr>
          <w:color w:val="000000"/>
          <w:szCs w:val="22"/>
        </w:rPr>
        <w:t>(</w:t>
      </w:r>
      <w:hyperlink w:anchor="_ENREF_165" w:tooltip="McKenzie, 2003 #9457" w:history="1">
        <w:r w:rsidR="00E6043D">
          <w:rPr>
            <w:color w:val="000000"/>
            <w:szCs w:val="22"/>
          </w:rPr>
          <w:fldChar w:fldCharType="begin"/>
        </w:r>
        <w:r w:rsidR="00E6043D">
          <w:rPr>
            <w:color w:val="000000"/>
            <w:szCs w:val="22"/>
          </w:rPr>
          <w:instrText xml:space="preserve"> ADDIN EN.CITE &lt;EndNote&gt;&lt;Cite ExcludeAuth="1"&gt;&lt;Year&gt;2003&lt;/Year&gt;&lt;RecNum&gt;9457&lt;/RecNum&gt;&lt;DisplayText&gt;2003&lt;/DisplayText&gt;&lt;record&gt;&lt;rec-number&gt;9457&lt;/rec-number&gt;&lt;foreign-keys&gt;&lt;key app="EN" db-id="0eve55x9y5vfd6e9dacxtew4eatve2dzds9a"&gt;9457&lt;/key&gt;&lt;/foreign-keys&gt;&lt;ref-type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E6043D">
          <w:rPr>
            <w:color w:val="000000"/>
            <w:szCs w:val="22"/>
          </w:rPr>
          <w:fldChar w:fldCharType="separate"/>
        </w:r>
        <w:r w:rsidR="00E6043D">
          <w:rPr>
            <w:noProof/>
            <w:color w:val="000000"/>
            <w:szCs w:val="22"/>
          </w:rPr>
          <w:t>2003</w:t>
        </w:r>
        <w:r w:rsidR="00E6043D">
          <w:rPr>
            <w:color w:val="000000"/>
            <w:szCs w:val="22"/>
          </w:rPr>
          <w:fldChar w:fldCharType="end"/>
        </w:r>
      </w:hyperlink>
      <w:r w:rsidR="00DC6FCF">
        <w:rPr>
          <w:color w:val="000000"/>
          <w:szCs w:val="22"/>
        </w:rPr>
        <w:t>)</w:t>
      </w:r>
      <w:r>
        <w:rPr>
          <w:color w:val="000000"/>
          <w:szCs w:val="22"/>
        </w:rPr>
        <w:t xml:space="preserve"> and those applied in Seagrass-Watch (a global seagrass assessment and monitoring program). </w:t>
      </w:r>
      <w:r>
        <w:t xml:space="preserve">The </w:t>
      </w:r>
      <w:r w:rsidR="00DC6FCF">
        <w:t xml:space="preserve">MMP inshore seagrass </w:t>
      </w:r>
      <w:r>
        <w:t xml:space="preserve">monitoring program design and </w:t>
      </w:r>
      <w:r w:rsidRPr="00752978">
        <w:t>reporting structure is an evolving process. Program providers developed the program in collaboration with GBRMPA in 2005</w:t>
      </w:r>
      <w:r w:rsidR="00752978" w:rsidRPr="00752978">
        <w:t xml:space="preserve">, with assistance by expert working </w:t>
      </w:r>
      <w:r w:rsidR="00752978" w:rsidRPr="001A0D2C">
        <w:t>groups and AIMS (</w:t>
      </w:r>
      <w:hyperlink w:anchor="_ENREF_84" w:tooltip="De’ath, 2005 #9495" w:history="1">
        <w:r w:rsidR="00E6043D">
          <w:fldChar w:fldCharType="begin"/>
        </w:r>
        <w:r w:rsidR="00E6043D">
          <w:instrText xml:space="preserve"> ADDIN EN.CITE &lt;EndNote&gt;&lt;Cite&gt;&lt;Author&gt;De’ath&lt;/Author&gt;&lt;Year&gt;2005&lt;/Year&gt;&lt;RecNum&gt;9495&lt;/RecNum&gt;&lt;DisplayText&gt;De’ath 2005&lt;/DisplayText&gt;&lt;record&gt;&lt;rec-number&gt;9495&lt;/rec-number&gt;&lt;foreign-keys&gt;&lt;key app="EN" db-id="0eve55x9y5vfd6e9dacxtew4eatve2dzds9a"&gt;9495&lt;/key&gt;&lt;/foreign-keys&gt;&lt;ref-type name="Book"&gt;6&lt;/ref-type&gt;&lt;contributors&gt;&lt;authors&gt;&lt;author&gt;De’ath, G&lt;/author&gt;&lt;/authors&gt;&lt;/contributors&gt;&lt;titles&gt;&lt;title&gt;Water Quality Monitoring: From River to Reef&lt;/title&gt;&lt;/titles&gt;&lt;pages&gt;108&lt;/pages&gt;&lt;dates&gt;&lt;year&gt;2005&lt;/year&gt;&lt;/dates&gt;&lt;pub-location&gt;Townsville&lt;/pub-location&gt;&lt;publisher&gt;AIMS&lt;/publisher&gt;&lt;urls&gt;&lt;/urls&gt;&lt;/record&gt;&lt;/Cite&gt;&lt;/EndNote&gt;</w:instrText>
        </w:r>
        <w:r w:rsidR="00E6043D">
          <w:fldChar w:fldCharType="separate"/>
        </w:r>
        <w:r w:rsidR="00E6043D">
          <w:rPr>
            <w:noProof/>
          </w:rPr>
          <w:t>De’ath 2005</w:t>
        </w:r>
        <w:r w:rsidR="00E6043D">
          <w:fldChar w:fldCharType="end"/>
        </w:r>
      </w:hyperlink>
      <w:r w:rsidR="00752978" w:rsidRPr="001A0D2C">
        <w:t>)</w:t>
      </w:r>
      <w:r w:rsidRPr="001A0D2C">
        <w:t>.</w:t>
      </w:r>
      <w:r w:rsidR="00752978" w:rsidRPr="001A0D2C">
        <w:t xml:space="preserve"> In 2008-09, </w:t>
      </w:r>
      <w:r w:rsidRPr="001A0D2C">
        <w:t xml:space="preserve">subtidal sites </w:t>
      </w:r>
      <w:r w:rsidR="00752978" w:rsidRPr="001A0D2C">
        <w:t>in the Wet Tropics and Burdekin regions were included to improve the scope of the program</w:t>
      </w:r>
      <w:r w:rsidRPr="001A0D2C">
        <w:t>. The program underwent an extensive external review in 201</w:t>
      </w:r>
      <w:r w:rsidR="00C808EF">
        <w:t>3-1</w:t>
      </w:r>
      <w:r w:rsidRPr="001A0D2C">
        <w:t>4, including a revision of program objectives, a statistical review (testing program design and indicator sensitivity), conceptual modelling of indicator selection, and a working group to prioritise changes (</w:t>
      </w:r>
      <w:hyperlink w:anchor="_ENREF_135" w:tooltip="Kuhnert, 2014 #10482" w:history="1">
        <w:r w:rsidR="00E6043D">
          <w:fldChar w:fldCharType="begin"/>
        </w:r>
        <w:r w:rsidR="00E6043D">
          <w:instrText xml:space="preserve"> ADDIN EN.CITE &lt;EndNote&gt;&lt;Cite&gt;&lt;Author&gt;Kuhnert&lt;/Author&gt;&lt;Year&gt;2014&lt;/Year&gt;&lt;RecNum&gt;10482&lt;/RecNum&gt;&lt;DisplayText&gt;Kuhnert&lt;style face="italic"&gt; et al.&lt;/style&gt; 2014&lt;/DisplayText&gt;&lt;record&gt;&lt;rec-number&gt;10482&lt;/rec-number&gt;&lt;foreign-keys&gt;&lt;key app="EN" db-id="0eve55x9y5vfd6e9dacxtew4eatve2dzds9a"&gt;10482&lt;/key&gt;&lt;/foreign-keys&gt;&lt;ref-type name="Book"&gt;6&lt;/ref-type&gt;&lt;contributors&gt;&lt;authors&gt;&lt;author&gt;Kuhnert, Petra M&lt;/author&gt;&lt;author&gt;Liu, Yang&lt;/author&gt;&lt;author&gt;Henderson, Brent L.&lt;/author&gt;&lt;author&gt;Dambacher, Jeffrey&lt;/author&gt;&lt;author&gt;Lawrence, Emma&lt;/author&gt;&lt;author&gt;Kroon, Frederieke J.&lt;/author&gt;&lt;/authors&gt;&lt;/contributors&gt;&lt;titles&gt;&lt;title&gt;Review of the Marine Monitoring Program (MMP), Final Report for the Great Barrier Reef Marine Park Authority (GBRMPA)&lt;/title&gt;&lt;/titles&gt;&lt;pages&gt;276&lt;/pages&gt;&lt;dates&gt;&lt;year&gt;2014&lt;/year&gt;&lt;/dates&gt;&lt;pub-location&gt;Adelaide&lt;/pub-location&gt;&lt;publisher&gt;CSIRO&lt;/publisher&gt;&lt;urls&gt;&lt;/urls&gt;&lt;/record&gt;&lt;/Cite&gt;&lt;/EndNote&gt;</w:instrText>
        </w:r>
        <w:r w:rsidR="00E6043D">
          <w:fldChar w:fldCharType="separate"/>
        </w:r>
        <w:r w:rsidR="00E6043D">
          <w:rPr>
            <w:noProof/>
          </w:rPr>
          <w:t>Kuhnert</w:t>
        </w:r>
        <w:r w:rsidR="00E6043D" w:rsidRPr="00644A84">
          <w:rPr>
            <w:i/>
            <w:noProof/>
          </w:rPr>
          <w:t xml:space="preserve"> et al.</w:t>
        </w:r>
        <w:r w:rsidR="00E6043D">
          <w:rPr>
            <w:noProof/>
          </w:rPr>
          <w:t xml:space="preserve"> 2014</w:t>
        </w:r>
        <w:r w:rsidR="00E6043D">
          <w:fldChar w:fldCharType="end"/>
        </w:r>
      </w:hyperlink>
      <w:r w:rsidRPr="001A0D2C">
        <w:t>).</w:t>
      </w:r>
      <w:r>
        <w:t xml:space="preserve"> </w:t>
      </w:r>
    </w:p>
    <w:p w:rsidR="003D1F7F" w:rsidRPr="00A263FF" w:rsidRDefault="003D1F7F" w:rsidP="003D1F7F">
      <w:pPr>
        <w:rPr>
          <w:color w:val="000000"/>
          <w:szCs w:val="22"/>
        </w:rPr>
      </w:pPr>
      <w:r>
        <w:t xml:space="preserve">Each year a report summarising the condition and trend of inshore seagrass of the GBR over the past year is published on the GBRMPA website. The annual reports are peer-reviewed every year and program providers endeavour to incorporate reviewer comments. As a result, reporting is in an evolving format. This 2014-15 report has been restructured to fit within the DPSIR framework (Driving forces, Pressures, States, Impacts, Responses) as recommended by the GBRMPA Science </w:t>
      </w:r>
      <w:r w:rsidRPr="006C17C4">
        <w:t>Strategy (</w:t>
      </w:r>
      <w:hyperlink w:anchor="_ENREF_116" w:tooltip="Great Barrier Reef Marine Park Authority, 2014 #9980" w:history="1">
        <w:r w:rsidR="00E6043D">
          <w:fldChar w:fldCharType="begin"/>
        </w:r>
        <w:r w:rsidR="00E6043D">
          <w:instrText xml:space="preserve"> ADDIN EN.CITE &lt;EndNote&gt;&lt;Cite&gt;&lt;Author&gt;Great Barrier Reef Marine Park Authority&lt;/Author&gt;&lt;Year&gt;2014&lt;/Year&gt;&lt;RecNum&gt;9980&lt;/RecNum&gt;&lt;DisplayText&gt;Great Barrier Reef Marine Park Authority 2014&lt;/DisplayText&gt;&lt;record&gt;&lt;rec-number&gt;9980&lt;/rec-number&gt;&lt;foreign-keys&gt;&lt;key app="EN" db-id="0eve55x9y5vfd6e9dacxtew4eatve2dzds9a"&gt;9980&lt;/key&gt;&lt;/foreign-keys&gt;&lt;ref-type name="Book"&gt;6&lt;/ref-type&gt;&lt;contributors&gt;&lt;authors&gt;&lt;author&gt;Great Barrier Reef Marine Park Authority,&lt;/author&gt;&lt;/authors&gt;&lt;/contributors&gt;&lt;titles&gt;&lt;title&gt;Great Barrier Reef Marine Park Authority Science Strategy and Information Needs 2014-2019&lt;/title&gt;&lt;/titles&gt;&lt;pages&gt;34&lt;/pages&gt;&lt;dates&gt;&lt;year&gt;2014&lt;/year&gt;&lt;/dates&gt;&lt;pub-location&gt;Townsville&lt;/pub-location&gt;&lt;publisher&gt;Great Barrier Reef Marine Park Authority&lt;/publisher&gt;&lt;work-type&gt;Report ER&lt;/work-type&gt;&lt;urls&gt;&lt;related-urls&gt;&lt;url&gt;http://hdl.handle.net/11017/2872&lt;/url&gt;&lt;/related-urls&gt;&lt;/urls&gt;&lt;/record&gt;&lt;/Cite&gt;&lt;/EndNote&gt;</w:instrText>
        </w:r>
        <w:r w:rsidR="00E6043D">
          <w:fldChar w:fldCharType="separate"/>
        </w:r>
        <w:r w:rsidR="00E6043D">
          <w:rPr>
            <w:noProof/>
          </w:rPr>
          <w:t>Great Barrier Reef Marine Park Authority 2014</w:t>
        </w:r>
        <w:r w:rsidR="00E6043D">
          <w:fldChar w:fldCharType="end"/>
        </w:r>
      </w:hyperlink>
      <w:r w:rsidRPr="006C17C4">
        <w:t>). Furthermore, the length of the report has</w:t>
      </w:r>
      <w:r>
        <w:t xml:space="preserve"> been reduced and much of the detailed information (both methods and results) has been moved into appendices. </w:t>
      </w:r>
    </w:p>
    <w:p w:rsidR="003D1F7F" w:rsidRDefault="003D1F7F" w:rsidP="003D1F7F">
      <w:r>
        <w:rPr>
          <w:color w:val="000000"/>
          <w:szCs w:val="22"/>
        </w:rPr>
        <w:t>This report includes data on flood plume exposure from the inshore water quality monitoring subprogram, and a Case Study on the risk of seagrass meadows to plume exposure prepared by the water quality and seagrass sub-program providers</w:t>
      </w:r>
      <w:r w:rsidRPr="000C0EB9">
        <w:rPr>
          <w:color w:val="000000"/>
          <w:szCs w:val="22"/>
        </w:rPr>
        <w:t xml:space="preserve"> </w:t>
      </w:r>
      <w:r>
        <w:rPr>
          <w:color w:val="000000"/>
          <w:szCs w:val="22"/>
        </w:rPr>
        <w:t>(</w:t>
      </w:r>
      <w:hyperlink w:anchor="_ENREF_151" w:tooltip="Lønborg, 2015 #10475" w:history="1">
        <w:r w:rsidR="00E6043D">
          <w:rPr>
            <w:color w:val="000000"/>
            <w:szCs w:val="22"/>
          </w:rPr>
          <w:fldChar w:fldCharType="begin"/>
        </w:r>
        <w:r w:rsidR="00E6043D">
          <w:rPr>
            <w:color w:val="000000"/>
            <w:szCs w:val="22"/>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color w:val="000000"/>
            <w:szCs w:val="22"/>
          </w:rPr>
          <w:fldChar w:fldCharType="separate"/>
        </w:r>
        <w:r w:rsidR="00E6043D">
          <w:rPr>
            <w:noProof/>
            <w:color w:val="000000"/>
            <w:szCs w:val="22"/>
          </w:rPr>
          <w:t>Lønborg</w:t>
        </w:r>
        <w:r w:rsidR="00E6043D" w:rsidRPr="00644A84">
          <w:rPr>
            <w:i/>
            <w:noProof/>
            <w:color w:val="000000"/>
            <w:szCs w:val="22"/>
          </w:rPr>
          <w:t xml:space="preserve"> et al.</w:t>
        </w:r>
        <w:r w:rsidR="00E6043D">
          <w:rPr>
            <w:noProof/>
            <w:color w:val="000000"/>
            <w:szCs w:val="22"/>
          </w:rPr>
          <w:t xml:space="preserve"> 2015</w:t>
        </w:r>
        <w:r w:rsidR="00E6043D">
          <w:rPr>
            <w:color w:val="000000"/>
            <w:szCs w:val="22"/>
          </w:rPr>
          <w:fldChar w:fldCharType="end"/>
        </w:r>
      </w:hyperlink>
      <w:r>
        <w:rPr>
          <w:color w:val="000000"/>
          <w:szCs w:val="22"/>
        </w:rPr>
        <w:t xml:space="preserve">). The report </w:t>
      </w:r>
      <w:r>
        <w:t>also incorporates the dat</w:t>
      </w:r>
      <w:r w:rsidR="001A0D2C">
        <w:t>a</w:t>
      </w:r>
      <w:r>
        <w:t xml:space="preserve"> and</w:t>
      </w:r>
      <w:r w:rsidR="001D0B44">
        <w:t>/or</w:t>
      </w:r>
      <w:r>
        <w:t xml:space="preserve"> </w:t>
      </w:r>
      <w:r w:rsidR="001A0D2C">
        <w:t xml:space="preserve">reported </w:t>
      </w:r>
      <w:r>
        <w:t>findings from related, but separately funded</w:t>
      </w:r>
      <w:r w:rsidR="001A0D2C">
        <w:t>,</w:t>
      </w:r>
      <w:r>
        <w:t xml:space="preserve"> seagrass monitoring programs Seagrass-Watch and </w:t>
      </w:r>
      <w:r w:rsidR="001A0D2C">
        <w:t>Q</w:t>
      </w:r>
      <w:r w:rsidR="00C808EF">
        <w:t>ueensland Ports Seagrass Monitoring Program</w:t>
      </w:r>
      <w:r>
        <w:t>, respectively</w:t>
      </w:r>
      <w:r w:rsidR="001A0D2C">
        <w:rPr>
          <w:color w:val="000000"/>
          <w:szCs w:val="22"/>
        </w:rPr>
        <w:t>.</w:t>
      </w:r>
    </w:p>
    <w:p w:rsidR="003D1F7F" w:rsidRPr="00F46873" w:rsidRDefault="003D1F7F" w:rsidP="00926892">
      <w:pPr>
        <w:pStyle w:val="Heading1"/>
        <w:numPr>
          <w:ilvl w:val="0"/>
          <w:numId w:val="9"/>
        </w:numPr>
        <w:rPr>
          <w:rFonts w:ascii="Century Gothic" w:hAnsi="Century Gothic"/>
          <w:sz w:val="36"/>
          <w:szCs w:val="36"/>
        </w:rPr>
      </w:pPr>
      <w:bookmarkStart w:id="23" w:name="_Toc462047316"/>
      <w:r w:rsidRPr="00F46873">
        <w:rPr>
          <w:rFonts w:ascii="Century Gothic" w:hAnsi="Century Gothic"/>
          <w:sz w:val="36"/>
          <w:szCs w:val="36"/>
        </w:rPr>
        <w:lastRenderedPageBreak/>
        <w:t>Introduction</w:t>
      </w:r>
      <w:bookmarkEnd w:id="17"/>
      <w:bookmarkEnd w:id="18"/>
      <w:bookmarkEnd w:id="23"/>
    </w:p>
    <w:p w:rsidR="003D1F7F" w:rsidRPr="00CF6D01" w:rsidRDefault="003D1F7F" w:rsidP="003D1F7F">
      <w:pPr>
        <w:spacing w:before="240"/>
        <w:rPr>
          <w:szCs w:val="22"/>
        </w:rPr>
      </w:pPr>
      <w:r w:rsidRPr="00CF6D01">
        <w:rPr>
          <w:szCs w:val="22"/>
        </w:rPr>
        <w:t xml:space="preserve">Seagrasses are an important component of the marine ecosystem of the Great Barrier Reef.  </w:t>
      </w:r>
      <w:r w:rsidRPr="00CF6D01">
        <w:t>The ecosystem services provided by seagrass ecosystems makes them a high conservation priority (</w:t>
      </w:r>
      <w:hyperlink w:anchor="_ENREF_79" w:tooltip="Cullen-Unsworth, 2013 #9553" w:history="1">
        <w:r w:rsidR="00E6043D">
          <w:fldChar w:fldCharType="begin"/>
        </w:r>
        <w:r w:rsidR="00E6043D">
          <w:instrText xml:space="preserve"> ADDIN EN.CITE &lt;EndNote&gt;&lt;Cite&gt;&lt;Author&gt;Cullen-Unsworth&lt;/Author&gt;&lt;Year&gt;2013&lt;/Year&gt;&lt;RecNum&gt;9553&lt;/RecNum&gt;&lt;DisplayText&gt;Cullen-Unsworth and Unsworth 2013&lt;/DisplayText&gt;&lt;record&gt;&lt;rec-number&gt;9553&lt;/rec-number&gt;&lt;foreign-keys&gt;&lt;key app="EN" db-id="0eve55x9y5vfd6e9dacxtew4eatve2dzds9a"&gt;9553&lt;/key&gt;&lt;/foreign-keys&gt;&lt;ref-type name="Journal Article"&gt;17&lt;/ref-type&gt;&lt;contributors&gt;&lt;authors&gt;&lt;author&gt;Cullen-Unsworth, Leanne&lt;/author&gt;&lt;author&gt;Unsworth, Richard&lt;/author&gt;&lt;/authors&gt;&lt;/contributors&gt;&lt;titles&gt;&lt;title&gt;Seagrass Meadows, Ecosystem Services, and Sustainability&lt;/title&gt;&lt;secondary-title&gt;Environment: Science and Policy for Sustainable Development&lt;/secondary-title&gt;&lt;/titles&gt;&lt;periodical&gt;&lt;full-title&gt;Environment: Science and Policy for Sustainable Development&lt;/full-title&gt;&lt;/periodical&gt;&lt;pages&gt;14-28&lt;/pages&gt;&lt;volume&gt;55&lt;/volume&gt;&lt;number&gt;3&lt;/number&gt;&lt;dates&gt;&lt;year&gt;2013&lt;/year&gt;&lt;pub-dates&gt;&lt;date&gt;2013/05/01&lt;/date&gt;&lt;/pub-dates&gt;&lt;/dates&gt;&lt;publisher&gt;Routledge&lt;/publisher&gt;&lt;isbn&gt;0013-9157&lt;/isbn&gt;&lt;urls&gt;&lt;related-urls&gt;&lt;url&gt;http://dx.doi.org/10.1080/00139157.2013.785864&lt;/url&gt;&lt;/related-urls&gt;&lt;/urls&gt;&lt;electronic-resource-num&gt;10.1080/00139157.2013.785864&lt;/electronic-resource-num&gt;&lt;access-date&gt;2013/09/25&lt;/access-date&gt;&lt;/record&gt;&lt;/Cite&gt;&lt;/EndNote&gt;</w:instrText>
        </w:r>
        <w:r w:rsidR="00E6043D">
          <w:fldChar w:fldCharType="separate"/>
        </w:r>
        <w:r w:rsidR="00E6043D">
          <w:rPr>
            <w:noProof/>
          </w:rPr>
          <w:t>Cullen-Unsworth and Unsworth 2013</w:t>
        </w:r>
        <w:r w:rsidR="00E6043D">
          <w:fldChar w:fldCharType="end"/>
        </w:r>
      </w:hyperlink>
      <w:r w:rsidRPr="00CF6D01">
        <w:t xml:space="preserve">). Certain seagrasses </w:t>
      </w:r>
      <w:r w:rsidRPr="00CF6D01">
        <w:rPr>
          <w:szCs w:val="22"/>
        </w:rPr>
        <w:t xml:space="preserve">are the primary food for marine green </w:t>
      </w:r>
      <w:r w:rsidRPr="00CF6D01">
        <w:t>turtles and dugongs, which are seagrass specialists (</w:t>
      </w:r>
      <w:r w:rsidR="00644A84">
        <w:fldChar w:fldCharType="begin">
          <w:fldData xml:space="preserve">PEVuZE5vdGU+PENpdGU+PEF1dGhvcj5NYXJzaDwvQXV0aG9yPjxZZWFyPjIwMTE8L1llYXI+PFJl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=
</w:fldData>
        </w:fldChar>
      </w:r>
      <w:r w:rsidR="00644A84">
        <w:instrText xml:space="preserve"> ADDIN EN.CITE </w:instrText>
      </w:r>
      <w:r w:rsidR="00644A84">
        <w:fldChar w:fldCharType="begin">
          <w:fldData xml:space="preserve">PEVuZE5vdGU+PENpdGU+PEF1dGhvcj5NYXJzaDwvQXV0aG9yPjxZZWFyPjIwMTE8L1llYXI+PFJl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=
</w:fldData>
        </w:fldChar>
      </w:r>
      <w:r w:rsidR="00644A84">
        <w:instrText xml:space="preserve"> ADDIN EN.CITE.DATA </w:instrText>
      </w:r>
      <w:r w:rsidR="00644A84">
        <w:fldChar w:fldCharType="end"/>
      </w:r>
      <w:r w:rsidR="00644A84">
        <w:fldChar w:fldCharType="separate"/>
      </w:r>
      <w:hyperlink w:anchor="_ENREF_206" w:tooltip="Read, 2002 #10319" w:history="1">
        <w:r w:rsidR="00E6043D">
          <w:rPr>
            <w:noProof/>
          </w:rPr>
          <w:t>Read and Limpus 2002</w:t>
        </w:r>
      </w:hyperlink>
      <w:r w:rsidR="00644A84">
        <w:rPr>
          <w:noProof/>
        </w:rPr>
        <w:t xml:space="preserve">; </w:t>
      </w:r>
      <w:hyperlink w:anchor="_ENREF_8" w:tooltip="Arthur, 2008 #10320" w:history="1">
        <w:r w:rsidR="00E6043D">
          <w:rPr>
            <w:noProof/>
          </w:rPr>
          <w:t>Arthur</w:t>
        </w:r>
        <w:r w:rsidR="00E6043D" w:rsidRPr="00644A84">
          <w:rPr>
            <w:i/>
            <w:noProof/>
          </w:rPr>
          <w:t xml:space="preserve"> et al.</w:t>
        </w:r>
        <w:r w:rsidR="00E6043D">
          <w:rPr>
            <w:noProof/>
          </w:rPr>
          <w:t xml:space="preserve"> 2008</w:t>
        </w:r>
      </w:hyperlink>
      <w:r w:rsidR="00644A84">
        <w:rPr>
          <w:noProof/>
        </w:rPr>
        <w:t xml:space="preserve">; </w:t>
      </w:r>
      <w:hyperlink w:anchor="_ENREF_155" w:tooltip="Marsh, 2011 #9179" w:history="1">
        <w:r w:rsidR="00E6043D">
          <w:rPr>
            <w:noProof/>
          </w:rPr>
          <w:t>Marsh</w:t>
        </w:r>
        <w:r w:rsidR="00E6043D" w:rsidRPr="00644A84">
          <w:rPr>
            <w:i/>
            <w:noProof/>
          </w:rPr>
          <w:t xml:space="preserve"> et al.</w:t>
        </w:r>
        <w:r w:rsidR="00E6043D">
          <w:rPr>
            <w:noProof/>
          </w:rPr>
          <w:t xml:space="preserve"> 2011</w:t>
        </w:r>
      </w:hyperlink>
      <w:r w:rsidR="00644A84">
        <w:fldChar w:fldCharType="end"/>
      </w:r>
      <w:r w:rsidRPr="00CF6D01">
        <w:t>;). Seagrass</w:t>
      </w:r>
      <w:r w:rsidRPr="00CF6D01">
        <w:rPr>
          <w:szCs w:val="22"/>
        </w:rPr>
        <w:t xml:space="preserve"> form highly productive habitats for a large number of invertebrates, fish and algal species </w:t>
      </w:r>
      <w:r w:rsidRPr="00CF6D01">
        <w:rPr>
          <w:noProof/>
          <w:szCs w:val="22"/>
        </w:rPr>
        <w:t>(</w:t>
      </w:r>
      <w:hyperlink w:anchor="_ENREF_35" w:tooltip="Carruthers, 2002 #8021" w:history="1">
        <w:r w:rsidR="00E6043D">
          <w:rPr>
            <w:noProof/>
            <w:szCs w:val="22"/>
          </w:rPr>
          <w:fldChar w:fldCharType="begin"/>
        </w:r>
        <w:r w:rsidR="00E6043D">
          <w:rPr>
            <w:noProof/>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E6043D">
          <w:rPr>
            <w:noProof/>
            <w:szCs w:val="22"/>
          </w:rPr>
          <w:fldChar w:fldCharType="separate"/>
        </w:r>
        <w:r w:rsidR="00E6043D">
          <w:rPr>
            <w:noProof/>
            <w:szCs w:val="22"/>
          </w:rPr>
          <w:t>Carruthers</w:t>
        </w:r>
        <w:r w:rsidR="00E6043D" w:rsidRPr="00644A84">
          <w:rPr>
            <w:i/>
            <w:noProof/>
            <w:szCs w:val="22"/>
          </w:rPr>
          <w:t xml:space="preserve"> et al.</w:t>
        </w:r>
        <w:r w:rsidR="00E6043D">
          <w:rPr>
            <w:noProof/>
            <w:szCs w:val="22"/>
          </w:rPr>
          <w:t xml:space="preserve"> 2002</w:t>
        </w:r>
        <w:r w:rsidR="00E6043D">
          <w:rPr>
            <w:noProof/>
            <w:szCs w:val="22"/>
          </w:rPr>
          <w:fldChar w:fldCharType="end"/>
        </w:r>
      </w:hyperlink>
      <w:r w:rsidRPr="00CF6D01">
        <w:rPr>
          <w:noProof/>
          <w:szCs w:val="22"/>
        </w:rPr>
        <w:t xml:space="preserve">), which are of </w:t>
      </w:r>
      <w:r w:rsidRPr="00CF6D01">
        <w:t>commercial (e.g. prawns) and subsistence (e.g. holothurians) fisheries importance (</w:t>
      </w:r>
      <w:r w:rsidR="00644A84">
        <w:fldChar w:fldCharType="begin">
          <w:fldData xml:space="preserve">PEVuZE5vdGU+PENpdGU+PEF1dGhvcj5DdWxsZW4tVW5zd29ydGg8L0F1dGhvcj48WWVhcj4yMDEz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</w:fldData>
        </w:fldChar>
      </w:r>
      <w:r w:rsidR="00644A84">
        <w:instrText xml:space="preserve"> ADDIN EN.CITE </w:instrText>
      </w:r>
      <w:r w:rsidR="00644A84">
        <w:fldChar w:fldCharType="begin">
          <w:fldData xml:space="preserve">PEVuZE5vdGU+PENpdGU+PEF1dGhvcj5DdWxsZW4tVW5zd29ydGg8L0F1dGhvcj48WWVhcj4yMDEz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</w:fldData>
        </w:fldChar>
      </w:r>
      <w:r w:rsidR="00644A84">
        <w:instrText xml:space="preserve"> ADDIN EN.CITE.DATA </w:instrText>
      </w:r>
      <w:r w:rsidR="00644A84">
        <w:fldChar w:fldCharType="end"/>
      </w:r>
      <w:r w:rsidR="00644A84">
        <w:fldChar w:fldCharType="separate"/>
      </w:r>
      <w:hyperlink w:anchor="_ENREF_54" w:tooltip="Coles, 1993 #522" w:history="1">
        <w:r w:rsidR="00E6043D">
          <w:rPr>
            <w:noProof/>
          </w:rPr>
          <w:t>Coles</w:t>
        </w:r>
        <w:r w:rsidR="00E6043D" w:rsidRPr="00644A84">
          <w:rPr>
            <w:i/>
            <w:noProof/>
          </w:rPr>
          <w:t xml:space="preserve"> et al.</w:t>
        </w:r>
        <w:r w:rsidR="00E6043D">
          <w:rPr>
            <w:noProof/>
          </w:rPr>
          <w:t xml:space="preserve"> 1993</w:t>
        </w:r>
      </w:hyperlink>
      <w:r w:rsidR="00644A84">
        <w:rPr>
          <w:noProof/>
        </w:rPr>
        <w:t xml:space="preserve">; </w:t>
      </w:r>
      <w:hyperlink w:anchor="_ENREF_79" w:tooltip="Cullen-Unsworth, 2013 #9553" w:history="1">
        <w:r w:rsidR="00E6043D">
          <w:rPr>
            <w:noProof/>
          </w:rPr>
          <w:t>Cullen-Unsworth and Unsworth 2013</w:t>
        </w:r>
      </w:hyperlink>
      <w:r w:rsidR="00644A84">
        <w:fldChar w:fldCharType="end"/>
      </w:r>
      <w:r w:rsidRPr="00CF6D01">
        <w:t>). Nutrient cycling in seagrass meadows makes them one of the most economically valuable ecosystems in the world (</w:t>
      </w:r>
      <w:hyperlink w:anchor="_ENREF_75" w:tooltip="Costanza, 1997 #1765" w:history="1">
        <w:r w:rsidR="00E6043D">
          <w:fldChar w:fldCharType="begin"/>
        </w:r>
        <w:r w:rsidR="00E6043D">
          <w:instrText xml:space="preserve"> ADDIN EN.CITE &lt;EndNote&gt;&lt;Cite&gt;&lt;Author&gt;Costanza&lt;/Author&gt;&lt;Year&gt;1997&lt;/Year&gt;&lt;RecNum&gt;1765&lt;/RecNum&gt;&lt;DisplayText&gt;Costanza&lt;style face="italic"&gt; et al.&lt;/style&gt; 1997&lt;/DisplayText&gt;&lt;record&gt;&lt;rec-number&gt;1765&lt;/rec-number&gt;&lt;foreign-keys&gt;&lt;key app="EN" db-id="0eve55x9y5vfd6e9dacxtew4eatve2dzds9a"&gt;1765&lt;/key&gt;&lt;/foreign-keys&gt;&lt;ref-type name="Journal Article"&gt;17&lt;/ref-type&gt;&lt;contributors&gt;&lt;authors&gt;&lt;author&gt;Costanza, Robert&lt;/author&gt;&lt;author&gt;d&amp;apos;Arge, Ralph&lt;/author&gt;&lt;author&gt;de Groot, Rudolf&lt;/author&gt;&lt;author&gt;Farber, Stephen&lt;/author&gt;&lt;author&gt;Grasso, Monica&lt;/author&gt;&lt;author&gt;Hannon, Bruce&lt;/author&gt;&lt;author&gt;Limburg, Karin&lt;/author&gt;&lt;author&gt;Naeem, Shahid&lt;/author&gt;&lt;author&gt;O&amp;apos;Neil, Robert V.&lt;/author&gt;&lt;author&gt;Paruelo, Jose&lt;/author&gt;&lt;author&gt;Raskin, Robert G.&lt;/author&gt;&lt;author&gt;Sutton, Paul&lt;/author&gt;&lt;author&gt;van der Belt, Marjan&lt;/author&gt;&lt;/authors&gt;&lt;/contributors&gt;&lt;titles&gt;&lt;title&gt;The Value of the world&amp;apos;s ecosystem services and natural capital&lt;/title&gt;&lt;secondary-title&gt;Nature&lt;/secondary-title&gt;&lt;alt-title&gt;Nature&lt;/alt-title&gt;&lt;/titles&gt;&lt;periodical&gt;&lt;full-title&gt;Nature&lt;/full-title&gt;&lt;/periodical&gt;&lt;alt-periodical&gt;&lt;full-title&gt;Nature&lt;/full-title&gt;&lt;/alt-periodical&gt;&lt;pages&gt;253-260&lt;/pages&gt;&lt;volume&gt;387&lt;/volume&gt;&lt;number&gt;15&lt;/number&gt;&lt;keywords&gt;&lt;keyword&gt;ECONOMICS&lt;/keyword&gt;&lt;keyword&gt;ENVIRONMENTAL VALUE&lt;/keyword&gt;&lt;keyword&gt;NATURAL CAPITAL&lt;/keyword&gt;&lt;/keywords&gt;&lt;dates&gt;&lt;year&gt;1997&lt;/year&gt;&lt;/dates&gt;&lt;label&gt;1857&lt;/label&gt;&lt;urls&gt;&lt;/urls&gt;&lt;custom1&gt;Annex&lt;/custom1&gt;&lt;/record&gt;&lt;/Cite&gt;&lt;/EndNote&gt;</w:instrText>
        </w:r>
        <w:r w:rsidR="00E6043D">
          <w:fldChar w:fldCharType="separate"/>
        </w:r>
        <w:r w:rsidR="00E6043D">
          <w:rPr>
            <w:noProof/>
          </w:rPr>
          <w:t>Costanza</w:t>
        </w:r>
        <w:r w:rsidR="00E6043D" w:rsidRPr="00644A84">
          <w:rPr>
            <w:i/>
            <w:noProof/>
          </w:rPr>
          <w:t xml:space="preserve"> et al.</w:t>
        </w:r>
        <w:r w:rsidR="00E6043D">
          <w:rPr>
            <w:noProof/>
          </w:rPr>
          <w:t xml:space="preserve"> 1997</w:t>
        </w:r>
        <w:r w:rsidR="00E6043D">
          <w:fldChar w:fldCharType="end"/>
        </w:r>
      </w:hyperlink>
      <w:r w:rsidRPr="00CF6D01">
        <w:t>) and the retention of carbon within their sediments contributes significantly to Blue Carbon sequestration (</w:t>
      </w:r>
      <w:r w:rsidR="00644A84">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aWMiPiBldCBhbC48L3N0eWxlPiAyMDEyYTwvRGlzcGxheVRleHQ+PHJlY29yZD48cmVjLW51bWJl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</w:fldData>
        </w:fldChar>
      </w:r>
      <w:r w:rsidR="00ED4C4C">
        <w:instrText xml:space="preserve"> ADDIN EN.CITE </w:instrText>
      </w:r>
      <w:r w:rsidR="00ED4C4C">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aWMiPiBldCBhbC48L3N0eWxlPiAyMDEyYTwvRGlzcGxheVRleHQ+PHJlY29yZD48cmVjLW51bWJl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</w:fldData>
        </w:fldChar>
      </w:r>
      <w:r w:rsidR="00ED4C4C">
        <w:instrText xml:space="preserve"> ADDIN EN.CITE.DATA </w:instrText>
      </w:r>
      <w:r w:rsidR="00ED4C4C">
        <w:fldChar w:fldCharType="end"/>
      </w:r>
      <w:r w:rsidR="00644A84">
        <w:fldChar w:fldCharType="separate"/>
      </w:r>
      <w:hyperlink w:anchor="_ENREF_107" w:tooltip="Fourqurean, 2012 #9186" w:history="1">
        <w:r w:rsidR="00E6043D">
          <w:rPr>
            <w:noProof/>
          </w:rPr>
          <w:t>Fourqurean</w:t>
        </w:r>
        <w:r w:rsidR="00E6043D" w:rsidRPr="00ED4C4C">
          <w:rPr>
            <w:i/>
            <w:noProof/>
          </w:rPr>
          <w:t xml:space="preserve"> et al.</w:t>
        </w:r>
        <w:r w:rsidR="00E6043D">
          <w:rPr>
            <w:noProof/>
          </w:rPr>
          <w:t xml:space="preserve"> 2012</w:t>
        </w:r>
      </w:hyperlink>
      <w:r w:rsidR="00ED4C4C">
        <w:rPr>
          <w:noProof/>
        </w:rPr>
        <w:t xml:space="preserve">; </w:t>
      </w:r>
      <w:hyperlink w:anchor="_ENREF_230" w:tooltip="Unsworth, 2012 #9352" w:history="1">
        <w:r w:rsidR="00E6043D">
          <w:rPr>
            <w:noProof/>
          </w:rPr>
          <w:t>Unsworth</w:t>
        </w:r>
        <w:r w:rsidR="00E6043D" w:rsidRPr="00ED4C4C">
          <w:rPr>
            <w:i/>
            <w:noProof/>
          </w:rPr>
          <w:t xml:space="preserve"> et al.</w:t>
        </w:r>
        <w:r w:rsidR="00E6043D">
          <w:rPr>
            <w:noProof/>
          </w:rPr>
          <w:t xml:space="preserve"> 2012a</w:t>
        </w:r>
      </w:hyperlink>
      <w:r w:rsidR="00644A84">
        <w:fldChar w:fldCharType="end"/>
      </w:r>
      <w:r w:rsidRPr="00CF6D01">
        <w:t>).</w:t>
      </w:r>
    </w:p>
    <w:p w:rsidR="003D1F7F" w:rsidRPr="00CF6D01" w:rsidRDefault="003D1F7F" w:rsidP="003D1F7F">
      <w:pPr>
        <w:spacing w:before="240"/>
        <w:rPr>
          <w:szCs w:val="22"/>
        </w:rPr>
      </w:pPr>
      <w:r w:rsidRPr="00CF6D01">
        <w:rPr>
          <w:szCs w:val="22"/>
        </w:rPr>
        <w:t>Much of the connectivity in reef ecosystems depends on intact and healthy non-reef habitats, such as seagrass meadows (</w:t>
      </w:r>
      <w:hyperlink w:anchor="_ENREF_239" w:tooltip="Waycott, 2011 #9279" w:history="1">
        <w:r w:rsidR="00E6043D">
          <w:rPr>
            <w:szCs w:val="22"/>
          </w:rPr>
          <w:fldChar w:fldCharType="begin"/>
        </w:r>
        <w:r w:rsidR="00E6043D">
          <w:rPr>
            <w:szCs w:val="22"/>
          </w:rPr>
          <w:instrText xml:space="preserve"> ADDIN EN.CITE &lt;EndNote&gt;&lt;Cite&gt;&lt;Author&gt;Waycott&lt;/Author&gt;&lt;Year&gt;2011&lt;/Year&gt;&lt;RecNum&gt;9279&lt;/RecNum&gt;&lt;DisplayText&gt;Waycott&lt;style face="italic"&gt; et al.&lt;/style&gt; 2011&lt;/DisplayText&gt;&lt;record&gt;&lt;rec-number&gt;9279&lt;/rec-number&gt;&lt;foreign-keys&gt;&lt;key app="EN" db-id="0eve55x9y5vfd6e9dacxtew4eatve2dzds9a"&gt;9279&lt;/key&gt;&lt;/foreign-keys&gt;&lt;ref-type name="Book Section"&gt;5&lt;/ref-type&gt;&lt;contributors&gt;&lt;authors&gt;&lt;author&gt;Waycott, M.&lt;/author&gt;&lt;author&gt;McKenzie, Len J.&lt;/author&gt;&lt;author&gt;Mellors, J.E.&lt;/author&gt;&lt;author&gt;Ellison, J.C.&lt;/author&gt;&lt;author&gt;Sheaves, M.T.&lt;/author&gt;&lt;author&gt;Collier, C.&lt;/author&gt;&lt;author&gt;Schwarz, A-M.&lt;/author&gt;&lt;author&gt;Webb, A.&lt;/author&gt;&lt;author&gt;Johnson, J.&lt;/author&gt;&lt;author&gt;Payri, C.E.&lt;/author&gt;&lt;/authors&gt;&lt;secondary-authors&gt;&lt;author&gt;Bell, J.D.&lt;/author&gt;&lt;author&gt;Johnson, J.E.&lt;/author&gt;&lt;author&gt;Hobday, A.J.&lt;/author&gt;&lt;/secondary-authors&gt;&lt;/contributors&gt;&lt;titles&gt;&lt;title&gt;Vulnerability of mangroves, seagrasses and intertidal flats in the tropical Pacific to climate change&lt;/title&gt;&lt;secondary-title&gt;Vulnerability of fisheries and aquaculture in the Pacific to climate change&lt;/secondary-title&gt;&lt;/titles&gt;&lt;pages&gt;97-168&lt;/pages&gt;&lt;section&gt;6&lt;/section&gt;&lt;dates&gt;&lt;year&gt;2011&lt;/year&gt;&lt;/dates&gt;&lt;pub-location&gt;Noumea, New Caledonia&lt;/pub-location&gt;&lt;publisher&gt;Secretariat of the Pacific Community&lt;/publisher&gt;&lt;urls&gt;&lt;/urls&gt;&lt;/record&gt;&lt;/Cite&gt;&lt;/EndNote&gt;</w:instrText>
        </w:r>
        <w:r w:rsidR="00E6043D">
          <w:rPr>
            <w:szCs w:val="22"/>
          </w:rPr>
          <w:fldChar w:fldCharType="separate"/>
        </w:r>
        <w:r w:rsidR="00E6043D">
          <w:rPr>
            <w:noProof/>
            <w:szCs w:val="22"/>
          </w:rPr>
          <w:t>Waycott</w:t>
        </w:r>
        <w:r w:rsidR="00E6043D" w:rsidRPr="00644A84">
          <w:rPr>
            <w:i/>
            <w:noProof/>
            <w:szCs w:val="22"/>
          </w:rPr>
          <w:t xml:space="preserve"> et al.</w:t>
        </w:r>
        <w:r w:rsidR="00E6043D">
          <w:rPr>
            <w:noProof/>
            <w:szCs w:val="22"/>
          </w:rPr>
          <w:t xml:space="preserve"> 2011</w:t>
        </w:r>
        <w:r w:rsidR="00E6043D">
          <w:rPr>
            <w:szCs w:val="22"/>
          </w:rPr>
          <w:fldChar w:fldCharType="end"/>
        </w:r>
      </w:hyperlink>
      <w:r w:rsidRPr="00CF6D01">
        <w:rPr>
          <w:szCs w:val="22"/>
        </w:rPr>
        <w:t>). These non-reef habitats are particularly important to the maintenance and regeneration of populations of reef fish such as Emperor fish (</w:t>
      </w:r>
      <w:proofErr w:type="spellStart"/>
      <w:r w:rsidRPr="00CF6D01">
        <w:rPr>
          <w:i/>
          <w:szCs w:val="22"/>
        </w:rPr>
        <w:t>Lethrinus</w:t>
      </w:r>
      <w:proofErr w:type="spellEnd"/>
      <w:r w:rsidRPr="00CF6D01">
        <w:rPr>
          <w:i/>
          <w:szCs w:val="22"/>
        </w:rPr>
        <w:t xml:space="preserve"> </w:t>
      </w:r>
      <w:proofErr w:type="spellStart"/>
      <w:r w:rsidRPr="00CF6D01">
        <w:rPr>
          <w:i/>
          <w:szCs w:val="22"/>
        </w:rPr>
        <w:t>spp</w:t>
      </w:r>
      <w:proofErr w:type="spellEnd"/>
      <w:r w:rsidRPr="00CF6D01">
        <w:rPr>
          <w:szCs w:val="22"/>
        </w:rPr>
        <w:t xml:space="preserve">) and </w:t>
      </w:r>
      <w:proofErr w:type="spellStart"/>
      <w:r w:rsidRPr="00CF6D01">
        <w:rPr>
          <w:szCs w:val="22"/>
        </w:rPr>
        <w:t>Tuskfish</w:t>
      </w:r>
      <w:proofErr w:type="spellEnd"/>
      <w:r w:rsidRPr="00CF6D01">
        <w:rPr>
          <w:szCs w:val="22"/>
        </w:rPr>
        <w:t xml:space="preserve"> (</w:t>
      </w:r>
      <w:proofErr w:type="spellStart"/>
      <w:r w:rsidRPr="00CF6D01">
        <w:rPr>
          <w:i/>
          <w:szCs w:val="22"/>
        </w:rPr>
        <w:t>Choerodon</w:t>
      </w:r>
      <w:proofErr w:type="spellEnd"/>
      <w:r w:rsidRPr="00CF6D01">
        <w:rPr>
          <w:i/>
          <w:szCs w:val="22"/>
        </w:rPr>
        <w:t xml:space="preserve"> </w:t>
      </w:r>
      <w:proofErr w:type="spellStart"/>
      <w:r w:rsidRPr="00CF6D01">
        <w:rPr>
          <w:i/>
          <w:szCs w:val="22"/>
        </w:rPr>
        <w:t>spp</w:t>
      </w:r>
      <w:proofErr w:type="spellEnd"/>
      <w:r w:rsidRPr="00CF6D01">
        <w:rPr>
          <w:szCs w:val="22"/>
        </w:rPr>
        <w:t>) (</w:t>
      </w:r>
      <w:hyperlink w:anchor="_ENREF_80" w:tooltip="Cullen-Unsworth, 2014 #9996" w:history="1">
        <w:r w:rsidR="00E6043D">
          <w:rPr>
            <w:szCs w:val="22"/>
          </w:rPr>
          <w:fldChar w:fldCharType="begin"/>
        </w:r>
        <w:r w:rsidR="00E6043D">
          <w:rPr>
            <w:szCs w:val="22"/>
          </w:rPr>
          <w:instrText xml:space="preserve"> ADDIN EN.CITE &lt;EndNote&gt;&lt;Cite&gt;&lt;Author&gt;Cullen-Unsworth&lt;/Author&gt;&lt;Year&gt;2014&lt;/Year&gt;&lt;RecNum&gt;9996&lt;/RecNum&gt;&lt;DisplayText&gt;Cullen-Unsworth&lt;style face="italic"&gt; et al.&lt;/style&gt; 2014&lt;/DisplayText&gt;&lt;record&gt;&lt;rec-number&gt;9996&lt;/rec-number&gt;&lt;foreign-keys&gt;&lt;key app="EN" db-id="0eve55x9y5vfd6e9dacxtew4eatve2dzds9a"&gt;9996&lt;/key&gt;&lt;/foreign-keys&gt;&lt;ref-type name="Journal Article"&gt;17&lt;/ref-type&gt;&lt;contributors&gt;&lt;authors&gt;&lt;author&gt;Cullen-Unsworth, Leanne C.&lt;/author&gt;&lt;author&gt;Nordlund, Lina Mtwana&lt;/author&gt;&lt;author&gt;Paddock, Jessica&lt;/author&gt;&lt;author&gt;Baker, Susan&lt;/author&gt;&lt;author&gt;McKenzie, Len J.&lt;/author&gt;&lt;author&gt;Unsworth, Richard K. F.&lt;/author&gt;&lt;/authors&gt;&lt;/contributors&gt;&lt;titles&gt;&lt;title&gt;Seagrass meadows globally as a coupled social–ecological system: Implications for human wellbeing&lt;/title&gt;&lt;secondary-title&gt;Marine Pollution Bulletin&lt;/secondary-title&gt;&lt;/titles&gt;&lt;periodical&gt;&lt;full-title&gt;Marine Pollution Bulletin&lt;/full-title&gt;&lt;/periodical&gt;&lt;pages&gt;387-397&lt;/pages&gt;&lt;volume&gt;83&lt;/volume&gt;&lt;number&gt;2&lt;/number&gt;&lt;keywords&gt;&lt;keyword&gt;Ecosystem services&lt;/keyword&gt;&lt;keyword&gt;Human wellbeing&lt;/keyword&gt;&lt;keyword&gt;Seagrass meadows&lt;/keyword&gt;&lt;keyword&gt;Coupled social–ecological system&lt;/keyword&gt;&lt;keyword&gt;Ecological systems&lt;/keyword&gt;&lt;keyword&gt;Social processes&lt;/keyword&gt;&lt;/keywords&gt;&lt;dates&gt;&lt;year&gt;2014&lt;/year&gt;&lt;/dates&gt;&lt;isbn&gt;0025-326X&lt;/isbn&gt;&lt;urls&gt;&lt;related-urls&gt;&lt;url&gt;http://www.sciencedirect.com/science/article/pii/S0025326X13002919&lt;/url&gt;&lt;/related-urls&gt;&lt;/urls&gt;&lt;electronic-resource-num&gt;http://dx.doi.org/10.1016/j.marpolbul.2013.06.001&lt;/electronic-resource-num&gt;&lt;/record&gt;&lt;/Cite&gt;&lt;/EndNote&gt;</w:instrText>
        </w:r>
        <w:r w:rsidR="00E6043D">
          <w:rPr>
            <w:szCs w:val="22"/>
          </w:rPr>
          <w:fldChar w:fldCharType="separate"/>
        </w:r>
        <w:r w:rsidR="00E6043D">
          <w:rPr>
            <w:noProof/>
            <w:szCs w:val="22"/>
          </w:rPr>
          <w:t>Cullen-Unsworth</w:t>
        </w:r>
        <w:r w:rsidR="00E6043D" w:rsidRPr="00644A84">
          <w:rPr>
            <w:i/>
            <w:noProof/>
            <w:szCs w:val="22"/>
          </w:rPr>
          <w:t xml:space="preserve"> et al.</w:t>
        </w:r>
        <w:r w:rsidR="00E6043D">
          <w:rPr>
            <w:noProof/>
            <w:szCs w:val="22"/>
          </w:rPr>
          <w:t xml:space="preserve"> 2014</w:t>
        </w:r>
        <w:r w:rsidR="00E6043D">
          <w:rPr>
            <w:szCs w:val="22"/>
          </w:rPr>
          <w:fldChar w:fldCharType="end"/>
        </w:r>
      </w:hyperlink>
      <w:r w:rsidRPr="00CF6D01">
        <w:rPr>
          <w:szCs w:val="22"/>
        </w:rPr>
        <w:t>). In addition, t</w:t>
      </w:r>
      <w:r w:rsidRPr="00CF6D01">
        <w:t>he incorporation of carbon within seagrass tissues can affect local pH and increase calcification of coral reefs, thereby mitigating the effects of ocean acidification (</w:t>
      </w:r>
      <w:r w:rsidR="00644A84">
        <w:fldChar w:fldCharType="begin">
          <w:fldData xml:space="preserve">PEVuZE5vdGU+PENpdGU+PEF1dGhvcj5Gb3VycXVyZWFuPC9BdXRob3I+PFllYXI+MjAxMjwvWWVh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</w:fldData>
        </w:fldChar>
      </w:r>
      <w:r w:rsidR="00ED4C4C">
        <w:instrText xml:space="preserve"> ADDIN EN.CITE </w:instrText>
      </w:r>
      <w:r w:rsidR="00ED4C4C">
        <w:fldChar w:fldCharType="begin">
          <w:fldData xml:space="preserve">PEVuZE5vdGU+PENpdGU+PEF1dGhvcj5Gb3VycXVyZWFuPC9BdXRob3I+PFllYXI+MjAxMjwvWWVh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</w:fldData>
        </w:fldChar>
      </w:r>
      <w:r w:rsidR="00ED4C4C">
        <w:instrText xml:space="preserve"> ADDIN EN.CITE.DATA </w:instrText>
      </w:r>
      <w:r w:rsidR="00ED4C4C">
        <w:fldChar w:fldCharType="end"/>
      </w:r>
      <w:r w:rsidR="00644A84">
        <w:fldChar w:fldCharType="separate"/>
      </w:r>
      <w:hyperlink w:anchor="_ENREF_107" w:tooltip="Fourqurean, 2012 #9186" w:history="1">
        <w:r w:rsidR="00E6043D">
          <w:rPr>
            <w:noProof/>
          </w:rPr>
          <w:t>Fourqurean</w:t>
        </w:r>
        <w:r w:rsidR="00E6043D" w:rsidRPr="00ED4C4C">
          <w:rPr>
            <w:i/>
            <w:noProof/>
          </w:rPr>
          <w:t>, et al.</w:t>
        </w:r>
        <w:r w:rsidR="00E6043D">
          <w:rPr>
            <w:noProof/>
          </w:rPr>
          <w:t xml:space="preserve"> 2012</w:t>
        </w:r>
      </w:hyperlink>
      <w:r w:rsidR="00ED4C4C">
        <w:rPr>
          <w:noProof/>
        </w:rPr>
        <w:t xml:space="preserve">; </w:t>
      </w:r>
      <w:hyperlink w:anchor="_ENREF_230" w:tooltip="Unsworth, 2012 #9352" w:history="1">
        <w:r w:rsidR="00E6043D">
          <w:rPr>
            <w:noProof/>
          </w:rPr>
          <w:t>Unsworth</w:t>
        </w:r>
        <w:r w:rsidR="00E6043D" w:rsidRPr="00ED4C4C">
          <w:rPr>
            <w:i/>
            <w:noProof/>
          </w:rPr>
          <w:t>, et al.</w:t>
        </w:r>
        <w:r w:rsidR="00E6043D">
          <w:rPr>
            <w:noProof/>
          </w:rPr>
          <w:t xml:space="preserve"> 2012a</w:t>
        </w:r>
      </w:hyperlink>
      <w:r w:rsidR="00644A84">
        <w:fldChar w:fldCharType="end"/>
      </w:r>
      <w:r w:rsidRPr="00CF6D01">
        <w:t>).</w:t>
      </w:r>
      <w:r w:rsidRPr="00CF6D01">
        <w:rPr>
          <w:szCs w:val="22"/>
        </w:rPr>
        <w:t xml:space="preserve"> Therefore, monitoring changes in seagrasses meadows not only provides an indication of coastal ecosystem health, but also improves our capacity to predict changes to adjacent reefs, mangroves and associated resources upon which coastal communities depend (</w:t>
      </w:r>
      <w:hyperlink w:anchor="_ENREF_123" w:tooltip="Heck, 2008 #7826" w:history="1">
        <w:r w:rsidR="00E6043D">
          <w:rPr>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dmZkNmU5ZGFjeHRldzRlYXR2ZTJkemRzOWEiPjc4MjY8L2tleT48L2ZvcmVpZ24ta2V5cz48cmVm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=
</w:fldData>
          </w:fldChar>
        </w:r>
        <w:r w:rsidR="00E6043D">
          <w:rPr>
            <w:szCs w:val="22"/>
          </w:rPr>
          <w:instrText xml:space="preserve"> ADDIN EN.CITE </w:instrText>
        </w:r>
        <w:r w:rsidR="00E6043D">
          <w:rPr>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dmZkNmU5ZGFjeHRldzRlYXR2ZTJkemRzOWEiPjc4MjY8L2tleT48L2ZvcmVpZ24ta2V5cz48cmVm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=
</w:fldData>
          </w:fldChar>
        </w:r>
        <w:r w:rsidR="00E6043D">
          <w:rPr>
            <w:szCs w:val="22"/>
          </w:rPr>
          <w:instrText xml:space="preserve"> ADDIN EN.CITE.DATA </w:instrText>
        </w:r>
        <w:r w:rsidR="00E6043D">
          <w:rPr>
            <w:szCs w:val="22"/>
          </w:rPr>
        </w:r>
        <w:r w:rsidR="00E6043D">
          <w:rPr>
            <w:szCs w:val="22"/>
          </w:rPr>
          <w:fldChar w:fldCharType="end"/>
        </w:r>
        <w:r w:rsidR="00E6043D">
          <w:rPr>
            <w:szCs w:val="22"/>
          </w:rPr>
        </w:r>
        <w:r w:rsidR="00E6043D">
          <w:rPr>
            <w:szCs w:val="22"/>
          </w:rPr>
          <w:fldChar w:fldCharType="separate"/>
        </w:r>
        <w:r w:rsidR="00E6043D">
          <w:rPr>
            <w:noProof/>
            <w:szCs w:val="22"/>
          </w:rPr>
          <w:t>Heck</w:t>
        </w:r>
        <w:r w:rsidR="00E6043D" w:rsidRPr="00644A84">
          <w:rPr>
            <w:i/>
            <w:noProof/>
            <w:szCs w:val="22"/>
          </w:rPr>
          <w:t xml:space="preserve"> et al.</w:t>
        </w:r>
        <w:r w:rsidR="00E6043D">
          <w:rPr>
            <w:noProof/>
            <w:szCs w:val="22"/>
          </w:rPr>
          <w:t xml:space="preserve"> 2008</w:t>
        </w:r>
        <w:r w:rsidR="00E6043D">
          <w:rPr>
            <w:szCs w:val="22"/>
          </w:rPr>
          <w:fldChar w:fldCharType="end"/>
        </w:r>
      </w:hyperlink>
      <w:r w:rsidRPr="00CF6D01">
        <w:rPr>
          <w:szCs w:val="22"/>
        </w:rPr>
        <w:t>).</w:t>
      </w:r>
    </w:p>
    <w:p w:rsidR="003D1F7F" w:rsidRPr="00CF6D01" w:rsidRDefault="003D1F7F" w:rsidP="003D1F7F">
      <w:pPr>
        <w:spacing w:before="240"/>
        <w:rPr>
          <w:szCs w:val="22"/>
        </w:rPr>
      </w:pPr>
      <w:r w:rsidRPr="00CF6D01">
        <w:rPr>
          <w:szCs w:val="22"/>
        </w:rPr>
        <w:t xml:space="preserve">Chronic declines in inshore water quality in the GBR since European settlement have led to </w:t>
      </w:r>
      <w:r w:rsidR="00E847B5">
        <w:rPr>
          <w:szCs w:val="22"/>
        </w:rPr>
        <w:t>major</w:t>
      </w:r>
      <w:r w:rsidRPr="00CF6D01">
        <w:rPr>
          <w:szCs w:val="22"/>
        </w:rPr>
        <w:t xml:space="preserve"> ecological shifts in many GBR marine ecosystems (</w:t>
      </w:r>
      <w:r w:rsidR="00644A84">
        <w:rPr>
          <w:szCs w:val="22"/>
        </w:rPr>
        <w:fldChar w:fldCharType="begin">
          <w:fldData xml:space="preserve">PEVuZE5vdGU+PENpdGU+PEF1dGhvcj5EZSZhcG9zO2F0aDwvQXV0aG9yPjxZZWFyPjIwMTA8L1ll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==
</w:fldData>
        </w:fldChar>
      </w:r>
      <w:r w:rsidR="00957846">
        <w:rPr>
          <w:szCs w:val="22"/>
        </w:rPr>
        <w:instrText xml:space="preserve"> ADDIN EN.CITE </w:instrText>
      </w:r>
      <w:r w:rsidR="00957846">
        <w:rPr>
          <w:szCs w:val="22"/>
        </w:rPr>
        <w:fldChar w:fldCharType="begin">
          <w:fldData xml:space="preserve">PEVuZE5vdGU+PENpdGU+PEF1dGhvcj5EZSZhcG9zO2F0aDwvQXV0aG9yPjxZZWFyPjIwMTA8L1ll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==
</w:fldData>
        </w:fldChar>
      </w:r>
      <w:r w:rsidR="00957846">
        <w:rPr>
          <w:szCs w:val="22"/>
        </w:rPr>
        <w:instrText xml:space="preserve"> ADDIN EN.CITE.DATA </w:instrText>
      </w:r>
      <w:r w:rsidR="00957846">
        <w:rPr>
          <w:szCs w:val="22"/>
        </w:rPr>
      </w:r>
      <w:r w:rsidR="00957846">
        <w:rPr>
          <w:szCs w:val="22"/>
        </w:rPr>
        <w:fldChar w:fldCharType="end"/>
      </w:r>
      <w:r w:rsidR="00644A84">
        <w:rPr>
          <w:szCs w:val="22"/>
        </w:rPr>
      </w:r>
      <w:r w:rsidR="00644A84">
        <w:rPr>
          <w:szCs w:val="22"/>
        </w:rPr>
        <w:fldChar w:fldCharType="separate"/>
      </w:r>
      <w:hyperlink w:anchor="_ENREF_83" w:tooltip="De'ath, 2010 #10485" w:history="1">
        <w:r w:rsidR="00E6043D">
          <w:rPr>
            <w:noProof/>
            <w:szCs w:val="22"/>
          </w:rPr>
          <w:t>De'ath and Fabricius 2010</w:t>
        </w:r>
      </w:hyperlink>
      <w:r w:rsidR="00957846">
        <w:rPr>
          <w:noProof/>
          <w:szCs w:val="22"/>
        </w:rPr>
        <w:t xml:space="preserve">; </w:t>
      </w:r>
      <w:hyperlink w:anchor="_ENREF_211" w:tooltip="Roff, 2013 #10583" w:history="1">
        <w:r w:rsidR="00E6043D">
          <w:rPr>
            <w:noProof/>
            <w:szCs w:val="22"/>
          </w:rPr>
          <w:t>Roff</w:t>
        </w:r>
        <w:r w:rsidR="00E6043D" w:rsidRPr="00957846">
          <w:rPr>
            <w:i/>
            <w:noProof/>
            <w:szCs w:val="22"/>
          </w:rPr>
          <w:t xml:space="preserve"> et al.</w:t>
        </w:r>
        <w:r w:rsidR="00E6043D">
          <w:rPr>
            <w:noProof/>
            <w:szCs w:val="22"/>
          </w:rPr>
          <w:t xml:space="preserve"> 2013</w:t>
        </w:r>
      </w:hyperlink>
      <w:r w:rsidR="00644A84">
        <w:rPr>
          <w:szCs w:val="22"/>
        </w:rPr>
        <w:fldChar w:fldCharType="end"/>
      </w:r>
      <w:r w:rsidRPr="00CF6D01">
        <w:rPr>
          <w:szCs w:val="22"/>
        </w:rPr>
        <w:t>). Multiple pressures are the cause of this decline, including intensive use of the GBR catchments for agriculture and grazing, and coastal development for urban centres and commercial ports (</w:t>
      </w:r>
      <w:hyperlink w:anchor="_ENREF_20" w:tooltip="Brodie, 2013 #9501" w:history="1">
        <w:r w:rsidR="00E6043D">
          <w:rPr>
            <w:szCs w:val="22"/>
          </w:rPr>
          <w:fldChar w:fldCharType="begin"/>
        </w:r>
        <w:r w:rsidR="00E6043D">
          <w:rPr>
            <w:szCs w:val="22"/>
          </w:rPr>
          <w:instrText xml:space="preserve"> ADDIN EN.CITE &lt;EndNote&gt;&lt;Cite&gt;&lt;Author&gt;Brodie&lt;/Author&gt;&lt;Year&gt;2013&lt;/Year&gt;&lt;RecNum&gt;9501&lt;/RecNum&gt;&lt;DisplayText&gt;Brodie&lt;style face="italic"&gt; et al.&lt;/style&gt; 2013b&lt;/DisplayText&gt;&lt;record&gt;&lt;rec-number&gt;9501&lt;/rec-number&gt;&lt;foreign-keys&gt;&lt;key app="EN" db-id="0eve55x9y5vfd6e9dacxtew4eatve2dzds9a"&gt;9501&lt;/key&gt;&lt;/foreign-keys&gt;&lt;ref-type name="Book"&gt;6&lt;/ref-type&gt;&lt;contributors&gt;&lt;authors&gt;&lt;author&gt;Brodie, J&lt;/author&gt;&lt;author&gt;Waterhouse, J&lt;/author&gt;&lt;author&gt;Schaffelke, B&lt;/author&gt;&lt;author&gt;Johnson, J&lt;/author&gt;&lt;author&gt;Kroon, F.&lt;/author&gt;&lt;author&gt;Thorburn, P.&lt;/author&gt;&lt;author&gt;Rolfe, J.&lt;/author&gt;&lt;author&gt;Lewis, S.&lt;/author&gt;&lt;author&gt;Warne, M.&lt;/author&gt;&lt;author&gt;Fabricius, K&lt;/author&gt;&lt;author&gt;McKenzie, Len J&lt;/author&gt;&lt;author&gt;Devlin, M. &lt;/author&gt;&lt;/authors&gt;&lt;/contributors&gt;&lt;titles&gt;&lt;title&gt;Reef Water Quality Scientific Consensus Statement 2013&lt;/title&gt;&lt;/titles&gt;&lt;pages&gt;10&lt;/pages&gt;&lt;dates&gt;&lt;year&gt;2013&lt;/year&gt;&lt;/dates&gt;&lt;pub-location&gt;Brisbane&lt;/pub-location&gt;&lt;publisher&gt;Department of the Premier and Cabinet, Queensland Government&lt;/publisher&gt;&lt;urls&gt;&lt;/urls&gt;&lt;/record&gt;&lt;/Cite&gt;&lt;/EndNote&gt;</w:instrText>
        </w:r>
        <w:r w:rsidR="00E6043D">
          <w:rPr>
            <w:szCs w:val="22"/>
          </w:rPr>
          <w:fldChar w:fldCharType="separate"/>
        </w:r>
        <w:r w:rsidR="00E6043D">
          <w:rPr>
            <w:noProof/>
            <w:szCs w:val="22"/>
          </w:rPr>
          <w:t>Brodie</w:t>
        </w:r>
        <w:r w:rsidR="00E6043D" w:rsidRPr="009E5562">
          <w:rPr>
            <w:i/>
            <w:noProof/>
            <w:szCs w:val="22"/>
          </w:rPr>
          <w:t xml:space="preserve"> et al.</w:t>
        </w:r>
        <w:r w:rsidR="00E6043D">
          <w:rPr>
            <w:noProof/>
            <w:szCs w:val="22"/>
          </w:rPr>
          <w:t xml:space="preserve"> 2013b</w:t>
        </w:r>
        <w:r w:rsidR="00E6043D">
          <w:rPr>
            <w:szCs w:val="22"/>
          </w:rPr>
          <w:fldChar w:fldCharType="end"/>
        </w:r>
      </w:hyperlink>
      <w:r w:rsidRPr="00CF6D01">
        <w:rPr>
          <w:szCs w:val="22"/>
        </w:rPr>
        <w:t xml:space="preserve">). Flood </w:t>
      </w:r>
      <w:r w:rsidR="00E847B5">
        <w:rPr>
          <w:szCs w:val="22"/>
        </w:rPr>
        <w:t>waters</w:t>
      </w:r>
      <w:r w:rsidRPr="00CF6D01">
        <w:rPr>
          <w:szCs w:val="22"/>
        </w:rPr>
        <w:t xml:space="preserve"> </w:t>
      </w:r>
      <w:r w:rsidR="00E847B5">
        <w:rPr>
          <w:szCs w:val="22"/>
        </w:rPr>
        <w:t>deliver</w:t>
      </w:r>
      <w:r w:rsidRPr="00CF6D01">
        <w:rPr>
          <w:szCs w:val="22"/>
        </w:rPr>
        <w:t xml:space="preserve"> terrestrially sourced pollutants </w:t>
      </w:r>
      <w:r w:rsidR="00ED661B">
        <w:rPr>
          <w:szCs w:val="22"/>
        </w:rPr>
        <w:t xml:space="preserve">(e.g., sediments, nutrients, pesticides) </w:t>
      </w:r>
      <w:r w:rsidRPr="00CF6D01">
        <w:rPr>
          <w:szCs w:val="22"/>
        </w:rPr>
        <w:t>into the GBR</w:t>
      </w:r>
      <w:r w:rsidR="00ED661B">
        <w:rPr>
          <w:szCs w:val="22"/>
        </w:rPr>
        <w:t>,</w:t>
      </w:r>
      <w:r w:rsidRPr="00CF6D01">
        <w:rPr>
          <w:szCs w:val="22"/>
        </w:rPr>
        <w:t xml:space="preserve"> dispersing them over the sensitive ecosystems including seagrass meadows (</w:t>
      </w:r>
      <w:hyperlink w:anchor="_ENREF_214" w:tooltip="Schaffelke, 2013 #9502" w:history="1">
        <w:r w:rsidR="00E6043D">
          <w:rPr>
            <w:szCs w:val="22"/>
          </w:rPr>
          <w:fldChar w:fldCharType="begin"/>
        </w:r>
        <w:r w:rsidR="00E6043D">
          <w:rPr>
            <w:szCs w:val="22"/>
          </w:rPr>
          <w:instrText xml:space="preserve"> ADDIN EN.CITE &lt;EndNote&gt;&lt;Cite&gt;&lt;Author&gt;Schaffelke&lt;/Author&gt;&lt;Year&gt;2013&lt;/Year&gt;&lt;RecNum&gt;9502&lt;/RecNum&gt;&lt;Prefix&gt;summarised in &lt;/Prefix&gt;&lt;DisplayText&gt;summarised in Schaffelke&lt;style face="italic"&gt; et al.&lt;/style&gt; 2013&lt;/DisplayText&gt;&lt;record&gt;&lt;rec-number&gt;9502&lt;/rec-number&gt;&lt;foreign-keys&gt;&lt;key app="EN" db-id="0eve55x9y5vfd6e9dacxtew4eatve2dzds9a"&gt;9502&lt;/key&gt;&lt;/foreign-keys&gt;&lt;ref-type name="Book Section"&gt;5&lt;/ref-type&gt;&lt;contributors&gt;&lt;authors&gt;&lt;author&gt;Schaffelke, B&lt;/author&gt;&lt;author&gt;Anthony, K&lt;/author&gt;&lt;author&gt;Blake, J&lt;/author&gt;&lt;author&gt;Brodie, J&lt;/author&gt;&lt;author&gt;Collier, C&lt;/author&gt;&lt;author&gt;Devlin, M&lt;/author&gt;&lt;author&gt;Fabricius, K&lt;/author&gt;&lt;author&gt;Martin, K&lt;/author&gt;&lt;author&gt;McKenzie, Len J&lt;/author&gt;&lt;author&gt;Negri, A&lt;/author&gt;&lt;author&gt;Ronan, M&lt;/author&gt;&lt;author&gt;Thompson, A&lt;/author&gt;&lt;author&gt;Warne, M&lt;/author&gt;&lt;/authors&gt;&lt;/contributors&gt;&lt;titles&gt;&lt;title&gt;Marine and coastal ecosystem impacts&lt;/title&gt;&lt;secondary-title&gt;Synthesis of evidence to support the Reef Water Quality Scientific Consensus Statement 2013&lt;/secondary-title&gt;&lt;/titles&gt;&lt;pages&gt;47&lt;/pages&gt;&lt;section&gt;1&lt;/section&gt;&lt;dates&gt;&lt;year&gt;2013&lt;/year&gt;&lt;/dates&gt;&lt;pub-location&gt;Brisbane&lt;/pub-location&gt;&lt;publisher&gt;Department of the Premier and Cabinet, Queensland Government&lt;/publisher&gt;&lt;urls&gt;&lt;/urls&gt;&lt;/record&gt;&lt;/Cite&gt;&lt;/EndNote&gt;</w:instrText>
        </w:r>
        <w:r w:rsidR="00E6043D">
          <w:rPr>
            <w:szCs w:val="22"/>
          </w:rPr>
          <w:fldChar w:fldCharType="separate"/>
        </w:r>
        <w:r w:rsidR="00E6043D">
          <w:rPr>
            <w:noProof/>
            <w:szCs w:val="22"/>
          </w:rPr>
          <w:t>summarised in Schaffelke</w:t>
        </w:r>
        <w:r w:rsidR="00E6043D" w:rsidRPr="00644A84">
          <w:rPr>
            <w:i/>
            <w:noProof/>
            <w:szCs w:val="22"/>
          </w:rPr>
          <w:t xml:space="preserve"> et al.</w:t>
        </w:r>
        <w:r w:rsidR="00E6043D">
          <w:rPr>
            <w:noProof/>
            <w:szCs w:val="22"/>
          </w:rPr>
          <w:t xml:space="preserve"> 2013</w:t>
        </w:r>
        <w:r w:rsidR="00E6043D">
          <w:rPr>
            <w:szCs w:val="22"/>
          </w:rPr>
          <w:fldChar w:fldCharType="end"/>
        </w:r>
      </w:hyperlink>
      <w:r w:rsidRPr="00CF6D01">
        <w:rPr>
          <w:szCs w:val="22"/>
        </w:rPr>
        <w:t xml:space="preserve">). </w:t>
      </w:r>
    </w:p>
    <w:p w:rsidR="000806A8" w:rsidRDefault="003D1F7F" w:rsidP="003D1F7F">
      <w:pPr>
        <w:tabs>
          <w:tab w:val="left" w:pos="360"/>
        </w:tabs>
        <w:spacing w:before="240"/>
        <w:rPr>
          <w:rFonts w:cs="Arial"/>
          <w:szCs w:val="22"/>
        </w:rPr>
      </w:pPr>
      <w:r w:rsidRPr="00CF6D01">
        <w:rPr>
          <w:szCs w:val="22"/>
        </w:rPr>
        <w:t>Tropical seagrass ecosystems of the GBR are a complex mosaic of different habitat types comprised of multiple seagrass species (</w:t>
      </w:r>
      <w:hyperlink w:anchor="_ENREF_35" w:tooltip="Carruthers, 2002 #8021" w:history="1">
        <w:r w:rsidR="00E6043D">
          <w:rPr>
            <w:szCs w:val="22"/>
          </w:rPr>
          <w:fldChar w:fldCharType="begin"/>
        </w:r>
        <w:r w:rsidR="00E6043D">
          <w:rPr>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E6043D">
          <w:rPr>
            <w:szCs w:val="22"/>
          </w:rPr>
          <w:fldChar w:fldCharType="separate"/>
        </w:r>
        <w:r w:rsidR="00E6043D">
          <w:rPr>
            <w:noProof/>
            <w:szCs w:val="22"/>
          </w:rPr>
          <w:t>Carruthers</w:t>
        </w:r>
        <w:r w:rsidR="00E6043D" w:rsidRPr="00644A84">
          <w:rPr>
            <w:i/>
            <w:noProof/>
            <w:szCs w:val="22"/>
          </w:rPr>
          <w:t>, et al.</w:t>
        </w:r>
        <w:r w:rsidR="00E6043D">
          <w:rPr>
            <w:noProof/>
            <w:szCs w:val="22"/>
          </w:rPr>
          <w:t xml:space="preserve"> 2002</w:t>
        </w:r>
        <w:r w:rsidR="00E6043D">
          <w:rPr>
            <w:szCs w:val="22"/>
          </w:rPr>
          <w:fldChar w:fldCharType="end"/>
        </w:r>
      </w:hyperlink>
      <w:r w:rsidRPr="00CF6D01">
        <w:rPr>
          <w:szCs w:val="22"/>
        </w:rPr>
        <w:t xml:space="preserve">). </w:t>
      </w:r>
      <w:r w:rsidRPr="00CF6D01">
        <w:rPr>
          <w:rFonts w:cs="Arial"/>
          <w:szCs w:val="22"/>
        </w:rPr>
        <w:t>There are 15 species of seagrass in the GBR (</w:t>
      </w:r>
      <w:hyperlink w:anchor="_ENREF_238" w:tooltip="Waycott, 2007 #9133" w:history="1">
        <w:r w:rsidR="00E6043D">
          <w:rPr>
            <w:rFonts w:cs="Arial"/>
            <w:szCs w:val="22"/>
          </w:rPr>
          <w:fldChar w:fldCharType="begin"/>
        </w:r>
        <w:r w:rsidR="00E6043D">
          <w:rPr>
            <w:rFonts w:cs="Arial"/>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E6043D">
          <w:rPr>
            <w:rFonts w:cs="Arial"/>
            <w:szCs w:val="22"/>
          </w:rPr>
          <w:fldChar w:fldCharType="separate"/>
        </w:r>
        <w:r w:rsidR="00E6043D">
          <w:rPr>
            <w:rFonts w:cs="Arial"/>
            <w:noProof/>
            <w:szCs w:val="22"/>
          </w:rPr>
          <w:t>Waycott</w:t>
        </w:r>
        <w:r w:rsidR="00E6043D" w:rsidRPr="00644A84">
          <w:rPr>
            <w:rFonts w:cs="Arial"/>
            <w:i/>
            <w:noProof/>
            <w:szCs w:val="22"/>
          </w:rPr>
          <w:t xml:space="preserve"> et al.</w:t>
        </w:r>
        <w:r w:rsidR="00E6043D">
          <w:rPr>
            <w:rFonts w:cs="Arial"/>
            <w:noProof/>
            <w:szCs w:val="22"/>
          </w:rPr>
          <w:t xml:space="preserve"> 2007</w:t>
        </w:r>
        <w:r w:rsidR="00E6043D">
          <w:rPr>
            <w:rFonts w:cs="Arial"/>
            <w:szCs w:val="22"/>
          </w:rPr>
          <w:fldChar w:fldCharType="end"/>
        </w:r>
      </w:hyperlink>
      <w:r w:rsidRPr="00CF6D01">
        <w:rPr>
          <w:rFonts w:cs="Arial"/>
          <w:szCs w:val="22"/>
        </w:rPr>
        <w:t xml:space="preserve">) and high diversity of seagrass habitat types is provided by extensive bays, estuaries, rivers and the 2600 km length of the Great Barrier Reef with its reef platforms and inshore lagoon. They can be found on sand or muddy beaches, on reef platforms and in reef lagoons, and on sandy and muddy bottoms down to 60 metres or more below Mean Sea Level (MSL). </w:t>
      </w:r>
    </w:p>
    <w:p w:rsidR="000806A8" w:rsidRPr="00CF6D01" w:rsidRDefault="000806A8" w:rsidP="000806A8">
      <w:pPr>
        <w:spacing w:before="240"/>
        <w:rPr>
          <w:szCs w:val="22"/>
        </w:rPr>
      </w:pPr>
      <w:r w:rsidRPr="00CF6D01">
        <w:rPr>
          <w:rFonts w:cs="MetaOT-Normal"/>
          <w:szCs w:val="22"/>
          <w:lang w:eastAsia="en-AU"/>
        </w:rPr>
        <w:t>Approximately 3,063 km</w:t>
      </w:r>
      <w:r w:rsidRPr="00CF6D01">
        <w:rPr>
          <w:rFonts w:cs="MetaOT-Normal"/>
          <w:szCs w:val="22"/>
          <w:vertAlign w:val="superscript"/>
          <w:lang w:eastAsia="en-AU"/>
        </w:rPr>
        <w:t>2</w:t>
      </w:r>
      <w:r w:rsidRPr="00CF6D01">
        <w:rPr>
          <w:rFonts w:cs="MetaOT-Normal"/>
          <w:szCs w:val="22"/>
          <w:lang w:eastAsia="en-AU"/>
        </w:rPr>
        <w:t xml:space="preserve"> of </w:t>
      </w:r>
      <w:r>
        <w:rPr>
          <w:rFonts w:cs="MetaOT-Normal"/>
          <w:szCs w:val="22"/>
          <w:lang w:eastAsia="en-AU"/>
        </w:rPr>
        <w:t>inshore</w:t>
      </w:r>
      <w:r w:rsidRPr="00CF6D01">
        <w:rPr>
          <w:rFonts w:cs="MetaOT-Normal"/>
          <w:szCs w:val="22"/>
          <w:lang w:eastAsia="en-AU"/>
        </w:rPr>
        <w:t xml:space="preserve"> seagrass meadows has been mapped in Great Barrier Reef </w:t>
      </w:r>
      <w:r w:rsidRPr="00614690">
        <w:rPr>
          <w:rFonts w:cs="MetaOT-Normal"/>
          <w:szCs w:val="22"/>
          <w:lang w:eastAsia="en-AU"/>
        </w:rPr>
        <w:t xml:space="preserve">World Heritage Area (GBRWHA) in waters shallower than 15m. </w:t>
      </w:r>
      <w:r w:rsidR="00614690" w:rsidRPr="00614690">
        <w:rPr>
          <w:rFonts w:cs="MetaOT-Normal"/>
          <w:szCs w:val="22"/>
          <w:lang w:eastAsia="en-AU"/>
        </w:rPr>
        <w:t>Although t</w:t>
      </w:r>
      <w:r w:rsidRPr="00614690">
        <w:rPr>
          <w:rFonts w:cs="MetaOT-Normal"/>
          <w:szCs w:val="22"/>
          <w:lang w:eastAsia="en-AU"/>
        </w:rPr>
        <w:t xml:space="preserve">his </w:t>
      </w:r>
      <w:r w:rsidR="00614690" w:rsidRPr="00614690">
        <w:rPr>
          <w:rFonts w:cs="MetaOT-Normal"/>
          <w:szCs w:val="22"/>
          <w:lang w:eastAsia="en-AU"/>
        </w:rPr>
        <w:t>represents only</w:t>
      </w:r>
      <w:r w:rsidRPr="00614690">
        <w:rPr>
          <w:rFonts w:cs="MetaOT-Normal"/>
          <w:szCs w:val="22"/>
          <w:lang w:eastAsia="en-AU"/>
        </w:rPr>
        <w:t xml:space="preserve"> 9% of the total </w:t>
      </w:r>
      <w:r w:rsidR="00B773A2" w:rsidRPr="00614690">
        <w:rPr>
          <w:rFonts w:cs="MetaOT-Normal"/>
          <w:szCs w:val="22"/>
          <w:lang w:eastAsia="en-AU"/>
        </w:rPr>
        <w:t xml:space="preserve">seagrass </w:t>
      </w:r>
      <w:r w:rsidRPr="00614690">
        <w:rPr>
          <w:rFonts w:cs="MetaOT-Normal"/>
          <w:szCs w:val="22"/>
          <w:lang w:eastAsia="en-AU"/>
        </w:rPr>
        <w:t xml:space="preserve">area estimated </w:t>
      </w:r>
      <w:r w:rsidR="001E21CE">
        <w:rPr>
          <w:rFonts w:cs="MetaOT-Normal"/>
          <w:szCs w:val="22"/>
          <w:lang w:eastAsia="en-AU"/>
        </w:rPr>
        <w:t>within</w:t>
      </w:r>
      <w:r w:rsidR="00B773A2" w:rsidRPr="00614690">
        <w:rPr>
          <w:rFonts w:cs="MetaOT-Normal"/>
          <w:szCs w:val="22"/>
          <w:lang w:eastAsia="en-AU"/>
        </w:rPr>
        <w:t xml:space="preserve"> the GBRWHA</w:t>
      </w:r>
      <w:r w:rsidRPr="00614690">
        <w:rPr>
          <w:rFonts w:cs="MetaOT-Normal"/>
          <w:szCs w:val="22"/>
          <w:lang w:eastAsia="en-AU"/>
        </w:rPr>
        <w:t xml:space="preserve"> (</w:t>
      </w:r>
      <w:hyperlink w:anchor="_ENREF_180" w:tooltip="McKenzie, 2010 #9646" w:history="1">
        <w:r w:rsidR="00E6043D" w:rsidRPr="00614690">
          <w:rPr>
            <w:rFonts w:cs="MetaOT-Normal"/>
            <w:szCs w:val="22"/>
            <w:lang w:eastAsia="en-AU"/>
          </w:rPr>
          <w:fldChar w:fldCharType="begin"/>
        </w:r>
        <w:r w:rsidR="00E6043D" w:rsidRPr="00614690">
          <w:rPr>
            <w:rFonts w:cs="MetaOT-Normal"/>
            <w:szCs w:val="22"/>
            <w:lang w:eastAsia="en-AU"/>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sidRPr="00614690">
          <w:rPr>
            <w:rFonts w:cs="MetaOT-Normal"/>
            <w:szCs w:val="22"/>
            <w:lang w:eastAsia="en-AU"/>
          </w:rPr>
          <w:fldChar w:fldCharType="separate"/>
        </w:r>
        <w:r w:rsidR="00E6043D" w:rsidRPr="00614690">
          <w:rPr>
            <w:rFonts w:cs="MetaOT-Normal"/>
            <w:noProof/>
            <w:szCs w:val="22"/>
            <w:lang w:eastAsia="en-AU"/>
          </w:rPr>
          <w:t>McKenzie</w:t>
        </w:r>
        <w:r w:rsidR="00E6043D" w:rsidRPr="00614690">
          <w:rPr>
            <w:rFonts w:cs="MetaOT-Normal"/>
            <w:i/>
            <w:noProof/>
            <w:szCs w:val="22"/>
            <w:lang w:eastAsia="en-AU"/>
          </w:rPr>
          <w:t xml:space="preserve"> et al.</w:t>
        </w:r>
        <w:r w:rsidR="00E6043D" w:rsidRPr="00614690">
          <w:rPr>
            <w:rFonts w:cs="MetaOT-Normal"/>
            <w:noProof/>
            <w:szCs w:val="22"/>
            <w:lang w:eastAsia="en-AU"/>
          </w:rPr>
          <w:t xml:space="preserve"> 2010c</w:t>
        </w:r>
        <w:r w:rsidR="00E6043D" w:rsidRPr="00614690">
          <w:rPr>
            <w:rFonts w:cs="MetaOT-Normal"/>
            <w:szCs w:val="22"/>
            <w:lang w:eastAsia="en-AU"/>
          </w:rPr>
          <w:fldChar w:fldCharType="end"/>
        </w:r>
      </w:hyperlink>
      <w:r w:rsidRPr="00614690">
        <w:rPr>
          <w:rFonts w:cs="MetaOT-Normal"/>
          <w:szCs w:val="22"/>
          <w:lang w:eastAsia="en-AU"/>
        </w:rPr>
        <w:t>)</w:t>
      </w:r>
      <w:r w:rsidR="00614690" w:rsidRPr="00614690">
        <w:rPr>
          <w:rFonts w:cs="MetaOT-Normal"/>
          <w:szCs w:val="22"/>
          <w:lang w:eastAsia="en-AU"/>
        </w:rPr>
        <w:t xml:space="preserve">, the </w:t>
      </w:r>
      <w:r w:rsidR="0049540A" w:rsidRPr="00614690">
        <w:rPr>
          <w:rFonts w:cs="MetaOT-Normal"/>
          <w:szCs w:val="22"/>
          <w:lang w:eastAsia="en-AU"/>
        </w:rPr>
        <w:t xml:space="preserve">ecosystem services </w:t>
      </w:r>
      <w:r w:rsidR="00614690" w:rsidRPr="00614690">
        <w:rPr>
          <w:rFonts w:cs="MetaOT-Normal"/>
          <w:szCs w:val="22"/>
          <w:lang w:eastAsia="en-AU"/>
        </w:rPr>
        <w:t xml:space="preserve">inshore seagrass meadows </w:t>
      </w:r>
      <w:r w:rsidR="0049540A" w:rsidRPr="00614690">
        <w:rPr>
          <w:rFonts w:cs="MetaOT-Normal"/>
          <w:szCs w:val="22"/>
          <w:lang w:eastAsia="en-AU"/>
        </w:rPr>
        <w:t xml:space="preserve">provide are of far greater importance than those provided by the </w:t>
      </w:r>
      <w:r w:rsidR="00B078BD">
        <w:rPr>
          <w:rFonts w:cs="MetaOT-Normal"/>
          <w:szCs w:val="22"/>
          <w:lang w:eastAsia="en-AU"/>
        </w:rPr>
        <w:t>offshore/</w:t>
      </w:r>
      <w:proofErr w:type="spellStart"/>
      <w:r w:rsidR="00B078BD">
        <w:rPr>
          <w:rFonts w:cs="MetaOT-Normal"/>
          <w:szCs w:val="22"/>
          <w:lang w:eastAsia="en-AU"/>
        </w:rPr>
        <w:t>deepwater</w:t>
      </w:r>
      <w:proofErr w:type="spellEnd"/>
      <w:r w:rsidR="0049540A" w:rsidRPr="00614690">
        <w:rPr>
          <w:rFonts w:cs="MetaOT-Normal"/>
          <w:szCs w:val="22"/>
          <w:lang w:eastAsia="en-AU"/>
        </w:rPr>
        <w:t xml:space="preserve"> seagrasses. </w:t>
      </w:r>
      <w:r w:rsidRPr="00614690">
        <w:rPr>
          <w:rFonts w:cs="TimesNewRoman"/>
          <w:szCs w:val="22"/>
        </w:rPr>
        <w:t xml:space="preserve">Inshore seagrass meadows are structurally large, composed of foundational </w:t>
      </w:r>
      <w:r w:rsidR="00614690">
        <w:rPr>
          <w:rFonts w:cs="TimesNewRoman"/>
          <w:szCs w:val="22"/>
        </w:rPr>
        <w:t xml:space="preserve">(opportunistic and persistent) </w:t>
      </w:r>
      <w:r w:rsidRPr="00614690">
        <w:rPr>
          <w:rFonts w:cs="TimesNewRoman"/>
          <w:szCs w:val="22"/>
        </w:rPr>
        <w:t>species, store more carbon in their sediments, are of higher fisheries importance, and</w:t>
      </w:r>
      <w:r w:rsidRPr="00CF6D01">
        <w:rPr>
          <w:rFonts w:cs="TimesNewRoman"/>
          <w:szCs w:val="22"/>
        </w:rPr>
        <w:t xml:space="preserve"> the main feeding pastures for dugong and green sea turtle</w:t>
      </w:r>
      <w:r>
        <w:rPr>
          <w:rFonts w:cs="TimesNewRoman"/>
          <w:szCs w:val="22"/>
        </w:rPr>
        <w:t xml:space="preserve"> </w:t>
      </w:r>
      <w:r w:rsidRPr="00CF6D01">
        <w:rPr>
          <w:rFonts w:cs="TimesNewRoman"/>
          <w:szCs w:val="22"/>
        </w:rPr>
        <w:t>(</w:t>
      </w:r>
      <w:hyperlink w:anchor="_ENREF_237" w:tooltip="Watson, 1993 #292" w:history="1">
        <w:r w:rsidR="00E6043D">
          <w:rPr>
            <w:rFonts w:cs="TimesNewRoman"/>
            <w:szCs w:val="22"/>
          </w:rPr>
          <w:fldChar w:fldCharType="begin"/>
        </w:r>
        <w:r w:rsidR="00E6043D">
          <w:rPr>
            <w:rFonts w:cs="TimesNewRoman"/>
            <w:szCs w:val="22"/>
          </w:rPr>
          <w:instrText xml:space="preserve"> ADDIN EN.CITE &lt;EndNote&gt;&lt;Cite&gt;&lt;Author&gt;Watson&lt;/Author&gt;&lt;Year&gt;1993&lt;/Year&gt;&lt;RecNum&gt;292&lt;/RecNum&gt;&lt;DisplayText&gt;Watson&lt;style face="italic"&gt; et al.&lt;/style&gt; 1993&lt;/DisplayText&gt;&lt;record&gt;&lt;rec-number&gt;292&lt;/rec-number&gt;&lt;foreign-keys&gt;&lt;key app="EN" db-id="0eve55x9y5vfd6e9dacxtew4eatve2dzds9a"&gt;292&lt;/key&gt;&lt;/foreign-keys&gt;&lt;ref-type name="Journal Article"&gt;17&lt;/ref-type&gt;&lt;contributors&gt;&lt;authors&gt;&lt;author&gt;Watson, Reg A.&lt;/author&gt;&lt;author&gt;Coles, Robert G.&lt;/author&gt;&lt;author&gt;Lee Long, Warren J.&lt;/author&gt;&lt;/authors&gt;&lt;/contributors&gt;&lt;titles&gt;&lt;title&gt;Simulation estimates of annual yield and landed value for commercial penaeid prawns from a tropical seagrass habitat, northern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211-220&lt;/pages&gt;&lt;volume&gt;44&lt;/volume&gt;&lt;number&gt;1&lt;/number&gt;&lt;dates&gt;&lt;year&gt;1993&lt;/year&gt;&lt;/dates&gt;&lt;label&gt;253&lt;/label&gt;&lt;urls&gt;&lt;/urls&gt;&lt;custom1&gt;Annex&lt;/custom1&gt;&lt;/record&gt;&lt;/Cite&gt;&lt;/EndNote&gt;</w:instrText>
        </w:r>
        <w:r w:rsidR="00E6043D">
          <w:rPr>
            <w:rFonts w:cs="TimesNewRoman"/>
            <w:szCs w:val="22"/>
          </w:rPr>
          <w:fldChar w:fldCharType="separate"/>
        </w:r>
        <w:r w:rsidR="00E6043D">
          <w:rPr>
            <w:rFonts w:cs="TimesNewRoman"/>
            <w:noProof/>
            <w:szCs w:val="22"/>
          </w:rPr>
          <w:t>Watson</w:t>
        </w:r>
        <w:r w:rsidR="00E6043D" w:rsidRPr="00644A84">
          <w:rPr>
            <w:rFonts w:cs="TimesNewRoman"/>
            <w:i/>
            <w:noProof/>
            <w:szCs w:val="22"/>
          </w:rPr>
          <w:t xml:space="preserve"> et al.</w:t>
        </w:r>
        <w:r w:rsidR="00E6043D">
          <w:rPr>
            <w:rFonts w:cs="TimesNewRoman"/>
            <w:noProof/>
            <w:szCs w:val="22"/>
          </w:rPr>
          <w:t xml:space="preserve"> 1993</w:t>
        </w:r>
        <w:r w:rsidR="00E6043D">
          <w:rPr>
            <w:rFonts w:cs="TimesNewRoman"/>
            <w:szCs w:val="22"/>
          </w:rPr>
          <w:fldChar w:fldCharType="end"/>
        </w:r>
      </w:hyperlink>
      <w:r w:rsidRPr="00CF6D01">
        <w:rPr>
          <w:rFonts w:cs="TimesNewRoman"/>
          <w:szCs w:val="22"/>
        </w:rPr>
        <w:t xml:space="preserve">; </w:t>
      </w:r>
      <w:hyperlink w:anchor="_ENREF_217" w:tooltip="Sheppard, 2009 #9704" w:history="1">
        <w:r w:rsidR="00E6043D">
          <w:rPr>
            <w:rFonts w:cs="TimesNewRoman"/>
            <w:szCs w:val="22"/>
          </w:rPr>
          <w:fldChar w:fldCharType="begin"/>
        </w:r>
        <w:r w:rsidR="00E6043D">
          <w:rPr>
            <w:rFonts w:cs="TimesNewRoman"/>
            <w:szCs w:val="22"/>
          </w:rPr>
          <w:instrText xml:space="preserve"> ADDIN EN.CITE &lt;EndNote&gt;&lt;Cite&gt;&lt;Author&gt;Sheppard&lt;/Author&gt;&lt;Year&gt;2009&lt;/Year&gt;&lt;RecNum&gt;9704&lt;/RecNum&gt;&lt;DisplayText&gt;Sheppard&lt;style face="italic"&gt; et al.&lt;/style&gt; 2009&lt;/DisplayText&gt;&lt;record&gt;&lt;rec-number&gt;9704&lt;/rec-number&gt;&lt;foreign-keys&gt;&lt;key app="EN" db-id="0eve55x9y5vfd6e9dacxtew4eatve2dzds9a"&gt;9704&lt;/key&gt;&lt;/foreign-keys&gt;&lt;ref-type name="Journal Article"&gt;17&lt;/ref-type&gt;&lt;contributors&gt;&lt;authors&gt;&lt;author&gt;Sheppard, James K.&lt;/author&gt;&lt;author&gt;Jones, Rhondda E.&lt;/author&gt;&lt;author&gt;Marsh, Helene&lt;/author&gt;&lt;author&gt;Lawler, Ivan R.&lt;/author&gt;&lt;/authors&gt;&lt;/contributors&gt;&lt;titles&gt;&lt;title&gt;Effects of Tidal and Diel Cycles on Dugong Habitat Use&lt;/title&gt;&lt;secondary-title&gt;The Journal of Wildlife Management&lt;/secondary-title&gt;&lt;/titles&gt;&lt;periodical&gt;&lt;full-title&gt;The Journal of Wildlife Management&lt;/full-title&gt;&lt;/periodical&gt;&lt;pages&gt;45-59&lt;/pages&gt;&lt;volume&gt;73&lt;/volume&gt;&lt;number&gt;1&lt;/number&gt;&lt;keywords&gt;&lt;keyword&gt;dugong&lt;/keyword&gt;&lt;keyword&gt;grazer&lt;/keyword&gt;&lt;keyword&gt;habitat use&lt;/keyword&gt;&lt;keyword&gt;marine mammal&lt;/keyword&gt;&lt;keyword&gt;spatial behavior&lt;/keyword&gt;&lt;keyword&gt;telemetry&lt;/keyword&gt;&lt;/keywords&gt;&lt;dates&gt;&lt;year&gt;2009&lt;/year&gt;&lt;/dates&gt;&lt;publisher&gt;Blackwell Publishing Ltd&lt;/publisher&gt;&lt;isbn&gt;1937-2817&lt;/isbn&gt;&lt;urls&gt;&lt;related-urls&gt;&lt;url&gt;http://dx.doi.org/10.2193/2007-468&lt;/url&gt;&lt;/related-urls&gt;&lt;/urls&gt;&lt;electronic-resource-num&gt;10.2193/2007-468&lt;/electronic-resource-num&gt;&lt;/record&gt;&lt;/Cite&gt;&lt;/EndNote&gt;</w:instrText>
        </w:r>
        <w:r w:rsidR="00E6043D">
          <w:rPr>
            <w:rFonts w:cs="TimesNewRoman"/>
            <w:szCs w:val="22"/>
          </w:rPr>
          <w:fldChar w:fldCharType="separate"/>
        </w:r>
        <w:r w:rsidR="00E6043D">
          <w:rPr>
            <w:rFonts w:cs="TimesNewRoman"/>
            <w:noProof/>
            <w:szCs w:val="22"/>
          </w:rPr>
          <w:t>Sheppard</w:t>
        </w:r>
        <w:r w:rsidR="00E6043D" w:rsidRPr="00644A84">
          <w:rPr>
            <w:rFonts w:cs="TimesNewRoman"/>
            <w:i/>
            <w:noProof/>
            <w:szCs w:val="22"/>
          </w:rPr>
          <w:t xml:space="preserve"> et al.</w:t>
        </w:r>
        <w:r w:rsidR="00E6043D">
          <w:rPr>
            <w:rFonts w:cs="TimesNewRoman"/>
            <w:noProof/>
            <w:szCs w:val="22"/>
          </w:rPr>
          <w:t xml:space="preserve"> 2009</w:t>
        </w:r>
        <w:r w:rsidR="00E6043D">
          <w:rPr>
            <w:rFonts w:cs="TimesNewRoman"/>
            <w:szCs w:val="22"/>
          </w:rPr>
          <w:fldChar w:fldCharType="end"/>
        </w:r>
      </w:hyperlink>
      <w:r w:rsidRPr="00CF6D01">
        <w:rPr>
          <w:rFonts w:cs="TimesNewRoman"/>
          <w:szCs w:val="22"/>
        </w:rPr>
        <w:t xml:space="preserve"> </w:t>
      </w:r>
      <w:r>
        <w:rPr>
          <w:rFonts w:cs="TimesNewRoman"/>
          <w:szCs w:val="22"/>
        </w:rPr>
        <w:fldChar w:fldCharType="begin">
          <w:fldData xml:space="preserve">PEVuZE5vdGU+PENpdGU+PEF1dGhvcj5MYXZlcnk8L0F1dGhvcj48WWVhcj4yMDEzPC9ZZWFyPjxS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</w:fldData>
        </w:fldChar>
      </w:r>
      <w:r w:rsidR="00527C29">
        <w:rPr>
          <w:rFonts w:cs="TimesNewRoman"/>
          <w:szCs w:val="22"/>
        </w:rPr>
        <w:instrText xml:space="preserve"> ADDIN EN.CITE </w:instrText>
      </w:r>
      <w:r w:rsidR="00527C29">
        <w:rPr>
          <w:rFonts w:cs="TimesNewRoman"/>
          <w:szCs w:val="22"/>
        </w:rPr>
        <w:fldChar w:fldCharType="begin">
          <w:fldData xml:space="preserve">PEVuZE5vdGU+PENpdGU+PEF1dGhvcj5MYXZlcnk8L0F1dGhvcj48WWVhcj4yMDEzPC9ZZWFyPjxS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</w:fldData>
        </w:fldChar>
      </w:r>
      <w:r w:rsidR="00527C29">
        <w:rPr>
          <w:rFonts w:cs="TimesNewRoman"/>
          <w:szCs w:val="22"/>
        </w:rPr>
        <w:instrText xml:space="preserve"> ADDIN EN.CITE.DATA </w:instrText>
      </w:r>
      <w:r w:rsidR="00527C29">
        <w:rPr>
          <w:rFonts w:cs="TimesNewRoman"/>
          <w:szCs w:val="22"/>
        </w:rPr>
      </w:r>
      <w:r w:rsidR="00527C29">
        <w:rPr>
          <w:rFonts w:cs="TimesNewRoman"/>
          <w:szCs w:val="22"/>
        </w:rPr>
        <w:fldChar w:fldCharType="end"/>
      </w:r>
      <w:r>
        <w:rPr>
          <w:rFonts w:cs="TimesNewRoman"/>
          <w:szCs w:val="22"/>
        </w:rPr>
      </w:r>
      <w:r>
        <w:rPr>
          <w:rFonts w:cs="TimesNewRoman"/>
          <w:szCs w:val="22"/>
        </w:rPr>
        <w:fldChar w:fldCharType="separate"/>
      </w:r>
      <w:hyperlink w:anchor="_ENREF_137" w:tooltip="Lanyon, 1989 #1247" w:history="1">
        <w:r w:rsidR="00E6043D">
          <w:rPr>
            <w:rFonts w:cs="TimesNewRoman"/>
            <w:noProof/>
            <w:szCs w:val="22"/>
          </w:rPr>
          <w:t>Lanyon</w:t>
        </w:r>
        <w:r w:rsidR="00E6043D" w:rsidRPr="00527C29">
          <w:rPr>
            <w:rFonts w:cs="TimesNewRoman"/>
            <w:i/>
            <w:noProof/>
            <w:szCs w:val="22"/>
          </w:rPr>
          <w:t xml:space="preserve"> et al.</w:t>
        </w:r>
        <w:r w:rsidR="00E6043D">
          <w:rPr>
            <w:rFonts w:cs="TimesNewRoman"/>
            <w:noProof/>
            <w:szCs w:val="22"/>
          </w:rPr>
          <w:t xml:space="preserve"> 1989</w:t>
        </w:r>
      </w:hyperlink>
      <w:r w:rsidR="00527C29">
        <w:rPr>
          <w:rFonts w:cs="TimesNewRoman"/>
          <w:noProof/>
          <w:szCs w:val="22"/>
        </w:rPr>
        <w:t xml:space="preserve">; </w:t>
      </w:r>
      <w:hyperlink w:anchor="_ENREF_180" w:tooltip="McKenzie, 2010 #9646" w:history="1">
        <w:r w:rsidR="00E6043D">
          <w:rPr>
            <w:rFonts w:cs="TimesNewRoman"/>
            <w:noProof/>
            <w:szCs w:val="22"/>
          </w:rPr>
          <w:t>McKenzie</w:t>
        </w:r>
        <w:r w:rsidR="00E6043D" w:rsidRPr="00527C29">
          <w:rPr>
            <w:rFonts w:cs="TimesNewRoman"/>
            <w:i/>
            <w:noProof/>
            <w:szCs w:val="22"/>
          </w:rPr>
          <w:t>, et al.</w:t>
        </w:r>
        <w:r w:rsidR="00E6043D">
          <w:rPr>
            <w:rFonts w:cs="TimesNewRoman"/>
            <w:noProof/>
            <w:szCs w:val="22"/>
          </w:rPr>
          <w:t xml:space="preserve"> 2010c</w:t>
        </w:r>
      </w:hyperlink>
      <w:r w:rsidR="00527C29">
        <w:rPr>
          <w:rFonts w:cs="TimesNewRoman"/>
          <w:noProof/>
          <w:szCs w:val="22"/>
        </w:rPr>
        <w:t xml:space="preserve">; </w:t>
      </w:r>
      <w:hyperlink w:anchor="_ENREF_139" w:tooltip="Lavery, 2013 #9707" w:history="1">
        <w:r w:rsidR="00E6043D">
          <w:rPr>
            <w:rFonts w:cs="TimesNewRoman"/>
            <w:noProof/>
            <w:szCs w:val="22"/>
          </w:rPr>
          <w:t>Lavery</w:t>
        </w:r>
        <w:r w:rsidR="00E6043D" w:rsidRPr="00527C29">
          <w:rPr>
            <w:rFonts w:cs="TimesNewRoman"/>
            <w:i/>
            <w:noProof/>
            <w:szCs w:val="22"/>
          </w:rPr>
          <w:t xml:space="preserve"> et al.</w:t>
        </w:r>
        <w:r w:rsidR="00E6043D">
          <w:rPr>
            <w:rFonts w:cs="TimesNewRoman"/>
            <w:noProof/>
            <w:szCs w:val="22"/>
          </w:rPr>
          <w:t xml:space="preserve"> 2013</w:t>
        </w:r>
      </w:hyperlink>
      <w:r>
        <w:rPr>
          <w:rFonts w:cs="TimesNewRoman"/>
          <w:szCs w:val="22"/>
        </w:rPr>
        <w:fldChar w:fldCharType="end"/>
      </w:r>
      <w:r w:rsidRPr="00CF6D01">
        <w:rPr>
          <w:rFonts w:cs="TimesNewRoman"/>
          <w:szCs w:val="22"/>
        </w:rPr>
        <w:t>). It is these meadows that occur at the frontline of runoff and inshore water quality deterioration</w:t>
      </w:r>
      <w:r w:rsidRPr="00CF6D01">
        <w:rPr>
          <w:rFonts w:cs="MetaOT-Normal"/>
          <w:szCs w:val="22"/>
          <w:lang w:eastAsia="en-AU"/>
        </w:rPr>
        <w:t xml:space="preserve"> (</w:t>
      </w:r>
      <w:hyperlink w:anchor="_ENREF_180" w:tooltip="McKenzie, 2010 #9646" w:history="1">
        <w:r w:rsidR="00E6043D">
          <w:rPr>
            <w:rFonts w:cs="TimesNewRoman"/>
            <w:szCs w:val="22"/>
          </w:rPr>
          <w:fldChar w:fldCharType="begin"/>
        </w:r>
        <w:r w:rsidR="00E6043D">
          <w:rPr>
            <w:rFonts w:cs="TimesNewRoman"/>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Pr>
            <w:rFonts w:cs="TimesNewRoman"/>
            <w:szCs w:val="22"/>
          </w:rPr>
          <w:fldChar w:fldCharType="separate"/>
        </w:r>
        <w:r w:rsidR="00E6043D">
          <w:rPr>
            <w:rFonts w:cs="TimesNewRoman"/>
            <w:noProof/>
            <w:szCs w:val="22"/>
          </w:rPr>
          <w:t>McKenzie</w:t>
        </w:r>
        <w:r w:rsidR="00E6043D" w:rsidRPr="00644A84">
          <w:rPr>
            <w:rFonts w:cs="TimesNewRoman"/>
            <w:i/>
            <w:noProof/>
            <w:szCs w:val="22"/>
          </w:rPr>
          <w:t>, et al.</w:t>
        </w:r>
        <w:r w:rsidR="00E6043D">
          <w:rPr>
            <w:rFonts w:cs="TimesNewRoman"/>
            <w:noProof/>
            <w:szCs w:val="22"/>
          </w:rPr>
          <w:t xml:space="preserve"> 2010c</w:t>
        </w:r>
        <w:r w:rsidR="00E6043D">
          <w:rPr>
            <w:rFonts w:cs="TimesNewRoman"/>
            <w:szCs w:val="22"/>
          </w:rPr>
          <w:fldChar w:fldCharType="end"/>
        </w:r>
      </w:hyperlink>
      <w:r w:rsidRPr="00CF6D01">
        <w:rPr>
          <w:rFonts w:cs="MetaOT-Normal"/>
          <w:szCs w:val="22"/>
          <w:lang w:eastAsia="en-AU"/>
        </w:rPr>
        <w:t xml:space="preserve">). </w:t>
      </w:r>
      <w:r w:rsidRPr="00CF6D01">
        <w:rPr>
          <w:rFonts w:cs="TimesNewRoman"/>
          <w:szCs w:val="22"/>
        </w:rPr>
        <w:t xml:space="preserve">The </w:t>
      </w:r>
      <w:r>
        <w:rPr>
          <w:rFonts w:cs="TimesNewRoman"/>
          <w:szCs w:val="22"/>
        </w:rPr>
        <w:t>remaining</w:t>
      </w:r>
      <w:r w:rsidRPr="00CF6D01">
        <w:rPr>
          <w:rFonts w:cs="TimesNewRoman"/>
          <w:szCs w:val="22"/>
        </w:rPr>
        <w:t xml:space="preserve"> extent </w:t>
      </w:r>
      <w:r>
        <w:rPr>
          <w:rFonts w:cs="TimesNewRoman"/>
          <w:szCs w:val="22"/>
        </w:rPr>
        <w:t xml:space="preserve">(91% or </w:t>
      </w:r>
      <w:r w:rsidRPr="00CF6D01">
        <w:rPr>
          <w:rFonts w:cs="MetaOT-Normal"/>
          <w:szCs w:val="22"/>
          <w:lang w:eastAsia="en-AU"/>
        </w:rPr>
        <w:t>31,778 km</w:t>
      </w:r>
      <w:r w:rsidRPr="00CF6D01">
        <w:rPr>
          <w:rFonts w:cs="MetaOT-Normal"/>
          <w:szCs w:val="22"/>
          <w:vertAlign w:val="superscript"/>
          <w:lang w:eastAsia="en-AU"/>
        </w:rPr>
        <w:t>2</w:t>
      </w:r>
      <w:r>
        <w:rPr>
          <w:rFonts w:cs="MetaOT-Normal"/>
          <w:szCs w:val="22"/>
          <w:lang w:eastAsia="en-AU"/>
        </w:rPr>
        <w:t xml:space="preserve">) </w:t>
      </w:r>
      <w:r w:rsidRPr="00CF6D01">
        <w:rPr>
          <w:rFonts w:cs="TimesNewRoman"/>
          <w:szCs w:val="22"/>
        </w:rPr>
        <w:t>of seagrass in the GBRWHA is located in the deeper waters (&gt;15m) of the lagoon (</w:t>
      </w:r>
      <w:hyperlink w:anchor="_ENREF_49" w:tooltip="Coles, 2009 #9367" w:history="1">
        <w:r w:rsidR="00E6043D">
          <w:rPr>
            <w:rFonts w:cs="TimesNewRoman"/>
            <w:szCs w:val="22"/>
          </w:rPr>
          <w:fldChar w:fldCharType="begin"/>
        </w:r>
        <w:r w:rsidR="00E6043D">
          <w:rPr>
            <w:rFonts w:cs="TimesNewRoman"/>
            <w:szCs w:val="22"/>
          </w:rPr>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E6043D">
          <w:rPr>
            <w:rFonts w:cs="TimesNewRoman"/>
            <w:szCs w:val="22"/>
          </w:rPr>
          <w:fldChar w:fldCharType="separate"/>
        </w:r>
        <w:r w:rsidR="00E6043D">
          <w:rPr>
            <w:rFonts w:cs="TimesNewRoman"/>
            <w:noProof/>
            <w:szCs w:val="22"/>
          </w:rPr>
          <w:t>Coles</w:t>
        </w:r>
        <w:r w:rsidR="00E6043D" w:rsidRPr="00644A84">
          <w:rPr>
            <w:rFonts w:cs="TimesNewRoman"/>
            <w:i/>
            <w:noProof/>
            <w:szCs w:val="22"/>
          </w:rPr>
          <w:t xml:space="preserve"> et al.</w:t>
        </w:r>
        <w:r w:rsidR="00E6043D">
          <w:rPr>
            <w:rFonts w:cs="TimesNewRoman"/>
            <w:noProof/>
            <w:szCs w:val="22"/>
          </w:rPr>
          <w:t xml:space="preserve"> 2009</w:t>
        </w:r>
        <w:r w:rsidR="00E6043D">
          <w:rPr>
            <w:rFonts w:cs="TimesNewRoman"/>
            <w:szCs w:val="22"/>
          </w:rPr>
          <w:fldChar w:fldCharType="end"/>
        </w:r>
      </w:hyperlink>
      <w:r w:rsidRPr="00CF6D01">
        <w:rPr>
          <w:rFonts w:cs="TimesNewRoman"/>
          <w:szCs w:val="22"/>
        </w:rPr>
        <w:t xml:space="preserve">), however, these meadows are relatively sparse, structurally smaller, </w:t>
      </w:r>
      <w:r>
        <w:rPr>
          <w:rFonts w:cs="TimesNewRoman"/>
          <w:szCs w:val="22"/>
        </w:rPr>
        <w:t>more</w:t>
      </w:r>
      <w:r w:rsidRPr="00CF6D01">
        <w:rPr>
          <w:rFonts w:cs="TimesNewRoman"/>
          <w:szCs w:val="22"/>
        </w:rPr>
        <w:t xml:space="preserve"> dynamic, composed of </w:t>
      </w:r>
      <w:r w:rsidRPr="00311782">
        <w:rPr>
          <w:rFonts w:cs="TimesNewRoman"/>
          <w:szCs w:val="22"/>
        </w:rPr>
        <w:t>colonising</w:t>
      </w:r>
      <w:r w:rsidRPr="00CF6D01">
        <w:rPr>
          <w:rFonts w:cs="TimesNewRoman"/>
          <w:szCs w:val="22"/>
        </w:rPr>
        <w:t xml:space="preserve"> species, and not as productive as inshore seagrass meadows for fisheries resources (</w:t>
      </w:r>
      <w:hyperlink w:anchor="_ENREF_180" w:tooltip="McKenzie, 2010 #9646" w:history="1">
        <w:r w:rsidR="00E6043D">
          <w:rPr>
            <w:rFonts w:cs="TimesNewRoman"/>
            <w:szCs w:val="22"/>
          </w:rPr>
          <w:fldChar w:fldCharType="begin"/>
        </w:r>
        <w:r w:rsidR="00E6043D">
          <w:rPr>
            <w:rFonts w:cs="TimesNewRoman"/>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Pr>
            <w:rFonts w:cs="TimesNewRoman"/>
            <w:szCs w:val="22"/>
          </w:rPr>
          <w:fldChar w:fldCharType="separate"/>
        </w:r>
        <w:r w:rsidR="00E6043D">
          <w:rPr>
            <w:rFonts w:cs="TimesNewRoman"/>
            <w:noProof/>
            <w:szCs w:val="22"/>
          </w:rPr>
          <w:t>McKenzie</w:t>
        </w:r>
        <w:r w:rsidR="00E6043D" w:rsidRPr="00644A84">
          <w:rPr>
            <w:rFonts w:cs="TimesNewRoman"/>
            <w:i/>
            <w:noProof/>
            <w:szCs w:val="22"/>
          </w:rPr>
          <w:t>, et al.</w:t>
        </w:r>
        <w:r w:rsidR="00E6043D">
          <w:rPr>
            <w:rFonts w:cs="TimesNewRoman"/>
            <w:noProof/>
            <w:szCs w:val="22"/>
          </w:rPr>
          <w:t xml:space="preserve"> 2010c</w:t>
        </w:r>
        <w:r w:rsidR="00E6043D">
          <w:rPr>
            <w:rFonts w:cs="TimesNewRoman"/>
            <w:szCs w:val="22"/>
          </w:rPr>
          <w:fldChar w:fldCharType="end"/>
        </w:r>
      </w:hyperlink>
      <w:r w:rsidRPr="00CF6D01">
        <w:rPr>
          <w:rFonts w:cs="TimesNewRoman"/>
          <w:szCs w:val="22"/>
        </w:rPr>
        <w:t xml:space="preserve">; </w:t>
      </w:r>
      <w:hyperlink w:anchor="_ENREF_92" w:tooltip="Derbyshire, 1995 #9703" w:history="1">
        <w:r w:rsidR="00E6043D">
          <w:rPr>
            <w:rFonts w:cs="TimesNewRoman"/>
            <w:szCs w:val="22"/>
          </w:rPr>
          <w:fldChar w:fldCharType="begin"/>
        </w:r>
        <w:r w:rsidR="00E6043D">
          <w:rPr>
            <w:rFonts w:cs="TimesNewRoman"/>
            <w:szCs w:val="22"/>
          </w:rPr>
          <w:instrText xml:space="preserve"> ADDIN EN.CITE &lt;EndNote&gt;&lt;Cite&gt;&lt;Author&gt;Derbyshire&lt;/Author&gt;&lt;Year&gt;1995&lt;/Year&gt;&lt;RecNum&gt;9703&lt;/RecNum&gt;&lt;DisplayText&gt;Derbyshire&lt;style face="italic"&gt; et al.&lt;/style&gt; 1995&lt;/DisplayText&gt;&lt;record&gt;&lt;rec-number&gt;9703&lt;/rec-number&gt;&lt;foreign-keys&gt;&lt;key app="EN" db-id="0eve55x9y5vfd6e9dacxtew4eatve2dzds9a"&gt;9703&lt;/key&gt;&lt;/foreign-keys&gt;&lt;ref-type name="Book"&gt;6&lt;/ref-type&gt;&lt;contributors&gt;&lt;authors&gt;&lt;author&gt;Derbyshire, K J&lt;/author&gt;&lt;author&gt;Willoughby, S R&lt;/author&gt;&lt;author&gt;McColl, A L&lt;/author&gt;&lt;author&gt;Hocroft, D M&lt;/author&gt;&lt;/authors&gt;&lt;/contributors&gt;&lt;titles&gt;&lt;title&gt;Small prawn habitat and recruitment study : final report to the Fisheries Research and Development Corporation and the Queensland Fisheries Management Authority&lt;/title&gt;&lt;/titles&gt;&lt;pages&gt;43&lt;/pages&gt;&lt;dates&gt;&lt;year&gt;1995&lt;/year&gt;&lt;/dates&gt;&lt;pub-location&gt;Cairns&lt;/pub-location&gt;&lt;publisher&gt;Department of Primary Industries&lt;/publisher&gt;&lt;urls&gt;&lt;/urls&gt;&lt;/record&gt;&lt;/Cite&gt;&lt;/EndNote&gt;</w:instrText>
        </w:r>
        <w:r w:rsidR="00E6043D">
          <w:rPr>
            <w:rFonts w:cs="TimesNewRoman"/>
            <w:szCs w:val="22"/>
          </w:rPr>
          <w:fldChar w:fldCharType="separate"/>
        </w:r>
        <w:r w:rsidR="00E6043D">
          <w:rPr>
            <w:rFonts w:cs="TimesNewRoman"/>
            <w:noProof/>
            <w:szCs w:val="22"/>
          </w:rPr>
          <w:t>Derbyshire</w:t>
        </w:r>
        <w:r w:rsidR="00E6043D" w:rsidRPr="00644A84">
          <w:rPr>
            <w:rFonts w:cs="TimesNewRoman"/>
            <w:i/>
            <w:noProof/>
            <w:szCs w:val="22"/>
          </w:rPr>
          <w:t xml:space="preserve"> </w:t>
        </w:r>
        <w:r w:rsidR="00E6043D" w:rsidRPr="00644A84">
          <w:rPr>
            <w:rFonts w:cs="TimesNewRoman"/>
            <w:i/>
            <w:noProof/>
            <w:szCs w:val="22"/>
          </w:rPr>
          <w:lastRenderedPageBreak/>
          <w:t>et al.</w:t>
        </w:r>
        <w:r w:rsidR="00E6043D">
          <w:rPr>
            <w:rFonts w:cs="TimesNewRoman"/>
            <w:noProof/>
            <w:szCs w:val="22"/>
          </w:rPr>
          <w:t xml:space="preserve"> 1995</w:t>
        </w:r>
        <w:r w:rsidR="00E6043D">
          <w:rPr>
            <w:rFonts w:cs="TimesNewRoman"/>
            <w:szCs w:val="22"/>
          </w:rPr>
          <w:fldChar w:fldCharType="end"/>
        </w:r>
      </w:hyperlink>
      <w:r w:rsidRPr="00CF6D01">
        <w:rPr>
          <w:rFonts w:cs="TimesNewRoman"/>
          <w:szCs w:val="22"/>
        </w:rPr>
        <w:t xml:space="preserve">). </w:t>
      </w:r>
      <w:r>
        <w:rPr>
          <w:rFonts w:cs="TimesNewRoman"/>
          <w:szCs w:val="22"/>
        </w:rPr>
        <w:t>Overall, t</w:t>
      </w:r>
      <w:r w:rsidRPr="00CF6D01">
        <w:rPr>
          <w:rFonts w:cs="MetaOT-Normal"/>
          <w:szCs w:val="22"/>
          <w:lang w:eastAsia="en-AU"/>
        </w:rPr>
        <w:t xml:space="preserve">he </w:t>
      </w:r>
      <w:r>
        <w:rPr>
          <w:rFonts w:cs="MetaOT-Normal"/>
          <w:szCs w:val="22"/>
          <w:lang w:eastAsia="en-AU"/>
        </w:rPr>
        <w:t>total estimated area of seagrass (</w:t>
      </w:r>
      <w:r w:rsidRPr="00CF6D01">
        <w:rPr>
          <w:rFonts w:cs="MetaOT-Normal"/>
          <w:szCs w:val="22"/>
          <w:lang w:eastAsia="en-AU"/>
        </w:rPr>
        <w:t>3</w:t>
      </w:r>
      <w:r>
        <w:rPr>
          <w:rFonts w:cs="MetaOT-Normal"/>
          <w:szCs w:val="22"/>
          <w:lang w:eastAsia="en-AU"/>
        </w:rPr>
        <w:t>4</w:t>
      </w:r>
      <w:r w:rsidRPr="00CF6D01">
        <w:rPr>
          <w:rFonts w:cs="MetaOT-Normal"/>
          <w:szCs w:val="22"/>
          <w:lang w:eastAsia="en-AU"/>
        </w:rPr>
        <w:t>,</w:t>
      </w:r>
      <w:r>
        <w:rPr>
          <w:rFonts w:cs="MetaOT-Normal"/>
          <w:szCs w:val="22"/>
          <w:lang w:eastAsia="en-AU"/>
        </w:rPr>
        <w:t>841</w:t>
      </w:r>
      <w:r w:rsidRPr="00CF6D01">
        <w:rPr>
          <w:rFonts w:cs="MetaOT-Normal"/>
          <w:szCs w:val="22"/>
          <w:lang w:eastAsia="en-AU"/>
        </w:rPr>
        <w:t xml:space="preserve"> km</w:t>
      </w:r>
      <w:r w:rsidRPr="00CF6D01">
        <w:rPr>
          <w:rFonts w:cs="MetaOT-Normal"/>
          <w:szCs w:val="22"/>
          <w:vertAlign w:val="superscript"/>
          <w:lang w:eastAsia="en-AU"/>
        </w:rPr>
        <w:t>2</w:t>
      </w:r>
      <w:r>
        <w:rPr>
          <w:rFonts w:cs="MetaOT-Normal"/>
          <w:szCs w:val="22"/>
          <w:lang w:eastAsia="en-AU"/>
        </w:rPr>
        <w:t xml:space="preserve">) within the </w:t>
      </w:r>
      <w:r w:rsidRPr="00CF6D01">
        <w:rPr>
          <w:rFonts w:cs="MetaOT-Normal"/>
          <w:szCs w:val="22"/>
          <w:lang w:eastAsia="en-AU"/>
        </w:rPr>
        <w:t>GBRWHA represents more than 50% of the total recorded area of seagrass in Australia (</w:t>
      </w:r>
      <w:hyperlink w:anchor="_ENREF_117" w:tooltip="Green, 2003 #9435" w:history="1">
        <w:r w:rsidR="00E6043D">
          <w:rPr>
            <w:rFonts w:cs="MetaOT-Normal"/>
            <w:szCs w:val="22"/>
            <w:lang w:eastAsia="en-AU"/>
          </w:rPr>
          <w:fldChar w:fldCharType="begin"/>
        </w:r>
        <w:r w:rsidR="00E6043D">
          <w:rPr>
            <w:rFonts w:cs="MetaOT-Normal"/>
            <w:szCs w:val="22"/>
            <w:lang w:eastAsia="en-AU"/>
          </w:rPr>
          <w:instrText xml:space="preserve"> ADDIN EN.CITE &lt;EndNote&gt;&lt;Cite&gt;&lt;Author&gt;Green&lt;/Author&gt;&lt;Year&gt;2003&lt;/Year&gt;&lt;RecNum&gt;9435&lt;/RecNum&gt;&lt;DisplayText&gt;Green and Short 2003&lt;/DisplayText&gt;&lt;record&gt;&lt;rec-number&gt;9435&lt;/rec-number&gt;&lt;foreign-keys&gt;&lt;key app="EN" db-id="0eve55x9y5vfd6e9dacxtew4eatve2dzds9a"&gt;9435&lt;/key&gt;&lt;/foreign-keys&gt;&lt;ref-type name="Edited Book"&gt;28&lt;/ref-type&gt;&lt;contributors&gt;&lt;authors&gt;&lt;author&gt;Green, EP&lt;/author&gt;&lt;author&gt;Short, FT&lt;/author&gt;&lt;/authors&gt;&lt;/contributors&gt;&lt;titles&gt;&lt;title&gt;World Atlas of Seagrasses&lt;/title&gt;&lt;/titles&gt;&lt;pages&gt;298&lt;/pages&gt;&lt;dates&gt;&lt;year&gt;2003&lt;/year&gt;&lt;/dates&gt;&lt;pub-location&gt;Berkeley. USA&lt;/pub-location&gt;&lt;publisher&gt;University of California Press,&lt;/publisher&gt;&lt;urls&gt;&lt;/urls&gt;&lt;/record&gt;&lt;/Cite&gt;&lt;/EndNote&gt;</w:instrText>
        </w:r>
        <w:r w:rsidR="00E6043D">
          <w:rPr>
            <w:rFonts w:cs="MetaOT-Normal"/>
            <w:szCs w:val="22"/>
            <w:lang w:eastAsia="en-AU"/>
          </w:rPr>
          <w:fldChar w:fldCharType="separate"/>
        </w:r>
        <w:r w:rsidR="00E6043D">
          <w:rPr>
            <w:rFonts w:cs="MetaOT-Normal"/>
            <w:noProof/>
            <w:szCs w:val="22"/>
            <w:lang w:eastAsia="en-AU"/>
          </w:rPr>
          <w:t>Green and Short 2003</w:t>
        </w:r>
        <w:r w:rsidR="00E6043D">
          <w:rPr>
            <w:rFonts w:cs="MetaOT-Normal"/>
            <w:szCs w:val="22"/>
            <w:lang w:eastAsia="en-AU"/>
          </w:rPr>
          <w:fldChar w:fldCharType="end"/>
        </w:r>
      </w:hyperlink>
      <w:r w:rsidRPr="00CF6D01">
        <w:rPr>
          <w:rFonts w:cs="MetaOT-Normal"/>
          <w:szCs w:val="22"/>
          <w:lang w:eastAsia="en-AU"/>
        </w:rPr>
        <w:t>) and between 6% and 12% globally (</w:t>
      </w:r>
      <w:hyperlink w:anchor="_ENREF_95" w:tooltip="Duarte, 2005 #10036" w:history="1">
        <w:r w:rsidR="00E6043D">
          <w:rPr>
            <w:rFonts w:cs="MetaOT-Normal"/>
            <w:szCs w:val="22"/>
            <w:lang w:eastAsia="en-AU"/>
          </w:rPr>
          <w:fldChar w:fldCharType="begin"/>
        </w:r>
        <w:r w:rsidR="00E6043D">
          <w:rPr>
            <w:rFonts w:cs="MetaOT-Normal"/>
            <w:szCs w:val="22"/>
            <w:lang w:eastAsia="en-AU"/>
          </w:rPr>
          <w:instrText xml:space="preserve"> ADDIN EN.CITE &lt;EndNote&gt;&lt;Cite&gt;&lt;Author&gt;Duarte&lt;/Author&gt;&lt;Year&gt;2005&lt;/Year&gt;&lt;RecNum&gt;10036&lt;/RecNum&gt;&lt;DisplayText&gt;Duarte&lt;style face="italic"&gt; et al.&lt;/style&gt; 2005&lt;/DisplayText&gt;&lt;record&gt;&lt;rec-number&gt;10036&lt;/rec-number&gt;&lt;foreign-keys&gt;&lt;key app="EN" db-id="0eve55x9y5vfd6e9dacxtew4eatve2dzds9a"&gt;10036&lt;/key&gt;&lt;/foreign-keys&gt;&lt;ref-type name="Book Section"&gt;5&lt;/ref-type&gt;&lt;contributors&gt;&lt;authors&gt;&lt;author&gt;Duarte, CM&lt;/author&gt;&lt;author&gt;Borum, J&lt;/author&gt;&lt;author&gt;Short, FT&lt;/author&gt;&lt;author&gt;Walker, DI&lt;/author&gt;&lt;/authors&gt;&lt;secondary-authors&gt;&lt;author&gt;Polunin, NVC&lt;/author&gt;&lt;/secondary-authors&gt;&lt;/contributors&gt;&lt;titles&gt;&lt;title&gt;Seagrass Ecosystems: Their Global Status and Prospects&lt;/title&gt;&lt;secondary-title&gt;Aquatic Ecosystems: Trends and Global Prospects&lt;/secondary-title&gt;&lt;/titles&gt;&lt;dates&gt;&lt;year&gt;2005&lt;/year&gt;&lt;/dates&gt;&lt;publisher&gt;Cambridge Univ. Press&lt;/publisher&gt;&lt;urls&gt;&lt;/urls&gt;&lt;/record&gt;&lt;/Cite&gt;&lt;/EndNote&gt;</w:instrText>
        </w:r>
        <w:r w:rsidR="00E6043D">
          <w:rPr>
            <w:rFonts w:cs="MetaOT-Normal"/>
            <w:szCs w:val="22"/>
            <w:lang w:eastAsia="en-AU"/>
          </w:rPr>
          <w:fldChar w:fldCharType="separate"/>
        </w:r>
        <w:r w:rsidR="00E6043D">
          <w:rPr>
            <w:rFonts w:cs="MetaOT-Normal"/>
            <w:noProof/>
            <w:szCs w:val="22"/>
            <w:lang w:eastAsia="en-AU"/>
          </w:rPr>
          <w:t>Duarte</w:t>
        </w:r>
        <w:r w:rsidR="00E6043D" w:rsidRPr="00644A84">
          <w:rPr>
            <w:rFonts w:cs="MetaOT-Normal"/>
            <w:i/>
            <w:noProof/>
            <w:szCs w:val="22"/>
            <w:lang w:eastAsia="en-AU"/>
          </w:rPr>
          <w:t xml:space="preserve"> et al.</w:t>
        </w:r>
        <w:r w:rsidR="00E6043D">
          <w:rPr>
            <w:rFonts w:cs="MetaOT-Normal"/>
            <w:noProof/>
            <w:szCs w:val="22"/>
            <w:lang w:eastAsia="en-AU"/>
          </w:rPr>
          <w:t xml:space="preserve"> 2005</w:t>
        </w:r>
        <w:r w:rsidR="00E6043D">
          <w:rPr>
            <w:rFonts w:cs="MetaOT-Normal"/>
            <w:szCs w:val="22"/>
            <w:lang w:eastAsia="en-AU"/>
          </w:rPr>
          <w:fldChar w:fldCharType="end"/>
        </w:r>
      </w:hyperlink>
      <w:r w:rsidRPr="00CF6D01">
        <w:rPr>
          <w:rFonts w:cs="MetaOT-Normal"/>
          <w:szCs w:val="22"/>
          <w:lang w:eastAsia="en-AU"/>
        </w:rPr>
        <w:t>)</w:t>
      </w:r>
      <w:r>
        <w:rPr>
          <w:rFonts w:cs="MetaOT-Normal"/>
          <w:szCs w:val="22"/>
          <w:lang w:eastAsia="en-AU"/>
        </w:rPr>
        <w:t>,</w:t>
      </w:r>
      <w:r w:rsidRPr="00CF6D01">
        <w:rPr>
          <w:rFonts w:cs="MetaOT-Normal"/>
          <w:szCs w:val="22"/>
          <w:lang w:eastAsia="en-AU"/>
        </w:rPr>
        <w:t xml:space="preserve"> making the Great Barrier Reef’s seagrass resources globally significant. </w:t>
      </w:r>
    </w:p>
    <w:p w:rsidR="003D1F7F" w:rsidRDefault="003D1F7F" w:rsidP="003D1F7F">
      <w:pPr>
        <w:tabs>
          <w:tab w:val="left" w:pos="360"/>
        </w:tabs>
        <w:spacing w:before="240"/>
        <w:rPr>
          <w:szCs w:val="22"/>
        </w:rPr>
      </w:pPr>
      <w:r w:rsidRPr="00CF6D01">
        <w:rPr>
          <w:rFonts w:cs="Arial"/>
          <w:szCs w:val="22"/>
        </w:rPr>
        <w:t xml:space="preserve">Seagrasses in the GBR can be separated into four major habitat types: estuary/inlet, coastal, reef and </w:t>
      </w:r>
      <w:proofErr w:type="spellStart"/>
      <w:r w:rsidRPr="00CF6D01">
        <w:rPr>
          <w:rFonts w:cs="Arial"/>
          <w:szCs w:val="22"/>
        </w:rPr>
        <w:t>deepwater</w:t>
      </w:r>
      <w:proofErr w:type="spellEnd"/>
      <w:r w:rsidRPr="00CF6D01">
        <w:rPr>
          <w:rFonts w:cs="Arial"/>
          <w:szCs w:val="22"/>
        </w:rPr>
        <w:t xml:space="preserve"> </w:t>
      </w:r>
      <w:r w:rsidR="00311782" w:rsidRPr="00CF6D01">
        <w:rPr>
          <w:szCs w:val="22"/>
        </w:rPr>
        <w:t>(</w:t>
      </w:r>
      <w:hyperlink w:anchor="_ENREF_35" w:tooltip="Carruthers, 2002 #8021" w:history="1">
        <w:r w:rsidR="00E6043D">
          <w:rPr>
            <w:szCs w:val="22"/>
          </w:rPr>
          <w:fldChar w:fldCharType="begin"/>
        </w:r>
        <w:r w:rsidR="00E6043D">
          <w:rPr>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E6043D">
          <w:rPr>
            <w:szCs w:val="22"/>
          </w:rPr>
          <w:fldChar w:fldCharType="separate"/>
        </w:r>
        <w:r w:rsidR="00E6043D">
          <w:rPr>
            <w:noProof/>
            <w:szCs w:val="22"/>
          </w:rPr>
          <w:t>Carruthers</w:t>
        </w:r>
        <w:r w:rsidR="00E6043D" w:rsidRPr="00644A84">
          <w:rPr>
            <w:i/>
            <w:noProof/>
            <w:szCs w:val="22"/>
          </w:rPr>
          <w:t>, et al.</w:t>
        </w:r>
        <w:r w:rsidR="00E6043D">
          <w:rPr>
            <w:noProof/>
            <w:szCs w:val="22"/>
          </w:rPr>
          <w:t xml:space="preserve"> 2002</w:t>
        </w:r>
        <w:r w:rsidR="00E6043D">
          <w:rPr>
            <w:szCs w:val="22"/>
          </w:rPr>
          <w:fldChar w:fldCharType="end"/>
        </w:r>
      </w:hyperlink>
      <w:r w:rsidR="00311782">
        <w:rPr>
          <w:szCs w:val="22"/>
        </w:rPr>
        <w:t>)</w:t>
      </w:r>
      <w:r w:rsidRPr="00CF6D01">
        <w:rPr>
          <w:rFonts w:cs="Arial"/>
          <w:szCs w:val="22"/>
        </w:rPr>
        <w:t xml:space="preserve"> (</w:t>
      </w:r>
      <w:r w:rsidRPr="00CF6D01">
        <w:rPr>
          <w:szCs w:val="22"/>
        </w:rPr>
        <w:fldChar w:fldCharType="begin"/>
      </w:r>
      <w:r w:rsidRPr="00CF6D01">
        <w:rPr>
          <w:szCs w:val="22"/>
        </w:rPr>
        <w:instrText xml:space="preserve"> REF _Ref179269924 \h  \* MERGEFORMAT </w:instrText>
      </w:r>
      <w:r w:rsidRPr="00CF6D01">
        <w:rPr>
          <w:szCs w:val="22"/>
        </w:rPr>
      </w:r>
      <w:r w:rsidRPr="00CF6D01">
        <w:rPr>
          <w:szCs w:val="22"/>
        </w:rPr>
        <w:fldChar w:fldCharType="separate"/>
      </w:r>
      <w:r w:rsidR="009C068F" w:rsidRPr="009C068F">
        <w:rPr>
          <w:szCs w:val="22"/>
        </w:rPr>
        <w:t xml:space="preserve">Figure </w:t>
      </w:r>
      <w:r w:rsidR="009C068F" w:rsidRPr="009C068F">
        <w:rPr>
          <w:noProof/>
          <w:szCs w:val="22"/>
        </w:rPr>
        <w:t>1</w:t>
      </w:r>
      <w:r w:rsidRPr="00CF6D01">
        <w:rPr>
          <w:szCs w:val="22"/>
        </w:rPr>
        <w:fldChar w:fldCharType="end"/>
      </w:r>
      <w:r w:rsidRPr="00CF6D01">
        <w:rPr>
          <w:rFonts w:cs="Arial"/>
          <w:szCs w:val="22"/>
        </w:rPr>
        <w:t>).</w:t>
      </w:r>
      <w:r w:rsidRPr="00CF6D01">
        <w:rPr>
          <w:rFonts w:cs="TimesNewRomanPSMT"/>
          <w:szCs w:val="22"/>
        </w:rPr>
        <w:t xml:space="preserve"> </w:t>
      </w:r>
      <w:r w:rsidRPr="00CF6D01">
        <w:rPr>
          <w:rFonts w:cs="Arial"/>
          <w:szCs w:val="22"/>
        </w:rPr>
        <w:t>All but the outer reef habitats are significantly influenced by seasonal and episodic pulses of sediment-laden, nutrient-rich river flows, resulting from high volume summer rainfall. Cyclones, severe storms, wind and waves as well as macro grazers (fish, dugongs and turtles) influence all habitats in this region to varying degrees. The result is a series of dynamic, spatially and temporally variable seagrass meadows.</w:t>
      </w:r>
      <w:r w:rsidRPr="00CF6D01">
        <w:rPr>
          <w:szCs w:val="22"/>
        </w:rPr>
        <w:t xml:space="preserve"> </w:t>
      </w:r>
    </w:p>
    <w:p w:rsidR="003D1F7F" w:rsidRPr="001E27EA" w:rsidRDefault="003D1F7F" w:rsidP="003D1F7F">
      <w:pPr>
        <w:keepNext/>
        <w:tabs>
          <w:tab w:val="left" w:pos="360"/>
        </w:tabs>
        <w:spacing w:after="0"/>
        <w:jc w:val="center"/>
        <w:rPr>
          <w:rFonts w:cs="Arial"/>
          <w:color w:val="000000"/>
          <w:szCs w:val="22"/>
        </w:rPr>
      </w:pPr>
      <w:r>
        <w:rPr>
          <w:rFonts w:cs="Arial"/>
          <w:noProof/>
          <w:color w:val="000000"/>
          <w:szCs w:val="22"/>
          <w:lang w:eastAsia="en-AU"/>
        </w:rPr>
        <w:drawing>
          <wp:inline distT="0" distB="0" distL="0" distR="0" wp14:anchorId="7652E7C5" wp14:editId="65926B39">
            <wp:extent cx="5755640" cy="5902960"/>
            <wp:effectExtent l="0" t="0" r="0" b="2540"/>
            <wp:docPr id="253" name="Picture 253" descr="General conceptual model of seagrass habitats in north east Australia and the water quality impacts affecting the habitat (adapted from Carruthers et al., 2002, and Collier et al.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abitats model_19Jan2016-01.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55640" cy="5902960"/>
                    </a:xfrm>
                    <a:prstGeom prst="rect">
                      <a:avLst/>
                    </a:prstGeom>
                  </pic:spPr>
                </pic:pic>
              </a:graphicData>
            </a:graphic>
          </wp:inline>
        </w:drawing>
      </w:r>
    </w:p>
    <w:p w:rsidR="003D1F7F" w:rsidRDefault="003D1F7F" w:rsidP="003D1F7F">
      <w:pPr>
        <w:spacing w:before="0"/>
        <w:rPr>
          <w:i/>
          <w:color w:val="000000"/>
          <w:szCs w:val="22"/>
        </w:rPr>
      </w:pPr>
      <w:bookmarkStart w:id="24" w:name="_Ref179269924"/>
      <w:bookmarkStart w:id="25" w:name="_Toc176158845"/>
      <w:bookmarkStart w:id="26" w:name="_Toc232845953"/>
      <w:bookmarkStart w:id="27" w:name="_Toc462684841"/>
      <w:r w:rsidRPr="001E27EA">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w:t>
      </w:r>
      <w:r w:rsidR="0073595B">
        <w:rPr>
          <w:color w:val="000000"/>
          <w:szCs w:val="22"/>
        </w:rPr>
        <w:fldChar w:fldCharType="end"/>
      </w:r>
      <w:bookmarkEnd w:id="24"/>
      <w:r w:rsidRPr="001E27EA">
        <w:rPr>
          <w:i/>
          <w:color w:val="000000"/>
          <w:szCs w:val="22"/>
        </w:rPr>
        <w:t>. General conceptual model of seagrass habitats in north east Australia</w:t>
      </w:r>
      <w:r>
        <w:rPr>
          <w:i/>
          <w:color w:val="000000"/>
          <w:szCs w:val="22"/>
        </w:rPr>
        <w:t xml:space="preserve"> and the water quality impacts affecting the habitat</w:t>
      </w:r>
      <w:r w:rsidRPr="001E27EA">
        <w:rPr>
          <w:i/>
          <w:color w:val="000000"/>
          <w:szCs w:val="22"/>
        </w:rPr>
        <w:t xml:space="preserve"> (</w:t>
      </w:r>
      <w:r>
        <w:rPr>
          <w:i/>
          <w:color w:val="000000"/>
          <w:szCs w:val="22"/>
        </w:rPr>
        <w:t xml:space="preserve">adapted </w:t>
      </w:r>
      <w:r w:rsidRPr="001E27EA">
        <w:rPr>
          <w:i/>
          <w:color w:val="000000"/>
          <w:szCs w:val="22"/>
        </w:rPr>
        <w:t>from Carruthers et al., 2002</w:t>
      </w:r>
      <w:r>
        <w:rPr>
          <w:i/>
          <w:color w:val="000000"/>
          <w:szCs w:val="22"/>
        </w:rPr>
        <w:t xml:space="preserve">, and </w:t>
      </w:r>
      <w:hyperlink w:anchor="_ENREF_59" w:tooltip="Collier, 2014 #9685" w:history="1">
        <w:r w:rsidR="00E6043D">
          <w:rPr>
            <w:i/>
            <w:color w:val="000000"/>
            <w:szCs w:val="22"/>
          </w:rPr>
          <w:fldChar w:fldCharType="begin"/>
        </w:r>
        <w:r w:rsidR="00E6043D">
          <w:rPr>
            <w:i/>
            <w:color w:val="000000"/>
            <w:szCs w:val="22"/>
          </w:rPr>
          <w:instrText xml:space="preserve"> ADDIN EN.CITE &lt;EndNote&gt;&lt;Cite&gt;&lt;Author&gt;Collier&lt;/Author&gt;&lt;Year&gt;2014&lt;/Year&gt;&lt;RecNum&gt;9685&lt;/RecNum&gt;&lt;DisplayText&gt;Collier&lt;style face="italic"&gt; et al.&lt;/style&gt; 2014&lt;/DisplayText&gt;&lt;record&gt;&lt;rec-number&gt;9685&lt;/rec-number&gt;&lt;foreign-keys&gt;&lt;key app="EN" db-id="0eve55x9y5vfd6e9dacxtew4eatve2dzds9a"&gt;9685&lt;/key&gt;&lt;/foreign-keys&gt;&lt;ref-type name="Book"&gt;6&lt;/ref-type&gt;&lt;contributors&gt;&lt;authors&gt;&lt;author&gt;Collier, C&lt;/author&gt;&lt;author&gt;Devlin, M&lt;/author&gt;&lt;author&gt;Langlois, L&lt;/author&gt;&lt;author&gt;Petus, C&lt;/author&gt;&lt;author&gt;McKenzie, Len J&lt;/author&gt;&lt;author&gt;Texeira da Silva, E&lt;/author&gt;&lt;author&gt;McMahon, Kathryn&lt;/author&gt;&lt;author&gt;Adams, M&lt;/author&gt;&lt;author&gt;O’Brien, Kate&lt;/author&gt;&lt;author&gt;Statton, J&lt;/author&gt;&lt;author&gt;Waycott, Michelle&lt;/author&gt;&lt;/authors&gt;&lt;/contributors&gt;&lt;titles&gt;&lt;title&gt;Thresholds and indicators of declining water quality as tools for tropical seagrass management. Report to the National Environmental Research Program&lt;/title&gt;&lt;/titles&gt;&lt;pages&gt;93&lt;/pages&gt;&lt;dates&gt;&lt;year&gt;2014&lt;/year&gt;&lt;/dates&gt;&lt;pub-location&gt;Cairns&lt;/pub-location&gt;&lt;publisher&gt;Reef and Rainforest Research Centre Limited&lt;/publisher&gt;&lt;isbn&gt;978-1-925088-50-2&lt;/isbn&gt;&lt;urls&gt;&lt;/urls&gt;&lt;/record&gt;&lt;/Cite&gt;&lt;/EndNote&gt;</w:instrText>
        </w:r>
        <w:r w:rsidR="00E6043D">
          <w:rPr>
            <w:i/>
            <w:color w:val="000000"/>
            <w:szCs w:val="22"/>
          </w:rPr>
          <w:fldChar w:fldCharType="separate"/>
        </w:r>
        <w:r w:rsidR="00E6043D">
          <w:rPr>
            <w:i/>
            <w:noProof/>
            <w:color w:val="000000"/>
            <w:szCs w:val="22"/>
          </w:rPr>
          <w:t>Collier et al. 2014</w:t>
        </w:r>
        <w:r w:rsidR="00E6043D">
          <w:rPr>
            <w:i/>
            <w:color w:val="000000"/>
            <w:szCs w:val="22"/>
          </w:rPr>
          <w:fldChar w:fldCharType="end"/>
        </w:r>
      </w:hyperlink>
      <w:r w:rsidRPr="001E27EA">
        <w:rPr>
          <w:i/>
          <w:color w:val="000000"/>
          <w:szCs w:val="22"/>
        </w:rPr>
        <w:t>)</w:t>
      </w:r>
      <w:bookmarkEnd w:id="25"/>
      <w:bookmarkEnd w:id="26"/>
      <w:bookmarkEnd w:id="27"/>
    </w:p>
    <w:p w:rsidR="003D1F7F" w:rsidRDefault="003D1F7F" w:rsidP="00A72780">
      <w:r w:rsidRPr="00CF6D01">
        <w:t>The seagrass ecosystems of the GBR, on a global scale, would be for the most part categorised as being dom</w:t>
      </w:r>
      <w:r w:rsidR="00311782">
        <w:t>inated by disturbance-favouring</w:t>
      </w:r>
      <w:r w:rsidRPr="00CF6D01">
        <w:t xml:space="preserve"> </w:t>
      </w:r>
      <w:r w:rsidR="00311782">
        <w:t xml:space="preserve">colonising and </w:t>
      </w:r>
      <w:r w:rsidRPr="00CF6D01">
        <w:t xml:space="preserve">opportunistic species (e.g. </w:t>
      </w:r>
      <w:proofErr w:type="spellStart"/>
      <w:r w:rsidRPr="00CF6D01">
        <w:rPr>
          <w:i/>
        </w:rPr>
        <w:t>Halophila</w:t>
      </w:r>
      <w:proofErr w:type="spellEnd"/>
      <w:r w:rsidRPr="00CF6D01">
        <w:t xml:space="preserve">, </w:t>
      </w:r>
      <w:proofErr w:type="spellStart"/>
      <w:r w:rsidRPr="00CF6D01">
        <w:rPr>
          <w:i/>
        </w:rPr>
        <w:t>Halodule</w:t>
      </w:r>
      <w:proofErr w:type="spellEnd"/>
      <w:r w:rsidRPr="00CF6D01">
        <w:t xml:space="preserve"> and </w:t>
      </w:r>
      <w:proofErr w:type="spellStart"/>
      <w:r w:rsidRPr="00CF6D01">
        <w:rPr>
          <w:i/>
        </w:rPr>
        <w:t>Zostera</w:t>
      </w:r>
      <w:proofErr w:type="spellEnd"/>
      <w:r w:rsidRPr="00CF6D01">
        <w:t xml:space="preserve">), which typically have low standing biomass and high turnover rates </w:t>
      </w:r>
      <w:r w:rsidRPr="00CF6D01">
        <w:lastRenderedPageBreak/>
        <w:t xml:space="preserve">(Carruthers </w:t>
      </w:r>
      <w:r w:rsidRPr="00CF6D01">
        <w:rPr>
          <w:i/>
        </w:rPr>
        <w:t>et al.</w:t>
      </w:r>
      <w:r w:rsidRPr="00CF6D01">
        <w:t xml:space="preserve"> 2002, </w:t>
      </w:r>
      <w:proofErr w:type="spellStart"/>
      <w:r w:rsidRPr="00CF6D01">
        <w:t>Waycott</w:t>
      </w:r>
      <w:proofErr w:type="spellEnd"/>
      <w:r w:rsidRPr="00CF6D01">
        <w:t xml:space="preserve"> </w:t>
      </w:r>
      <w:r w:rsidRPr="00CF6D01">
        <w:rPr>
          <w:i/>
        </w:rPr>
        <w:t>et al.</w:t>
      </w:r>
      <w:r w:rsidRPr="00CF6D01">
        <w:t xml:space="preserve"> 2007). In more sheltered areas, including reef top or inshore areas</w:t>
      </w:r>
      <w:r w:rsidR="000806A8">
        <w:t xml:space="preserve"> in bays</w:t>
      </w:r>
      <w:r w:rsidRPr="00CF6D01">
        <w:t xml:space="preserve">, more stable and persistent species are found, although these are still relatively responsive to disturbances </w:t>
      </w:r>
      <w:r w:rsidR="00311782">
        <w:t>(</w:t>
      </w:r>
      <w:r w:rsidR="00644A84">
        <w:fldChar w:fldCharType="begin">
          <w:fldData xml:space="preserve">PEVuZE5vdGU+PENpdGU+PEF1dGhvcj5DYXJydXRoZXJzPC9BdXRob3I+PFllYXI+MjAwMjwvWWVh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=
</w:fldData>
        </w:fldChar>
      </w:r>
      <w:r w:rsidR="00644A84">
        <w:instrText xml:space="preserve"> ADDIN EN.CITE </w:instrText>
      </w:r>
      <w:r w:rsidR="00644A84">
        <w:fldChar w:fldCharType="begin">
          <w:fldData xml:space="preserve">PEVuZE5vdGU+PENpdGU+PEF1dGhvcj5DYXJydXRoZXJzPC9BdXRob3I+PFllYXI+MjAwMjwvWWVh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=
</w:fldData>
        </w:fldChar>
      </w:r>
      <w:r w:rsidR="00644A84">
        <w:instrText xml:space="preserve"> ADDIN EN.CITE.DATA </w:instrText>
      </w:r>
      <w:r w:rsidR="00644A84">
        <w:fldChar w:fldCharType="end"/>
      </w:r>
      <w:r w:rsidR="00644A84">
        <w:fldChar w:fldCharType="separate"/>
      </w:r>
      <w:hyperlink w:anchor="_ENREF_35" w:tooltip="Carruthers, 2002 #8021" w:history="1">
        <w:r w:rsidR="00E6043D">
          <w:rPr>
            <w:noProof/>
          </w:rPr>
          <w:t>Carruthers</w:t>
        </w:r>
        <w:r w:rsidR="00E6043D" w:rsidRPr="00644A84">
          <w:rPr>
            <w:i/>
            <w:noProof/>
          </w:rPr>
          <w:t>, et al.</w:t>
        </w:r>
        <w:r w:rsidR="00E6043D">
          <w:rPr>
            <w:noProof/>
          </w:rPr>
          <w:t xml:space="preserve"> 2002</w:t>
        </w:r>
      </w:hyperlink>
      <w:r w:rsidR="00644A84">
        <w:rPr>
          <w:noProof/>
        </w:rPr>
        <w:t xml:space="preserve">; </w:t>
      </w:r>
      <w:hyperlink w:anchor="_ENREF_238" w:tooltip="Waycott, 2007 #9133" w:history="1">
        <w:r w:rsidR="00E6043D">
          <w:rPr>
            <w:noProof/>
          </w:rPr>
          <w:t>Waycott</w:t>
        </w:r>
        <w:r w:rsidR="00E6043D" w:rsidRPr="00644A84">
          <w:rPr>
            <w:i/>
            <w:noProof/>
          </w:rPr>
          <w:t>, et al.</w:t>
        </w:r>
        <w:r w:rsidR="00E6043D">
          <w:rPr>
            <w:noProof/>
          </w:rPr>
          <w:t xml:space="preserve"> 2007</w:t>
        </w:r>
      </w:hyperlink>
      <w:r w:rsidR="00644A84">
        <w:rPr>
          <w:noProof/>
        </w:rPr>
        <w:t xml:space="preserve">; </w:t>
      </w:r>
      <w:hyperlink w:anchor="_ENREF_61" w:tooltip="Collier, 2009 #9285" w:history="1">
        <w:r w:rsidR="00E6043D">
          <w:rPr>
            <w:noProof/>
          </w:rPr>
          <w:t>Collier and Waycott 2009</w:t>
        </w:r>
      </w:hyperlink>
      <w:r w:rsidR="00644A84">
        <w:fldChar w:fldCharType="end"/>
      </w:r>
      <w:r w:rsidR="00311782">
        <w:t>)</w:t>
      </w:r>
      <w:r w:rsidRPr="00CF6D01">
        <w:t>.</w:t>
      </w:r>
    </w:p>
    <w:p w:rsidR="002F13BB" w:rsidRPr="002F52D1" w:rsidRDefault="002F13BB" w:rsidP="002F13BB">
      <w:pPr>
        <w:rPr>
          <w:i/>
          <w:szCs w:val="22"/>
        </w:rPr>
      </w:pPr>
      <w:r>
        <w:rPr>
          <w:i/>
          <w:szCs w:val="22"/>
        </w:rPr>
        <w:t>Conceptual basis for indicator selection</w:t>
      </w:r>
    </w:p>
    <w:p w:rsidR="003D1F7F" w:rsidRDefault="003D1F7F" w:rsidP="003D1F7F">
      <w:pPr>
        <w:rPr>
          <w:szCs w:val="22"/>
        </w:rPr>
      </w:pPr>
      <w:r w:rsidRPr="002F52D1">
        <w:rPr>
          <w:szCs w:val="22"/>
        </w:rPr>
        <w:t xml:space="preserve">As seagrasses are well recognised as indicators of integrated environmental pressures, monitoring their </w:t>
      </w:r>
      <w:r w:rsidR="00A1555C">
        <w:rPr>
          <w:szCs w:val="22"/>
        </w:rPr>
        <w:t>condition</w:t>
      </w:r>
      <w:r w:rsidRPr="002F52D1">
        <w:rPr>
          <w:szCs w:val="22"/>
        </w:rPr>
        <w:t xml:space="preserve"> and trend can provide insight into the condition of the surrounding environment (e.g. </w:t>
      </w:r>
      <w:hyperlink w:anchor="_ENREF_88" w:tooltip="Dennison, 1997 #1687" w:history="1">
        <w:r w:rsidR="00E6043D">
          <w:rPr>
            <w:szCs w:val="22"/>
          </w:rPr>
          <w:fldChar w:fldCharType="begin"/>
        </w:r>
        <w:r w:rsidR="00E6043D">
          <w:rPr>
            <w:szCs w:val="22"/>
          </w:rPr>
          <w:instrText xml:space="preserve"> ADDIN EN.CITE &lt;EndNote&gt;&lt;Cite&gt;&lt;Author&gt;Dennison&lt;/Author&gt;&lt;Year&gt;1997&lt;/Year&gt;&lt;RecNum&gt;1687&lt;/RecNum&gt;&lt;DisplayText&gt;Dennison&lt;style face="italic"&gt; et al.&lt;/style&gt; 1997&lt;/DisplayText&gt;&lt;record&gt;&lt;rec-number&gt;1687&lt;/rec-number&gt;&lt;foreign-keys&gt;&lt;key app="EN" db-id="0eve55x9y5vfd6e9dacxtew4eatve2dzds9a"&gt;1687&lt;/key&gt;&lt;/foreign-keys&gt;&lt;ref-type name="Book Section"&gt;5&lt;/ref-type&gt;&lt;contributors&gt;&lt;authors&gt;&lt;author&gt;Dennison, W. C.&lt;/author&gt;&lt;author&gt;Longstaff, B. J.&lt;/author&gt;&lt;author&gt;O&amp;apos;Donohue, M. J.&lt;/author&gt;&lt;/authors&gt;&lt;secondary-authors&gt;&lt;author&gt;Hillman, S.&lt;/author&gt;&lt;author&gt;Raaymakers, S.&lt;/author&gt;&lt;/secondary-authors&gt;&lt;/contributors&gt;&lt;titles&gt;&lt;title&gt;Seagrasses as Bio-indicators&lt;/title&gt;&lt;secondary-title&gt;Karumba dredging 1996 - Environmental Monitoring Report. EcoPorts Monograph Series No.6&lt;/secondary-title&gt;&lt;/titles&gt;&lt;pages&gt;255&lt;/pages&gt;&lt;keywords&gt;&lt;keyword&gt;CHLOROPHYLL-A&lt;/keyword&gt;&lt;keyword&gt;COASTAL DEVELOPMENT&lt;/keyword&gt;&lt;keyword&gt;DREDGING&lt;/keyword&gt;&lt;keyword&gt;LIGHT&lt;/keyword&gt;&lt;keyword&gt;PHOTOSYNTHESIS&lt;/keyword&gt;&lt;keyword&gt;SEAGRASS&lt;/keyword&gt;&lt;/keywords&gt;&lt;dates&gt;&lt;year&gt;1997&lt;/year&gt;&lt;/dates&gt;&lt;pub-location&gt;Brisbane&lt;/pub-location&gt;&lt;publisher&gt;Ports Corporation of Queensland&lt;/publisher&gt;&lt;label&gt;1775&lt;/label&gt;&lt;urls&gt;&lt;/urls&gt;&lt;custom1&gt;Annex&lt;/custom1&gt;&lt;/record&gt;&lt;/Cite&gt;&lt;/EndNote&gt;</w:instrText>
        </w:r>
        <w:r w:rsidR="00E6043D">
          <w:rPr>
            <w:szCs w:val="22"/>
          </w:rPr>
          <w:fldChar w:fldCharType="separate"/>
        </w:r>
        <w:r w:rsidR="00E6043D">
          <w:rPr>
            <w:noProof/>
            <w:szCs w:val="22"/>
          </w:rPr>
          <w:t>Dennison</w:t>
        </w:r>
        <w:r w:rsidR="00E6043D" w:rsidRPr="00644A84">
          <w:rPr>
            <w:i/>
            <w:noProof/>
            <w:szCs w:val="22"/>
          </w:rPr>
          <w:t xml:space="preserve"> et al.</w:t>
        </w:r>
        <w:r w:rsidR="00E6043D">
          <w:rPr>
            <w:noProof/>
            <w:szCs w:val="22"/>
          </w:rPr>
          <w:t xml:space="preserve"> 1997</w:t>
        </w:r>
        <w:r w:rsidR="00E6043D">
          <w:rPr>
            <w:szCs w:val="22"/>
          </w:rPr>
          <w:fldChar w:fldCharType="end"/>
        </w:r>
      </w:hyperlink>
      <w:r w:rsidRPr="002F52D1">
        <w:rPr>
          <w:szCs w:val="22"/>
        </w:rPr>
        <w:t>). We have developed a matrix of comparison for these indicators (</w:t>
      </w:r>
      <w:r w:rsidR="00A95D6B">
        <w:rPr>
          <w:color w:val="0000FF"/>
          <w:szCs w:val="22"/>
        </w:rPr>
        <w:fldChar w:fldCharType="begin"/>
      </w:r>
      <w:r w:rsidR="00A95D6B">
        <w:rPr>
          <w:szCs w:val="22"/>
        </w:rPr>
        <w:instrText xml:space="preserve"> REF _Ref442084289 \h </w:instrText>
      </w:r>
      <w:r w:rsidR="00A95D6B">
        <w:rPr>
          <w:color w:val="0000FF"/>
          <w:szCs w:val="22"/>
        </w:rPr>
      </w:r>
      <w:r w:rsidR="00A95D6B">
        <w:rPr>
          <w:color w:val="0000FF"/>
          <w:szCs w:val="22"/>
        </w:rPr>
        <w:fldChar w:fldCharType="separate"/>
      </w:r>
      <w:r w:rsidR="009C068F">
        <w:t xml:space="preserve">Figure </w:t>
      </w:r>
      <w:r w:rsidR="009C068F">
        <w:rPr>
          <w:noProof/>
        </w:rPr>
        <w:t>2</w:t>
      </w:r>
      <w:r w:rsidR="00A95D6B">
        <w:rPr>
          <w:color w:val="0000FF"/>
          <w:szCs w:val="22"/>
        </w:rPr>
        <w:fldChar w:fldCharType="end"/>
      </w:r>
      <w:r w:rsidRPr="002F52D1">
        <w:rPr>
          <w:szCs w:val="22"/>
        </w:rPr>
        <w:t xml:space="preserve">) and have evidence of seagrass responses in </w:t>
      </w:r>
      <w:r>
        <w:rPr>
          <w:szCs w:val="22"/>
        </w:rPr>
        <w:t>all</w:t>
      </w:r>
      <w:r w:rsidRPr="002F52D1">
        <w:rPr>
          <w:szCs w:val="22"/>
        </w:rPr>
        <w:t xml:space="preserve"> categories. This framework provides a structure for acknowledging and interpreting the variety of indicators being used to detect different types of environmental change.</w:t>
      </w:r>
      <w:r>
        <w:rPr>
          <w:szCs w:val="22"/>
        </w:rPr>
        <w:t xml:space="preserve"> Indicators are </w:t>
      </w:r>
      <w:r w:rsidR="00A95D6B">
        <w:rPr>
          <w:szCs w:val="22"/>
        </w:rPr>
        <w:t xml:space="preserve">incorporated </w:t>
      </w:r>
      <w:r>
        <w:rPr>
          <w:szCs w:val="22"/>
        </w:rPr>
        <w:t>into the framework based on response time and indicator category.</w:t>
      </w:r>
    </w:p>
    <w:p w:rsidR="003D1F7F" w:rsidRDefault="003D1F7F" w:rsidP="003D1F7F">
      <w:pPr>
        <w:rPr>
          <w:szCs w:val="22"/>
        </w:rPr>
      </w:pPr>
      <w:r>
        <w:rPr>
          <w:szCs w:val="22"/>
        </w:rPr>
        <w:t>Indicators include plant changes, meadow-scale changes and state change</w:t>
      </w:r>
      <w:r w:rsidRPr="002F52D1">
        <w:rPr>
          <w:szCs w:val="22"/>
        </w:rPr>
        <w:t xml:space="preserve"> </w:t>
      </w:r>
      <w:r w:rsidR="00A95D6B" w:rsidRPr="002F52D1">
        <w:rPr>
          <w:szCs w:val="22"/>
        </w:rPr>
        <w:t>(</w:t>
      </w:r>
      <w:r w:rsidR="00A95D6B">
        <w:rPr>
          <w:color w:val="0000FF"/>
          <w:szCs w:val="22"/>
        </w:rPr>
        <w:fldChar w:fldCharType="begin"/>
      </w:r>
      <w:r w:rsidR="00A95D6B">
        <w:rPr>
          <w:szCs w:val="22"/>
        </w:rPr>
        <w:instrText xml:space="preserve"> REF _Ref442084289 \h </w:instrText>
      </w:r>
      <w:r w:rsidR="00A95D6B">
        <w:rPr>
          <w:color w:val="0000FF"/>
          <w:szCs w:val="22"/>
        </w:rPr>
      </w:r>
      <w:r w:rsidR="00A95D6B">
        <w:rPr>
          <w:color w:val="0000FF"/>
          <w:szCs w:val="22"/>
        </w:rPr>
        <w:fldChar w:fldCharType="separate"/>
      </w:r>
      <w:r w:rsidR="009C068F">
        <w:t xml:space="preserve">Figure </w:t>
      </w:r>
      <w:r w:rsidR="009C068F">
        <w:rPr>
          <w:noProof/>
        </w:rPr>
        <w:t>2</w:t>
      </w:r>
      <w:r w:rsidR="00A95D6B">
        <w:rPr>
          <w:color w:val="0000FF"/>
          <w:szCs w:val="22"/>
        </w:rPr>
        <w:fldChar w:fldCharType="end"/>
      </w:r>
      <w:r w:rsidR="00A95D6B" w:rsidRPr="002F52D1">
        <w:rPr>
          <w:szCs w:val="22"/>
        </w:rPr>
        <w:t>)</w:t>
      </w:r>
      <w:r w:rsidRPr="002F52D1">
        <w:rPr>
          <w:szCs w:val="22"/>
        </w:rPr>
        <w:t>. These indicators also respond at different t</w:t>
      </w:r>
      <w:r>
        <w:rPr>
          <w:szCs w:val="22"/>
        </w:rPr>
        <w:t xml:space="preserve">emporal scales, with </w:t>
      </w:r>
      <w:proofErr w:type="spellStart"/>
      <w:r>
        <w:rPr>
          <w:szCs w:val="22"/>
        </w:rPr>
        <w:t>sublethal</w:t>
      </w:r>
      <w:proofErr w:type="spellEnd"/>
      <w:r>
        <w:rPr>
          <w:szCs w:val="22"/>
        </w:rPr>
        <w:t xml:space="preserve"> </w:t>
      </w:r>
      <w:r w:rsidRPr="002F52D1">
        <w:rPr>
          <w:szCs w:val="22"/>
        </w:rPr>
        <w:t xml:space="preserve">indicators able to respond from seconds to months, while the meadow-scale effects usually take many months to be detectable. </w:t>
      </w:r>
    </w:p>
    <w:p w:rsidR="003D1F7F" w:rsidRPr="002F52D1" w:rsidRDefault="003D1F7F" w:rsidP="003D1F7F">
      <w:pPr>
        <w:rPr>
          <w:szCs w:val="22"/>
        </w:rPr>
      </w:pPr>
      <w:r w:rsidRPr="002F52D1">
        <w:rPr>
          <w:szCs w:val="22"/>
        </w:rPr>
        <w:t xml:space="preserve">A robust monitoring program benefits from having a suite of indicators that can indicate sub-lethal stress that forewarns of imminent loss, as well as indicators of meadow-scale changes, which are necessary for interpreting broad ecological changes. Indicators included in the MMP span this range of scales, in particular for indicators that respond from weeks (tissue nutrients, isotopes), through to months (abundance and reproduction), and even years (abundance and meadow extent). </w:t>
      </w:r>
      <w:r>
        <w:rPr>
          <w:szCs w:val="22"/>
        </w:rPr>
        <w:t>Furthermore, indicators are conceptually linked to each other, and to environmental drivers of concern, in particular, water quality (p 3</w:t>
      </w:r>
      <w:r w:rsidR="0074091B">
        <w:rPr>
          <w:szCs w:val="22"/>
        </w:rPr>
        <w:t>4</w:t>
      </w:r>
      <w:r>
        <w:rPr>
          <w:szCs w:val="22"/>
        </w:rPr>
        <w:t xml:space="preserve">, </w:t>
      </w:r>
      <w:hyperlink w:anchor="_ENREF_135" w:tooltip="Kuhnert, 2014 #10482" w:history="1">
        <w:r w:rsidR="00E6043D">
          <w:rPr>
            <w:szCs w:val="22"/>
          </w:rPr>
          <w:fldChar w:fldCharType="begin"/>
        </w:r>
        <w:r w:rsidR="00E6043D">
          <w:rPr>
            <w:szCs w:val="22"/>
          </w:rPr>
          <w:instrText xml:space="preserve"> ADDIN EN.CITE &lt;EndNote&gt;&lt;Cite&gt;&lt;Author&gt;Kuhnert&lt;/Author&gt;&lt;Year&gt;2014&lt;/Year&gt;&lt;RecNum&gt;10482&lt;/RecNum&gt;&lt;DisplayText&gt;Kuhnert&lt;style face="italic"&gt;, et al.&lt;/style&gt; 2014&lt;/DisplayText&gt;&lt;record&gt;&lt;rec-number&gt;10482&lt;/rec-number&gt;&lt;foreign-keys&gt;&lt;key app="EN" db-id="0eve55x9y5vfd6e9dacxtew4eatve2dzds9a"&gt;10482&lt;/key&gt;&lt;/foreign-keys&gt;&lt;ref-type name="Book"&gt;6&lt;/ref-type&gt;&lt;contributors&gt;&lt;authors&gt;&lt;author&gt;Kuhnert, Petra M&lt;/author&gt;&lt;author&gt;Liu, Yang&lt;/author&gt;&lt;author&gt;Henderson, Brent L.&lt;/author&gt;&lt;author&gt;Dambacher, Jeffrey&lt;/author&gt;&lt;author&gt;Lawrence, Emma&lt;/author&gt;&lt;author&gt;Kroon, Frederieke J.&lt;/author&gt;&lt;/authors&gt;&lt;/contributors&gt;&lt;titles&gt;&lt;title&gt;Review of the Marine Monitoring Program (MMP), Final Report for the Great Barrier Reef Marine Park Authority (GBRMPA)&lt;/title&gt;&lt;/titles&gt;&lt;pages&gt;276&lt;/pages&gt;&lt;dates&gt;&lt;year&gt;2014&lt;/year&gt;&lt;/dates&gt;&lt;pub-location&gt;Adelaide&lt;/pub-location&gt;&lt;publisher&gt;CSIRO&lt;/publisher&gt;&lt;urls&gt;&lt;/urls&gt;&lt;/record&gt;&lt;/Cite&gt;&lt;/EndNote&gt;</w:instrText>
        </w:r>
        <w:r w:rsidR="00E6043D">
          <w:rPr>
            <w:szCs w:val="22"/>
          </w:rPr>
          <w:fldChar w:fldCharType="separate"/>
        </w:r>
        <w:r w:rsidR="00E6043D">
          <w:rPr>
            <w:noProof/>
            <w:szCs w:val="22"/>
          </w:rPr>
          <w:t>Kuhnert</w:t>
        </w:r>
        <w:r w:rsidR="00E6043D" w:rsidRPr="00644A84">
          <w:rPr>
            <w:i/>
            <w:noProof/>
            <w:szCs w:val="22"/>
          </w:rPr>
          <w:t>, et al.</w:t>
        </w:r>
        <w:r w:rsidR="00E6043D">
          <w:rPr>
            <w:noProof/>
            <w:szCs w:val="22"/>
          </w:rPr>
          <w:t xml:space="preserve"> 2014</w:t>
        </w:r>
        <w:r w:rsidR="00E6043D">
          <w:rPr>
            <w:szCs w:val="22"/>
          </w:rPr>
          <w:fldChar w:fldCharType="end"/>
        </w:r>
      </w:hyperlink>
      <w:r w:rsidR="0074091B">
        <w:rPr>
          <w:szCs w:val="22"/>
        </w:rPr>
        <w:t>).</w:t>
      </w:r>
    </w:p>
    <w:p w:rsidR="003D1F7F" w:rsidRPr="00CB17F4" w:rsidRDefault="00A1555C" w:rsidP="003D1F7F">
      <w:pPr>
        <w:jc w:val="both"/>
        <w:rPr>
          <w:szCs w:val="22"/>
        </w:rPr>
      </w:pPr>
      <w:r>
        <w:rPr>
          <w:noProof/>
          <w:szCs w:val="22"/>
          <w:lang w:eastAsia="en-AU"/>
        </w:rPr>
        <w:drawing>
          <wp:inline distT="0" distB="0" distL="0" distR="0" wp14:anchorId="3D2850E2" wp14:editId="4EB3CC83">
            <wp:extent cx="5755640" cy="3928110"/>
            <wp:effectExtent l="0" t="0" r="0" b="0"/>
            <wp:docPr id="2" name="Picture 2" descr="Table showing climate, environmental, seagrass condition and seagrass resilience indicators reported as part of the MMP Inshore Seagrass monitoring 20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ndicator selection_DT_v1.2_CS5-02.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55640" cy="3928110"/>
                    </a:xfrm>
                    <a:prstGeom prst="rect">
                      <a:avLst/>
                    </a:prstGeom>
                  </pic:spPr>
                </pic:pic>
              </a:graphicData>
            </a:graphic>
          </wp:inline>
        </w:drawing>
      </w:r>
    </w:p>
    <w:p w:rsidR="00A95D6B" w:rsidRPr="00A95D6B" w:rsidRDefault="00A95D6B" w:rsidP="00A95D6B">
      <w:pPr>
        <w:rPr>
          <w:i/>
          <w:vanish/>
          <w:specVanish/>
        </w:rPr>
      </w:pPr>
      <w:bookmarkStart w:id="28" w:name="_Ref442084289"/>
      <w:bookmarkStart w:id="29" w:name="_Toc462684842"/>
      <w:r>
        <w:t xml:space="preserve">Figure </w:t>
      </w:r>
      <w:fldSimple w:instr=" SEQ Figure \* ARABIC ">
        <w:r w:rsidR="009C068F">
          <w:rPr>
            <w:noProof/>
          </w:rPr>
          <w:t>2</w:t>
        </w:r>
      </w:fldSimple>
      <w:bookmarkEnd w:id="28"/>
      <w:r>
        <w:t xml:space="preserve">. </w:t>
      </w:r>
      <w:r w:rsidR="003D1F7F" w:rsidRPr="00A95D6B">
        <w:rPr>
          <w:i/>
        </w:rPr>
        <w:t xml:space="preserve">Climate, environmental, seagrass </w:t>
      </w:r>
      <w:r w:rsidR="00A1555C">
        <w:rPr>
          <w:i/>
        </w:rPr>
        <w:t>condition</w:t>
      </w:r>
      <w:r w:rsidR="003D1F7F" w:rsidRPr="00A95D6B">
        <w:rPr>
          <w:i/>
        </w:rPr>
        <w:t xml:space="preserve"> and seagrass resilience indicators reported </w:t>
      </w:r>
      <w:r>
        <w:rPr>
          <w:i/>
        </w:rPr>
        <w:t>as part of the MMP Inshore Seagrass monitoring 2014-15</w:t>
      </w:r>
      <w:r w:rsidR="003D1F7F" w:rsidRPr="00A95D6B">
        <w:rPr>
          <w:i/>
        </w:rPr>
        <w:t>.</w:t>
      </w:r>
      <w:bookmarkEnd w:id="29"/>
    </w:p>
    <w:p w:rsidR="003D1F7F" w:rsidRPr="00A95D6B" w:rsidRDefault="003D1F7F" w:rsidP="00A95D6B">
      <w:pPr>
        <w:rPr>
          <w:i/>
        </w:rPr>
      </w:pPr>
      <w:r w:rsidRPr="00A95D6B">
        <w:rPr>
          <w:i/>
        </w:rPr>
        <w:t xml:space="preserve"> White boxes are indicators measured in the inshore seagrass program, white box with dashed line are indicators in development, and grey boxes are indicators collected in other programs or by other institutions (see Table </w:t>
      </w:r>
      <w:r w:rsidR="007D65EC">
        <w:rPr>
          <w:i/>
        </w:rPr>
        <w:t>2</w:t>
      </w:r>
      <w:r w:rsidRPr="00A95D6B">
        <w:rPr>
          <w:i/>
        </w:rPr>
        <w:t xml:space="preserve"> for details on suppliers). All indicators are shown against their response time which span from minutes to years. </w:t>
      </w:r>
    </w:p>
    <w:p w:rsidR="003D1F7F" w:rsidRPr="002F52D1" w:rsidRDefault="003D1F7F" w:rsidP="003D1F7F">
      <w:pPr>
        <w:rPr>
          <w:i/>
          <w:szCs w:val="22"/>
        </w:rPr>
      </w:pPr>
      <w:r w:rsidRPr="002F52D1">
        <w:rPr>
          <w:i/>
          <w:szCs w:val="22"/>
        </w:rPr>
        <w:lastRenderedPageBreak/>
        <w:t>Environment</w:t>
      </w:r>
    </w:p>
    <w:p w:rsidR="003D1F7F" w:rsidRDefault="003D1F7F" w:rsidP="003D1F7F">
      <w:pPr>
        <w:rPr>
          <w:szCs w:val="22"/>
        </w:rPr>
      </w:pPr>
      <w:r>
        <w:rPr>
          <w:szCs w:val="22"/>
        </w:rPr>
        <w:t xml:space="preserve">Climate and environment stressors are aspects of the environment, either </w:t>
      </w:r>
      <w:proofErr w:type="spellStart"/>
      <w:r>
        <w:rPr>
          <w:szCs w:val="22"/>
        </w:rPr>
        <w:t>physico</w:t>
      </w:r>
      <w:proofErr w:type="spellEnd"/>
      <w:r>
        <w:rPr>
          <w:szCs w:val="22"/>
        </w:rPr>
        <w:t xml:space="preserve">-chemical or biological that affect seagrass meadow condition. </w:t>
      </w:r>
      <w:r w:rsidR="00EF7EC4">
        <w:rPr>
          <w:szCs w:val="22"/>
        </w:rPr>
        <w:t>Some environmental stressors</w:t>
      </w:r>
      <w:r>
        <w:rPr>
          <w:szCs w:val="22"/>
        </w:rPr>
        <w:t xml:space="preserve"> </w:t>
      </w:r>
      <w:r w:rsidR="00EF7EC4">
        <w:rPr>
          <w:szCs w:val="22"/>
        </w:rPr>
        <w:t>change rapidly</w:t>
      </w:r>
      <w:r>
        <w:rPr>
          <w:szCs w:val="22"/>
        </w:rPr>
        <w:t xml:space="preserve"> (minutes/days/weeks/months) but can also undergo chronic shifts (years)</w:t>
      </w:r>
      <w:r w:rsidR="00AF3F1D">
        <w:rPr>
          <w:szCs w:val="22"/>
        </w:rPr>
        <w:t xml:space="preserve"> (Figure 2)</w:t>
      </w:r>
      <w:r>
        <w:rPr>
          <w:szCs w:val="22"/>
        </w:rPr>
        <w:t>. Stressors include:</w:t>
      </w:r>
    </w:p>
    <w:p w:rsidR="003D1F7F" w:rsidRDefault="003D1F7F" w:rsidP="001A5B75">
      <w:pPr>
        <w:numPr>
          <w:ilvl w:val="0"/>
          <w:numId w:val="14"/>
        </w:numPr>
        <w:rPr>
          <w:szCs w:val="22"/>
        </w:rPr>
      </w:pPr>
      <w:r w:rsidRPr="0085687C">
        <w:rPr>
          <w:szCs w:val="22"/>
        </w:rPr>
        <w:t>Climate</w:t>
      </w:r>
      <w:r>
        <w:rPr>
          <w:szCs w:val="22"/>
        </w:rPr>
        <w:t xml:space="preserve"> (e.g. cyclones, seasonal temperature)</w:t>
      </w:r>
    </w:p>
    <w:p w:rsidR="003D1F7F" w:rsidRDefault="003D1F7F" w:rsidP="001A5B75">
      <w:pPr>
        <w:numPr>
          <w:ilvl w:val="0"/>
          <w:numId w:val="14"/>
        </w:numPr>
        <w:rPr>
          <w:szCs w:val="22"/>
        </w:rPr>
      </w:pPr>
      <w:r>
        <w:rPr>
          <w:szCs w:val="22"/>
        </w:rPr>
        <w:t>Local and short-term weather (e.g. wind and tides)</w:t>
      </w:r>
    </w:p>
    <w:p w:rsidR="003D1F7F" w:rsidRDefault="003D1F7F" w:rsidP="001A5B75">
      <w:pPr>
        <w:numPr>
          <w:ilvl w:val="0"/>
          <w:numId w:val="14"/>
        </w:numPr>
        <w:rPr>
          <w:szCs w:val="22"/>
        </w:rPr>
      </w:pPr>
      <w:r>
        <w:rPr>
          <w:szCs w:val="22"/>
        </w:rPr>
        <w:t>Water quality (e.g. river discharge, plume exposure)</w:t>
      </w:r>
    </w:p>
    <w:p w:rsidR="003D1F7F" w:rsidRDefault="003D1F7F" w:rsidP="001A5B75">
      <w:pPr>
        <w:numPr>
          <w:ilvl w:val="0"/>
          <w:numId w:val="14"/>
        </w:numPr>
        <w:rPr>
          <w:szCs w:val="22"/>
        </w:rPr>
      </w:pPr>
      <w:r>
        <w:rPr>
          <w:szCs w:val="22"/>
        </w:rPr>
        <w:t xml:space="preserve">Biological (e.g. epiphytes and </w:t>
      </w:r>
      <w:proofErr w:type="spellStart"/>
      <w:r>
        <w:rPr>
          <w:szCs w:val="22"/>
        </w:rPr>
        <w:t>macroalgae</w:t>
      </w:r>
      <w:proofErr w:type="spellEnd"/>
      <w:r>
        <w:rPr>
          <w:szCs w:val="22"/>
        </w:rPr>
        <w:t>)</w:t>
      </w:r>
    </w:p>
    <w:p w:rsidR="0074091B" w:rsidRDefault="0074091B" w:rsidP="001A5B75">
      <w:pPr>
        <w:numPr>
          <w:ilvl w:val="0"/>
          <w:numId w:val="14"/>
        </w:numPr>
        <w:rPr>
          <w:szCs w:val="22"/>
        </w:rPr>
      </w:pPr>
      <w:r>
        <w:rPr>
          <w:szCs w:val="22"/>
        </w:rPr>
        <w:t>S</w:t>
      </w:r>
      <w:r w:rsidR="00AF3F1D">
        <w:rPr>
          <w:szCs w:val="22"/>
        </w:rPr>
        <w:t>ubstrate</w:t>
      </w:r>
      <w:r>
        <w:rPr>
          <w:szCs w:val="22"/>
        </w:rPr>
        <w:t xml:space="preserve"> (e.g. grain size composition)</w:t>
      </w:r>
    </w:p>
    <w:p w:rsidR="003D1F7F" w:rsidRPr="0085687C" w:rsidRDefault="003D1F7F" w:rsidP="001A5B75">
      <w:pPr>
        <w:numPr>
          <w:ilvl w:val="0"/>
          <w:numId w:val="14"/>
        </w:numPr>
        <w:rPr>
          <w:szCs w:val="22"/>
        </w:rPr>
      </w:pPr>
      <w:r>
        <w:rPr>
          <w:szCs w:val="22"/>
        </w:rPr>
        <w:t>Seagrass environmental integrators (e.g. tissue nutrients)</w:t>
      </w:r>
    </w:p>
    <w:p w:rsidR="003D1F7F" w:rsidRDefault="00AF3F1D" w:rsidP="003D1F7F">
      <w:pPr>
        <w:rPr>
          <w:szCs w:val="22"/>
        </w:rPr>
      </w:pPr>
      <w:r>
        <w:rPr>
          <w:szCs w:val="22"/>
        </w:rPr>
        <w:t>I</w:t>
      </w:r>
      <w:r w:rsidR="003D1F7F">
        <w:rPr>
          <w:szCs w:val="22"/>
        </w:rPr>
        <w:t xml:space="preserve">ndicators </w:t>
      </w:r>
      <w:r>
        <w:rPr>
          <w:szCs w:val="22"/>
        </w:rPr>
        <w:t xml:space="preserve">which </w:t>
      </w:r>
      <w:r w:rsidR="003D1F7F">
        <w:rPr>
          <w:szCs w:val="22"/>
        </w:rPr>
        <w:t xml:space="preserve">respond more quickly </w:t>
      </w:r>
      <w:r>
        <w:rPr>
          <w:szCs w:val="22"/>
        </w:rPr>
        <w:t xml:space="preserve">(e.g. light) </w:t>
      </w:r>
      <w:r w:rsidR="003D1F7F">
        <w:rPr>
          <w:szCs w:val="22"/>
        </w:rPr>
        <w:t xml:space="preserve">provide important early-warning of </w:t>
      </w:r>
      <w:r>
        <w:rPr>
          <w:szCs w:val="22"/>
        </w:rPr>
        <w:t xml:space="preserve">potentially </w:t>
      </w:r>
      <w:r w:rsidR="003D1F7F">
        <w:rPr>
          <w:szCs w:val="22"/>
        </w:rPr>
        <w:t xml:space="preserve">more advanced ecological changes (as described below). However, a measured change in a fast-responding </w:t>
      </w:r>
      <w:r>
        <w:rPr>
          <w:szCs w:val="22"/>
        </w:rPr>
        <w:t xml:space="preserve">environmental </w:t>
      </w:r>
      <w:r w:rsidR="003D1F7F">
        <w:rPr>
          <w:szCs w:val="22"/>
        </w:rPr>
        <w:t xml:space="preserve">indicator is not enough </w:t>
      </w:r>
      <w:r>
        <w:rPr>
          <w:szCs w:val="22"/>
        </w:rPr>
        <w:t>in isolation</w:t>
      </w:r>
      <w:r w:rsidR="003D1F7F">
        <w:rPr>
          <w:szCs w:val="22"/>
        </w:rPr>
        <w:t xml:space="preserve"> to predict whether there will be further ecological impacts, because the change could be short-term. However, these indicators provide critical supporting information to support interpretation of slower responding </w:t>
      </w:r>
      <w:r>
        <w:rPr>
          <w:szCs w:val="22"/>
        </w:rPr>
        <w:t xml:space="preserve">seagrass </w:t>
      </w:r>
      <w:r w:rsidR="00A1555C">
        <w:rPr>
          <w:szCs w:val="22"/>
        </w:rPr>
        <w:t>condition</w:t>
      </w:r>
      <w:r w:rsidR="003D1F7F">
        <w:rPr>
          <w:szCs w:val="22"/>
        </w:rPr>
        <w:t xml:space="preserve"> and resilience indicators. </w:t>
      </w:r>
    </w:p>
    <w:p w:rsidR="003D1F7F" w:rsidRPr="002F52D1" w:rsidRDefault="00AF3F1D" w:rsidP="003D1F7F">
      <w:pPr>
        <w:rPr>
          <w:i/>
          <w:szCs w:val="22"/>
        </w:rPr>
      </w:pPr>
      <w:r>
        <w:rPr>
          <w:i/>
          <w:szCs w:val="22"/>
        </w:rPr>
        <w:t xml:space="preserve">Seagrass </w:t>
      </w:r>
      <w:r w:rsidR="00A1555C">
        <w:rPr>
          <w:i/>
          <w:szCs w:val="22"/>
        </w:rPr>
        <w:t>condition</w:t>
      </w:r>
    </w:p>
    <w:p w:rsidR="003D1F7F" w:rsidRDefault="00A1555C" w:rsidP="003D1F7F">
      <w:pPr>
        <w:rPr>
          <w:szCs w:val="22"/>
        </w:rPr>
      </w:pPr>
      <w:r>
        <w:rPr>
          <w:szCs w:val="22"/>
        </w:rPr>
        <w:t>Condition</w:t>
      </w:r>
      <w:r w:rsidR="003D1F7F">
        <w:rPr>
          <w:szCs w:val="22"/>
        </w:rPr>
        <w:t xml:space="preserve"> indicators </w:t>
      </w:r>
      <w:r w:rsidR="00AF3F1D">
        <w:rPr>
          <w:szCs w:val="22"/>
        </w:rPr>
        <w:t>such as meadow a</w:t>
      </w:r>
      <w:r w:rsidR="003D1F7F">
        <w:rPr>
          <w:szCs w:val="22"/>
        </w:rPr>
        <w:t>bundance</w:t>
      </w:r>
      <w:r w:rsidR="003D1F7F" w:rsidRPr="002F52D1">
        <w:rPr>
          <w:szCs w:val="22"/>
        </w:rPr>
        <w:t xml:space="preserve"> </w:t>
      </w:r>
      <w:r w:rsidR="003D1F7F">
        <w:rPr>
          <w:szCs w:val="22"/>
        </w:rPr>
        <w:t>and extent indicate</w:t>
      </w:r>
      <w:r w:rsidR="003D1F7F" w:rsidRPr="002F52D1">
        <w:rPr>
          <w:szCs w:val="22"/>
        </w:rPr>
        <w:t xml:space="preserve"> the state of the plants/population</w:t>
      </w:r>
      <w:r w:rsidR="003D1F7F">
        <w:rPr>
          <w:szCs w:val="22"/>
        </w:rPr>
        <w:t xml:space="preserve"> and reflect the cumulative effects of past environmental conditions</w:t>
      </w:r>
      <w:r w:rsidR="003D1F7F" w:rsidRPr="00914207">
        <w:rPr>
          <w:szCs w:val="22"/>
        </w:rPr>
        <w:t>.</w:t>
      </w:r>
      <w:r w:rsidR="003D1F7F" w:rsidRPr="002F52D1">
        <w:rPr>
          <w:szCs w:val="22"/>
        </w:rPr>
        <w:t xml:space="preserve"> </w:t>
      </w:r>
      <w:r w:rsidR="003D1F7F">
        <w:rPr>
          <w:szCs w:val="22"/>
        </w:rPr>
        <w:t xml:space="preserve">Abundance can respond to changes in environment on time-scales ranging from </w:t>
      </w:r>
      <w:r w:rsidR="00AF3F1D">
        <w:rPr>
          <w:szCs w:val="22"/>
        </w:rPr>
        <w:t>weeks</w:t>
      </w:r>
      <w:r w:rsidR="003D1F7F">
        <w:rPr>
          <w:szCs w:val="22"/>
        </w:rPr>
        <w:t xml:space="preserve"> to months (depending on species), while meadow area </w:t>
      </w:r>
      <w:r w:rsidR="0074091B">
        <w:rPr>
          <w:szCs w:val="22"/>
        </w:rPr>
        <w:t xml:space="preserve">generally </w:t>
      </w:r>
      <w:r w:rsidR="003D1F7F">
        <w:rPr>
          <w:szCs w:val="22"/>
        </w:rPr>
        <w:t xml:space="preserve">tends to adjust over longer time-scales (months to years). Although these features are integrators of past conditions, and are vital indicators of meadow </w:t>
      </w:r>
      <w:r>
        <w:rPr>
          <w:szCs w:val="22"/>
        </w:rPr>
        <w:t>condition</w:t>
      </w:r>
      <w:r w:rsidR="003D1F7F">
        <w:rPr>
          <w:szCs w:val="22"/>
        </w:rPr>
        <w:t xml:space="preserve">, these features can be affected by external factors such as grazing by </w:t>
      </w:r>
      <w:proofErr w:type="spellStart"/>
      <w:r w:rsidR="003D1F7F">
        <w:rPr>
          <w:szCs w:val="22"/>
        </w:rPr>
        <w:t>megaherbivores</w:t>
      </w:r>
      <w:proofErr w:type="spellEnd"/>
      <w:r w:rsidR="003D1F7F">
        <w:rPr>
          <w:szCs w:val="22"/>
        </w:rPr>
        <w:t>, and therefore, are not suitable as stand-alone indicators of environmental change and do not demonstrate capacity to resist or recover from additional impacts</w:t>
      </w:r>
      <w:r w:rsidR="0074091B">
        <w:rPr>
          <w:szCs w:val="22"/>
        </w:rPr>
        <w:t xml:space="preserve"> (</w:t>
      </w:r>
      <w:hyperlink w:anchor="_ENREF_231" w:tooltip="Unsworth, 2015 #10447" w:history="1">
        <w:r w:rsidR="00E6043D">
          <w:rPr>
            <w:szCs w:val="22"/>
          </w:rPr>
          <w:fldChar w:fldCharType="begin"/>
        </w:r>
        <w:r w:rsidR="00E6043D">
          <w:rPr>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E6043D">
          <w:rPr>
            <w:szCs w:val="22"/>
          </w:rPr>
          <w:fldChar w:fldCharType="separate"/>
        </w:r>
        <w:r w:rsidR="00E6043D">
          <w:rPr>
            <w:noProof/>
            <w:szCs w:val="22"/>
          </w:rPr>
          <w:t>Unsworth</w:t>
        </w:r>
        <w:r w:rsidR="00E6043D" w:rsidRPr="00644A84">
          <w:rPr>
            <w:i/>
            <w:noProof/>
            <w:szCs w:val="22"/>
          </w:rPr>
          <w:t>, et al.</w:t>
        </w:r>
        <w:r w:rsidR="00E6043D">
          <w:rPr>
            <w:noProof/>
            <w:szCs w:val="22"/>
          </w:rPr>
          <w:t xml:space="preserve"> 2015</w:t>
        </w:r>
        <w:r w:rsidR="00E6043D">
          <w:rPr>
            <w:szCs w:val="22"/>
          </w:rPr>
          <w:fldChar w:fldCharType="end"/>
        </w:r>
      </w:hyperlink>
      <w:r w:rsidR="0074091B">
        <w:rPr>
          <w:szCs w:val="22"/>
        </w:rPr>
        <w:t>).</w:t>
      </w:r>
    </w:p>
    <w:p w:rsidR="003D1F7F" w:rsidRPr="002F52D1" w:rsidRDefault="00AF3F1D" w:rsidP="003D1F7F">
      <w:pPr>
        <w:rPr>
          <w:i/>
          <w:szCs w:val="22"/>
        </w:rPr>
      </w:pPr>
      <w:r>
        <w:rPr>
          <w:i/>
          <w:szCs w:val="22"/>
        </w:rPr>
        <w:t>Seagrass r</w:t>
      </w:r>
      <w:r w:rsidR="003D1F7F" w:rsidRPr="002F52D1">
        <w:rPr>
          <w:i/>
          <w:szCs w:val="22"/>
        </w:rPr>
        <w:t>esilience</w:t>
      </w:r>
    </w:p>
    <w:p w:rsidR="003D1F7F" w:rsidRDefault="003D1F7F" w:rsidP="003D1F7F">
      <w:pPr>
        <w:widowControl w:val="0"/>
        <w:autoSpaceDE w:val="0"/>
        <w:autoSpaceDN w:val="0"/>
        <w:adjustRightInd w:val="0"/>
        <w:spacing w:before="0" w:after="0"/>
        <w:rPr>
          <w:color w:val="000000"/>
          <w:szCs w:val="22"/>
        </w:rPr>
      </w:pPr>
      <w:r w:rsidRPr="0074091B">
        <w:rPr>
          <w:szCs w:val="22"/>
        </w:rPr>
        <w:t>Ecological resilience is “</w:t>
      </w:r>
      <w:r w:rsidRPr="0074091B">
        <w:rPr>
          <w:rFonts w:cs="AdvTT94c8263f.I"/>
          <w:szCs w:val="22"/>
          <w:lang w:val="en-US"/>
        </w:rPr>
        <w:t xml:space="preserve">the capacity of an ecosystem to absorb repeated disturbances or shocks and adapt to change without fundamentally switching </w:t>
      </w:r>
      <w:r w:rsidR="0074091B" w:rsidRPr="0074091B">
        <w:rPr>
          <w:rFonts w:cs="AdvTT94c8263f.I"/>
          <w:szCs w:val="22"/>
          <w:lang w:val="en-US"/>
        </w:rPr>
        <w:t>to an alternative stable state”</w:t>
      </w:r>
      <w:r w:rsidRPr="0074091B">
        <w:rPr>
          <w:rFonts w:cs="AdvTT94c8263f.I"/>
          <w:szCs w:val="22"/>
          <w:lang w:val="en-US"/>
        </w:rPr>
        <w:t xml:space="preserve"> (</w:t>
      </w:r>
      <w:hyperlink w:anchor="_ENREF_126" w:tooltip="Holling, 1973 #9197" w:history="1">
        <w:r w:rsidR="00E6043D">
          <w:rPr>
            <w:rFonts w:cs="AdvTT94c8263f.I"/>
            <w:szCs w:val="22"/>
            <w:lang w:val="en-US"/>
          </w:rPr>
          <w:fldChar w:fldCharType="begin"/>
        </w:r>
        <w:r w:rsidR="00E6043D">
          <w:rPr>
            <w:rFonts w:cs="AdvTT94c8263f.I"/>
            <w:szCs w:val="22"/>
            <w:lang w:val="en-US"/>
          </w:rPr>
          <w:instrText xml:space="preserve"> ADDIN EN.CITE &lt;EndNote&gt;&lt;Cite&gt;&lt;Author&gt;Holling&lt;/Author&gt;&lt;Year&gt;1973&lt;/Year&gt;&lt;RecNum&gt;9197&lt;/RecNum&gt;&lt;DisplayText&gt;Holling 1973&lt;/DisplayText&gt;&lt;record&gt;&lt;rec-number&gt;9197&lt;/rec-number&gt;&lt;foreign-keys&gt;&lt;key app="EN" db-id="0eve55x9y5vfd6e9dacxtew4eatve2dzds9a"&gt;9197&lt;/key&gt;&lt;/foreign-keys&gt;&lt;ref-type name="Journal Article"&gt;17&lt;/ref-type&gt;&lt;contributors&gt;&lt;authors&gt;&lt;author&gt;Holling, C.S.&lt;/author&gt;&lt;/authors&gt;&lt;/contributors&gt;&lt;titles&gt;&lt;title&gt;Resilience and stability of ecological systems&lt;/title&gt;&lt;secondary-title&gt;Annual Review of Ecology and Systematics&lt;/secondary-title&gt;&lt;/titles&gt;&lt;periodical&gt;&lt;full-title&gt;Annual Review of Ecology and Systematics&lt;/full-title&gt;&lt;/periodical&gt;&lt;pages&gt;1-23&lt;/pages&gt;&lt;volume&gt;4&lt;/volume&gt;&lt;dates&gt;&lt;year&gt;1973&lt;/year&gt;&lt;/dates&gt;&lt;urls&gt;&lt;/urls&gt;&lt;/record&gt;&lt;/Cite&gt;&lt;/EndNote&gt;</w:instrText>
        </w:r>
        <w:r w:rsidR="00E6043D">
          <w:rPr>
            <w:rFonts w:cs="AdvTT94c8263f.I"/>
            <w:szCs w:val="22"/>
            <w:lang w:val="en-US"/>
          </w:rPr>
          <w:fldChar w:fldCharType="separate"/>
        </w:r>
        <w:r w:rsidR="00E6043D">
          <w:rPr>
            <w:rFonts w:cs="AdvTT94c8263f.I"/>
            <w:noProof/>
            <w:szCs w:val="22"/>
            <w:lang w:val="en-US"/>
          </w:rPr>
          <w:t>Holling 1973</w:t>
        </w:r>
        <w:r w:rsidR="00E6043D">
          <w:rPr>
            <w:rFonts w:cs="AdvTT94c8263f.I"/>
            <w:szCs w:val="22"/>
            <w:lang w:val="en-US"/>
          </w:rPr>
          <w:fldChar w:fldCharType="end"/>
        </w:r>
      </w:hyperlink>
      <w:r w:rsidRPr="0074091B">
        <w:rPr>
          <w:rFonts w:cs="AdvTT94c8263f.I"/>
          <w:szCs w:val="22"/>
          <w:lang w:val="en-US"/>
        </w:rPr>
        <w:t xml:space="preserve">), and therefore it relates to the ability of a system to both resist and recover from disturbances </w:t>
      </w:r>
      <w:r w:rsidR="0074091B" w:rsidRPr="0074091B">
        <w:rPr>
          <w:szCs w:val="22"/>
        </w:rPr>
        <w:t>(</w:t>
      </w:r>
      <w:hyperlink w:anchor="_ENREF_231" w:tooltip="Unsworth, 2015 #10447" w:history="1">
        <w:r w:rsidR="00E6043D">
          <w:rPr>
            <w:szCs w:val="22"/>
          </w:rPr>
          <w:fldChar w:fldCharType="begin"/>
        </w:r>
        <w:r w:rsidR="00E6043D">
          <w:rPr>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E6043D">
          <w:rPr>
            <w:szCs w:val="22"/>
          </w:rPr>
          <w:fldChar w:fldCharType="separate"/>
        </w:r>
        <w:r w:rsidR="00E6043D">
          <w:rPr>
            <w:noProof/>
            <w:szCs w:val="22"/>
          </w:rPr>
          <w:t>Unsworth</w:t>
        </w:r>
        <w:r w:rsidR="00E6043D" w:rsidRPr="00644A84">
          <w:rPr>
            <w:i/>
            <w:noProof/>
            <w:szCs w:val="22"/>
          </w:rPr>
          <w:t>, et al.</w:t>
        </w:r>
        <w:r w:rsidR="00E6043D">
          <w:rPr>
            <w:noProof/>
            <w:szCs w:val="22"/>
          </w:rPr>
          <w:t xml:space="preserve"> 2015</w:t>
        </w:r>
        <w:r w:rsidR="00E6043D">
          <w:rPr>
            <w:szCs w:val="22"/>
          </w:rPr>
          <w:fldChar w:fldCharType="end"/>
        </w:r>
      </w:hyperlink>
      <w:r w:rsidR="0074091B" w:rsidRPr="0074091B">
        <w:rPr>
          <w:szCs w:val="22"/>
        </w:rPr>
        <w:t>)</w:t>
      </w:r>
      <w:r w:rsidRPr="0074091B">
        <w:rPr>
          <w:rFonts w:cs="AdvTT94c8263f.I"/>
          <w:szCs w:val="22"/>
          <w:lang w:val="en-US"/>
        </w:rPr>
        <w:t>. C</w:t>
      </w:r>
      <w:r w:rsidR="0074091B">
        <w:rPr>
          <w:rFonts w:cs="AdvTT94c8263f.I"/>
          <w:szCs w:val="22"/>
          <w:lang w:val="en-US"/>
        </w:rPr>
        <w:t xml:space="preserve">hanges in </w:t>
      </w:r>
      <w:r w:rsidR="0074091B" w:rsidRPr="0074091B">
        <w:rPr>
          <w:szCs w:val="22"/>
        </w:rPr>
        <w:t>resilience</w:t>
      </w:r>
      <w:r w:rsidRPr="0074091B">
        <w:rPr>
          <w:szCs w:val="22"/>
        </w:rPr>
        <w:t xml:space="preserve"> indicators show if the ecosystem is in transition (i.e. has already, or may undergo a state-change). </w:t>
      </w:r>
      <w:r w:rsidRPr="0074091B">
        <w:rPr>
          <w:rFonts w:cs="AdvTT94c8263f.I"/>
          <w:szCs w:val="22"/>
          <w:lang w:val="en-US"/>
        </w:rPr>
        <w:t>Sexual reproduction (flowering, seed production and persistence of a</w:t>
      </w:r>
      <w:r>
        <w:rPr>
          <w:rFonts w:cs="AdvTT94c8263f.I"/>
          <w:szCs w:val="22"/>
          <w:lang w:val="en-US"/>
        </w:rPr>
        <w:t xml:space="preserve"> seedbank) is an important feature of recovery (and therefore, of resilience) in tropical seagrass meadows</w:t>
      </w:r>
      <w:r>
        <w:rPr>
          <w:color w:val="000000"/>
          <w:szCs w:val="22"/>
        </w:rPr>
        <w:t>, a</w:t>
      </w:r>
      <w:r w:rsidRPr="00591DF9">
        <w:rPr>
          <w:color w:val="000000"/>
          <w:szCs w:val="22"/>
        </w:rPr>
        <w:t xml:space="preserve">s it is well recognized that coastal seagrasses are prone to small scale disturbances that cause local losses </w:t>
      </w:r>
      <w:r w:rsidRPr="00591DF9">
        <w:rPr>
          <w:noProof/>
          <w:color w:val="000000"/>
          <w:szCs w:val="22"/>
        </w:rPr>
        <w:t>(</w:t>
      </w:r>
      <w:hyperlink w:anchor="_ENREF_61" w:tooltip="Collier, 2009 #9285" w:history="1">
        <w:r w:rsidR="00E6043D">
          <w:rPr>
            <w:noProof/>
            <w:color w:val="000000"/>
            <w:szCs w:val="22"/>
          </w:rPr>
          <w:fldChar w:fldCharType="begin"/>
        </w:r>
        <w:r w:rsidR="00E6043D">
          <w:rPr>
            <w:noProof/>
            <w:color w:val="000000"/>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E6043D">
          <w:rPr>
            <w:noProof/>
            <w:color w:val="000000"/>
            <w:szCs w:val="22"/>
          </w:rPr>
          <w:fldChar w:fldCharType="separate"/>
        </w:r>
        <w:r w:rsidR="00E6043D">
          <w:rPr>
            <w:noProof/>
            <w:color w:val="000000"/>
            <w:szCs w:val="22"/>
          </w:rPr>
          <w:t>Collier and Waycott 2009</w:t>
        </w:r>
        <w:r w:rsidR="00E6043D">
          <w:rPr>
            <w:noProof/>
            <w:color w:val="000000"/>
            <w:szCs w:val="22"/>
          </w:rPr>
          <w:fldChar w:fldCharType="end"/>
        </w:r>
      </w:hyperlink>
      <w:r w:rsidRPr="00591DF9">
        <w:rPr>
          <w:noProof/>
          <w:color w:val="000000"/>
          <w:szCs w:val="22"/>
        </w:rPr>
        <w:t>)</w:t>
      </w:r>
      <w:r>
        <w:rPr>
          <w:color w:val="000000"/>
          <w:szCs w:val="22"/>
        </w:rPr>
        <w:t xml:space="preserve">. </w:t>
      </w:r>
      <w:r>
        <w:rPr>
          <w:szCs w:val="22"/>
        </w:rPr>
        <w:t>C</w:t>
      </w:r>
      <w:r w:rsidRPr="002F52D1">
        <w:rPr>
          <w:szCs w:val="22"/>
        </w:rPr>
        <w:t>ommunity structure</w:t>
      </w:r>
      <w:r>
        <w:rPr>
          <w:szCs w:val="22"/>
        </w:rPr>
        <w:t xml:space="preserve"> (species composition) is also an important feature conferring resilience, both resistance (as some species are more resistant to stress than others), and recovery (as some species may rapidly recover and pave the way for meadow development). </w:t>
      </w:r>
    </w:p>
    <w:p w:rsidR="003D1F7F" w:rsidRDefault="003D1F7F" w:rsidP="003D1F7F">
      <w:pPr>
        <w:rPr>
          <w:color w:val="000000"/>
          <w:szCs w:val="22"/>
        </w:rPr>
      </w:pPr>
    </w:p>
    <w:p w:rsidR="003D1F7F" w:rsidRPr="00015190" w:rsidRDefault="003D1F7F" w:rsidP="003D1F7F">
      <w:pPr>
        <w:keepNext/>
        <w:spacing w:before="240"/>
        <w:jc w:val="center"/>
        <w:rPr>
          <w:color w:val="000000"/>
          <w:szCs w:val="22"/>
          <w:lang w:val="en-US"/>
        </w:rPr>
      </w:pPr>
      <w:r>
        <w:rPr>
          <w:noProof/>
          <w:color w:val="000000"/>
          <w:szCs w:val="22"/>
          <w:lang w:eastAsia="en-AU"/>
        </w:rPr>
        <w:lastRenderedPageBreak/>
        <w:drawing>
          <wp:inline distT="0" distB="0" distL="0" distR="0" wp14:anchorId="62B99255" wp14:editId="042FB16E">
            <wp:extent cx="4334451" cy="4779010"/>
            <wp:effectExtent l="0" t="0" r="9525" b="0"/>
            <wp:docPr id="255" name="Picture 17" descr="Illustration depicting rates of seagrass recovery after loss and the categories of successional species over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llustration depicting rates of seagrass recovery after loss and the categories of successional species over tim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334451" cy="4779010"/>
                    </a:xfrm>
                    <a:prstGeom prst="rect">
                      <a:avLst/>
                    </a:prstGeom>
                    <a:noFill/>
                    <a:ln>
                      <a:noFill/>
                    </a:ln>
                  </pic:spPr>
                </pic:pic>
              </a:graphicData>
            </a:graphic>
          </wp:inline>
        </w:drawing>
      </w:r>
    </w:p>
    <w:p w:rsidR="003D1F7F" w:rsidRPr="00015190" w:rsidRDefault="003D1F7F" w:rsidP="003D1F7F">
      <w:pPr>
        <w:rPr>
          <w:i/>
          <w:color w:val="000000"/>
          <w:szCs w:val="22"/>
        </w:rPr>
      </w:pPr>
      <w:bookmarkStart w:id="30" w:name="_Toc462684843"/>
      <w:r w:rsidRPr="00015190">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3</w:t>
      </w:r>
      <w:r w:rsidR="0073595B">
        <w:rPr>
          <w:color w:val="000000"/>
          <w:szCs w:val="22"/>
        </w:rPr>
        <w:fldChar w:fldCharType="end"/>
      </w:r>
      <w:r w:rsidRPr="00015190">
        <w:rPr>
          <w:color w:val="000000"/>
          <w:szCs w:val="22"/>
        </w:rPr>
        <w:t>.</w:t>
      </w:r>
      <w:r w:rsidRPr="00015190">
        <w:rPr>
          <w:i/>
          <w:color w:val="000000"/>
          <w:szCs w:val="22"/>
        </w:rPr>
        <w:t xml:space="preserve"> Illustration of seagrass recovery after loss and the categories of successional species over time.</w:t>
      </w:r>
      <w:bookmarkEnd w:id="30"/>
    </w:p>
    <w:p w:rsidR="003D1F7F" w:rsidRPr="00015190" w:rsidRDefault="003D1F7F" w:rsidP="003D1F7F">
      <w:pPr>
        <w:spacing w:before="240"/>
        <w:rPr>
          <w:color w:val="000000"/>
          <w:szCs w:val="22"/>
        </w:rPr>
      </w:pPr>
      <w:r w:rsidRPr="0002161B">
        <w:rPr>
          <w:color w:val="000000"/>
          <w:szCs w:val="22"/>
        </w:rPr>
        <w:t>This report presents data from the tenth period of monitoring inshore seagrass ecosystems of the Great Barrier Reef under the MMP (undertaken from June 201</w:t>
      </w:r>
      <w:r>
        <w:rPr>
          <w:color w:val="000000"/>
          <w:szCs w:val="22"/>
        </w:rPr>
        <w:t>4</w:t>
      </w:r>
      <w:r w:rsidRPr="0002161B">
        <w:rPr>
          <w:color w:val="000000"/>
          <w:szCs w:val="22"/>
        </w:rPr>
        <w:t xml:space="preserve"> to May 201</w:t>
      </w:r>
      <w:r>
        <w:rPr>
          <w:color w:val="000000"/>
          <w:szCs w:val="22"/>
        </w:rPr>
        <w:t>5</w:t>
      </w:r>
      <w:r w:rsidRPr="0002161B">
        <w:rPr>
          <w:color w:val="000000"/>
          <w:szCs w:val="22"/>
        </w:rPr>
        <w:t xml:space="preserve">; hereafter </w:t>
      </w:r>
      <w:proofErr w:type="gramStart"/>
      <w:r w:rsidRPr="0002161B">
        <w:rPr>
          <w:color w:val="000000"/>
          <w:szCs w:val="22"/>
        </w:rPr>
        <w:t>called</w:t>
      </w:r>
      <w:proofErr w:type="gramEnd"/>
      <w:r w:rsidRPr="0002161B">
        <w:rPr>
          <w:color w:val="000000"/>
          <w:szCs w:val="22"/>
        </w:rPr>
        <w:t xml:space="preserve"> “</w:t>
      </w:r>
      <w:r>
        <w:rPr>
          <w:color w:val="000000"/>
          <w:szCs w:val="22"/>
        </w:rPr>
        <w:t>2014-15</w:t>
      </w:r>
      <w:r w:rsidRPr="0002161B">
        <w:rPr>
          <w:color w:val="000000"/>
          <w:szCs w:val="22"/>
        </w:rPr>
        <w:t xml:space="preserve">”). </w:t>
      </w:r>
      <w:r>
        <w:rPr>
          <w:color w:val="000000"/>
          <w:szCs w:val="22"/>
        </w:rPr>
        <w:t xml:space="preserve"> </w:t>
      </w:r>
      <w:r w:rsidRPr="00015190">
        <w:rPr>
          <w:color w:val="000000"/>
          <w:szCs w:val="22"/>
        </w:rPr>
        <w:t xml:space="preserve">The key aims </w:t>
      </w:r>
      <w:r>
        <w:rPr>
          <w:color w:val="000000"/>
          <w:szCs w:val="22"/>
        </w:rPr>
        <w:t xml:space="preserve">of the inshore seagrass monitoring sub-program of the Marine Monitoring Program (MMP) </w:t>
      </w:r>
      <w:r w:rsidRPr="00015190">
        <w:rPr>
          <w:color w:val="000000"/>
          <w:szCs w:val="22"/>
        </w:rPr>
        <w:t>were to:</w:t>
      </w:r>
    </w:p>
    <w:p w:rsidR="003D1F7F" w:rsidRPr="00785428" w:rsidRDefault="003D1F7F" w:rsidP="00926892">
      <w:pPr>
        <w:numPr>
          <w:ilvl w:val="0"/>
          <w:numId w:val="6"/>
        </w:numPr>
        <w:rPr>
          <w:rFonts w:cs="Arial"/>
        </w:rPr>
      </w:pPr>
      <w:r w:rsidRPr="00785428">
        <w:rPr>
          <w:rFonts w:cs="Arial"/>
        </w:rPr>
        <w:t>Report on the abundance and species composition of seagrass (including edge mapping) in the late dry season of 201</w:t>
      </w:r>
      <w:r>
        <w:rPr>
          <w:rFonts w:cs="Arial"/>
        </w:rPr>
        <w:t>4</w:t>
      </w:r>
      <w:r w:rsidRPr="00785428">
        <w:rPr>
          <w:rFonts w:cs="Arial"/>
        </w:rPr>
        <w:t xml:space="preserve"> and the late monsoon season of 201</w:t>
      </w:r>
      <w:r>
        <w:rPr>
          <w:rFonts w:cs="Arial"/>
        </w:rPr>
        <w:t>5</w:t>
      </w:r>
      <w:r w:rsidRPr="00785428">
        <w:rPr>
          <w:rFonts w:cs="Arial"/>
        </w:rPr>
        <w:t xml:space="preserve"> at inshore intertidal and subtidal locations</w:t>
      </w:r>
      <w:r>
        <w:rPr>
          <w:rFonts w:cs="Arial"/>
        </w:rPr>
        <w:t>,</w:t>
      </w:r>
    </w:p>
    <w:p w:rsidR="003D1F7F" w:rsidRPr="00785428" w:rsidRDefault="003D1F7F" w:rsidP="00926892">
      <w:pPr>
        <w:numPr>
          <w:ilvl w:val="0"/>
          <w:numId w:val="6"/>
        </w:numPr>
        <w:rPr>
          <w:rFonts w:cs="Arial"/>
        </w:rPr>
      </w:pPr>
      <w:r w:rsidRPr="00785428">
        <w:rPr>
          <w:rFonts w:cs="Arial"/>
        </w:rPr>
        <w:t>Report on the reproductive health of the seagrass species present at inshore intertidal and subtidal locations</w:t>
      </w:r>
      <w:r>
        <w:rPr>
          <w:rFonts w:cs="Arial"/>
        </w:rPr>
        <w:t>,</w:t>
      </w:r>
    </w:p>
    <w:p w:rsidR="003D1F7F" w:rsidRPr="00785428" w:rsidRDefault="003D1F7F" w:rsidP="00926892">
      <w:pPr>
        <w:numPr>
          <w:ilvl w:val="0"/>
          <w:numId w:val="6"/>
        </w:numPr>
        <w:rPr>
          <w:rFonts w:cs="Arial"/>
        </w:rPr>
      </w:pPr>
      <w:r w:rsidRPr="00785428">
        <w:rPr>
          <w:rFonts w:cs="Arial"/>
        </w:rPr>
        <w:t xml:space="preserve">Report on tissue nutrient concentrations (carbon, nitrogen and phosphorus) and epiphyte loads of foundation seagrass species (genus </w:t>
      </w:r>
      <w:proofErr w:type="spellStart"/>
      <w:r w:rsidRPr="00395A33">
        <w:rPr>
          <w:rFonts w:cs="Arial"/>
          <w:i/>
        </w:rPr>
        <w:t>Halodule</w:t>
      </w:r>
      <w:proofErr w:type="spellEnd"/>
      <w:r w:rsidRPr="00395A33">
        <w:rPr>
          <w:rFonts w:cs="Arial"/>
          <w:i/>
        </w:rPr>
        <w:t xml:space="preserve">, </w:t>
      </w:r>
      <w:proofErr w:type="spellStart"/>
      <w:r w:rsidRPr="00395A33">
        <w:rPr>
          <w:rFonts w:cs="Arial"/>
          <w:i/>
        </w:rPr>
        <w:t>Zostera</w:t>
      </w:r>
      <w:proofErr w:type="spellEnd"/>
      <w:r w:rsidRPr="00395A33">
        <w:rPr>
          <w:rFonts w:cs="Arial"/>
          <w:i/>
        </w:rPr>
        <w:t xml:space="preserve">, </w:t>
      </w:r>
      <w:proofErr w:type="spellStart"/>
      <w:r w:rsidRPr="00395A33">
        <w:rPr>
          <w:rFonts w:cs="Arial"/>
          <w:i/>
        </w:rPr>
        <w:t>Cymodocea</w:t>
      </w:r>
      <w:proofErr w:type="spellEnd"/>
      <w:r w:rsidRPr="00785428">
        <w:rPr>
          <w:rFonts w:cs="Arial"/>
        </w:rPr>
        <w:t>) at each inshore intertidal and subtidal location</w:t>
      </w:r>
      <w:r>
        <w:rPr>
          <w:rFonts w:cs="Arial"/>
        </w:rPr>
        <w:t>,</w:t>
      </w:r>
    </w:p>
    <w:p w:rsidR="003D1F7F" w:rsidRPr="00785428" w:rsidRDefault="003D1F7F" w:rsidP="00926892">
      <w:pPr>
        <w:numPr>
          <w:ilvl w:val="0"/>
          <w:numId w:val="6"/>
        </w:numPr>
        <w:rPr>
          <w:rFonts w:cs="Arial"/>
        </w:rPr>
      </w:pPr>
      <w:r w:rsidRPr="00785428">
        <w:rPr>
          <w:rFonts w:cs="Arial"/>
        </w:rPr>
        <w:t>Report on spatial and temporal patterns in light, turbidity and temperature at sites where autonomous loggers are deployed</w:t>
      </w:r>
      <w:r>
        <w:rPr>
          <w:rFonts w:cs="Arial"/>
        </w:rPr>
        <w:t>,</w:t>
      </w:r>
    </w:p>
    <w:p w:rsidR="003D1F7F" w:rsidRDefault="003D1F7F" w:rsidP="00926892">
      <w:pPr>
        <w:numPr>
          <w:ilvl w:val="0"/>
          <w:numId w:val="6"/>
        </w:numPr>
        <w:rPr>
          <w:rFonts w:cs="Arial"/>
        </w:rPr>
      </w:pPr>
      <w:r w:rsidRPr="00785428">
        <w:rPr>
          <w:rFonts w:cs="Arial"/>
        </w:rPr>
        <w:t xml:space="preserve">Report on seagrass community and environment </w:t>
      </w:r>
      <w:r w:rsidR="00A1555C">
        <w:rPr>
          <w:rFonts w:cs="Arial"/>
        </w:rPr>
        <w:t>condition</w:t>
      </w:r>
      <w:r w:rsidRPr="00785428">
        <w:rPr>
          <w:rFonts w:cs="Arial"/>
        </w:rPr>
        <w:t xml:space="preserve"> and trends</w:t>
      </w:r>
      <w:r>
        <w:rPr>
          <w:rFonts w:cs="Arial"/>
        </w:rPr>
        <w:t>, and</w:t>
      </w:r>
    </w:p>
    <w:p w:rsidR="003D1F7F" w:rsidRPr="000F066E" w:rsidRDefault="003D1F7F" w:rsidP="00926892">
      <w:pPr>
        <w:numPr>
          <w:ilvl w:val="0"/>
          <w:numId w:val="6"/>
        </w:numPr>
        <w:rPr>
          <w:color w:val="000000"/>
          <w:szCs w:val="22"/>
        </w:rPr>
      </w:pPr>
      <w:r w:rsidRPr="000F066E">
        <w:rPr>
          <w:color w:val="000000"/>
          <w:szCs w:val="22"/>
        </w:rPr>
        <w:t xml:space="preserve">Integrate reporting on GBR seagrass </w:t>
      </w:r>
      <w:r w:rsidR="00A1555C">
        <w:rPr>
          <w:color w:val="000000"/>
          <w:szCs w:val="22"/>
        </w:rPr>
        <w:t>condition</w:t>
      </w:r>
      <w:r w:rsidRPr="000F066E">
        <w:rPr>
          <w:color w:val="000000"/>
          <w:szCs w:val="22"/>
        </w:rPr>
        <w:t xml:space="preserve"> including production of seagrass report card metrics for use in an annual Paddock to Reef report card.</w:t>
      </w:r>
    </w:p>
    <w:p w:rsidR="005132EF" w:rsidRPr="001B1783" w:rsidRDefault="005132EF" w:rsidP="00926892">
      <w:pPr>
        <w:pStyle w:val="Heading1"/>
        <w:numPr>
          <w:ilvl w:val="0"/>
          <w:numId w:val="9"/>
        </w:numPr>
        <w:rPr>
          <w:rFonts w:ascii="Century Gothic" w:hAnsi="Century Gothic"/>
        </w:rPr>
      </w:pPr>
      <w:bookmarkStart w:id="31" w:name="_Toc462047317"/>
      <w:r w:rsidRPr="001B1783">
        <w:rPr>
          <w:rFonts w:ascii="Century Gothic" w:hAnsi="Century Gothic"/>
        </w:rPr>
        <w:lastRenderedPageBreak/>
        <w:t>Method</w:t>
      </w:r>
      <w:r w:rsidR="001B1783" w:rsidRPr="001B1783">
        <w:rPr>
          <w:rFonts w:ascii="Century Gothic" w:hAnsi="Century Gothic"/>
        </w:rPr>
        <w:t>s summary</w:t>
      </w:r>
      <w:bookmarkEnd w:id="19"/>
      <w:bookmarkEnd w:id="20"/>
      <w:bookmarkEnd w:id="21"/>
      <w:bookmarkEnd w:id="22"/>
      <w:bookmarkEnd w:id="31"/>
    </w:p>
    <w:p w:rsidR="003D1F7F" w:rsidRDefault="003D1F7F" w:rsidP="003D1F7F">
      <w:pPr>
        <w:spacing w:before="240"/>
        <w:rPr>
          <w:color w:val="000000"/>
          <w:szCs w:val="22"/>
          <w:lang w:val="en-US"/>
        </w:rPr>
      </w:pPr>
      <w:bookmarkStart w:id="32" w:name="_Toc431493754"/>
      <w:bookmarkStart w:id="33" w:name="_Toc175991055"/>
      <w:bookmarkStart w:id="34" w:name="_Toc232845903"/>
      <w:bookmarkStart w:id="35" w:name="_Toc184101959"/>
      <w:r w:rsidRPr="00B07FC2">
        <w:rPr>
          <w:color w:val="000000"/>
          <w:szCs w:val="22"/>
          <w:lang w:val="en-US"/>
        </w:rPr>
        <w:t xml:space="preserve">In the following, an overview is given of the sample collection, preparation and analyses methods. Detailed documentation of the methods used in the MMP, including quality assurance and quality control procedures, is available in </w:t>
      </w:r>
      <w:r w:rsidRPr="00B07FC2">
        <w:rPr>
          <w:color w:val="000000"/>
          <w:lang w:val="en-US" w:eastAsia="en-AU"/>
        </w:rPr>
        <w:t xml:space="preserve">Appendix </w:t>
      </w:r>
      <w:r>
        <w:rPr>
          <w:color w:val="000000"/>
          <w:lang w:val="en-US" w:eastAsia="en-AU"/>
        </w:rPr>
        <w:t>2</w:t>
      </w:r>
      <w:r w:rsidRPr="00B07FC2">
        <w:rPr>
          <w:color w:val="000000"/>
          <w:szCs w:val="22"/>
          <w:lang w:val="en-US"/>
        </w:rPr>
        <w:t>.</w:t>
      </w:r>
    </w:p>
    <w:p w:rsidR="003D1F7F" w:rsidRPr="00BB52BF" w:rsidRDefault="003D1F7F" w:rsidP="00926892">
      <w:pPr>
        <w:pStyle w:val="Heading2"/>
        <w:numPr>
          <w:ilvl w:val="1"/>
          <w:numId w:val="9"/>
        </w:numPr>
        <w:rPr>
          <w:rFonts w:ascii="Century Gothic" w:hAnsi="Century Gothic"/>
          <w:color w:val="000000"/>
        </w:rPr>
      </w:pPr>
      <w:bookmarkStart w:id="36" w:name="_Toc462047318"/>
      <w:r w:rsidRPr="00BB52BF">
        <w:rPr>
          <w:rFonts w:ascii="Century Gothic" w:hAnsi="Century Gothic"/>
          <w:color w:val="000000"/>
        </w:rPr>
        <w:t xml:space="preserve">Climate and environmental </w:t>
      </w:r>
      <w:r w:rsidR="00BB52BF">
        <w:rPr>
          <w:rFonts w:ascii="Century Gothic" w:hAnsi="Century Gothic"/>
          <w:color w:val="000000"/>
        </w:rPr>
        <w:t>pressures</w:t>
      </w:r>
      <w:bookmarkEnd w:id="36"/>
    </w:p>
    <w:p w:rsidR="003D1F7F" w:rsidRPr="00E51B48" w:rsidRDefault="003D1F7F" w:rsidP="003D1F7F">
      <w:pPr>
        <w:rPr>
          <w:szCs w:val="22"/>
        </w:rPr>
      </w:pPr>
      <w:r w:rsidRPr="00E51B48">
        <w:rPr>
          <w:color w:val="000000"/>
          <w:szCs w:val="22"/>
        </w:rPr>
        <w:t>Maximum daily air temperature, total daily rainfall, 3pm wind speed and average daily cloud cover (average of 9am and 3pm total cloud), and cyclone tracks were accessed from the Australian Bureau of Meteorology from meteorological stations which were proximal to monitoring locations (</w:t>
      </w:r>
      <w:r w:rsidR="00E51B48" w:rsidRPr="00E51B48">
        <w:rPr>
          <w:color w:val="000000"/>
          <w:szCs w:val="22"/>
        </w:rPr>
        <w:fldChar w:fldCharType="begin"/>
      </w:r>
      <w:r w:rsidR="00E51B48" w:rsidRPr="00E51B48">
        <w:rPr>
          <w:color w:val="000000"/>
          <w:szCs w:val="22"/>
        </w:rPr>
        <w:instrText xml:space="preserve"> REF _Ref461015425 \h </w:instrText>
      </w:r>
      <w:r w:rsidR="00E51B48">
        <w:rPr>
          <w:color w:val="000000"/>
          <w:szCs w:val="22"/>
        </w:rPr>
        <w:instrText xml:space="preserve"> \* MERGEFORMAT </w:instrText>
      </w:r>
      <w:r w:rsidR="00E51B48" w:rsidRPr="00E51B48">
        <w:rPr>
          <w:color w:val="000000"/>
          <w:szCs w:val="22"/>
        </w:rPr>
      </w:r>
      <w:r w:rsidR="00E51B48" w:rsidRPr="00E51B48">
        <w:rPr>
          <w:color w:val="000000"/>
          <w:szCs w:val="22"/>
        </w:rPr>
        <w:fldChar w:fldCharType="separate"/>
      </w:r>
      <w:r w:rsidR="009C068F" w:rsidRPr="009C068F">
        <w:rPr>
          <w:szCs w:val="22"/>
        </w:rPr>
        <w:t xml:space="preserve">Table </w:t>
      </w:r>
      <w:r w:rsidR="009C068F" w:rsidRPr="009C068F">
        <w:rPr>
          <w:noProof/>
          <w:szCs w:val="22"/>
        </w:rPr>
        <w:t>2</w:t>
      </w:r>
      <w:r w:rsidR="00E51B48" w:rsidRPr="00E51B48">
        <w:rPr>
          <w:color w:val="000000"/>
          <w:szCs w:val="22"/>
        </w:rPr>
        <w:fldChar w:fldCharType="end"/>
      </w:r>
      <w:r w:rsidRPr="00E51B48">
        <w:rPr>
          <w:color w:val="000000"/>
          <w:szCs w:val="22"/>
        </w:rPr>
        <w:t>). As the height of locally produced, short-period wind-waves can be the dominant factor controlling suspended sediment on inner-shelf of the GBR (</w:t>
      </w:r>
      <w:hyperlink w:anchor="_ENREF_138" w:tooltip="Larcombe, 1995 #9686" w:history="1">
        <w:r w:rsidR="00E6043D" w:rsidRPr="00E51B48">
          <w:rPr>
            <w:color w:val="000000"/>
            <w:szCs w:val="22"/>
          </w:rPr>
          <w:fldChar w:fldCharType="begin"/>
        </w:r>
        <w:r w:rsidR="00E6043D" w:rsidRPr="00E51B48">
          <w:rPr>
            <w:color w:val="000000"/>
            <w:szCs w:val="22"/>
          </w:rPr>
          <w:instrText xml:space="preserve"> ADDIN EN.CITE &lt;EndNote&gt;&lt;Cite&gt;&lt;Author&gt;Larcombe&lt;/Author&gt;&lt;Year&gt;1995&lt;/Year&gt;&lt;RecNum&gt;9686&lt;/RecNum&gt;&lt;DisplayText&gt;Larcombe&lt;style face="italic"&gt; et al.&lt;/style&gt; 1995&lt;/DisplayText&gt;&lt;record&gt;&lt;rec-number&gt;9686&lt;/rec-number&gt;&lt;foreign-keys&gt;&lt;key app="EN" db-id="0eve55x9y5vfd6e9dacxtew4eatve2dzds9a"&gt;9686&lt;/key&gt;&lt;/foreign-keys&gt;&lt;ref-type name="Journal Article"&gt;17&lt;/ref-type&gt;&lt;contributors&gt;&lt;authors&gt;&lt;author&gt;Larcombe, P.&lt;/author&gt;&lt;author&gt;Ridd, P. V.&lt;/author&gt;&lt;author&gt;Prytz, A.&lt;/author&gt;&lt;author&gt;Wilson, B.&lt;/author&gt;&lt;/authors&gt;&lt;/contributors&gt;&lt;titles&gt;&lt;title&gt;Factors controlling suspended sediment on inner-shelf coral reefs, Townsville, Australia&lt;/title&gt;&lt;secondary-title&gt;Coral Reefs&lt;/secondary-title&gt;&lt;alt-title&gt;Coral Reefs&lt;/alt-title&gt;&lt;/titles&gt;&lt;periodical&gt;&lt;full-title&gt;Coral Reefs&lt;/full-title&gt;&lt;/periodical&gt;&lt;alt-periodical&gt;&lt;full-title&gt;Coral Reefs&lt;/full-title&gt;&lt;/alt-periodical&gt;&lt;pages&gt;163-171&lt;/pages&gt;&lt;volume&gt;14&lt;/volume&gt;&lt;number&gt;3&lt;/number&gt;&lt;dates&gt;&lt;year&gt;1995&lt;/year&gt;&lt;pub-dates&gt;&lt;date&gt;1995/09/01&lt;/date&gt;&lt;/pub-dates&gt;&lt;/dates&gt;&lt;publisher&gt;Springer-Verlag&lt;/publisher&gt;&lt;isbn&gt;0722-4028&lt;/isbn&gt;&lt;urls&gt;&lt;related-urls&gt;&lt;url&gt;http://dx.doi.org/10.1007/BF00367235&lt;/url&gt;&lt;/related-urls&gt;&lt;/urls&gt;&lt;electronic-resource-num&gt;10.1007/bf00367235&lt;/electronic-resource-num&gt;&lt;language&gt;English&lt;/language&gt;&lt;/record&gt;&lt;/Cite&gt;&lt;/EndNote&gt;</w:instrText>
        </w:r>
        <w:r w:rsidR="00E6043D" w:rsidRPr="00E51B48">
          <w:rPr>
            <w:color w:val="000000"/>
            <w:szCs w:val="22"/>
          </w:rPr>
          <w:fldChar w:fldCharType="separate"/>
        </w:r>
        <w:r w:rsidR="00E6043D" w:rsidRPr="00E51B48">
          <w:rPr>
            <w:noProof/>
            <w:color w:val="000000"/>
            <w:szCs w:val="22"/>
          </w:rPr>
          <w:t>Larcombe</w:t>
        </w:r>
        <w:r w:rsidR="00E6043D" w:rsidRPr="00E51B48">
          <w:rPr>
            <w:i/>
            <w:noProof/>
            <w:color w:val="000000"/>
            <w:szCs w:val="22"/>
          </w:rPr>
          <w:t xml:space="preserve"> et al.</w:t>
        </w:r>
        <w:r w:rsidR="00E6043D" w:rsidRPr="00E51B48">
          <w:rPr>
            <w:noProof/>
            <w:color w:val="000000"/>
            <w:szCs w:val="22"/>
          </w:rPr>
          <w:t xml:space="preserve"> 1995</w:t>
        </w:r>
        <w:r w:rsidR="00E6043D" w:rsidRPr="00E51B48">
          <w:rPr>
            <w:color w:val="000000"/>
            <w:szCs w:val="22"/>
          </w:rPr>
          <w:fldChar w:fldCharType="end"/>
        </w:r>
      </w:hyperlink>
      <w:r w:rsidRPr="00E51B48">
        <w:rPr>
          <w:color w:val="000000"/>
          <w:szCs w:val="22"/>
        </w:rPr>
        <w:t xml:space="preserve">; </w:t>
      </w:r>
      <w:hyperlink w:anchor="_ENREF_242" w:tooltip="Whinney, 2007 #9690" w:history="1">
        <w:r w:rsidR="00E6043D" w:rsidRPr="00E51B48">
          <w:rPr>
            <w:color w:val="000000"/>
            <w:szCs w:val="22"/>
          </w:rPr>
          <w:fldChar w:fldCharType="begin"/>
        </w:r>
        <w:r w:rsidR="00E6043D" w:rsidRPr="00E51B48">
          <w:rPr>
            <w:color w:val="000000"/>
            <w:szCs w:val="22"/>
          </w:rPr>
          <w:instrText xml:space="preserve"> ADDIN EN.CITE &lt;EndNote&gt;&lt;Cite&gt;&lt;Author&gt;Whinney&lt;/Author&gt;&lt;Year&gt;2007&lt;/Year&gt;&lt;RecNum&gt;9690&lt;/RecNum&gt;&lt;DisplayText&gt;Whinney 2007&lt;/DisplayText&gt;&lt;record&gt;&lt;rec-number&gt;9690&lt;/rec-number&gt;&lt;foreign-keys&gt;&lt;key app="EN" db-id="0eve55x9y5vfd6e9dacxtew4eatve2dzds9a"&gt;9690&lt;/key&gt;&lt;/foreign-keys&gt;&lt;ref-type name="Thesis"&gt;32&lt;/ref-type&gt;&lt;contributors&gt;&lt;authors&gt;&lt;author&gt;Whinney, J&lt;/author&gt;&lt;/authors&gt;&lt;/contributors&gt;&lt;titles&gt;&lt;title&gt;Physical conditions on marginal coral reefs.&lt;/title&gt;&lt;secondary-title&gt;School of Mathematics, Physics, and Information Technology&lt;/secondary-title&gt;&lt;/titles&gt;&lt;pages&gt;143&lt;/pages&gt;&lt;volume&gt;PhD&lt;/volume&gt;&lt;dates&gt;&lt;year&gt;2007&lt;/year&gt;&lt;/dates&gt;&lt;pub-location&gt;Townsville&lt;/pub-location&gt;&lt;publisher&gt;James Cook University&lt;/publisher&gt;&lt;urls&gt;&lt;/urls&gt;&lt;/record&gt;&lt;/Cite&gt;&lt;/EndNote&gt;</w:instrText>
        </w:r>
        <w:r w:rsidR="00E6043D" w:rsidRPr="00E51B48">
          <w:rPr>
            <w:color w:val="000000"/>
            <w:szCs w:val="22"/>
          </w:rPr>
          <w:fldChar w:fldCharType="separate"/>
        </w:r>
        <w:r w:rsidR="00E6043D" w:rsidRPr="00E51B48">
          <w:rPr>
            <w:noProof/>
            <w:color w:val="000000"/>
            <w:szCs w:val="22"/>
          </w:rPr>
          <w:t>Whinney 2007</w:t>
        </w:r>
        <w:r w:rsidR="00E6043D" w:rsidRPr="00E51B48">
          <w:rPr>
            <w:color w:val="000000"/>
            <w:szCs w:val="22"/>
          </w:rPr>
          <w:fldChar w:fldCharType="end"/>
        </w:r>
      </w:hyperlink>
      <w:r w:rsidRPr="00E51B48">
        <w:rPr>
          <w:color w:val="000000"/>
          <w:szCs w:val="22"/>
        </w:rPr>
        <w:t>), the number of days wind speed exceeded 25km hr</w:t>
      </w:r>
      <w:r w:rsidRPr="00E51B48">
        <w:rPr>
          <w:color w:val="000000"/>
          <w:szCs w:val="22"/>
          <w:vertAlign w:val="superscript"/>
        </w:rPr>
        <w:t>-1</w:t>
      </w:r>
      <w:r w:rsidRPr="00E51B48">
        <w:rPr>
          <w:color w:val="000000"/>
          <w:szCs w:val="22"/>
        </w:rPr>
        <w:t xml:space="preserve"> was used as a surrogate for elevated resuspension pressure on inshore seagrass meadows. Moderate sea state with winds &gt;25km hr</w:t>
      </w:r>
      <w:r w:rsidRPr="00E51B48">
        <w:rPr>
          <w:color w:val="000000"/>
          <w:szCs w:val="22"/>
          <w:vertAlign w:val="superscript"/>
        </w:rPr>
        <w:t>-1</w:t>
      </w:r>
      <w:r w:rsidRPr="00E51B48">
        <w:rPr>
          <w:color w:val="000000"/>
          <w:szCs w:val="22"/>
        </w:rPr>
        <w:t xml:space="preserve"> can elevate turbidity by three orders of magnitude in the inshore coastal areas of the GBR (</w:t>
      </w:r>
      <w:hyperlink w:anchor="_ENREF_191" w:tooltip="Orpin, 2004 #9687" w:history="1">
        <w:r w:rsidR="00E6043D" w:rsidRPr="00E51B48">
          <w:rPr>
            <w:color w:val="000000"/>
            <w:szCs w:val="22"/>
          </w:rPr>
          <w:fldChar w:fldCharType="begin"/>
        </w:r>
        <w:r w:rsidR="00E6043D" w:rsidRPr="00E51B48">
          <w:rPr>
            <w:color w:val="000000"/>
            <w:szCs w:val="22"/>
          </w:rPr>
          <w:instrText xml:space="preserve"> ADDIN EN.CITE &lt;EndNote&gt;&lt;Cite&gt;&lt;Author&gt;Orpin&lt;/Author&gt;&lt;Year&gt;2004&lt;/Year&gt;&lt;RecNum&gt;9687&lt;/RecNum&gt;&lt;DisplayText&gt;Orpin&lt;style face="italic"&gt; et al.&lt;/style&gt; 2004&lt;/DisplayText&gt;&lt;record&gt;&lt;rec-number&gt;9687&lt;/rec-number&gt;&lt;foreign-keys&gt;&lt;key app="EN" db-id="0eve55x9y5vfd6e9dacxtew4eatve2dzds9a"&gt;9687&lt;/key&gt;&lt;/foreign-keys&gt;&lt;ref-type name="Journal Article"&gt;17&lt;/ref-type&gt;&lt;contributors&gt;&lt;authors&gt;&lt;author&gt;Orpin, Alan R.&lt;/author&gt;&lt;author&gt;Ridd, Peter V.&lt;/author&gt;&lt;author&gt;Thomas, Séverine&lt;/author&gt;&lt;author&gt;Anthony, Kenneth R. N.&lt;/author&gt;&lt;author&gt;Marshall, Paul&lt;/author&gt;&lt;author&gt;Oliver, Jamie&lt;/author&gt;&lt;/authors&gt;&lt;/contributors&gt;&lt;titles&gt;&lt;title&gt;Natural turbidity variability and weather forecasts in risk management of anthropogenic sediment discharge near sensitive environments&lt;/title&gt;&lt;secondary-title&gt;Marine Pollution Bulletin&lt;/secondary-title&gt;&lt;/titles&gt;&lt;periodical&gt;&lt;full-title&gt;Marine Pollution Bulletin&lt;/full-title&gt;&lt;/periodical&gt;&lt;pages&gt;602-612&lt;/pages&gt;&lt;volume&gt;49&lt;/volume&gt;&lt;number&gt;7–8&lt;/number&gt;&lt;keywords&gt;&lt;keyword&gt;Great Barrier Reef&lt;/keyword&gt;&lt;keyword&gt;Coastal development&lt;/keyword&gt;&lt;keyword&gt;Impact management&lt;/keyword&gt;&lt;keyword&gt;Turbidity&lt;/keyword&gt;&lt;keyword&gt;Sediment&lt;/keyword&gt;&lt;keyword&gt;Coral reef&lt;/keyword&gt;&lt;/keywords&gt;&lt;dates&gt;&lt;year&gt;2004&lt;/year&gt;&lt;/dates&gt;&lt;isbn&gt;0025-326X&lt;/isbn&gt;&lt;urls&gt;&lt;related-urls&gt;&lt;url&gt;http://www.sciencedirect.com/science/article/pii/S0025326X04001304&lt;/url&gt;&lt;/related-urls&gt;&lt;/urls&gt;&lt;electronic-resource-num&gt;http://dx.doi.org/10.1016/j.marpolbul.2004.03.020&lt;/electronic-resource-num&gt;&lt;/record&gt;&lt;/Cite&gt;&lt;/EndNote&gt;</w:instrText>
        </w:r>
        <w:r w:rsidR="00E6043D" w:rsidRPr="00E51B48">
          <w:rPr>
            <w:color w:val="000000"/>
            <w:szCs w:val="22"/>
          </w:rPr>
          <w:fldChar w:fldCharType="separate"/>
        </w:r>
        <w:r w:rsidR="00E6043D" w:rsidRPr="00E51B48">
          <w:rPr>
            <w:noProof/>
            <w:color w:val="000000"/>
            <w:szCs w:val="22"/>
          </w:rPr>
          <w:t>Orpin</w:t>
        </w:r>
        <w:r w:rsidR="00E6043D" w:rsidRPr="00E51B48">
          <w:rPr>
            <w:i/>
            <w:noProof/>
            <w:color w:val="000000"/>
            <w:szCs w:val="22"/>
          </w:rPr>
          <w:t xml:space="preserve"> et al.</w:t>
        </w:r>
        <w:r w:rsidR="00E6043D" w:rsidRPr="00E51B48">
          <w:rPr>
            <w:noProof/>
            <w:color w:val="000000"/>
            <w:szCs w:val="22"/>
          </w:rPr>
          <w:t xml:space="preserve"> 2004</w:t>
        </w:r>
        <w:r w:rsidR="00E6043D" w:rsidRPr="00E51B48">
          <w:rPr>
            <w:color w:val="000000"/>
            <w:szCs w:val="22"/>
          </w:rPr>
          <w:fldChar w:fldCharType="end"/>
        </w:r>
      </w:hyperlink>
      <w:r w:rsidRPr="00E51B48">
        <w:rPr>
          <w:color w:val="000000"/>
          <w:szCs w:val="22"/>
        </w:rPr>
        <w:t xml:space="preserve">). To determine if the tidal exposure regime may be increasing stress on seagrass and driving decline, </w:t>
      </w:r>
      <w:r w:rsidRPr="00E51B48">
        <w:rPr>
          <w:rFonts w:cs="Calibri"/>
          <w:color w:val="000000"/>
          <w:szCs w:val="22"/>
          <w:lang w:eastAsia="en-AU"/>
        </w:rPr>
        <w:t xml:space="preserve">tidal height observations were accessed from Maritime Safety Queensland and duration of annual exposure (hours) was determined for each meadow (i.e. monitoring site) based on the meadows height relative to the </w:t>
      </w:r>
      <w:r w:rsidRPr="00E51B48">
        <w:rPr>
          <w:rFonts w:cs="Calibri"/>
          <w:szCs w:val="22"/>
          <w:lang w:eastAsia="en-AU"/>
        </w:rPr>
        <w:t xml:space="preserve">Lowest Astronomical Tide (Appendix </w:t>
      </w:r>
      <w:r w:rsidR="00EB19B4" w:rsidRPr="00E51B48">
        <w:rPr>
          <w:rFonts w:cs="Calibri"/>
          <w:szCs w:val="22"/>
          <w:lang w:eastAsia="en-AU"/>
        </w:rPr>
        <w:t xml:space="preserve">2, </w:t>
      </w:r>
      <w:r w:rsidR="00EB19B4" w:rsidRPr="00E51B48">
        <w:rPr>
          <w:rFonts w:cs="Calibri"/>
          <w:szCs w:val="22"/>
          <w:lang w:eastAsia="en-AU"/>
        </w:rPr>
        <w:fldChar w:fldCharType="begin"/>
      </w:r>
      <w:r w:rsidR="00EB19B4" w:rsidRPr="00E51B48">
        <w:rPr>
          <w:rFonts w:cs="Calibri"/>
          <w:szCs w:val="22"/>
          <w:lang w:eastAsia="en-AU"/>
        </w:rPr>
        <w:instrText xml:space="preserve"> REF _Ref409806677 \h </w:instrText>
      </w:r>
      <w:r w:rsidR="00E51B48">
        <w:rPr>
          <w:rFonts w:cs="Calibri"/>
          <w:szCs w:val="22"/>
          <w:lang w:eastAsia="en-AU"/>
        </w:rPr>
        <w:instrText xml:space="preserve"> \* MERGEFORMAT </w:instrText>
      </w:r>
      <w:r w:rsidR="00EB19B4" w:rsidRPr="00E51B48">
        <w:rPr>
          <w:rFonts w:cs="Calibri"/>
          <w:szCs w:val="22"/>
          <w:lang w:eastAsia="en-AU"/>
        </w:rPr>
      </w:r>
      <w:r w:rsidR="00EB19B4" w:rsidRPr="00E51B48">
        <w:rPr>
          <w:rFonts w:cs="Calibri"/>
          <w:szCs w:val="22"/>
          <w:lang w:eastAsia="en-AU"/>
        </w:rPr>
        <w:fldChar w:fldCharType="separate"/>
      </w:r>
      <w:r w:rsidR="009C068F" w:rsidRPr="009C068F">
        <w:rPr>
          <w:szCs w:val="22"/>
        </w:rPr>
        <w:t xml:space="preserve">Table </w:t>
      </w:r>
      <w:r w:rsidR="009C068F" w:rsidRPr="009C068F">
        <w:rPr>
          <w:noProof/>
          <w:szCs w:val="22"/>
        </w:rPr>
        <w:t>46</w:t>
      </w:r>
      <w:r w:rsidR="00EB19B4" w:rsidRPr="00E51B48">
        <w:rPr>
          <w:rFonts w:cs="Calibri"/>
          <w:szCs w:val="22"/>
          <w:lang w:eastAsia="en-AU"/>
        </w:rPr>
        <w:fldChar w:fldCharType="end"/>
      </w:r>
      <w:r w:rsidRPr="00E51B48">
        <w:rPr>
          <w:rFonts w:cs="Calibri"/>
          <w:szCs w:val="22"/>
          <w:lang w:eastAsia="en-AU"/>
        </w:rPr>
        <w:t>).</w:t>
      </w:r>
    </w:p>
    <w:p w:rsidR="003D1F7F" w:rsidRDefault="003D1F7F" w:rsidP="003D1F7F">
      <w:pPr>
        <w:rPr>
          <w:color w:val="000000"/>
          <w:szCs w:val="22"/>
        </w:rPr>
      </w:pPr>
      <w:r w:rsidRPr="00606051">
        <w:rPr>
          <w:color w:val="000000"/>
          <w:szCs w:val="22"/>
        </w:rPr>
        <w:t xml:space="preserve">The presence of inshore seagrass meadows along the GBR places them at high risk of exposure to waters from adjacent watersheds and exposure to flood plumes may be a significant factor in </w:t>
      </w:r>
      <w:r w:rsidRPr="007B36D3">
        <w:rPr>
          <w:szCs w:val="22"/>
        </w:rPr>
        <w:t>structuring inshore seagrass communities (</w:t>
      </w:r>
      <w:r w:rsidR="00644A84">
        <w:rPr>
          <w:szCs w:val="22"/>
        </w:rPr>
        <w:fldChar w:fldCharType="begin">
          <w:fldData xml:space="preserve">PEVuZE5vdGU+PENpdGU+PEF1dGhvcj5Db2xsaWVyPC9BdXRob3I+PFllYXI+MjAxNDwvWWVhcj48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</w:fldData>
        </w:fldChar>
      </w:r>
      <w:r w:rsidR="00C354D9">
        <w:rPr>
          <w:szCs w:val="22"/>
        </w:rPr>
        <w:instrText xml:space="preserve"> ADDIN EN.CITE </w:instrText>
      </w:r>
      <w:r w:rsidR="00C354D9">
        <w:rPr>
          <w:szCs w:val="22"/>
        </w:rPr>
        <w:fldChar w:fldCharType="begin">
          <w:fldData xml:space="preserve">PEVuZE5vdGU+PENpdGU+PEF1dGhvcj5Db2xsaWVyPC9BdXRob3I+PFllYXI+MjAxNDwvWWVhcj48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</w:fldData>
        </w:fldChar>
      </w:r>
      <w:r w:rsidR="00C354D9">
        <w:rPr>
          <w:szCs w:val="22"/>
        </w:rPr>
        <w:instrText xml:space="preserve"> ADDIN EN.CITE.DATA </w:instrText>
      </w:r>
      <w:r w:rsidR="00C354D9">
        <w:rPr>
          <w:szCs w:val="22"/>
        </w:rPr>
      </w:r>
      <w:r w:rsidR="00C354D9">
        <w:rPr>
          <w:szCs w:val="22"/>
        </w:rPr>
        <w:fldChar w:fldCharType="end"/>
      </w:r>
      <w:r w:rsidR="00644A84">
        <w:rPr>
          <w:szCs w:val="22"/>
        </w:rPr>
      </w:r>
      <w:r w:rsidR="00644A84">
        <w:rPr>
          <w:szCs w:val="22"/>
        </w:rPr>
        <w:fldChar w:fldCharType="separate"/>
      </w:r>
      <w:hyperlink w:anchor="_ENREF_59" w:tooltip="Collier, 2014 #9685" w:history="1">
        <w:r w:rsidR="00E6043D">
          <w:rPr>
            <w:noProof/>
            <w:szCs w:val="22"/>
          </w:rPr>
          <w:t>Collier</w:t>
        </w:r>
        <w:r w:rsidR="00E6043D" w:rsidRPr="00C354D9">
          <w:rPr>
            <w:i/>
            <w:noProof/>
            <w:szCs w:val="22"/>
          </w:rPr>
          <w:t>, et al.</w:t>
        </w:r>
        <w:r w:rsidR="00E6043D">
          <w:rPr>
            <w:noProof/>
            <w:szCs w:val="22"/>
          </w:rPr>
          <w:t xml:space="preserve"> 2014</w:t>
        </w:r>
      </w:hyperlink>
      <w:r w:rsidR="00C354D9">
        <w:rPr>
          <w:noProof/>
          <w:szCs w:val="22"/>
        </w:rPr>
        <w:t xml:space="preserve">; </w:t>
      </w:r>
      <w:hyperlink w:anchor="_ENREF_196" w:tooltip="Petus, 2016 #10580" w:history="1">
        <w:r w:rsidR="00E6043D">
          <w:rPr>
            <w:noProof/>
            <w:szCs w:val="22"/>
          </w:rPr>
          <w:t>Petus</w:t>
        </w:r>
        <w:r w:rsidR="00E6043D" w:rsidRPr="00C354D9">
          <w:rPr>
            <w:i/>
            <w:noProof/>
            <w:szCs w:val="22"/>
          </w:rPr>
          <w:t xml:space="preserve"> et al.</w:t>
        </w:r>
        <w:r w:rsidR="00E6043D">
          <w:rPr>
            <w:noProof/>
            <w:szCs w:val="22"/>
          </w:rPr>
          <w:t xml:space="preserve"> 2016</w:t>
        </w:r>
      </w:hyperlink>
      <w:r w:rsidR="00644A84">
        <w:rPr>
          <w:szCs w:val="22"/>
        </w:rPr>
        <w:fldChar w:fldCharType="end"/>
      </w:r>
      <w:r w:rsidR="007B36D3" w:rsidRPr="007B36D3">
        <w:rPr>
          <w:szCs w:val="22"/>
        </w:rPr>
        <w:t>)</w:t>
      </w:r>
      <w:r w:rsidRPr="007B36D3">
        <w:rPr>
          <w:szCs w:val="22"/>
        </w:rPr>
        <w:t xml:space="preserve">. We have used river discharge volumes as well as frequency of exposure to inshore flood plumes as indicators of flood plume impacts to seagrasses. Plume exposure is generated by wet season monitoring </w:t>
      </w:r>
      <w:r w:rsidRPr="007B36D3">
        <w:t xml:space="preserve">under the MMP </w:t>
      </w:r>
      <w:r w:rsidRPr="007B36D3">
        <w:rPr>
          <w:szCs w:val="22"/>
        </w:rPr>
        <w:t>in the water quality sub-program (</w:t>
      </w:r>
      <w:hyperlink w:anchor="_ENREF_151" w:tooltip="Lønborg, 2015 #10475" w:history="1">
        <w:r w:rsidR="00E6043D">
          <w:rPr>
            <w:szCs w:val="22"/>
          </w:rPr>
          <w:fldChar w:fldCharType="begin"/>
        </w:r>
        <w:r w:rsidR="00E6043D">
          <w:rPr>
            <w:szCs w:val="22"/>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szCs w:val="22"/>
          </w:rPr>
          <w:fldChar w:fldCharType="separate"/>
        </w:r>
        <w:r w:rsidR="00E6043D">
          <w:rPr>
            <w:noProof/>
            <w:szCs w:val="22"/>
          </w:rPr>
          <w:t>Lønborg</w:t>
        </w:r>
        <w:r w:rsidR="00E6043D" w:rsidRPr="00644A84">
          <w:rPr>
            <w:i/>
            <w:noProof/>
            <w:szCs w:val="22"/>
          </w:rPr>
          <w:t>, et al.</w:t>
        </w:r>
        <w:r w:rsidR="00E6043D">
          <w:rPr>
            <w:noProof/>
            <w:szCs w:val="22"/>
          </w:rPr>
          <w:t xml:space="preserve"> 2015</w:t>
        </w:r>
        <w:r w:rsidR="00E6043D">
          <w:rPr>
            <w:szCs w:val="22"/>
          </w:rPr>
          <w:fldChar w:fldCharType="end"/>
        </w:r>
      </w:hyperlink>
      <w:r w:rsidRPr="007B36D3">
        <w:rPr>
          <w:szCs w:val="22"/>
        </w:rPr>
        <w:t xml:space="preserve">). The </w:t>
      </w:r>
      <w:r w:rsidR="007B36D3">
        <w:rPr>
          <w:szCs w:val="22"/>
        </w:rPr>
        <w:t xml:space="preserve">MMP inshore </w:t>
      </w:r>
      <w:r w:rsidRPr="007B36D3">
        <w:rPr>
          <w:szCs w:val="22"/>
        </w:rPr>
        <w:t>water quality sub-program includes a</w:t>
      </w:r>
      <w:r w:rsidRPr="007B36D3">
        <w:t xml:space="preserve"> remote sensing component, which describes water quality </w:t>
      </w:r>
      <w:r w:rsidR="00E51B48">
        <w:t>characteristics</w:t>
      </w:r>
      <w:r w:rsidRPr="007B36D3">
        <w:t xml:space="preserve"> for 22 weeks within wet season conditions (November – April). Water quality is described as colour classes of </w:t>
      </w:r>
      <w:r>
        <w:rPr>
          <w:color w:val="000000" w:themeColor="text1"/>
        </w:rPr>
        <w:t>turbid, brown primary water (class 1 – 4), green secondary water (class 5), and waters influenced by flood plumes (salinity 30PSU, coloured dissolved organic matter (CDOM) threshold of 0.24 m</w:t>
      </w:r>
      <w:r w:rsidRPr="000F066E">
        <w:rPr>
          <w:color w:val="000000" w:themeColor="text1"/>
          <w:vertAlign w:val="superscript"/>
        </w:rPr>
        <w:t>-1</w:t>
      </w:r>
      <w:r>
        <w:rPr>
          <w:color w:val="000000" w:themeColor="text1"/>
        </w:rPr>
        <w:t xml:space="preserve"> class 6). Colour classes are derived from MODIS True colour satellite images. Exposure to flood plumes is described in this report as frequency of exposure to primary </w:t>
      </w:r>
      <w:r w:rsidR="00E51B48">
        <w:rPr>
          <w:color w:val="000000" w:themeColor="text1"/>
        </w:rPr>
        <w:t xml:space="preserve">(turbid, sediment laden) </w:t>
      </w:r>
      <w:r>
        <w:rPr>
          <w:color w:val="000000" w:themeColor="text1"/>
        </w:rPr>
        <w:t xml:space="preserve">or secondary </w:t>
      </w:r>
      <w:r w:rsidR="00E51B48">
        <w:rPr>
          <w:color w:val="000000" w:themeColor="text1"/>
        </w:rPr>
        <w:t xml:space="preserve">(green, nutrient rich) </w:t>
      </w:r>
      <w:r>
        <w:rPr>
          <w:color w:val="000000" w:themeColor="text1"/>
        </w:rPr>
        <w:t xml:space="preserve">water during the wet season. Methods are detailed in </w:t>
      </w:r>
      <w:hyperlink w:anchor="_ENREF_94" w:tooltip="Devlin, 2015 #10405" w:history="1">
        <w:r w:rsidR="00E6043D">
          <w:rPr>
            <w:color w:val="000000" w:themeColor="text1"/>
          </w:rPr>
          <w:fldChar w:fldCharType="begin"/>
        </w:r>
        <w:r w:rsidR="00E6043D">
          <w:rPr>
            <w:color w:val="000000" w:themeColor="text1"/>
          </w:rPr>
          <w:instrText xml:space="preserve"> ADDIN EN.CITE &lt;EndNote&gt;&lt;Cite ExcludeYear="1"&gt;&lt;Author&gt;Devlin&lt;/Author&gt;&lt;RecNum&gt;10405&lt;/RecNum&gt;&lt;DisplayText&gt;Devlin&lt;style face="italic"&gt; et al.&lt;/style&gt; &lt;/DisplayText&gt;&lt;record&gt;&lt;rec-number&gt;10405&lt;/rec-number&gt;&lt;foreign-keys&gt;&lt;key app="EN" db-id="0eve55x9y5vfd6e9dacxtew4eatve2dzds9a"&gt;10405&lt;/key&gt;&lt;/foreign-keys&gt;&lt;ref-type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043D">
          <w:rPr>
            <w:color w:val="000000" w:themeColor="text1"/>
          </w:rPr>
          <w:fldChar w:fldCharType="separate"/>
        </w:r>
        <w:r w:rsidR="00E6043D">
          <w:rPr>
            <w:noProof/>
            <w:color w:val="000000" w:themeColor="text1"/>
          </w:rPr>
          <w:t>Devlin</w:t>
        </w:r>
        <w:r w:rsidR="00E6043D" w:rsidRPr="00644A84">
          <w:rPr>
            <w:i/>
            <w:noProof/>
            <w:color w:val="000000" w:themeColor="text1"/>
          </w:rPr>
          <w:t xml:space="preserve"> et al.</w:t>
        </w:r>
        <w:r w:rsidR="00E6043D">
          <w:rPr>
            <w:noProof/>
            <w:color w:val="000000" w:themeColor="text1"/>
          </w:rPr>
          <w:t xml:space="preserve"> </w:t>
        </w:r>
        <w:r w:rsidR="00E6043D">
          <w:rPr>
            <w:color w:val="000000" w:themeColor="text1"/>
          </w:rPr>
          <w:fldChar w:fldCharType="end"/>
        </w:r>
      </w:hyperlink>
      <w:r>
        <w:rPr>
          <w:color w:val="000000" w:themeColor="text1"/>
        </w:rPr>
        <w:t>(</w:t>
      </w:r>
      <w:hyperlink w:anchor="_ENREF_94" w:tooltip="Devlin, 2015 #10405" w:history="1">
        <w:r w:rsidR="00E6043D">
          <w:rPr>
            <w:color w:val="000000" w:themeColor="text1"/>
          </w:rPr>
          <w:fldChar w:fldCharType="begin"/>
        </w:r>
        <w:r w:rsidR="00E6043D">
          <w:rPr>
            <w:color w:val="000000" w:themeColor="text1"/>
          </w:rPr>
          <w:instrText xml:space="preserve"> ADDIN EN.CITE &lt;EndNote&gt;&lt;Cite ExcludeAuth="1"&gt;&lt;Year&gt;2015&lt;/Year&gt;&lt;RecNum&gt;10405&lt;/RecNum&gt;&lt;DisplayText&gt;2015&lt;/DisplayText&gt;&lt;record&gt;&lt;rec-number&gt;10405&lt;/rec-number&gt;&lt;foreign-keys&gt;&lt;key app="EN" db-id="0eve55x9y5vfd6e9dacxtew4eatve2dzds9a"&gt;10405&lt;/key&gt;&lt;/foreign-keys&gt;&lt;ref-type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043D">
          <w:rPr>
            <w:color w:val="000000" w:themeColor="text1"/>
          </w:rPr>
          <w:fldChar w:fldCharType="separate"/>
        </w:r>
        <w:r w:rsidR="00E6043D">
          <w:rPr>
            <w:noProof/>
            <w:color w:val="000000" w:themeColor="text1"/>
          </w:rPr>
          <w:t>2015</w:t>
        </w:r>
        <w:r w:rsidR="00E6043D">
          <w:rPr>
            <w:color w:val="000000" w:themeColor="text1"/>
          </w:rPr>
          <w:fldChar w:fldCharType="end"/>
        </w:r>
      </w:hyperlink>
      <w:r>
        <w:rPr>
          <w:color w:val="000000" w:themeColor="text1"/>
        </w:rPr>
        <w:t>)</w:t>
      </w:r>
      <w:r w:rsidR="007B36D3">
        <w:rPr>
          <w:color w:val="000000" w:themeColor="text1"/>
        </w:rPr>
        <w:t>.</w:t>
      </w:r>
    </w:p>
    <w:p w:rsidR="003D1F7F" w:rsidRPr="00606051" w:rsidRDefault="003D1F7F" w:rsidP="003D1F7F">
      <w:pPr>
        <w:rPr>
          <w:color w:val="000000"/>
          <w:szCs w:val="22"/>
        </w:rPr>
      </w:pPr>
      <w:r w:rsidRPr="007B36D3">
        <w:rPr>
          <w:rFonts w:cs="Arial"/>
          <w:szCs w:val="22"/>
        </w:rPr>
        <w:t xml:space="preserve">Autonomous </w:t>
      </w:r>
      <w:proofErr w:type="spellStart"/>
      <w:r w:rsidRPr="007B36D3">
        <w:rPr>
          <w:szCs w:val="22"/>
        </w:rPr>
        <w:t>iBTag</w:t>
      </w:r>
      <w:proofErr w:type="spellEnd"/>
      <w:r w:rsidRPr="007B36D3">
        <w:rPr>
          <w:szCs w:val="22"/>
          <w:vertAlign w:val="superscript"/>
        </w:rPr>
        <w:t>™</w:t>
      </w:r>
      <w:r w:rsidRPr="007B36D3">
        <w:rPr>
          <w:szCs w:val="22"/>
        </w:rPr>
        <w:t xml:space="preserve"> submersible temperature loggers were deployed at all </w:t>
      </w:r>
      <w:r w:rsidRPr="007B36D3">
        <w:rPr>
          <w:bCs/>
          <w:szCs w:val="22"/>
        </w:rPr>
        <w:t xml:space="preserve">sites identified in Appendix </w:t>
      </w:r>
      <w:r w:rsidR="00527C29">
        <w:rPr>
          <w:bCs/>
          <w:szCs w:val="22"/>
        </w:rPr>
        <w:t>2</w:t>
      </w:r>
      <w:r w:rsidRPr="007B36D3">
        <w:rPr>
          <w:bCs/>
          <w:szCs w:val="22"/>
        </w:rPr>
        <w:t>, Table</w:t>
      </w:r>
      <w:r w:rsidR="00527C29">
        <w:rPr>
          <w:bCs/>
          <w:szCs w:val="22"/>
        </w:rPr>
        <w:t xml:space="preserve"> 35</w:t>
      </w:r>
      <w:r w:rsidRPr="00606051">
        <w:rPr>
          <w:bCs/>
          <w:color w:val="0000FF"/>
          <w:szCs w:val="22"/>
        </w:rPr>
        <w:t xml:space="preserve">. </w:t>
      </w:r>
      <w:r w:rsidRPr="00606051">
        <w:rPr>
          <w:bCs/>
          <w:color w:val="000000"/>
          <w:szCs w:val="22"/>
        </w:rPr>
        <w:t>The loggers recorded</w:t>
      </w:r>
      <w:r w:rsidRPr="00606051">
        <w:rPr>
          <w:rFonts w:cs="Arial"/>
          <w:color w:val="000000"/>
          <w:szCs w:val="22"/>
        </w:rPr>
        <w:t xml:space="preserve"> temperature (accuracy 0.0625°C) within the seagrass canopy every 30 </w:t>
      </w:r>
      <w:r w:rsidRPr="00606051">
        <w:rPr>
          <w:color w:val="000000" w:themeColor="text1"/>
        </w:rPr>
        <w:t>–</w:t>
      </w:r>
      <w:r w:rsidRPr="00606051">
        <w:rPr>
          <w:rFonts w:cs="Arial"/>
          <w:color w:val="000000"/>
          <w:szCs w:val="22"/>
        </w:rPr>
        <w:t xml:space="preserve"> 90 minutes. </w:t>
      </w:r>
      <w:proofErr w:type="gramStart"/>
      <w:r w:rsidRPr="00606051">
        <w:rPr>
          <w:color w:val="000000"/>
          <w:szCs w:val="22"/>
        </w:rPr>
        <w:t>iBCod</w:t>
      </w:r>
      <w:r w:rsidRPr="00606051">
        <w:rPr>
          <w:color w:val="000000"/>
          <w:szCs w:val="22"/>
          <w:vertAlign w:val="superscript"/>
        </w:rPr>
        <w:t>™</w:t>
      </w:r>
      <w:proofErr w:type="gramEnd"/>
      <w:r w:rsidRPr="00606051">
        <w:rPr>
          <w:color w:val="000000"/>
          <w:szCs w:val="22"/>
        </w:rPr>
        <w:t>22L submersible temperature loggers were attached to the permanent marker at each site above the sediment-water interface.</w:t>
      </w:r>
    </w:p>
    <w:p w:rsidR="003D1F7F" w:rsidRPr="00F55EF3" w:rsidRDefault="003D1F7F" w:rsidP="003D1F7F">
      <w:pPr>
        <w:rPr>
          <w:color w:val="000000"/>
          <w:szCs w:val="22"/>
          <w:lang w:val="en-US"/>
        </w:rPr>
      </w:pPr>
      <w:r w:rsidRPr="00606051">
        <w:rPr>
          <w:color w:val="000000"/>
          <w:szCs w:val="22"/>
          <w:lang w:val="en-US"/>
        </w:rPr>
        <w:t>Submersible Odyssey</w:t>
      </w:r>
      <w:r w:rsidRPr="00606051">
        <w:rPr>
          <w:color w:val="000000"/>
          <w:szCs w:val="22"/>
          <w:vertAlign w:val="superscript"/>
          <w:lang w:val="en-US"/>
        </w:rPr>
        <w:t>™</w:t>
      </w:r>
      <w:r w:rsidRPr="00606051">
        <w:rPr>
          <w:color w:val="000000"/>
          <w:szCs w:val="22"/>
          <w:lang w:val="en-US"/>
        </w:rPr>
        <w:t xml:space="preserve"> </w:t>
      </w:r>
      <w:r w:rsidRPr="00606051">
        <w:rPr>
          <w:rFonts w:cs="Arial"/>
          <w:color w:val="000000"/>
          <w:szCs w:val="22"/>
        </w:rPr>
        <w:t>photosynthetic irradiance a</w:t>
      </w:r>
      <w:proofErr w:type="spellStart"/>
      <w:r w:rsidRPr="00606051">
        <w:rPr>
          <w:rFonts w:cs="Arial"/>
          <w:color w:val="000000"/>
          <w:szCs w:val="22"/>
          <w:lang w:val="en-US"/>
        </w:rPr>
        <w:t>utonomous</w:t>
      </w:r>
      <w:proofErr w:type="spellEnd"/>
      <w:r w:rsidRPr="00606051">
        <w:rPr>
          <w:rFonts w:cs="Arial"/>
          <w:color w:val="000000"/>
          <w:szCs w:val="22"/>
          <w:lang w:val="en-US"/>
        </w:rPr>
        <w:t xml:space="preserve"> loggers were </w:t>
      </w:r>
      <w:r w:rsidRPr="00606051">
        <w:rPr>
          <w:color w:val="000000"/>
          <w:szCs w:val="22"/>
          <w:lang w:val="en-US"/>
        </w:rPr>
        <w:t>attached to permanent station markers</w:t>
      </w:r>
      <w:r w:rsidRPr="00606051">
        <w:rPr>
          <w:rFonts w:cs="Arial"/>
          <w:color w:val="000000"/>
          <w:szCs w:val="22"/>
          <w:lang w:val="en-US"/>
        </w:rPr>
        <w:t xml:space="preserve"> at </w:t>
      </w:r>
      <w:r w:rsidRPr="00606051">
        <w:rPr>
          <w:color w:val="000000"/>
          <w:szCs w:val="22"/>
        </w:rPr>
        <w:t xml:space="preserve">20 intertidal and 4 subtidal </w:t>
      </w:r>
      <w:r w:rsidRPr="00606051">
        <w:rPr>
          <w:rFonts w:cs="Arial"/>
          <w:color w:val="000000"/>
          <w:szCs w:val="22"/>
          <w:lang w:val="en-US"/>
        </w:rPr>
        <w:t>seagrass locations from the Cape York region to the Burnett Mary region (</w:t>
      </w:r>
      <w:r w:rsidR="007B36D3" w:rsidRPr="007B36D3">
        <w:rPr>
          <w:bCs/>
          <w:szCs w:val="22"/>
        </w:rPr>
        <w:t xml:space="preserve">Appendix 4, </w:t>
      </w:r>
      <w:r w:rsidR="00993358">
        <w:rPr>
          <w:color w:val="0000FF"/>
        </w:rPr>
        <w:fldChar w:fldCharType="begin"/>
      </w:r>
      <w:r w:rsidR="00993358">
        <w:rPr>
          <w:bCs/>
          <w:szCs w:val="22"/>
        </w:rPr>
        <w:instrText xml:space="preserve"> REF _Ref442523235 \h </w:instrText>
      </w:r>
      <w:r w:rsidR="00993358">
        <w:rPr>
          <w:color w:val="0000FF"/>
        </w:rPr>
      </w:r>
      <w:r w:rsidR="00993358">
        <w:rPr>
          <w:color w:val="0000FF"/>
        </w:rPr>
        <w:fldChar w:fldCharType="separate"/>
      </w:r>
      <w:r w:rsidR="009C068F">
        <w:rPr>
          <w:color w:val="000000"/>
          <w:szCs w:val="22"/>
        </w:rPr>
        <w:t xml:space="preserve">Table </w:t>
      </w:r>
      <w:r w:rsidR="009C068F">
        <w:rPr>
          <w:noProof/>
          <w:color w:val="000000"/>
          <w:szCs w:val="22"/>
        </w:rPr>
        <w:t>30</w:t>
      </w:r>
      <w:r w:rsidR="00993358">
        <w:rPr>
          <w:color w:val="0000FF"/>
        </w:rPr>
        <w:fldChar w:fldCharType="end"/>
      </w:r>
      <w:r w:rsidRPr="00606051">
        <w:rPr>
          <w:rFonts w:cs="Arial"/>
          <w:color w:val="000000"/>
          <w:szCs w:val="22"/>
          <w:lang w:val="en-US"/>
        </w:rPr>
        <w:t xml:space="preserve">). </w:t>
      </w:r>
      <w:r w:rsidRPr="00606051">
        <w:rPr>
          <w:color w:val="000000"/>
          <w:szCs w:val="22"/>
        </w:rPr>
        <w:t xml:space="preserve">Detailed methodology for the light monitoring can be found in Appendix 2. </w:t>
      </w:r>
      <w:r w:rsidRPr="00606051">
        <w:rPr>
          <w:color w:val="000000"/>
          <w:szCs w:val="22"/>
          <w:lang w:val="en-US"/>
        </w:rPr>
        <w:t>Measurements were recorded by the logger every 15 minutes and are reported as total</w:t>
      </w:r>
      <w:r>
        <w:rPr>
          <w:color w:val="000000"/>
          <w:szCs w:val="22"/>
          <w:lang w:val="en-US"/>
        </w:rPr>
        <w:t xml:space="preserve"> daily light (</w:t>
      </w:r>
      <w:proofErr w:type="spellStart"/>
      <w:r>
        <w:rPr>
          <w:color w:val="000000"/>
          <w:szCs w:val="22"/>
          <w:lang w:val="en-US"/>
        </w:rPr>
        <w:t>mol</w:t>
      </w:r>
      <w:proofErr w:type="spellEnd"/>
      <w:r>
        <w:rPr>
          <w:color w:val="000000"/>
          <w:szCs w:val="22"/>
          <w:lang w:val="en-US"/>
        </w:rPr>
        <w:t xml:space="preserve"> m</w:t>
      </w:r>
      <w:r w:rsidRPr="00BD239C">
        <w:rPr>
          <w:color w:val="000000"/>
          <w:szCs w:val="22"/>
          <w:vertAlign w:val="superscript"/>
          <w:lang w:val="en-US"/>
        </w:rPr>
        <w:t>-2</w:t>
      </w:r>
      <w:r>
        <w:rPr>
          <w:color w:val="000000"/>
          <w:szCs w:val="22"/>
          <w:lang w:val="en-US"/>
        </w:rPr>
        <w:t xml:space="preserve"> d</w:t>
      </w:r>
      <w:r w:rsidRPr="00BD239C">
        <w:rPr>
          <w:color w:val="000000"/>
          <w:szCs w:val="22"/>
          <w:vertAlign w:val="superscript"/>
          <w:lang w:val="en-US"/>
        </w:rPr>
        <w:t>-1</w:t>
      </w:r>
      <w:r>
        <w:rPr>
          <w:color w:val="000000"/>
          <w:szCs w:val="22"/>
          <w:lang w:val="en-US"/>
        </w:rPr>
        <w:t>)</w:t>
      </w:r>
      <w:r w:rsidRPr="00F55EF3">
        <w:rPr>
          <w:color w:val="000000"/>
          <w:szCs w:val="22"/>
          <w:lang w:val="en-US"/>
        </w:rPr>
        <w:t xml:space="preserve">. Automatic wiper brushes cleaned the optical surface of the sensor every 15 minutes to prevent marine organisms fouling. </w:t>
      </w:r>
    </w:p>
    <w:p w:rsidR="003D1F7F" w:rsidRDefault="006A3340" w:rsidP="003D1F7F">
      <w:r>
        <w:t>Sediment type wa</w:t>
      </w:r>
      <w:r w:rsidR="007B36D3">
        <w:t xml:space="preserve">s recorded </w:t>
      </w:r>
      <w:r>
        <w:t xml:space="preserve">in conjunction with seagrass abundance measures using a </w:t>
      </w:r>
      <w:r w:rsidR="00053571" w:rsidRPr="00053571">
        <w:t>visual/tactile estimation of sed</w:t>
      </w:r>
      <w:r w:rsidR="00053571">
        <w:t>iment grain size composition (0-</w:t>
      </w:r>
      <w:r w:rsidR="00053571" w:rsidRPr="00053571">
        <w:t>2 cm below the sediment/water interface)</w:t>
      </w:r>
      <w:r>
        <w:t xml:space="preserve"> as per standard</w:t>
      </w:r>
      <w:r w:rsidR="00053571" w:rsidRPr="00053571">
        <w:t xml:space="preserve"> protocols described in McKenzie </w:t>
      </w:r>
      <w:r w:rsidR="00053571" w:rsidRPr="006A3340">
        <w:rPr>
          <w:i/>
        </w:rPr>
        <w:t>et al.</w:t>
      </w:r>
      <w:r w:rsidR="00053571" w:rsidRPr="00053571">
        <w:t xml:space="preserve"> (</w:t>
      </w:r>
      <w:hyperlink w:anchor="_ENREF_165" w:tooltip="McKenzie, 2003 #9457" w:history="1">
        <w:r w:rsidR="00E6043D">
          <w:fldChar w:fldCharType="begin"/>
        </w:r>
        <w:r w:rsidR="00E6043D">
          <w:instrText xml:space="preserve"> ADDIN EN.CITE &lt;EndNote&gt;&lt;Cite ExcludeAuth="1"&gt;&lt;Year&gt;2003&lt;/Year&gt;&lt;RecNum&gt;9457&lt;/RecNum&gt;&lt;DisplayText&gt;2003&lt;/DisplayText&gt;&lt;record&gt;&lt;rec-number&gt;9457&lt;/rec-number&gt;&lt;foreign-keys&gt;&lt;key app="EN" db-id="0eve55x9y5vfd6e9dacxtew4eatve2dzds9a"&gt;9457&lt;/key&gt;&lt;/foreign-keys&gt;&lt;ref-type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E6043D">
          <w:fldChar w:fldCharType="separate"/>
        </w:r>
        <w:r w:rsidR="00E6043D">
          <w:rPr>
            <w:noProof/>
          </w:rPr>
          <w:t>2003</w:t>
        </w:r>
        <w:r w:rsidR="00E6043D">
          <w:fldChar w:fldCharType="end"/>
        </w:r>
      </w:hyperlink>
      <w:r w:rsidR="00053571" w:rsidRPr="00053571">
        <w:t>).</w:t>
      </w:r>
      <w:r>
        <w:t xml:space="preserve"> Qualitative field descriptions of sediment composition were converted to quantitative measures of grain size using the approach described by McKenzie (</w:t>
      </w:r>
      <w:hyperlink w:anchor="_ENREF_162" w:tooltip="McKenzie, 2007 #9456" w:history="1">
        <w:r w:rsidR="00E6043D">
          <w:fldChar w:fldCharType="begin"/>
        </w:r>
        <w:r w:rsidR="00E6043D">
          <w:instrText xml:space="preserve"> ADDIN EN.CITE &lt;EndNote&gt;&lt;Cite ExcludeAuth="1"&gt;&lt;Year&gt;2007&lt;/Year&gt;&lt;RecNum&gt;9456&lt;/RecNum&gt;&lt;DisplayText&gt;2007&lt;/DisplayText&gt;&lt;record&gt;&lt;rec-number&gt;9456&lt;/rec-number&gt;&lt;foreign-keys&gt;&lt;key app="EN" db-id="0eve55x9y5vfd6e9dacxtew4eatve2dzds9a"&gt;9456&lt;/key&gt;&lt;/foreign-keys&gt;&lt;ref-type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Facility&lt;/title&gt;&lt;/titles&gt;&lt;pages&gt;25&lt;/pages&gt;&lt;dates&gt;&lt;year&gt;2007&lt;/year&gt;&lt;/dates&gt;&lt;pub-location&gt;Cairns &lt;/pub-location&gt;&lt;publisher&gt;Reef and Rainforest Research Centre Ltd&lt;/publisher&gt;&lt;urls&gt;&lt;/urls&gt;&lt;/record&gt;&lt;/Cite&gt;&lt;/EndNote&gt;</w:instrText>
        </w:r>
        <w:r w:rsidR="00E6043D">
          <w:fldChar w:fldCharType="separate"/>
        </w:r>
        <w:r w:rsidR="00E6043D">
          <w:rPr>
            <w:noProof/>
          </w:rPr>
          <w:t>2007</w:t>
        </w:r>
        <w:r w:rsidR="00E6043D">
          <w:fldChar w:fldCharType="end"/>
        </w:r>
      </w:hyperlink>
      <w:r>
        <w:t>).</w:t>
      </w:r>
      <w:r w:rsidR="00527C29">
        <w:t xml:space="preserve"> </w:t>
      </w:r>
    </w:p>
    <w:p w:rsidR="003D1F7F" w:rsidRDefault="003D1F7F" w:rsidP="003D1F7F">
      <w:pPr>
        <w:sectPr w:rsidR="003D1F7F" w:rsidSect="001368E7">
          <w:headerReference w:type="even" r:id="rId27"/>
          <w:headerReference w:type="default" r:id="rId28"/>
          <w:footerReference w:type="default" r:id="rId29"/>
          <w:headerReference w:type="first" r:id="rId30"/>
          <w:footerReference w:type="first" r:id="rId31"/>
          <w:pgSz w:w="11900" w:h="16840" w:code="9"/>
          <w:pgMar w:top="1418" w:right="1418" w:bottom="1418" w:left="1418" w:header="709" w:footer="709" w:gutter="0"/>
          <w:pgNumType w:start="1"/>
          <w:cols w:space="708"/>
          <w:docGrid w:linePitch="360"/>
        </w:sectPr>
      </w:pPr>
    </w:p>
    <w:p w:rsidR="00101AFE" w:rsidRDefault="00101AFE" w:rsidP="003D1F7F"/>
    <w:p w:rsidR="00101AFE" w:rsidRPr="00101AFE" w:rsidRDefault="00101AFE" w:rsidP="00101AFE">
      <w:pPr>
        <w:jc w:val="center"/>
        <w:rPr>
          <w:i/>
          <w:vanish/>
          <w:specVanish/>
        </w:rPr>
      </w:pPr>
      <w:bookmarkStart w:id="37" w:name="_Ref461015425"/>
      <w:bookmarkStart w:id="38" w:name="_Toc462685071"/>
      <w:r>
        <w:t xml:space="preserve">Table </w:t>
      </w:r>
      <w:fldSimple w:instr=" SEQ Table \* ARABIC ">
        <w:r w:rsidR="009C068F">
          <w:rPr>
            <w:noProof/>
          </w:rPr>
          <w:t>2</w:t>
        </w:r>
      </w:fldSimple>
      <w:bookmarkEnd w:id="37"/>
      <w:r>
        <w:t xml:space="preserve">. </w:t>
      </w:r>
      <w:r w:rsidR="003D1F7F" w:rsidRPr="00101AFE">
        <w:rPr>
          <w:i/>
        </w:rPr>
        <w:t xml:space="preserve"> Summary of climate and environment data included in this report</w:t>
      </w:r>
      <w:bookmarkEnd w:id="38"/>
    </w:p>
    <w:p w:rsidR="003D1F7F" w:rsidRPr="00101AFE" w:rsidRDefault="003D1F7F" w:rsidP="00101AFE">
      <w:pPr>
        <w:jc w:val="center"/>
        <w:rPr>
          <w:i/>
        </w:rPr>
      </w:pPr>
      <w:r w:rsidRPr="00101AFE">
        <w:rPr>
          <w:i/>
        </w:rPr>
        <w:t>, showing historical data range, measurement technique, measurement frequency, and data source. Methodology for data collected in this program is further detailed below, and in Appendix 2. *</w:t>
      </w:r>
      <w:r w:rsidR="00D63ED2">
        <w:rPr>
          <w:i/>
        </w:rPr>
        <w:t>=</w:t>
      </w:r>
      <w:r w:rsidRPr="00101AFE">
        <w:rPr>
          <w:i/>
        </w:rPr>
        <w:t>variable</w:t>
      </w:r>
    </w:p>
    <w:tbl>
      <w:tblPr>
        <w:tblW w:w="14384" w:type="dxa"/>
        <w:jc w:val="center"/>
        <w:tblBorders>
          <w:bottom w:val="single" w:sz="4" w:space="0" w:color="auto"/>
        </w:tblBorders>
        <w:tblLook w:val="04A0" w:firstRow="1" w:lastRow="0" w:firstColumn="1" w:lastColumn="0" w:noHBand="0" w:noVBand="1"/>
      </w:tblPr>
      <w:tblGrid>
        <w:gridCol w:w="2045"/>
        <w:gridCol w:w="1990"/>
        <w:gridCol w:w="2977"/>
        <w:gridCol w:w="1515"/>
        <w:gridCol w:w="2596"/>
        <w:gridCol w:w="3261"/>
      </w:tblGrid>
      <w:tr w:rsidR="003D1F7F" w:rsidRPr="00101AFE" w:rsidTr="00101AFE">
        <w:trPr>
          <w:trHeight w:val="397"/>
          <w:jc w:val="center"/>
        </w:trPr>
        <w:tc>
          <w:tcPr>
            <w:tcW w:w="2045" w:type="dxa"/>
            <w:tcBorders>
              <w:top w:val="single" w:sz="4" w:space="0" w:color="auto"/>
              <w:bottom w:val="single" w:sz="4" w:space="0" w:color="auto"/>
            </w:tcBorders>
            <w:shd w:val="clear" w:color="auto" w:fill="BBE0E3"/>
            <w:vAlign w:val="center"/>
          </w:tcPr>
          <w:p w:rsidR="003D1F7F" w:rsidRPr="00101AFE" w:rsidRDefault="003D1F7F" w:rsidP="00101AFE">
            <w:pPr>
              <w:spacing w:before="0" w:after="0" w:line="200" w:lineRule="exact"/>
              <w:ind w:right="-108"/>
              <w:jc w:val="center"/>
              <w:rPr>
                <w:b/>
                <w:sz w:val="18"/>
                <w:szCs w:val="18"/>
              </w:rPr>
            </w:pPr>
          </w:p>
        </w:tc>
        <w:tc>
          <w:tcPr>
            <w:tcW w:w="1990" w:type="dxa"/>
            <w:tcBorders>
              <w:top w:val="single" w:sz="4" w:space="0" w:color="auto"/>
              <w:bottom w:val="single" w:sz="4" w:space="0" w:color="auto"/>
            </w:tcBorders>
            <w:shd w:val="clear" w:color="auto" w:fill="BBE0E3"/>
            <w:vAlign w:val="center"/>
          </w:tcPr>
          <w:p w:rsidR="003D1F7F" w:rsidRPr="00101AFE" w:rsidRDefault="003D1F7F" w:rsidP="00101AFE">
            <w:pPr>
              <w:spacing w:before="0" w:after="0" w:line="200" w:lineRule="exact"/>
              <w:jc w:val="center"/>
              <w:rPr>
                <w:b/>
                <w:sz w:val="18"/>
                <w:szCs w:val="18"/>
              </w:rPr>
            </w:pPr>
            <w:r w:rsidRPr="00101AFE">
              <w:rPr>
                <w:b/>
                <w:sz w:val="18"/>
                <w:szCs w:val="18"/>
              </w:rPr>
              <w:t>Data range</w:t>
            </w:r>
          </w:p>
        </w:tc>
        <w:tc>
          <w:tcPr>
            <w:tcW w:w="2977" w:type="dxa"/>
            <w:tcBorders>
              <w:top w:val="single" w:sz="4" w:space="0" w:color="auto"/>
              <w:bottom w:val="single" w:sz="4" w:space="0" w:color="auto"/>
            </w:tcBorders>
            <w:shd w:val="clear" w:color="auto" w:fill="BBE0E3"/>
            <w:vAlign w:val="center"/>
          </w:tcPr>
          <w:p w:rsidR="003D1F7F" w:rsidRPr="00101AFE" w:rsidRDefault="003D1F7F" w:rsidP="00101AFE">
            <w:pPr>
              <w:spacing w:before="0" w:after="0" w:line="200" w:lineRule="exact"/>
              <w:jc w:val="center"/>
              <w:rPr>
                <w:b/>
                <w:sz w:val="18"/>
                <w:szCs w:val="18"/>
              </w:rPr>
            </w:pPr>
            <w:r w:rsidRPr="00101AFE">
              <w:rPr>
                <w:b/>
                <w:sz w:val="18"/>
                <w:szCs w:val="18"/>
              </w:rPr>
              <w:t>Method</w:t>
            </w:r>
          </w:p>
        </w:tc>
        <w:tc>
          <w:tcPr>
            <w:tcW w:w="1515" w:type="dxa"/>
            <w:tcBorders>
              <w:top w:val="single" w:sz="4" w:space="0" w:color="auto"/>
              <w:bottom w:val="single" w:sz="4" w:space="0" w:color="auto"/>
            </w:tcBorders>
            <w:shd w:val="clear" w:color="auto" w:fill="BBE0E3"/>
            <w:vAlign w:val="center"/>
          </w:tcPr>
          <w:p w:rsidR="00101AFE" w:rsidRDefault="003D1F7F" w:rsidP="00101AFE">
            <w:pPr>
              <w:spacing w:before="0" w:after="0" w:line="200" w:lineRule="exact"/>
              <w:jc w:val="center"/>
              <w:rPr>
                <w:b/>
                <w:sz w:val="18"/>
                <w:szCs w:val="18"/>
              </w:rPr>
            </w:pPr>
            <w:r w:rsidRPr="00101AFE">
              <w:rPr>
                <w:b/>
                <w:sz w:val="18"/>
                <w:szCs w:val="18"/>
              </w:rPr>
              <w:t>Measurement</w:t>
            </w:r>
          </w:p>
          <w:p w:rsidR="003D1F7F" w:rsidRPr="00101AFE" w:rsidRDefault="003D1F7F" w:rsidP="00101AFE">
            <w:pPr>
              <w:spacing w:before="0" w:after="0" w:line="200" w:lineRule="exact"/>
              <w:jc w:val="center"/>
              <w:rPr>
                <w:b/>
                <w:sz w:val="18"/>
                <w:szCs w:val="18"/>
              </w:rPr>
            </w:pPr>
            <w:r w:rsidRPr="00101AFE">
              <w:rPr>
                <w:b/>
                <w:sz w:val="18"/>
                <w:szCs w:val="18"/>
              </w:rPr>
              <w:t>frequency</w:t>
            </w:r>
          </w:p>
        </w:tc>
        <w:tc>
          <w:tcPr>
            <w:tcW w:w="2596" w:type="dxa"/>
            <w:tcBorders>
              <w:top w:val="single" w:sz="4" w:space="0" w:color="auto"/>
              <w:bottom w:val="single" w:sz="4" w:space="0" w:color="auto"/>
            </w:tcBorders>
            <w:shd w:val="clear" w:color="auto" w:fill="BBE0E3"/>
            <w:vAlign w:val="center"/>
          </w:tcPr>
          <w:p w:rsidR="003D1F7F" w:rsidRPr="00101AFE" w:rsidRDefault="003D1F7F" w:rsidP="00101AFE">
            <w:pPr>
              <w:spacing w:before="0" w:after="0" w:line="200" w:lineRule="exact"/>
              <w:jc w:val="center"/>
              <w:rPr>
                <w:b/>
                <w:sz w:val="18"/>
                <w:szCs w:val="18"/>
              </w:rPr>
            </w:pPr>
            <w:r w:rsidRPr="00101AFE">
              <w:rPr>
                <w:b/>
                <w:sz w:val="18"/>
                <w:szCs w:val="18"/>
              </w:rPr>
              <w:t>Reporting units</w:t>
            </w:r>
          </w:p>
        </w:tc>
        <w:tc>
          <w:tcPr>
            <w:tcW w:w="3261" w:type="dxa"/>
            <w:tcBorders>
              <w:top w:val="single" w:sz="4" w:space="0" w:color="auto"/>
              <w:bottom w:val="single" w:sz="4" w:space="0" w:color="auto"/>
            </w:tcBorders>
            <w:shd w:val="clear" w:color="auto" w:fill="BBE0E3"/>
            <w:vAlign w:val="center"/>
          </w:tcPr>
          <w:p w:rsidR="003D1F7F" w:rsidRPr="00101AFE" w:rsidRDefault="003D1F7F" w:rsidP="00101AFE">
            <w:pPr>
              <w:spacing w:before="0" w:after="0" w:line="200" w:lineRule="exact"/>
              <w:jc w:val="center"/>
              <w:rPr>
                <w:b/>
                <w:sz w:val="18"/>
                <w:szCs w:val="18"/>
              </w:rPr>
            </w:pPr>
            <w:r w:rsidRPr="00101AFE">
              <w:rPr>
                <w:b/>
                <w:sz w:val="18"/>
                <w:szCs w:val="18"/>
              </w:rPr>
              <w:t>Data source</w:t>
            </w:r>
          </w:p>
        </w:tc>
      </w:tr>
      <w:tr w:rsidR="003D1F7F" w:rsidRPr="00806669" w:rsidTr="00101AFE">
        <w:trPr>
          <w:trHeight w:val="397"/>
          <w:jc w:val="center"/>
        </w:trPr>
        <w:tc>
          <w:tcPr>
            <w:tcW w:w="2045" w:type="dxa"/>
            <w:tcBorders>
              <w:top w:val="single" w:sz="4" w:space="0" w:color="auto"/>
            </w:tcBorders>
            <w:shd w:val="clear" w:color="auto" w:fill="E7F3F4"/>
          </w:tcPr>
          <w:p w:rsidR="003D1F7F" w:rsidRPr="00806669" w:rsidRDefault="003D1F7F" w:rsidP="00101AFE">
            <w:pPr>
              <w:spacing w:before="0" w:after="0" w:line="200" w:lineRule="exact"/>
              <w:rPr>
                <w:i/>
                <w:sz w:val="18"/>
                <w:szCs w:val="18"/>
              </w:rPr>
            </w:pPr>
            <w:r w:rsidRPr="00806669">
              <w:rPr>
                <w:i/>
                <w:sz w:val="18"/>
                <w:szCs w:val="18"/>
              </w:rPr>
              <w:t>Climate</w:t>
            </w:r>
          </w:p>
        </w:tc>
        <w:tc>
          <w:tcPr>
            <w:tcW w:w="1990" w:type="dxa"/>
            <w:tcBorders>
              <w:top w:val="single" w:sz="4" w:space="0" w:color="auto"/>
            </w:tcBorders>
            <w:shd w:val="clear" w:color="auto" w:fill="E7F3F4"/>
          </w:tcPr>
          <w:p w:rsidR="003D1F7F" w:rsidRPr="00806669" w:rsidRDefault="003D1F7F" w:rsidP="00101AFE">
            <w:pPr>
              <w:spacing w:before="0" w:after="0" w:line="200" w:lineRule="exact"/>
              <w:rPr>
                <w:sz w:val="18"/>
                <w:szCs w:val="18"/>
              </w:rPr>
            </w:pPr>
          </w:p>
        </w:tc>
        <w:tc>
          <w:tcPr>
            <w:tcW w:w="2977" w:type="dxa"/>
            <w:tcBorders>
              <w:top w:val="single" w:sz="4" w:space="0" w:color="auto"/>
            </w:tcBorders>
            <w:shd w:val="clear" w:color="auto" w:fill="E7F3F4"/>
          </w:tcPr>
          <w:p w:rsidR="003D1F7F" w:rsidRPr="00806669" w:rsidRDefault="003D1F7F" w:rsidP="00101AFE">
            <w:pPr>
              <w:spacing w:before="0" w:after="0" w:line="200" w:lineRule="exact"/>
              <w:rPr>
                <w:sz w:val="18"/>
                <w:szCs w:val="18"/>
              </w:rPr>
            </w:pPr>
          </w:p>
        </w:tc>
        <w:tc>
          <w:tcPr>
            <w:tcW w:w="1515" w:type="dxa"/>
            <w:tcBorders>
              <w:top w:val="single" w:sz="4" w:space="0" w:color="auto"/>
            </w:tcBorders>
            <w:shd w:val="clear" w:color="auto" w:fill="E7F3F4"/>
          </w:tcPr>
          <w:p w:rsidR="003D1F7F" w:rsidRPr="00806669" w:rsidRDefault="003D1F7F" w:rsidP="00101AFE">
            <w:pPr>
              <w:spacing w:before="0" w:after="0" w:line="200" w:lineRule="exact"/>
              <w:rPr>
                <w:sz w:val="18"/>
                <w:szCs w:val="18"/>
              </w:rPr>
            </w:pPr>
          </w:p>
        </w:tc>
        <w:tc>
          <w:tcPr>
            <w:tcW w:w="2596" w:type="dxa"/>
            <w:tcBorders>
              <w:top w:val="single" w:sz="4" w:space="0" w:color="auto"/>
            </w:tcBorders>
            <w:shd w:val="clear" w:color="auto" w:fill="E7F3F4"/>
          </w:tcPr>
          <w:p w:rsidR="003D1F7F" w:rsidRPr="00806669" w:rsidRDefault="003D1F7F" w:rsidP="00101AFE">
            <w:pPr>
              <w:spacing w:before="0" w:after="0" w:line="200" w:lineRule="exact"/>
              <w:rPr>
                <w:sz w:val="18"/>
                <w:szCs w:val="18"/>
              </w:rPr>
            </w:pPr>
          </w:p>
        </w:tc>
        <w:tc>
          <w:tcPr>
            <w:tcW w:w="3261" w:type="dxa"/>
            <w:tcBorders>
              <w:top w:val="single" w:sz="4" w:space="0" w:color="auto"/>
            </w:tcBorders>
            <w:shd w:val="clear" w:color="auto" w:fill="E7F3F4"/>
          </w:tcPr>
          <w:p w:rsidR="003D1F7F" w:rsidRPr="00806669" w:rsidRDefault="003D1F7F" w:rsidP="00101AFE">
            <w:pPr>
              <w:spacing w:before="0" w:after="0" w:line="200" w:lineRule="exact"/>
              <w:rPr>
                <w:sz w:val="18"/>
                <w:szCs w:val="18"/>
              </w:rPr>
            </w:pPr>
          </w:p>
        </w:tc>
      </w:tr>
      <w:tr w:rsidR="003D1F7F" w:rsidRPr="00806669" w:rsidTr="00101AFE">
        <w:trPr>
          <w:trHeight w:val="397"/>
          <w:jc w:val="center"/>
        </w:trPr>
        <w:tc>
          <w:tcPr>
            <w:tcW w:w="2045" w:type="dxa"/>
            <w:shd w:val="clear" w:color="auto" w:fill="E7F3F4"/>
          </w:tcPr>
          <w:p w:rsidR="003D1F7F" w:rsidRPr="00806669" w:rsidRDefault="003D1F7F" w:rsidP="00037AE5">
            <w:pPr>
              <w:spacing w:before="0" w:after="0"/>
              <w:ind w:left="176"/>
              <w:rPr>
                <w:sz w:val="18"/>
                <w:szCs w:val="18"/>
              </w:rPr>
            </w:pPr>
            <w:r w:rsidRPr="00806669">
              <w:rPr>
                <w:sz w:val="18"/>
                <w:szCs w:val="18"/>
              </w:rPr>
              <w:t>Cyclones</w:t>
            </w:r>
          </w:p>
        </w:tc>
        <w:tc>
          <w:tcPr>
            <w:tcW w:w="1990" w:type="dxa"/>
            <w:shd w:val="clear" w:color="auto" w:fill="E7F3F4"/>
          </w:tcPr>
          <w:p w:rsidR="003D1F7F" w:rsidRPr="00806669" w:rsidRDefault="00037AE5" w:rsidP="00037AE5">
            <w:pPr>
              <w:spacing w:before="0" w:after="0"/>
              <w:rPr>
                <w:sz w:val="18"/>
                <w:szCs w:val="18"/>
              </w:rPr>
            </w:pPr>
            <w:r>
              <w:rPr>
                <w:sz w:val="18"/>
                <w:szCs w:val="18"/>
              </w:rPr>
              <w:t>1968 - 2015</w:t>
            </w:r>
          </w:p>
        </w:tc>
        <w:tc>
          <w:tcPr>
            <w:tcW w:w="2977" w:type="dxa"/>
            <w:shd w:val="clear" w:color="auto" w:fill="E7F3F4"/>
          </w:tcPr>
          <w:p w:rsidR="003D1F7F" w:rsidRPr="00806669" w:rsidRDefault="00037AE5" w:rsidP="00037AE5">
            <w:pPr>
              <w:spacing w:before="0" w:after="0"/>
              <w:rPr>
                <w:sz w:val="18"/>
                <w:szCs w:val="18"/>
              </w:rPr>
            </w:pPr>
            <w:r>
              <w:rPr>
                <w:sz w:val="18"/>
                <w:szCs w:val="18"/>
              </w:rPr>
              <w:t xml:space="preserve">remote sensing and observations at </w:t>
            </w:r>
            <w:r w:rsidRPr="00037AE5">
              <w:rPr>
                <w:sz w:val="18"/>
                <w:szCs w:val="18"/>
              </w:rPr>
              <w:t>nearest weather</w:t>
            </w:r>
            <w:r>
              <w:rPr>
                <w:sz w:val="18"/>
                <w:szCs w:val="18"/>
              </w:rPr>
              <w:t xml:space="preserve"> </w:t>
            </w:r>
            <w:r w:rsidRPr="00037AE5">
              <w:rPr>
                <w:sz w:val="18"/>
                <w:szCs w:val="18"/>
              </w:rPr>
              <w:t>station</w:t>
            </w:r>
          </w:p>
        </w:tc>
        <w:tc>
          <w:tcPr>
            <w:tcW w:w="1515" w:type="dxa"/>
            <w:shd w:val="clear" w:color="auto" w:fill="E7F3F4"/>
          </w:tcPr>
          <w:p w:rsidR="003D1F7F" w:rsidRPr="00806669" w:rsidRDefault="00F6139F" w:rsidP="00037AE5">
            <w:pPr>
              <w:spacing w:before="0" w:after="0"/>
              <w:rPr>
                <w:sz w:val="18"/>
                <w:szCs w:val="18"/>
              </w:rPr>
            </w:pPr>
            <w:r>
              <w:rPr>
                <w:sz w:val="18"/>
                <w:szCs w:val="18"/>
              </w:rPr>
              <w:t>yearly</w:t>
            </w:r>
          </w:p>
        </w:tc>
        <w:tc>
          <w:tcPr>
            <w:tcW w:w="2596" w:type="dxa"/>
            <w:shd w:val="clear" w:color="auto" w:fill="E7F3F4"/>
          </w:tcPr>
          <w:p w:rsidR="003D1F7F" w:rsidRPr="00806669" w:rsidRDefault="003D1F7F" w:rsidP="00037AE5">
            <w:pPr>
              <w:spacing w:before="0" w:after="0"/>
              <w:rPr>
                <w:sz w:val="18"/>
                <w:szCs w:val="18"/>
              </w:rPr>
            </w:pPr>
            <w:r>
              <w:rPr>
                <w:sz w:val="18"/>
                <w:szCs w:val="18"/>
              </w:rPr>
              <w:t>No. yr</w:t>
            </w:r>
            <w:r w:rsidRPr="00806669">
              <w:rPr>
                <w:sz w:val="18"/>
                <w:szCs w:val="18"/>
                <w:vertAlign w:val="superscript"/>
              </w:rPr>
              <w:t>-1</w:t>
            </w:r>
          </w:p>
        </w:tc>
        <w:tc>
          <w:tcPr>
            <w:tcW w:w="3261" w:type="dxa"/>
            <w:shd w:val="clear" w:color="auto" w:fill="E7F3F4"/>
          </w:tcPr>
          <w:p w:rsidR="003D1F7F" w:rsidRPr="00806669" w:rsidRDefault="003D1F7F" w:rsidP="00037AE5">
            <w:pPr>
              <w:spacing w:before="0" w:after="0"/>
              <w:rPr>
                <w:sz w:val="18"/>
                <w:szCs w:val="18"/>
              </w:rPr>
            </w:pPr>
            <w:r>
              <w:rPr>
                <w:sz w:val="18"/>
                <w:szCs w:val="18"/>
              </w:rPr>
              <w:t xml:space="preserve">Bureau of </w:t>
            </w:r>
            <w:r w:rsidR="00037AE5">
              <w:rPr>
                <w:sz w:val="18"/>
                <w:szCs w:val="18"/>
              </w:rPr>
              <w:t>M</w:t>
            </w:r>
            <w:r>
              <w:rPr>
                <w:sz w:val="18"/>
                <w:szCs w:val="18"/>
              </w:rPr>
              <w:t>eteorology</w:t>
            </w:r>
          </w:p>
        </w:tc>
      </w:tr>
      <w:tr w:rsidR="003D1F7F" w:rsidRPr="00806669" w:rsidTr="00101AFE">
        <w:trPr>
          <w:trHeight w:val="397"/>
          <w:jc w:val="center"/>
        </w:trPr>
        <w:tc>
          <w:tcPr>
            <w:tcW w:w="2045" w:type="dxa"/>
            <w:shd w:val="clear" w:color="auto" w:fill="E7F3F4"/>
          </w:tcPr>
          <w:p w:rsidR="003D1F7F" w:rsidRPr="00806669" w:rsidRDefault="003D1F7F" w:rsidP="00037AE5">
            <w:pPr>
              <w:spacing w:before="0" w:after="0"/>
              <w:ind w:left="176"/>
              <w:rPr>
                <w:sz w:val="18"/>
                <w:szCs w:val="18"/>
              </w:rPr>
            </w:pPr>
            <w:r w:rsidRPr="00806669">
              <w:rPr>
                <w:sz w:val="18"/>
                <w:szCs w:val="18"/>
              </w:rPr>
              <w:t>Rainfall</w:t>
            </w:r>
          </w:p>
        </w:tc>
        <w:tc>
          <w:tcPr>
            <w:tcW w:w="1990" w:type="dxa"/>
            <w:shd w:val="clear" w:color="auto" w:fill="E7F3F4"/>
          </w:tcPr>
          <w:p w:rsidR="003D1F7F" w:rsidRPr="00806669" w:rsidRDefault="00F6139F" w:rsidP="00037AE5">
            <w:pPr>
              <w:spacing w:before="0" w:after="0"/>
              <w:rPr>
                <w:sz w:val="18"/>
                <w:szCs w:val="18"/>
              </w:rPr>
            </w:pPr>
            <w:r>
              <w:rPr>
                <w:sz w:val="18"/>
                <w:szCs w:val="18"/>
              </w:rPr>
              <w:t>1889 - 2015*</w:t>
            </w:r>
          </w:p>
        </w:tc>
        <w:tc>
          <w:tcPr>
            <w:tcW w:w="2977" w:type="dxa"/>
            <w:shd w:val="clear" w:color="auto" w:fill="E7F3F4"/>
          </w:tcPr>
          <w:p w:rsidR="003D1F7F" w:rsidRPr="00806669" w:rsidRDefault="00037AE5" w:rsidP="00037AE5">
            <w:pPr>
              <w:spacing w:before="0" w:after="0"/>
              <w:rPr>
                <w:sz w:val="18"/>
                <w:szCs w:val="18"/>
              </w:rPr>
            </w:pPr>
            <w:r>
              <w:rPr>
                <w:sz w:val="18"/>
                <w:szCs w:val="18"/>
              </w:rPr>
              <w:t>r</w:t>
            </w:r>
            <w:r w:rsidR="003D1F7F">
              <w:rPr>
                <w:sz w:val="18"/>
                <w:szCs w:val="18"/>
              </w:rPr>
              <w:t>ain gauges</w:t>
            </w:r>
            <w:r>
              <w:rPr>
                <w:sz w:val="18"/>
                <w:szCs w:val="18"/>
              </w:rPr>
              <w:t xml:space="preserve"> </w:t>
            </w:r>
            <w:r w:rsidRPr="00037AE5">
              <w:rPr>
                <w:sz w:val="18"/>
                <w:szCs w:val="18"/>
              </w:rPr>
              <w:t>at nearest weather</w:t>
            </w:r>
            <w:r>
              <w:rPr>
                <w:sz w:val="18"/>
                <w:szCs w:val="18"/>
              </w:rPr>
              <w:t xml:space="preserve"> </w:t>
            </w:r>
            <w:r w:rsidRPr="00037AE5">
              <w:rPr>
                <w:sz w:val="18"/>
                <w:szCs w:val="18"/>
              </w:rPr>
              <w:t>station</w:t>
            </w:r>
          </w:p>
        </w:tc>
        <w:tc>
          <w:tcPr>
            <w:tcW w:w="1515" w:type="dxa"/>
            <w:shd w:val="clear" w:color="auto" w:fill="E7F3F4"/>
          </w:tcPr>
          <w:p w:rsidR="003D1F7F" w:rsidRPr="00806669" w:rsidRDefault="00F6139F" w:rsidP="00037AE5">
            <w:pPr>
              <w:spacing w:before="0" w:after="0"/>
              <w:rPr>
                <w:sz w:val="18"/>
                <w:szCs w:val="18"/>
              </w:rPr>
            </w:pPr>
            <w:r>
              <w:rPr>
                <w:sz w:val="18"/>
                <w:szCs w:val="18"/>
              </w:rPr>
              <w:t>d</w:t>
            </w:r>
            <w:r w:rsidR="003D1F7F">
              <w:rPr>
                <w:sz w:val="18"/>
                <w:szCs w:val="18"/>
              </w:rPr>
              <w:t>aily</w:t>
            </w:r>
          </w:p>
        </w:tc>
        <w:tc>
          <w:tcPr>
            <w:tcW w:w="2596" w:type="dxa"/>
            <w:shd w:val="clear" w:color="auto" w:fill="E7F3F4"/>
          </w:tcPr>
          <w:p w:rsidR="003D1F7F" w:rsidRDefault="00101AFE" w:rsidP="00037AE5">
            <w:pPr>
              <w:spacing w:before="0" w:after="0"/>
              <w:rPr>
                <w:sz w:val="18"/>
                <w:szCs w:val="18"/>
              </w:rPr>
            </w:pPr>
            <w:r>
              <w:rPr>
                <w:sz w:val="18"/>
                <w:szCs w:val="18"/>
              </w:rPr>
              <w:t>m</w:t>
            </w:r>
            <w:r w:rsidR="003D1F7F">
              <w:rPr>
                <w:sz w:val="18"/>
                <w:szCs w:val="18"/>
              </w:rPr>
              <w:t>m mo</w:t>
            </w:r>
            <w:r w:rsidR="003D1F7F" w:rsidRPr="00806669">
              <w:rPr>
                <w:sz w:val="18"/>
                <w:szCs w:val="18"/>
                <w:vertAlign w:val="superscript"/>
              </w:rPr>
              <w:t>-1</w:t>
            </w:r>
          </w:p>
          <w:p w:rsidR="003D1F7F" w:rsidRPr="00806669" w:rsidRDefault="003D1F7F" w:rsidP="00037AE5">
            <w:pPr>
              <w:spacing w:before="0" w:after="0"/>
              <w:rPr>
                <w:sz w:val="18"/>
                <w:szCs w:val="18"/>
              </w:rPr>
            </w:pPr>
            <w:r>
              <w:rPr>
                <w:sz w:val="18"/>
                <w:szCs w:val="18"/>
              </w:rPr>
              <w:t>mm yr</w:t>
            </w:r>
            <w:r w:rsidRPr="00806669">
              <w:rPr>
                <w:sz w:val="18"/>
                <w:szCs w:val="18"/>
                <w:vertAlign w:val="superscript"/>
              </w:rPr>
              <w:t>-1</w:t>
            </w:r>
          </w:p>
        </w:tc>
        <w:tc>
          <w:tcPr>
            <w:tcW w:w="3261" w:type="dxa"/>
            <w:shd w:val="clear" w:color="auto" w:fill="E7F3F4"/>
          </w:tcPr>
          <w:p w:rsidR="003D1F7F" w:rsidRPr="00806669" w:rsidRDefault="00037AE5" w:rsidP="00037AE5">
            <w:pPr>
              <w:spacing w:before="0" w:after="0"/>
              <w:rPr>
                <w:sz w:val="18"/>
                <w:szCs w:val="18"/>
              </w:rPr>
            </w:pPr>
            <w:r>
              <w:rPr>
                <w:sz w:val="18"/>
                <w:szCs w:val="18"/>
              </w:rPr>
              <w:t>Bureau of M</w:t>
            </w:r>
            <w:r w:rsidR="003D1F7F">
              <w:rPr>
                <w:sz w:val="18"/>
                <w:szCs w:val="18"/>
              </w:rPr>
              <w:t>eteorology</w:t>
            </w:r>
          </w:p>
        </w:tc>
      </w:tr>
      <w:tr w:rsidR="003D1F7F" w:rsidRPr="00806669" w:rsidTr="00101AFE">
        <w:trPr>
          <w:trHeight w:val="397"/>
          <w:jc w:val="center"/>
        </w:trPr>
        <w:tc>
          <w:tcPr>
            <w:tcW w:w="2045" w:type="dxa"/>
            <w:shd w:val="clear" w:color="auto" w:fill="E7F3F4"/>
          </w:tcPr>
          <w:p w:rsidR="003D1F7F" w:rsidRPr="00806669" w:rsidRDefault="003D1F7F" w:rsidP="00037AE5">
            <w:pPr>
              <w:spacing w:before="0" w:after="0"/>
              <w:ind w:left="176"/>
              <w:rPr>
                <w:sz w:val="18"/>
                <w:szCs w:val="18"/>
              </w:rPr>
            </w:pPr>
            <w:r w:rsidRPr="00806669">
              <w:rPr>
                <w:sz w:val="18"/>
                <w:szCs w:val="18"/>
              </w:rPr>
              <w:t>Riverine discharge</w:t>
            </w:r>
          </w:p>
        </w:tc>
        <w:tc>
          <w:tcPr>
            <w:tcW w:w="1990" w:type="dxa"/>
            <w:shd w:val="clear" w:color="auto" w:fill="E7F3F4"/>
          </w:tcPr>
          <w:p w:rsidR="003D1F7F" w:rsidRPr="00806669" w:rsidRDefault="003D1F7F" w:rsidP="00037AE5">
            <w:pPr>
              <w:spacing w:before="0" w:after="0"/>
              <w:rPr>
                <w:sz w:val="18"/>
                <w:szCs w:val="18"/>
              </w:rPr>
            </w:pPr>
            <w:r>
              <w:rPr>
                <w:sz w:val="18"/>
                <w:szCs w:val="18"/>
              </w:rPr>
              <w:t xml:space="preserve">1970 </w:t>
            </w:r>
            <w:r w:rsidRPr="00806669">
              <w:rPr>
                <w:sz w:val="18"/>
                <w:szCs w:val="18"/>
              </w:rPr>
              <w:t>–</w:t>
            </w:r>
            <w:r>
              <w:rPr>
                <w:sz w:val="18"/>
                <w:szCs w:val="18"/>
              </w:rPr>
              <w:t xml:space="preserve"> </w:t>
            </w:r>
            <w:r w:rsidRPr="00806669">
              <w:rPr>
                <w:sz w:val="18"/>
                <w:szCs w:val="18"/>
              </w:rPr>
              <w:t>2015</w:t>
            </w:r>
          </w:p>
        </w:tc>
        <w:tc>
          <w:tcPr>
            <w:tcW w:w="2977" w:type="dxa"/>
            <w:shd w:val="clear" w:color="auto" w:fill="E7F3F4"/>
          </w:tcPr>
          <w:p w:rsidR="003D1F7F" w:rsidRPr="00806669" w:rsidRDefault="00037AE5" w:rsidP="00037AE5">
            <w:pPr>
              <w:spacing w:before="0" w:after="0"/>
              <w:rPr>
                <w:sz w:val="18"/>
                <w:szCs w:val="18"/>
              </w:rPr>
            </w:pPr>
            <w:r>
              <w:rPr>
                <w:sz w:val="18"/>
                <w:szCs w:val="18"/>
              </w:rPr>
              <w:t>water g</w:t>
            </w:r>
            <w:r w:rsidR="003D1F7F">
              <w:rPr>
                <w:sz w:val="18"/>
                <w:szCs w:val="18"/>
              </w:rPr>
              <w:t>auging stations at river mouth</w:t>
            </w:r>
          </w:p>
        </w:tc>
        <w:tc>
          <w:tcPr>
            <w:tcW w:w="1515" w:type="dxa"/>
            <w:shd w:val="clear" w:color="auto" w:fill="E7F3F4"/>
          </w:tcPr>
          <w:p w:rsidR="003D1F7F" w:rsidRPr="00806669" w:rsidRDefault="003D1F7F" w:rsidP="00037AE5">
            <w:pPr>
              <w:spacing w:before="0" w:after="0"/>
              <w:rPr>
                <w:sz w:val="18"/>
                <w:szCs w:val="18"/>
              </w:rPr>
            </w:pPr>
          </w:p>
        </w:tc>
        <w:tc>
          <w:tcPr>
            <w:tcW w:w="2596" w:type="dxa"/>
            <w:shd w:val="clear" w:color="auto" w:fill="E7F3F4"/>
          </w:tcPr>
          <w:p w:rsidR="003D1F7F" w:rsidRDefault="003D1F7F" w:rsidP="00037AE5">
            <w:pPr>
              <w:spacing w:before="0" w:after="0"/>
              <w:rPr>
                <w:sz w:val="18"/>
                <w:szCs w:val="18"/>
                <w:vertAlign w:val="superscript"/>
              </w:rPr>
            </w:pPr>
            <w:r>
              <w:rPr>
                <w:sz w:val="18"/>
                <w:szCs w:val="18"/>
              </w:rPr>
              <w:t>L d</w:t>
            </w:r>
            <w:r w:rsidRPr="00806669">
              <w:rPr>
                <w:sz w:val="18"/>
                <w:szCs w:val="18"/>
                <w:vertAlign w:val="superscript"/>
              </w:rPr>
              <w:t>-1</w:t>
            </w:r>
          </w:p>
          <w:p w:rsidR="003D1F7F" w:rsidRPr="00806669" w:rsidRDefault="003D1F7F" w:rsidP="00037AE5">
            <w:pPr>
              <w:spacing w:before="0" w:after="0"/>
              <w:rPr>
                <w:sz w:val="18"/>
                <w:szCs w:val="18"/>
              </w:rPr>
            </w:pPr>
            <w:r w:rsidRPr="00806669">
              <w:rPr>
                <w:sz w:val="18"/>
                <w:szCs w:val="18"/>
              </w:rPr>
              <w:t>L yr</w:t>
            </w:r>
            <w:r>
              <w:rPr>
                <w:sz w:val="18"/>
                <w:szCs w:val="18"/>
                <w:vertAlign w:val="superscript"/>
              </w:rPr>
              <w:t>-1</w:t>
            </w:r>
          </w:p>
        </w:tc>
        <w:tc>
          <w:tcPr>
            <w:tcW w:w="3261" w:type="dxa"/>
            <w:shd w:val="clear" w:color="auto" w:fill="E7F3F4"/>
          </w:tcPr>
          <w:p w:rsidR="003D1F7F" w:rsidRPr="00806669" w:rsidRDefault="003D1F7F" w:rsidP="00037AE5">
            <w:pPr>
              <w:spacing w:before="0" w:after="0"/>
              <w:rPr>
                <w:sz w:val="18"/>
                <w:szCs w:val="18"/>
              </w:rPr>
            </w:pPr>
            <w:r>
              <w:rPr>
                <w:sz w:val="18"/>
                <w:szCs w:val="18"/>
              </w:rPr>
              <w:t>DNR</w:t>
            </w:r>
            <w:r w:rsidRPr="00806669">
              <w:rPr>
                <w:sz w:val="18"/>
                <w:szCs w:val="18"/>
              </w:rPr>
              <w:t>, compiled by Devlin et al In prep</w:t>
            </w:r>
          </w:p>
        </w:tc>
      </w:tr>
      <w:tr w:rsidR="003D1F7F" w:rsidRPr="00806669" w:rsidTr="00101AFE">
        <w:trPr>
          <w:trHeight w:val="397"/>
          <w:jc w:val="center"/>
        </w:trPr>
        <w:tc>
          <w:tcPr>
            <w:tcW w:w="2045" w:type="dxa"/>
            <w:tcBorders>
              <w:bottom w:val="nil"/>
            </w:tcBorders>
            <w:shd w:val="clear" w:color="auto" w:fill="E7F3F4"/>
          </w:tcPr>
          <w:p w:rsidR="003D1F7F" w:rsidRPr="00806669" w:rsidRDefault="003D1F7F" w:rsidP="00037AE5">
            <w:pPr>
              <w:spacing w:before="0" w:after="0"/>
              <w:ind w:left="176"/>
              <w:rPr>
                <w:sz w:val="18"/>
                <w:szCs w:val="18"/>
              </w:rPr>
            </w:pPr>
            <w:r w:rsidRPr="00806669">
              <w:rPr>
                <w:sz w:val="18"/>
                <w:szCs w:val="18"/>
              </w:rPr>
              <w:t>Plume exposure</w:t>
            </w:r>
          </w:p>
        </w:tc>
        <w:tc>
          <w:tcPr>
            <w:tcW w:w="1990" w:type="dxa"/>
            <w:tcBorders>
              <w:bottom w:val="nil"/>
            </w:tcBorders>
            <w:shd w:val="clear" w:color="auto" w:fill="E7F3F4"/>
          </w:tcPr>
          <w:p w:rsidR="003D1F7F" w:rsidRDefault="003D1F7F" w:rsidP="00037AE5">
            <w:pPr>
              <w:spacing w:before="0" w:after="0"/>
              <w:rPr>
                <w:sz w:val="18"/>
                <w:szCs w:val="18"/>
              </w:rPr>
            </w:pPr>
            <w:r>
              <w:rPr>
                <w:sz w:val="18"/>
                <w:szCs w:val="18"/>
              </w:rPr>
              <w:t xml:space="preserve">2006 </w:t>
            </w:r>
            <w:r w:rsidRPr="00806669">
              <w:rPr>
                <w:sz w:val="18"/>
                <w:szCs w:val="18"/>
              </w:rPr>
              <w:t>–</w:t>
            </w:r>
            <w:r>
              <w:rPr>
                <w:sz w:val="18"/>
                <w:szCs w:val="18"/>
              </w:rPr>
              <w:t xml:space="preserve"> </w:t>
            </w:r>
            <w:r w:rsidRPr="00806669">
              <w:rPr>
                <w:sz w:val="18"/>
                <w:szCs w:val="18"/>
              </w:rPr>
              <w:t>2015</w:t>
            </w:r>
          </w:p>
          <w:p w:rsidR="003D1F7F" w:rsidRPr="00806669" w:rsidRDefault="003D1F7F" w:rsidP="00037AE5">
            <w:pPr>
              <w:spacing w:before="0" w:after="0"/>
              <w:rPr>
                <w:sz w:val="18"/>
                <w:szCs w:val="18"/>
              </w:rPr>
            </w:pPr>
            <w:r>
              <w:rPr>
                <w:sz w:val="18"/>
                <w:szCs w:val="18"/>
              </w:rPr>
              <w:t>wet season (</w:t>
            </w:r>
            <w:r w:rsidR="00101AFE">
              <w:rPr>
                <w:sz w:val="18"/>
                <w:szCs w:val="18"/>
              </w:rPr>
              <w:t>Dec</w:t>
            </w:r>
            <w:r>
              <w:rPr>
                <w:sz w:val="18"/>
                <w:szCs w:val="18"/>
              </w:rPr>
              <w:t xml:space="preserve"> </w:t>
            </w:r>
            <w:r w:rsidRPr="00806669">
              <w:rPr>
                <w:sz w:val="18"/>
                <w:szCs w:val="18"/>
              </w:rPr>
              <w:t>–</w:t>
            </w:r>
            <w:r>
              <w:rPr>
                <w:sz w:val="18"/>
                <w:szCs w:val="18"/>
              </w:rPr>
              <w:t xml:space="preserve"> </w:t>
            </w:r>
            <w:r w:rsidR="00101AFE">
              <w:rPr>
                <w:sz w:val="18"/>
                <w:szCs w:val="18"/>
              </w:rPr>
              <w:t>Apr</w:t>
            </w:r>
            <w:r>
              <w:rPr>
                <w:sz w:val="18"/>
                <w:szCs w:val="18"/>
              </w:rPr>
              <w:t>)</w:t>
            </w:r>
          </w:p>
        </w:tc>
        <w:tc>
          <w:tcPr>
            <w:tcW w:w="2977" w:type="dxa"/>
            <w:tcBorders>
              <w:bottom w:val="nil"/>
            </w:tcBorders>
            <w:shd w:val="clear" w:color="auto" w:fill="E7F3F4"/>
          </w:tcPr>
          <w:p w:rsidR="003D1F7F" w:rsidRPr="00806669" w:rsidRDefault="00037AE5" w:rsidP="00037AE5">
            <w:pPr>
              <w:spacing w:before="0" w:after="0"/>
              <w:rPr>
                <w:sz w:val="18"/>
                <w:szCs w:val="18"/>
              </w:rPr>
            </w:pPr>
            <w:r>
              <w:rPr>
                <w:sz w:val="18"/>
                <w:szCs w:val="18"/>
              </w:rPr>
              <w:t>r</w:t>
            </w:r>
            <w:r w:rsidR="003D1F7F">
              <w:rPr>
                <w:sz w:val="18"/>
                <w:szCs w:val="18"/>
              </w:rPr>
              <w:t>emo</w:t>
            </w:r>
            <w:r>
              <w:rPr>
                <w:sz w:val="18"/>
                <w:szCs w:val="18"/>
              </w:rPr>
              <w:t>te sensing and field validation</w:t>
            </w:r>
          </w:p>
        </w:tc>
        <w:tc>
          <w:tcPr>
            <w:tcW w:w="1515" w:type="dxa"/>
            <w:tcBorders>
              <w:bottom w:val="nil"/>
            </w:tcBorders>
            <w:shd w:val="clear" w:color="auto" w:fill="E7F3F4"/>
          </w:tcPr>
          <w:p w:rsidR="003D1F7F" w:rsidRPr="00806669" w:rsidRDefault="00F6139F" w:rsidP="00037AE5">
            <w:pPr>
              <w:spacing w:before="0" w:after="0"/>
              <w:rPr>
                <w:sz w:val="18"/>
                <w:szCs w:val="18"/>
              </w:rPr>
            </w:pPr>
            <w:r>
              <w:rPr>
                <w:sz w:val="18"/>
                <w:szCs w:val="18"/>
              </w:rPr>
              <w:t>w</w:t>
            </w:r>
            <w:r w:rsidR="003D1F7F">
              <w:rPr>
                <w:sz w:val="18"/>
                <w:szCs w:val="18"/>
              </w:rPr>
              <w:t>eekly</w:t>
            </w:r>
          </w:p>
        </w:tc>
        <w:tc>
          <w:tcPr>
            <w:tcW w:w="2596" w:type="dxa"/>
            <w:tcBorders>
              <w:bottom w:val="nil"/>
            </w:tcBorders>
            <w:shd w:val="clear" w:color="auto" w:fill="E7F3F4"/>
          </w:tcPr>
          <w:p w:rsidR="003D1F7F" w:rsidRPr="00806669" w:rsidRDefault="00101AFE" w:rsidP="00037AE5">
            <w:pPr>
              <w:spacing w:before="0" w:after="0"/>
              <w:rPr>
                <w:sz w:val="18"/>
                <w:szCs w:val="18"/>
              </w:rPr>
            </w:pPr>
            <w:r>
              <w:rPr>
                <w:sz w:val="18"/>
                <w:szCs w:val="18"/>
              </w:rPr>
              <w:t>f</w:t>
            </w:r>
            <w:r w:rsidR="003D1F7F">
              <w:rPr>
                <w:sz w:val="18"/>
                <w:szCs w:val="18"/>
              </w:rPr>
              <w:t xml:space="preserve">requency of water type (1 </w:t>
            </w:r>
            <w:r w:rsidR="003D1F7F" w:rsidRPr="00806669">
              <w:rPr>
                <w:sz w:val="18"/>
                <w:szCs w:val="18"/>
              </w:rPr>
              <w:t>–</w:t>
            </w:r>
            <w:r w:rsidR="003D1F7F">
              <w:rPr>
                <w:sz w:val="18"/>
                <w:szCs w:val="18"/>
              </w:rPr>
              <w:t xml:space="preserve"> 6)</w:t>
            </w:r>
          </w:p>
        </w:tc>
        <w:tc>
          <w:tcPr>
            <w:tcW w:w="3261" w:type="dxa"/>
            <w:tcBorders>
              <w:bottom w:val="nil"/>
            </w:tcBorders>
            <w:shd w:val="clear" w:color="auto" w:fill="E7F3F4"/>
          </w:tcPr>
          <w:p w:rsidR="003D1F7F" w:rsidRPr="00806669" w:rsidRDefault="003D1F7F" w:rsidP="00037AE5">
            <w:pPr>
              <w:spacing w:before="0" w:after="0"/>
              <w:rPr>
                <w:sz w:val="18"/>
                <w:szCs w:val="18"/>
              </w:rPr>
            </w:pPr>
            <w:r w:rsidRPr="00806669">
              <w:rPr>
                <w:sz w:val="18"/>
                <w:szCs w:val="18"/>
              </w:rPr>
              <w:t>MMP inshore water quality program (Devlin et al)</w:t>
            </w:r>
          </w:p>
        </w:tc>
      </w:tr>
      <w:tr w:rsidR="003D1F7F" w:rsidRPr="00806669" w:rsidTr="00101AFE">
        <w:trPr>
          <w:trHeight w:val="397"/>
          <w:jc w:val="center"/>
        </w:trPr>
        <w:tc>
          <w:tcPr>
            <w:tcW w:w="2045" w:type="dxa"/>
            <w:tcBorders>
              <w:bottom w:val="nil"/>
            </w:tcBorders>
            <w:shd w:val="clear" w:color="auto" w:fill="E7F3F4"/>
          </w:tcPr>
          <w:p w:rsidR="003D1F7F" w:rsidRPr="00806669" w:rsidRDefault="003D1F7F" w:rsidP="00037AE5">
            <w:pPr>
              <w:spacing w:before="0" w:after="0"/>
              <w:ind w:left="176"/>
              <w:rPr>
                <w:sz w:val="18"/>
                <w:szCs w:val="18"/>
              </w:rPr>
            </w:pPr>
            <w:r w:rsidRPr="00806669">
              <w:rPr>
                <w:sz w:val="18"/>
                <w:szCs w:val="18"/>
              </w:rPr>
              <w:t>Wind</w:t>
            </w:r>
          </w:p>
        </w:tc>
        <w:tc>
          <w:tcPr>
            <w:tcW w:w="1990" w:type="dxa"/>
            <w:tcBorders>
              <w:bottom w:val="nil"/>
            </w:tcBorders>
            <w:shd w:val="clear" w:color="auto" w:fill="E7F3F4"/>
          </w:tcPr>
          <w:p w:rsidR="003D1F7F" w:rsidRPr="00806669" w:rsidRDefault="003D1F7F" w:rsidP="00037AE5">
            <w:pPr>
              <w:spacing w:before="0" w:after="0"/>
              <w:rPr>
                <w:sz w:val="18"/>
                <w:szCs w:val="18"/>
              </w:rPr>
            </w:pPr>
            <w:r>
              <w:rPr>
                <w:sz w:val="18"/>
                <w:szCs w:val="18"/>
              </w:rPr>
              <w:t>1997 – 2015*</w:t>
            </w:r>
          </w:p>
        </w:tc>
        <w:tc>
          <w:tcPr>
            <w:tcW w:w="2977" w:type="dxa"/>
            <w:tcBorders>
              <w:bottom w:val="nil"/>
            </w:tcBorders>
            <w:shd w:val="clear" w:color="auto" w:fill="E7F3F4"/>
          </w:tcPr>
          <w:p w:rsidR="003D1F7F" w:rsidRPr="00806669" w:rsidRDefault="006C265D" w:rsidP="006C265D">
            <w:pPr>
              <w:spacing w:before="0" w:after="0"/>
              <w:rPr>
                <w:sz w:val="18"/>
                <w:szCs w:val="18"/>
              </w:rPr>
            </w:pPr>
            <w:r w:rsidRPr="006C265D">
              <w:rPr>
                <w:sz w:val="18"/>
                <w:szCs w:val="18"/>
              </w:rPr>
              <w:t>anemometer at 10 m above the surface</w:t>
            </w:r>
            <w:r>
              <w:rPr>
                <w:sz w:val="18"/>
                <w:szCs w:val="18"/>
              </w:rPr>
              <w:t xml:space="preserve">, </w:t>
            </w:r>
            <w:r w:rsidR="00037AE5">
              <w:rPr>
                <w:sz w:val="18"/>
                <w:szCs w:val="18"/>
              </w:rPr>
              <w:t>averaged over 10 minutes</w:t>
            </w:r>
            <w:r>
              <w:rPr>
                <w:sz w:val="18"/>
                <w:szCs w:val="18"/>
              </w:rPr>
              <w:t>,</w:t>
            </w:r>
            <w:r w:rsidR="00037AE5">
              <w:rPr>
                <w:sz w:val="18"/>
                <w:szCs w:val="18"/>
              </w:rPr>
              <w:t xml:space="preserve"> at nearest weather station</w:t>
            </w:r>
          </w:p>
        </w:tc>
        <w:tc>
          <w:tcPr>
            <w:tcW w:w="1515" w:type="dxa"/>
            <w:tcBorders>
              <w:bottom w:val="nil"/>
            </w:tcBorders>
            <w:shd w:val="clear" w:color="auto" w:fill="E7F3F4"/>
          </w:tcPr>
          <w:p w:rsidR="003D1F7F" w:rsidRPr="00806669" w:rsidRDefault="003D1F7F" w:rsidP="00037AE5">
            <w:pPr>
              <w:spacing w:before="0" w:after="0"/>
              <w:rPr>
                <w:sz w:val="18"/>
                <w:szCs w:val="18"/>
              </w:rPr>
            </w:pPr>
            <w:r>
              <w:rPr>
                <w:sz w:val="18"/>
                <w:szCs w:val="18"/>
              </w:rPr>
              <w:t>3pm wind speed</w:t>
            </w:r>
          </w:p>
        </w:tc>
        <w:tc>
          <w:tcPr>
            <w:tcW w:w="2596" w:type="dxa"/>
            <w:tcBorders>
              <w:bottom w:val="nil"/>
            </w:tcBorders>
            <w:shd w:val="clear" w:color="auto" w:fill="E7F3F4"/>
          </w:tcPr>
          <w:p w:rsidR="003D1F7F" w:rsidRPr="00806669" w:rsidRDefault="003D1F7F" w:rsidP="00037AE5">
            <w:pPr>
              <w:spacing w:before="0" w:after="0"/>
              <w:rPr>
                <w:sz w:val="18"/>
                <w:szCs w:val="18"/>
              </w:rPr>
            </w:pPr>
            <w:r>
              <w:rPr>
                <w:sz w:val="18"/>
                <w:szCs w:val="18"/>
              </w:rPr>
              <w:t>days &gt;25 km hr</w:t>
            </w:r>
            <w:r w:rsidRPr="00AC6451">
              <w:rPr>
                <w:sz w:val="18"/>
                <w:szCs w:val="18"/>
                <w:vertAlign w:val="superscript"/>
              </w:rPr>
              <w:t>-1</w:t>
            </w:r>
          </w:p>
        </w:tc>
        <w:tc>
          <w:tcPr>
            <w:tcW w:w="3261" w:type="dxa"/>
            <w:tcBorders>
              <w:bottom w:val="nil"/>
            </w:tcBorders>
            <w:shd w:val="clear" w:color="auto" w:fill="E7F3F4"/>
          </w:tcPr>
          <w:p w:rsidR="003D1F7F" w:rsidRPr="00806669" w:rsidRDefault="003D1F7F" w:rsidP="00037AE5">
            <w:pPr>
              <w:spacing w:before="0" w:after="0"/>
              <w:rPr>
                <w:sz w:val="18"/>
                <w:szCs w:val="18"/>
              </w:rPr>
            </w:pPr>
            <w:r>
              <w:rPr>
                <w:sz w:val="18"/>
                <w:szCs w:val="18"/>
              </w:rPr>
              <w:t xml:space="preserve">Bureau of </w:t>
            </w:r>
            <w:r w:rsidR="00037AE5">
              <w:rPr>
                <w:sz w:val="18"/>
                <w:szCs w:val="18"/>
              </w:rPr>
              <w:t>M</w:t>
            </w:r>
            <w:r>
              <w:rPr>
                <w:sz w:val="18"/>
                <w:szCs w:val="18"/>
              </w:rPr>
              <w:t>eteorology</w:t>
            </w:r>
          </w:p>
        </w:tc>
      </w:tr>
      <w:tr w:rsidR="003D1F7F" w:rsidRPr="00806669" w:rsidTr="00101AFE">
        <w:trPr>
          <w:trHeight w:val="397"/>
          <w:jc w:val="center"/>
        </w:trPr>
        <w:tc>
          <w:tcPr>
            <w:tcW w:w="2045" w:type="dxa"/>
            <w:tcBorders>
              <w:bottom w:val="nil"/>
            </w:tcBorders>
            <w:shd w:val="clear" w:color="auto" w:fill="E7F3F4"/>
          </w:tcPr>
          <w:p w:rsidR="003D1F7F" w:rsidRPr="00806669" w:rsidRDefault="003D1F7F" w:rsidP="00037AE5">
            <w:pPr>
              <w:spacing w:before="0" w:after="0"/>
              <w:ind w:left="176"/>
              <w:rPr>
                <w:sz w:val="18"/>
                <w:szCs w:val="18"/>
              </w:rPr>
            </w:pPr>
            <w:r w:rsidRPr="00806669">
              <w:rPr>
                <w:sz w:val="18"/>
                <w:szCs w:val="18"/>
              </w:rPr>
              <w:t>Tidal exposure</w:t>
            </w:r>
          </w:p>
        </w:tc>
        <w:tc>
          <w:tcPr>
            <w:tcW w:w="1990" w:type="dxa"/>
            <w:tcBorders>
              <w:bottom w:val="nil"/>
            </w:tcBorders>
            <w:shd w:val="clear" w:color="auto" w:fill="E7F3F4"/>
          </w:tcPr>
          <w:p w:rsidR="003D1F7F" w:rsidRPr="00806669" w:rsidRDefault="003D1F7F" w:rsidP="00037AE5">
            <w:pPr>
              <w:spacing w:before="0" w:after="0"/>
              <w:rPr>
                <w:sz w:val="18"/>
                <w:szCs w:val="18"/>
              </w:rPr>
            </w:pPr>
            <w:r w:rsidRPr="00806669">
              <w:rPr>
                <w:sz w:val="18"/>
                <w:szCs w:val="18"/>
              </w:rPr>
              <w:t>1999 – 2015</w:t>
            </w:r>
          </w:p>
        </w:tc>
        <w:tc>
          <w:tcPr>
            <w:tcW w:w="2977" w:type="dxa"/>
            <w:tcBorders>
              <w:bottom w:val="nil"/>
            </w:tcBorders>
            <w:shd w:val="clear" w:color="auto" w:fill="E7F3F4"/>
          </w:tcPr>
          <w:p w:rsidR="003D1F7F" w:rsidRPr="00806669" w:rsidRDefault="00037AE5" w:rsidP="00037AE5">
            <w:pPr>
              <w:spacing w:before="0" w:after="0"/>
              <w:rPr>
                <w:sz w:val="18"/>
                <w:szCs w:val="18"/>
              </w:rPr>
            </w:pPr>
            <w:r>
              <w:rPr>
                <w:sz w:val="18"/>
                <w:szCs w:val="18"/>
              </w:rPr>
              <w:t>w</w:t>
            </w:r>
            <w:r w:rsidR="003D1F7F" w:rsidRPr="00806669">
              <w:rPr>
                <w:sz w:val="18"/>
                <w:szCs w:val="18"/>
              </w:rPr>
              <w:t>ave height buoys at station nearest to monitoring site</w:t>
            </w:r>
          </w:p>
        </w:tc>
        <w:tc>
          <w:tcPr>
            <w:tcW w:w="1515" w:type="dxa"/>
            <w:tcBorders>
              <w:bottom w:val="nil"/>
            </w:tcBorders>
            <w:shd w:val="clear" w:color="auto" w:fill="E7F3F4"/>
          </w:tcPr>
          <w:p w:rsidR="003D1F7F" w:rsidRPr="00806669" w:rsidRDefault="003D1F7F" w:rsidP="00037AE5">
            <w:pPr>
              <w:spacing w:before="0" w:after="0"/>
              <w:rPr>
                <w:sz w:val="18"/>
                <w:szCs w:val="18"/>
              </w:rPr>
            </w:pPr>
            <w:r w:rsidRPr="00806669">
              <w:rPr>
                <w:sz w:val="18"/>
                <w:szCs w:val="18"/>
              </w:rPr>
              <w:t>3 – 10 min</w:t>
            </w:r>
          </w:p>
        </w:tc>
        <w:tc>
          <w:tcPr>
            <w:tcW w:w="2596" w:type="dxa"/>
            <w:tcBorders>
              <w:bottom w:val="nil"/>
            </w:tcBorders>
            <w:shd w:val="clear" w:color="auto" w:fill="E7F3F4"/>
          </w:tcPr>
          <w:p w:rsidR="003D1F7F" w:rsidRPr="00806669" w:rsidRDefault="007B0A21" w:rsidP="00037AE5">
            <w:pPr>
              <w:spacing w:before="0" w:after="0"/>
              <w:rPr>
                <w:sz w:val="18"/>
                <w:szCs w:val="18"/>
              </w:rPr>
            </w:pPr>
            <w:r>
              <w:rPr>
                <w:sz w:val="18"/>
                <w:szCs w:val="18"/>
              </w:rPr>
              <w:t>h</w:t>
            </w:r>
            <w:r w:rsidR="003D1F7F" w:rsidRPr="00806669">
              <w:rPr>
                <w:sz w:val="18"/>
                <w:szCs w:val="18"/>
              </w:rPr>
              <w:t>ours exposed</w:t>
            </w:r>
            <w:r w:rsidR="003D1F7F">
              <w:rPr>
                <w:sz w:val="18"/>
                <w:szCs w:val="18"/>
              </w:rPr>
              <w:t xml:space="preserve"> during daylight</w:t>
            </w:r>
          </w:p>
        </w:tc>
        <w:tc>
          <w:tcPr>
            <w:tcW w:w="3261" w:type="dxa"/>
            <w:tcBorders>
              <w:bottom w:val="nil"/>
            </w:tcBorders>
            <w:shd w:val="clear" w:color="auto" w:fill="E7F3F4"/>
          </w:tcPr>
          <w:p w:rsidR="003D1F7F" w:rsidRPr="00806669" w:rsidRDefault="003D1F7F" w:rsidP="00037AE5">
            <w:pPr>
              <w:spacing w:before="0" w:after="0"/>
              <w:rPr>
                <w:sz w:val="18"/>
                <w:szCs w:val="18"/>
              </w:rPr>
            </w:pPr>
            <w:r w:rsidRPr="00806669">
              <w:rPr>
                <w:sz w:val="18"/>
                <w:szCs w:val="18"/>
              </w:rPr>
              <w:t xml:space="preserve">Maritime Safety Queensland, calculated exposure by </w:t>
            </w:r>
            <w:r w:rsidR="00101AFE">
              <w:rPr>
                <w:sz w:val="18"/>
                <w:szCs w:val="18"/>
              </w:rPr>
              <w:t xml:space="preserve">MMP </w:t>
            </w:r>
            <w:r w:rsidR="00101AFE" w:rsidRPr="00806669">
              <w:rPr>
                <w:sz w:val="18"/>
                <w:szCs w:val="18"/>
              </w:rPr>
              <w:t xml:space="preserve">Inshore </w:t>
            </w:r>
            <w:r w:rsidR="00101AFE">
              <w:rPr>
                <w:sz w:val="18"/>
                <w:szCs w:val="18"/>
              </w:rPr>
              <w:t>S</w:t>
            </w:r>
            <w:r w:rsidR="00101AFE" w:rsidRPr="00806669">
              <w:rPr>
                <w:sz w:val="18"/>
                <w:szCs w:val="18"/>
              </w:rPr>
              <w:t>eagrass monitoring</w:t>
            </w:r>
          </w:p>
        </w:tc>
      </w:tr>
      <w:tr w:rsidR="003D1F7F" w:rsidRPr="00806669" w:rsidTr="00101AFE">
        <w:trPr>
          <w:trHeight w:val="397"/>
          <w:jc w:val="center"/>
        </w:trPr>
        <w:tc>
          <w:tcPr>
            <w:tcW w:w="2045" w:type="dxa"/>
            <w:tcBorders>
              <w:bottom w:val="single" w:sz="4" w:space="0" w:color="auto"/>
            </w:tcBorders>
            <w:shd w:val="clear" w:color="auto" w:fill="E7F3F4"/>
          </w:tcPr>
          <w:p w:rsidR="003D1F7F" w:rsidRPr="00806669" w:rsidRDefault="00101AFE" w:rsidP="00037AE5">
            <w:pPr>
              <w:spacing w:before="0" w:after="0"/>
              <w:ind w:left="176"/>
              <w:rPr>
                <w:sz w:val="18"/>
                <w:szCs w:val="18"/>
              </w:rPr>
            </w:pPr>
            <w:r>
              <w:rPr>
                <w:sz w:val="18"/>
                <w:szCs w:val="18"/>
              </w:rPr>
              <w:t>Cloud cover</w:t>
            </w:r>
          </w:p>
        </w:tc>
        <w:tc>
          <w:tcPr>
            <w:tcW w:w="1990" w:type="dxa"/>
            <w:tcBorders>
              <w:bottom w:val="single" w:sz="4" w:space="0" w:color="auto"/>
            </w:tcBorders>
            <w:shd w:val="clear" w:color="auto" w:fill="E7F3F4"/>
          </w:tcPr>
          <w:p w:rsidR="003D1F7F" w:rsidRPr="00806669" w:rsidRDefault="00101AFE" w:rsidP="00037AE5">
            <w:pPr>
              <w:spacing w:before="0" w:after="0"/>
              <w:rPr>
                <w:sz w:val="18"/>
                <w:szCs w:val="18"/>
              </w:rPr>
            </w:pPr>
            <w:r w:rsidRPr="00806669">
              <w:rPr>
                <w:sz w:val="18"/>
                <w:szCs w:val="18"/>
              </w:rPr>
              <w:t>1999 – 2015</w:t>
            </w:r>
            <w:r w:rsidR="00F6139F">
              <w:rPr>
                <w:sz w:val="18"/>
                <w:szCs w:val="18"/>
              </w:rPr>
              <w:t>*</w:t>
            </w:r>
          </w:p>
        </w:tc>
        <w:tc>
          <w:tcPr>
            <w:tcW w:w="2977" w:type="dxa"/>
            <w:tcBorders>
              <w:bottom w:val="single" w:sz="4" w:space="0" w:color="auto"/>
            </w:tcBorders>
            <w:shd w:val="clear" w:color="auto" w:fill="E7F3F4"/>
          </w:tcPr>
          <w:p w:rsidR="003D1F7F" w:rsidRPr="00806669" w:rsidRDefault="00037AE5" w:rsidP="00037AE5">
            <w:pPr>
              <w:spacing w:before="0" w:after="0"/>
              <w:rPr>
                <w:sz w:val="18"/>
                <w:szCs w:val="18"/>
              </w:rPr>
            </w:pPr>
            <w:r w:rsidRPr="00037AE5">
              <w:rPr>
                <w:sz w:val="18"/>
                <w:szCs w:val="18"/>
              </w:rPr>
              <w:t xml:space="preserve">measured visually by estimating the fraction (in eighths or </w:t>
            </w:r>
            <w:proofErr w:type="spellStart"/>
            <w:r w:rsidRPr="00037AE5">
              <w:rPr>
                <w:sz w:val="18"/>
                <w:szCs w:val="18"/>
              </w:rPr>
              <w:t>oktas</w:t>
            </w:r>
            <w:proofErr w:type="spellEnd"/>
            <w:r w:rsidRPr="00037AE5">
              <w:rPr>
                <w:sz w:val="18"/>
                <w:szCs w:val="18"/>
              </w:rPr>
              <w:t>) of the dome of the sky covered by cloud a</w:t>
            </w:r>
            <w:r w:rsidR="0032403D" w:rsidRPr="00037AE5">
              <w:rPr>
                <w:sz w:val="18"/>
                <w:szCs w:val="18"/>
              </w:rPr>
              <w:t xml:space="preserve">t nearest </w:t>
            </w:r>
            <w:r w:rsidRPr="00037AE5">
              <w:rPr>
                <w:sz w:val="18"/>
                <w:szCs w:val="18"/>
              </w:rPr>
              <w:t>weather</w:t>
            </w:r>
            <w:r>
              <w:rPr>
                <w:sz w:val="18"/>
                <w:szCs w:val="18"/>
              </w:rPr>
              <w:t xml:space="preserve"> </w:t>
            </w:r>
            <w:r w:rsidR="0032403D" w:rsidRPr="00037AE5">
              <w:rPr>
                <w:sz w:val="18"/>
                <w:szCs w:val="18"/>
              </w:rPr>
              <w:t>station</w:t>
            </w:r>
          </w:p>
        </w:tc>
        <w:tc>
          <w:tcPr>
            <w:tcW w:w="1515" w:type="dxa"/>
            <w:tcBorders>
              <w:bottom w:val="single" w:sz="4" w:space="0" w:color="auto"/>
            </w:tcBorders>
            <w:shd w:val="clear" w:color="auto" w:fill="E7F3F4"/>
          </w:tcPr>
          <w:p w:rsidR="003D1F7F" w:rsidRPr="00806669" w:rsidRDefault="00101AFE" w:rsidP="00037AE5">
            <w:pPr>
              <w:spacing w:before="0" w:after="0"/>
              <w:rPr>
                <w:sz w:val="18"/>
                <w:szCs w:val="18"/>
              </w:rPr>
            </w:pPr>
            <w:r>
              <w:rPr>
                <w:sz w:val="18"/>
                <w:szCs w:val="18"/>
              </w:rPr>
              <w:t>9am</w:t>
            </w:r>
            <w:r w:rsidR="00F6139F">
              <w:rPr>
                <w:sz w:val="18"/>
                <w:szCs w:val="18"/>
              </w:rPr>
              <w:t xml:space="preserve"> &amp;</w:t>
            </w:r>
            <w:r>
              <w:rPr>
                <w:sz w:val="18"/>
                <w:szCs w:val="18"/>
              </w:rPr>
              <w:t xml:space="preserve"> 3pm</w:t>
            </w:r>
          </w:p>
        </w:tc>
        <w:tc>
          <w:tcPr>
            <w:tcW w:w="2596" w:type="dxa"/>
            <w:tcBorders>
              <w:bottom w:val="single" w:sz="4" w:space="0" w:color="auto"/>
            </w:tcBorders>
            <w:shd w:val="clear" w:color="auto" w:fill="E7F3F4"/>
          </w:tcPr>
          <w:p w:rsidR="003D1F7F" w:rsidRPr="00806669" w:rsidRDefault="00037AE5" w:rsidP="00037AE5">
            <w:pPr>
              <w:spacing w:before="0" w:after="0"/>
              <w:rPr>
                <w:sz w:val="18"/>
                <w:szCs w:val="18"/>
              </w:rPr>
            </w:pPr>
            <w:proofErr w:type="spellStart"/>
            <w:r>
              <w:rPr>
                <w:sz w:val="18"/>
                <w:szCs w:val="18"/>
              </w:rPr>
              <w:t>o</w:t>
            </w:r>
            <w:r w:rsidR="00101AFE">
              <w:rPr>
                <w:sz w:val="18"/>
                <w:szCs w:val="18"/>
              </w:rPr>
              <w:t>ckta</w:t>
            </w:r>
            <w:proofErr w:type="spellEnd"/>
            <w:r w:rsidR="00101AFE">
              <w:rPr>
                <w:sz w:val="18"/>
                <w:szCs w:val="18"/>
              </w:rPr>
              <w:t xml:space="preserve"> </w:t>
            </w:r>
            <w:r w:rsidR="00F6139F">
              <w:rPr>
                <w:sz w:val="18"/>
                <w:szCs w:val="18"/>
              </w:rPr>
              <w:t>(daily average)</w:t>
            </w:r>
          </w:p>
        </w:tc>
        <w:tc>
          <w:tcPr>
            <w:tcW w:w="3261" w:type="dxa"/>
            <w:tcBorders>
              <w:bottom w:val="single" w:sz="4" w:space="0" w:color="auto"/>
            </w:tcBorders>
            <w:shd w:val="clear" w:color="auto" w:fill="E7F3F4"/>
          </w:tcPr>
          <w:p w:rsidR="003D1F7F" w:rsidRPr="00806669" w:rsidRDefault="0032403D" w:rsidP="00037AE5">
            <w:pPr>
              <w:spacing w:before="0" w:after="0"/>
              <w:rPr>
                <w:sz w:val="18"/>
                <w:szCs w:val="18"/>
              </w:rPr>
            </w:pPr>
            <w:r>
              <w:rPr>
                <w:sz w:val="18"/>
                <w:szCs w:val="18"/>
              </w:rPr>
              <w:t xml:space="preserve">Bureau of </w:t>
            </w:r>
            <w:r w:rsidR="00037AE5">
              <w:rPr>
                <w:sz w:val="18"/>
                <w:szCs w:val="18"/>
              </w:rPr>
              <w:t>M</w:t>
            </w:r>
            <w:r>
              <w:rPr>
                <w:sz w:val="18"/>
                <w:szCs w:val="18"/>
              </w:rPr>
              <w:t>eteorology</w:t>
            </w:r>
          </w:p>
        </w:tc>
      </w:tr>
      <w:tr w:rsidR="003D1F7F" w:rsidRPr="00806669" w:rsidTr="00101AFE">
        <w:trPr>
          <w:trHeight w:val="397"/>
          <w:jc w:val="center"/>
        </w:trPr>
        <w:tc>
          <w:tcPr>
            <w:tcW w:w="4035" w:type="dxa"/>
            <w:gridSpan w:val="2"/>
            <w:tcBorders>
              <w:top w:val="single" w:sz="4" w:space="0" w:color="auto"/>
            </w:tcBorders>
            <w:shd w:val="clear" w:color="auto" w:fill="F3F9FA"/>
          </w:tcPr>
          <w:p w:rsidR="003D1F7F" w:rsidRPr="00806669" w:rsidRDefault="003D1F7F" w:rsidP="00101AFE">
            <w:pPr>
              <w:spacing w:before="0" w:after="0" w:line="200" w:lineRule="exact"/>
              <w:rPr>
                <w:sz w:val="18"/>
                <w:szCs w:val="18"/>
              </w:rPr>
            </w:pPr>
            <w:r>
              <w:rPr>
                <w:i/>
                <w:sz w:val="18"/>
                <w:szCs w:val="18"/>
              </w:rPr>
              <w:t>Environment w</w:t>
            </w:r>
            <w:r w:rsidRPr="00806669">
              <w:rPr>
                <w:i/>
                <w:sz w:val="18"/>
                <w:szCs w:val="18"/>
              </w:rPr>
              <w:t>ithin seagrass canopy</w:t>
            </w:r>
          </w:p>
        </w:tc>
        <w:tc>
          <w:tcPr>
            <w:tcW w:w="2977" w:type="dxa"/>
            <w:tcBorders>
              <w:top w:val="single" w:sz="4" w:space="0" w:color="auto"/>
            </w:tcBorders>
            <w:shd w:val="clear" w:color="auto" w:fill="F3F9FA"/>
          </w:tcPr>
          <w:p w:rsidR="003D1F7F" w:rsidRPr="00806669" w:rsidRDefault="003D1F7F" w:rsidP="00101AFE">
            <w:pPr>
              <w:spacing w:before="0" w:after="0" w:line="200" w:lineRule="exact"/>
              <w:rPr>
                <w:sz w:val="18"/>
                <w:szCs w:val="18"/>
              </w:rPr>
            </w:pPr>
          </w:p>
        </w:tc>
        <w:tc>
          <w:tcPr>
            <w:tcW w:w="1515" w:type="dxa"/>
            <w:tcBorders>
              <w:top w:val="single" w:sz="4" w:space="0" w:color="auto"/>
            </w:tcBorders>
            <w:shd w:val="clear" w:color="auto" w:fill="F3F9FA"/>
          </w:tcPr>
          <w:p w:rsidR="003D1F7F" w:rsidRPr="00806669" w:rsidRDefault="003D1F7F" w:rsidP="00101AFE">
            <w:pPr>
              <w:spacing w:before="0" w:after="0" w:line="200" w:lineRule="exact"/>
              <w:rPr>
                <w:sz w:val="18"/>
                <w:szCs w:val="18"/>
              </w:rPr>
            </w:pPr>
          </w:p>
        </w:tc>
        <w:tc>
          <w:tcPr>
            <w:tcW w:w="2596" w:type="dxa"/>
            <w:tcBorders>
              <w:top w:val="single" w:sz="4" w:space="0" w:color="auto"/>
            </w:tcBorders>
            <w:shd w:val="clear" w:color="auto" w:fill="F3F9FA"/>
          </w:tcPr>
          <w:p w:rsidR="003D1F7F" w:rsidRPr="00806669" w:rsidRDefault="003D1F7F" w:rsidP="00101AFE">
            <w:pPr>
              <w:spacing w:before="0" w:after="0" w:line="200" w:lineRule="exact"/>
              <w:rPr>
                <w:sz w:val="18"/>
                <w:szCs w:val="18"/>
              </w:rPr>
            </w:pPr>
          </w:p>
        </w:tc>
        <w:tc>
          <w:tcPr>
            <w:tcW w:w="3261" w:type="dxa"/>
            <w:tcBorders>
              <w:top w:val="single" w:sz="4" w:space="0" w:color="auto"/>
            </w:tcBorders>
            <w:shd w:val="clear" w:color="auto" w:fill="F3F9FA"/>
          </w:tcPr>
          <w:p w:rsidR="003D1F7F" w:rsidRPr="00806669" w:rsidRDefault="003D1F7F" w:rsidP="00101AFE">
            <w:pPr>
              <w:spacing w:before="0" w:after="0" w:line="200" w:lineRule="exact"/>
              <w:rPr>
                <w:sz w:val="18"/>
                <w:szCs w:val="18"/>
              </w:rPr>
            </w:pPr>
          </w:p>
        </w:tc>
      </w:tr>
      <w:tr w:rsidR="003D1F7F" w:rsidRPr="00806669" w:rsidTr="00101AFE">
        <w:trPr>
          <w:trHeight w:val="397"/>
          <w:jc w:val="center"/>
        </w:trPr>
        <w:tc>
          <w:tcPr>
            <w:tcW w:w="2045" w:type="dxa"/>
            <w:shd w:val="clear" w:color="auto" w:fill="F3F9FA"/>
          </w:tcPr>
          <w:p w:rsidR="003D1F7F" w:rsidRPr="00806669" w:rsidRDefault="00101AFE" w:rsidP="00037AE5">
            <w:pPr>
              <w:spacing w:before="0" w:after="0" w:line="200" w:lineRule="exact"/>
              <w:ind w:left="176"/>
              <w:rPr>
                <w:sz w:val="18"/>
                <w:szCs w:val="18"/>
              </w:rPr>
            </w:pPr>
            <w:r>
              <w:rPr>
                <w:sz w:val="18"/>
                <w:szCs w:val="18"/>
              </w:rPr>
              <w:t xml:space="preserve">Water </w:t>
            </w:r>
            <w:r w:rsidR="003D1F7F" w:rsidRPr="00806669">
              <w:rPr>
                <w:sz w:val="18"/>
                <w:szCs w:val="18"/>
              </w:rPr>
              <w:t>temperature</w:t>
            </w:r>
          </w:p>
        </w:tc>
        <w:tc>
          <w:tcPr>
            <w:tcW w:w="1990" w:type="dxa"/>
            <w:shd w:val="clear" w:color="auto" w:fill="F3F9FA"/>
          </w:tcPr>
          <w:p w:rsidR="003D1F7F" w:rsidRPr="00806669" w:rsidRDefault="003D1F7F" w:rsidP="00101AFE">
            <w:pPr>
              <w:spacing w:before="0" w:after="0" w:line="200" w:lineRule="exact"/>
              <w:rPr>
                <w:sz w:val="18"/>
                <w:szCs w:val="18"/>
              </w:rPr>
            </w:pPr>
            <w:r w:rsidRPr="00806669">
              <w:rPr>
                <w:sz w:val="18"/>
                <w:szCs w:val="18"/>
              </w:rPr>
              <w:t>2002 – 2015</w:t>
            </w:r>
          </w:p>
        </w:tc>
        <w:tc>
          <w:tcPr>
            <w:tcW w:w="2977" w:type="dxa"/>
            <w:shd w:val="clear" w:color="auto" w:fill="F3F9FA"/>
          </w:tcPr>
          <w:p w:rsidR="003D1F7F" w:rsidRPr="00806669" w:rsidRDefault="003D1F7F" w:rsidP="00101AFE">
            <w:pPr>
              <w:spacing w:before="0" w:after="0" w:line="200" w:lineRule="exact"/>
              <w:rPr>
                <w:sz w:val="18"/>
                <w:szCs w:val="18"/>
              </w:rPr>
            </w:pPr>
            <w:proofErr w:type="spellStart"/>
            <w:r>
              <w:rPr>
                <w:sz w:val="18"/>
                <w:szCs w:val="18"/>
              </w:rPr>
              <w:t>iB</w:t>
            </w:r>
            <w:r w:rsidRPr="00806669">
              <w:rPr>
                <w:sz w:val="18"/>
                <w:szCs w:val="18"/>
              </w:rPr>
              <w:t>Tag</w:t>
            </w:r>
            <w:proofErr w:type="spellEnd"/>
          </w:p>
        </w:tc>
        <w:tc>
          <w:tcPr>
            <w:tcW w:w="1515" w:type="dxa"/>
            <w:shd w:val="clear" w:color="auto" w:fill="F3F9FA"/>
          </w:tcPr>
          <w:p w:rsidR="003D1F7F" w:rsidRPr="00806669" w:rsidRDefault="003D1F7F" w:rsidP="00101AFE">
            <w:pPr>
              <w:spacing w:before="0" w:after="0" w:line="200" w:lineRule="exact"/>
              <w:rPr>
                <w:sz w:val="18"/>
                <w:szCs w:val="18"/>
              </w:rPr>
            </w:pPr>
            <w:r w:rsidRPr="00806669">
              <w:rPr>
                <w:sz w:val="18"/>
                <w:szCs w:val="18"/>
              </w:rPr>
              <w:t>30 – 90 min</w:t>
            </w:r>
          </w:p>
        </w:tc>
        <w:tc>
          <w:tcPr>
            <w:tcW w:w="2596" w:type="dxa"/>
            <w:shd w:val="clear" w:color="auto" w:fill="F3F9FA"/>
          </w:tcPr>
          <w:p w:rsidR="003D1F7F" w:rsidRPr="00806669" w:rsidRDefault="003D1F7F" w:rsidP="00101AFE">
            <w:pPr>
              <w:spacing w:before="0" w:after="0" w:line="200" w:lineRule="exact"/>
              <w:rPr>
                <w:sz w:val="18"/>
                <w:szCs w:val="18"/>
              </w:rPr>
            </w:pPr>
            <w:proofErr w:type="spellStart"/>
            <w:r w:rsidRPr="00806669">
              <w:rPr>
                <w:sz w:val="18"/>
                <w:szCs w:val="18"/>
                <w:vertAlign w:val="superscript"/>
              </w:rPr>
              <w:t>o</w:t>
            </w:r>
            <w:r w:rsidRPr="00806669">
              <w:rPr>
                <w:sz w:val="18"/>
                <w:szCs w:val="18"/>
              </w:rPr>
              <w:t>C</w:t>
            </w:r>
            <w:proofErr w:type="spellEnd"/>
            <w:r w:rsidRPr="00806669">
              <w:rPr>
                <w:sz w:val="18"/>
                <w:szCs w:val="18"/>
              </w:rPr>
              <w:t>, Temperature anomalies,</w:t>
            </w:r>
          </w:p>
          <w:p w:rsidR="003D1F7F" w:rsidRPr="00806669" w:rsidRDefault="006C265D" w:rsidP="00101AFE">
            <w:pPr>
              <w:spacing w:before="0" w:after="0" w:line="200" w:lineRule="exact"/>
              <w:rPr>
                <w:sz w:val="18"/>
                <w:szCs w:val="18"/>
              </w:rPr>
            </w:pPr>
            <w:r>
              <w:rPr>
                <w:sz w:val="18"/>
                <w:szCs w:val="18"/>
              </w:rPr>
              <w:t>e</w:t>
            </w:r>
            <w:r w:rsidR="003D1F7F" w:rsidRPr="00806669">
              <w:rPr>
                <w:sz w:val="18"/>
                <w:szCs w:val="18"/>
              </w:rPr>
              <w:t>xceedance of thresholds</w:t>
            </w:r>
          </w:p>
        </w:tc>
        <w:tc>
          <w:tcPr>
            <w:tcW w:w="3261" w:type="dxa"/>
            <w:shd w:val="clear" w:color="auto" w:fill="F3F9FA"/>
          </w:tcPr>
          <w:p w:rsidR="003D1F7F" w:rsidRPr="00806669" w:rsidRDefault="00101AFE" w:rsidP="00101AFE">
            <w:pPr>
              <w:spacing w:before="0" w:after="0" w:line="200" w:lineRule="exact"/>
              <w:rPr>
                <w:sz w:val="18"/>
                <w:szCs w:val="18"/>
              </w:rPr>
            </w:pPr>
            <w:r>
              <w:rPr>
                <w:sz w:val="18"/>
                <w:szCs w:val="18"/>
              </w:rPr>
              <w:t xml:space="preserve">MMP </w:t>
            </w:r>
            <w:r w:rsidR="003D1F7F" w:rsidRPr="00806669">
              <w:rPr>
                <w:sz w:val="18"/>
                <w:szCs w:val="18"/>
              </w:rPr>
              <w:t xml:space="preserve">Inshore </w:t>
            </w:r>
            <w:r>
              <w:rPr>
                <w:sz w:val="18"/>
                <w:szCs w:val="18"/>
              </w:rPr>
              <w:t>S</w:t>
            </w:r>
            <w:r w:rsidR="003D1F7F" w:rsidRPr="00806669">
              <w:rPr>
                <w:sz w:val="18"/>
                <w:szCs w:val="18"/>
              </w:rPr>
              <w:t>eagrass monitoring</w:t>
            </w:r>
          </w:p>
        </w:tc>
      </w:tr>
      <w:tr w:rsidR="003D1F7F" w:rsidRPr="00806669" w:rsidTr="00101AFE">
        <w:trPr>
          <w:trHeight w:val="397"/>
          <w:jc w:val="center"/>
        </w:trPr>
        <w:tc>
          <w:tcPr>
            <w:tcW w:w="2045" w:type="dxa"/>
            <w:shd w:val="clear" w:color="auto" w:fill="F3F9FA"/>
          </w:tcPr>
          <w:p w:rsidR="003D1F7F" w:rsidRPr="00806669" w:rsidRDefault="00101AFE" w:rsidP="00101AFE">
            <w:pPr>
              <w:spacing w:before="0" w:after="0" w:line="200" w:lineRule="exact"/>
              <w:ind w:left="176"/>
              <w:rPr>
                <w:sz w:val="18"/>
                <w:szCs w:val="18"/>
              </w:rPr>
            </w:pPr>
            <w:r>
              <w:rPr>
                <w:sz w:val="18"/>
                <w:szCs w:val="18"/>
              </w:rPr>
              <w:t>L</w:t>
            </w:r>
            <w:r w:rsidR="003D1F7F" w:rsidRPr="00806669">
              <w:rPr>
                <w:sz w:val="18"/>
                <w:szCs w:val="18"/>
              </w:rPr>
              <w:t>ight</w:t>
            </w:r>
          </w:p>
        </w:tc>
        <w:tc>
          <w:tcPr>
            <w:tcW w:w="1990" w:type="dxa"/>
            <w:shd w:val="clear" w:color="auto" w:fill="F3F9FA"/>
          </w:tcPr>
          <w:p w:rsidR="003D1F7F" w:rsidRPr="00806669" w:rsidRDefault="003D1F7F" w:rsidP="00101AFE">
            <w:pPr>
              <w:spacing w:before="0" w:after="0" w:line="200" w:lineRule="exact"/>
              <w:rPr>
                <w:sz w:val="18"/>
                <w:szCs w:val="18"/>
              </w:rPr>
            </w:pPr>
            <w:r w:rsidRPr="00806669">
              <w:rPr>
                <w:sz w:val="18"/>
                <w:szCs w:val="18"/>
              </w:rPr>
              <w:t>2008 – 2015</w:t>
            </w:r>
          </w:p>
        </w:tc>
        <w:tc>
          <w:tcPr>
            <w:tcW w:w="2977" w:type="dxa"/>
            <w:shd w:val="clear" w:color="auto" w:fill="F3F9FA"/>
          </w:tcPr>
          <w:p w:rsidR="003D1F7F" w:rsidRPr="00806669" w:rsidRDefault="003D1F7F" w:rsidP="00101AFE">
            <w:pPr>
              <w:spacing w:before="0" w:after="0" w:line="200" w:lineRule="exact"/>
              <w:rPr>
                <w:sz w:val="18"/>
                <w:szCs w:val="18"/>
              </w:rPr>
            </w:pPr>
            <w:r w:rsidRPr="00806669">
              <w:rPr>
                <w:sz w:val="18"/>
                <w:szCs w:val="18"/>
              </w:rPr>
              <w:t>Odyssey 2Pi PAR light loggers with wiper unit</w:t>
            </w:r>
          </w:p>
        </w:tc>
        <w:tc>
          <w:tcPr>
            <w:tcW w:w="1515" w:type="dxa"/>
            <w:shd w:val="clear" w:color="auto" w:fill="F3F9FA"/>
          </w:tcPr>
          <w:p w:rsidR="003D1F7F" w:rsidRPr="00806669" w:rsidRDefault="003D1F7F" w:rsidP="00101AFE">
            <w:pPr>
              <w:spacing w:before="0" w:after="0" w:line="200" w:lineRule="exact"/>
              <w:rPr>
                <w:sz w:val="18"/>
                <w:szCs w:val="18"/>
              </w:rPr>
            </w:pPr>
            <w:r w:rsidRPr="00806669">
              <w:rPr>
                <w:sz w:val="18"/>
                <w:szCs w:val="18"/>
              </w:rPr>
              <w:t>15 min</w:t>
            </w:r>
          </w:p>
        </w:tc>
        <w:tc>
          <w:tcPr>
            <w:tcW w:w="2596" w:type="dxa"/>
            <w:shd w:val="clear" w:color="auto" w:fill="F3F9FA"/>
          </w:tcPr>
          <w:p w:rsidR="003D1F7F" w:rsidRPr="00806669" w:rsidRDefault="003D1F7F" w:rsidP="00101AFE">
            <w:pPr>
              <w:spacing w:before="0" w:after="0" w:line="200" w:lineRule="exact"/>
              <w:rPr>
                <w:sz w:val="18"/>
                <w:szCs w:val="18"/>
              </w:rPr>
            </w:pPr>
            <w:r w:rsidRPr="00806669">
              <w:rPr>
                <w:sz w:val="18"/>
                <w:szCs w:val="18"/>
              </w:rPr>
              <w:t>Daily light (I</w:t>
            </w:r>
            <w:r w:rsidRPr="00806669">
              <w:rPr>
                <w:sz w:val="18"/>
                <w:szCs w:val="18"/>
                <w:vertAlign w:val="subscript"/>
              </w:rPr>
              <w:t>d</w:t>
            </w:r>
            <w:r w:rsidRPr="00806669">
              <w:rPr>
                <w:sz w:val="18"/>
                <w:szCs w:val="18"/>
              </w:rPr>
              <w:t xml:space="preserve">) </w:t>
            </w:r>
            <w:proofErr w:type="spellStart"/>
            <w:r w:rsidRPr="00806669">
              <w:rPr>
                <w:sz w:val="18"/>
                <w:szCs w:val="18"/>
              </w:rPr>
              <w:t>mol</w:t>
            </w:r>
            <w:proofErr w:type="spellEnd"/>
            <w:r w:rsidRPr="00806669">
              <w:rPr>
                <w:sz w:val="18"/>
                <w:szCs w:val="18"/>
              </w:rPr>
              <w:t xml:space="preserve"> m</w:t>
            </w:r>
            <w:r w:rsidRPr="00806669">
              <w:rPr>
                <w:sz w:val="18"/>
                <w:szCs w:val="18"/>
                <w:vertAlign w:val="superscript"/>
              </w:rPr>
              <w:t>-2</w:t>
            </w:r>
            <w:r w:rsidRPr="00806669">
              <w:rPr>
                <w:sz w:val="18"/>
                <w:szCs w:val="18"/>
              </w:rPr>
              <w:t xml:space="preserve"> d</w:t>
            </w:r>
            <w:r w:rsidRPr="00806669">
              <w:rPr>
                <w:sz w:val="18"/>
                <w:szCs w:val="18"/>
                <w:vertAlign w:val="superscript"/>
              </w:rPr>
              <w:t>-1</w:t>
            </w:r>
          </w:p>
          <w:p w:rsidR="003D1F7F" w:rsidRPr="00806669" w:rsidRDefault="003D1F7F" w:rsidP="00101AFE">
            <w:pPr>
              <w:spacing w:before="0" w:after="0" w:line="200" w:lineRule="exact"/>
              <w:rPr>
                <w:sz w:val="18"/>
                <w:szCs w:val="18"/>
              </w:rPr>
            </w:pPr>
            <w:r w:rsidRPr="00806669">
              <w:rPr>
                <w:sz w:val="18"/>
                <w:szCs w:val="18"/>
              </w:rPr>
              <w:t>Frequency of threshold exceedance (% days)</w:t>
            </w:r>
          </w:p>
        </w:tc>
        <w:tc>
          <w:tcPr>
            <w:tcW w:w="3261" w:type="dxa"/>
            <w:shd w:val="clear" w:color="auto" w:fill="F3F9FA"/>
          </w:tcPr>
          <w:p w:rsidR="003D1F7F" w:rsidRPr="00806669" w:rsidRDefault="00101AFE" w:rsidP="00101AFE">
            <w:pPr>
              <w:spacing w:before="0" w:after="0" w:line="200" w:lineRule="exact"/>
              <w:rPr>
                <w:sz w:val="18"/>
                <w:szCs w:val="18"/>
              </w:rPr>
            </w:pPr>
            <w:r>
              <w:rPr>
                <w:sz w:val="18"/>
                <w:szCs w:val="18"/>
              </w:rPr>
              <w:t xml:space="preserve">MMP </w:t>
            </w:r>
            <w:r w:rsidRPr="00806669">
              <w:rPr>
                <w:sz w:val="18"/>
                <w:szCs w:val="18"/>
              </w:rPr>
              <w:t xml:space="preserve">Inshore </w:t>
            </w:r>
            <w:r>
              <w:rPr>
                <w:sz w:val="18"/>
                <w:szCs w:val="18"/>
              </w:rPr>
              <w:t>S</w:t>
            </w:r>
            <w:r w:rsidRPr="00806669">
              <w:rPr>
                <w:sz w:val="18"/>
                <w:szCs w:val="18"/>
              </w:rPr>
              <w:t>eagrass monitoring</w:t>
            </w:r>
          </w:p>
        </w:tc>
      </w:tr>
      <w:tr w:rsidR="003D1F7F" w:rsidRPr="00806669" w:rsidTr="00101AFE">
        <w:trPr>
          <w:trHeight w:val="397"/>
          <w:jc w:val="center"/>
        </w:trPr>
        <w:tc>
          <w:tcPr>
            <w:tcW w:w="2045" w:type="dxa"/>
            <w:shd w:val="clear" w:color="auto" w:fill="F3F9FA"/>
          </w:tcPr>
          <w:p w:rsidR="003D1F7F" w:rsidRPr="00806669" w:rsidRDefault="003D1F7F" w:rsidP="00101AFE">
            <w:pPr>
              <w:spacing w:before="0" w:after="0" w:line="200" w:lineRule="exact"/>
              <w:ind w:left="176"/>
              <w:rPr>
                <w:sz w:val="18"/>
                <w:szCs w:val="18"/>
              </w:rPr>
            </w:pPr>
            <w:r w:rsidRPr="00806669">
              <w:rPr>
                <w:sz w:val="18"/>
                <w:szCs w:val="18"/>
              </w:rPr>
              <w:t xml:space="preserve">Sediment </w:t>
            </w:r>
            <w:r w:rsidR="00101AFE">
              <w:rPr>
                <w:sz w:val="18"/>
                <w:szCs w:val="18"/>
              </w:rPr>
              <w:t>grain size</w:t>
            </w:r>
          </w:p>
        </w:tc>
        <w:tc>
          <w:tcPr>
            <w:tcW w:w="1990" w:type="dxa"/>
            <w:shd w:val="clear" w:color="auto" w:fill="F3F9FA"/>
          </w:tcPr>
          <w:p w:rsidR="003D1F7F" w:rsidRPr="00806669" w:rsidRDefault="00101AFE" w:rsidP="00101AFE">
            <w:pPr>
              <w:spacing w:before="0" w:after="0" w:line="200" w:lineRule="exact"/>
              <w:rPr>
                <w:sz w:val="18"/>
                <w:szCs w:val="18"/>
              </w:rPr>
            </w:pPr>
            <w:r>
              <w:rPr>
                <w:sz w:val="18"/>
                <w:szCs w:val="18"/>
              </w:rPr>
              <w:t>1999</w:t>
            </w:r>
            <w:r w:rsidR="003D1F7F" w:rsidRPr="00806669">
              <w:rPr>
                <w:sz w:val="18"/>
                <w:szCs w:val="18"/>
              </w:rPr>
              <w:t xml:space="preserve"> – 2015</w:t>
            </w:r>
          </w:p>
        </w:tc>
        <w:tc>
          <w:tcPr>
            <w:tcW w:w="2977" w:type="dxa"/>
            <w:shd w:val="clear" w:color="auto" w:fill="F3F9FA"/>
          </w:tcPr>
          <w:p w:rsidR="003D1F7F" w:rsidRPr="00806669" w:rsidRDefault="003D1F7F" w:rsidP="00101AFE">
            <w:pPr>
              <w:spacing w:before="0" w:after="0" w:line="200" w:lineRule="exact"/>
              <w:rPr>
                <w:sz w:val="18"/>
                <w:szCs w:val="18"/>
              </w:rPr>
            </w:pPr>
            <w:r w:rsidRPr="00806669">
              <w:rPr>
                <w:sz w:val="18"/>
                <w:szCs w:val="18"/>
              </w:rPr>
              <w:t xml:space="preserve">Visual </w:t>
            </w:r>
            <w:r>
              <w:rPr>
                <w:sz w:val="18"/>
                <w:szCs w:val="18"/>
              </w:rPr>
              <w:t xml:space="preserve">/ tactile </w:t>
            </w:r>
            <w:r w:rsidRPr="00806669">
              <w:rPr>
                <w:sz w:val="18"/>
                <w:szCs w:val="18"/>
              </w:rPr>
              <w:t xml:space="preserve">description of </w:t>
            </w:r>
            <w:r>
              <w:rPr>
                <w:sz w:val="18"/>
                <w:szCs w:val="18"/>
              </w:rPr>
              <w:t>sediment grain size composition</w:t>
            </w:r>
          </w:p>
        </w:tc>
        <w:tc>
          <w:tcPr>
            <w:tcW w:w="1515" w:type="dxa"/>
            <w:shd w:val="clear" w:color="auto" w:fill="F3F9FA"/>
          </w:tcPr>
          <w:p w:rsidR="003D1F7F" w:rsidRPr="00806669" w:rsidRDefault="003D1F7F" w:rsidP="00101AFE">
            <w:pPr>
              <w:spacing w:before="0" w:after="0" w:line="200" w:lineRule="exact"/>
              <w:rPr>
                <w:sz w:val="18"/>
                <w:szCs w:val="18"/>
              </w:rPr>
            </w:pPr>
            <w:r w:rsidRPr="00806669">
              <w:rPr>
                <w:sz w:val="18"/>
                <w:szCs w:val="18"/>
              </w:rPr>
              <w:t xml:space="preserve">3 </w:t>
            </w:r>
            <w:proofErr w:type="spellStart"/>
            <w:r w:rsidRPr="00806669">
              <w:rPr>
                <w:sz w:val="18"/>
                <w:szCs w:val="18"/>
              </w:rPr>
              <w:t>mo</w:t>
            </w:r>
            <w:proofErr w:type="spellEnd"/>
            <w:r w:rsidRPr="00806669">
              <w:rPr>
                <w:sz w:val="18"/>
                <w:szCs w:val="18"/>
              </w:rPr>
              <w:t xml:space="preserve"> – 1yr</w:t>
            </w:r>
          </w:p>
        </w:tc>
        <w:tc>
          <w:tcPr>
            <w:tcW w:w="2596" w:type="dxa"/>
            <w:shd w:val="clear" w:color="auto" w:fill="F3F9FA"/>
          </w:tcPr>
          <w:p w:rsidR="003D1F7F" w:rsidRPr="00806669" w:rsidRDefault="00101AFE" w:rsidP="00101AFE">
            <w:pPr>
              <w:spacing w:before="0" w:after="0" w:line="200" w:lineRule="exact"/>
              <w:rPr>
                <w:sz w:val="18"/>
                <w:szCs w:val="18"/>
              </w:rPr>
            </w:pPr>
            <w:r>
              <w:rPr>
                <w:sz w:val="18"/>
                <w:szCs w:val="18"/>
              </w:rPr>
              <w:t>proportion mud</w:t>
            </w:r>
          </w:p>
        </w:tc>
        <w:tc>
          <w:tcPr>
            <w:tcW w:w="3261" w:type="dxa"/>
            <w:shd w:val="clear" w:color="auto" w:fill="F3F9FA"/>
          </w:tcPr>
          <w:p w:rsidR="003D1F7F" w:rsidRPr="00806669" w:rsidRDefault="00101AFE" w:rsidP="00101AFE">
            <w:pPr>
              <w:spacing w:before="0" w:after="0" w:line="200" w:lineRule="exact"/>
              <w:rPr>
                <w:sz w:val="18"/>
                <w:szCs w:val="18"/>
              </w:rPr>
            </w:pPr>
            <w:r>
              <w:rPr>
                <w:sz w:val="18"/>
                <w:szCs w:val="18"/>
              </w:rPr>
              <w:t xml:space="preserve">MMP </w:t>
            </w:r>
            <w:r w:rsidRPr="00806669">
              <w:rPr>
                <w:sz w:val="18"/>
                <w:szCs w:val="18"/>
              </w:rPr>
              <w:t xml:space="preserve">Inshore </w:t>
            </w:r>
            <w:r>
              <w:rPr>
                <w:sz w:val="18"/>
                <w:szCs w:val="18"/>
              </w:rPr>
              <w:t>S</w:t>
            </w:r>
            <w:r w:rsidRPr="00806669">
              <w:rPr>
                <w:sz w:val="18"/>
                <w:szCs w:val="18"/>
              </w:rPr>
              <w:t>eagrass monitoring</w:t>
            </w:r>
          </w:p>
        </w:tc>
      </w:tr>
    </w:tbl>
    <w:p w:rsidR="003D1F7F" w:rsidRDefault="003D1F7F" w:rsidP="003D1F7F"/>
    <w:p w:rsidR="00101AFE" w:rsidRDefault="00101AFE" w:rsidP="003D1F7F"/>
    <w:p w:rsidR="003D1F7F" w:rsidRDefault="003D1F7F" w:rsidP="003D1F7F">
      <w:pPr>
        <w:sectPr w:rsidR="003D1F7F" w:rsidSect="001368E7">
          <w:pgSz w:w="16840" w:h="11900" w:orient="landscape" w:code="9"/>
          <w:pgMar w:top="1418" w:right="1418" w:bottom="1418" w:left="1418" w:header="709" w:footer="709" w:gutter="0"/>
          <w:cols w:space="708"/>
          <w:docGrid w:linePitch="360"/>
        </w:sectPr>
      </w:pPr>
    </w:p>
    <w:p w:rsidR="003D1F7F" w:rsidRPr="00015190" w:rsidRDefault="003D1F7F" w:rsidP="00926892">
      <w:pPr>
        <w:pStyle w:val="Heading2"/>
        <w:numPr>
          <w:ilvl w:val="1"/>
          <w:numId w:val="9"/>
        </w:numPr>
        <w:rPr>
          <w:rFonts w:ascii="Century Gothic" w:hAnsi="Century Gothic"/>
          <w:color w:val="000000"/>
        </w:rPr>
      </w:pPr>
      <w:bookmarkStart w:id="39" w:name="_Toc462047319"/>
      <w:r w:rsidRPr="00015190">
        <w:rPr>
          <w:rFonts w:ascii="Century Gothic" w:hAnsi="Century Gothic"/>
          <w:color w:val="000000"/>
        </w:rPr>
        <w:lastRenderedPageBreak/>
        <w:t>Sampling design &amp; site selection</w:t>
      </w:r>
      <w:bookmarkEnd w:id="39"/>
    </w:p>
    <w:p w:rsidR="003D1F7F" w:rsidRPr="0071577B" w:rsidRDefault="003D1F7F" w:rsidP="003D1F7F">
      <w:pPr>
        <w:spacing w:before="240"/>
        <w:rPr>
          <w:color w:val="000000"/>
          <w:szCs w:val="22"/>
          <w:lang w:val="en-US"/>
        </w:rPr>
      </w:pPr>
      <w:r w:rsidRPr="0071577B">
        <w:rPr>
          <w:color w:val="000000"/>
          <w:szCs w:val="22"/>
          <w:lang w:val="en-US"/>
        </w:rPr>
        <w:t xml:space="preserve">The sampling design was selected </w:t>
      </w:r>
      <w:r>
        <w:rPr>
          <w:color w:val="000000"/>
          <w:szCs w:val="22"/>
          <w:lang w:val="en-US"/>
        </w:rPr>
        <w:t>to</w:t>
      </w:r>
      <w:r w:rsidRPr="0071577B">
        <w:rPr>
          <w:color w:val="000000"/>
          <w:szCs w:val="22"/>
          <w:lang w:val="en-US"/>
        </w:rPr>
        <w:t xml:space="preserve"> detect change</w:t>
      </w:r>
      <w:r>
        <w:rPr>
          <w:color w:val="000000"/>
          <w:szCs w:val="22"/>
          <w:lang w:val="en-US"/>
        </w:rPr>
        <w:t>s</w:t>
      </w:r>
      <w:r w:rsidRPr="0071577B">
        <w:rPr>
          <w:color w:val="000000"/>
          <w:szCs w:val="22"/>
          <w:lang w:val="en-US"/>
        </w:rPr>
        <w:t xml:space="preserve"> in inshore seagrass meadows in response to </w:t>
      </w:r>
      <w:r w:rsidR="00527C29">
        <w:rPr>
          <w:color w:val="000000"/>
          <w:szCs w:val="22"/>
          <w:lang w:val="en-US"/>
        </w:rPr>
        <w:t>changes</w:t>
      </w:r>
      <w:r w:rsidRPr="0071577B">
        <w:rPr>
          <w:color w:val="000000"/>
          <w:szCs w:val="22"/>
          <w:lang w:val="en-US"/>
        </w:rPr>
        <w:t xml:space="preserve"> in water quality associated </w:t>
      </w:r>
      <w:r>
        <w:rPr>
          <w:color w:val="000000"/>
          <w:szCs w:val="22"/>
          <w:lang w:val="en-US"/>
        </w:rPr>
        <w:t>with</w:t>
      </w:r>
      <w:r w:rsidRPr="0071577B">
        <w:rPr>
          <w:color w:val="000000"/>
          <w:szCs w:val="22"/>
          <w:lang w:val="en-US"/>
        </w:rPr>
        <w:t xml:space="preserve"> specific catchments or groups of catchments (Region) and to disturbance events.</w:t>
      </w:r>
      <w:r w:rsidR="004902B0">
        <w:rPr>
          <w:color w:val="000000"/>
          <w:szCs w:val="22"/>
          <w:lang w:val="en-US"/>
        </w:rPr>
        <w:t xml:space="preserve"> </w:t>
      </w:r>
      <w:r w:rsidRPr="0071577B">
        <w:rPr>
          <w:color w:val="000000"/>
          <w:szCs w:val="22"/>
          <w:lang w:val="en-US"/>
        </w:rPr>
        <w:t xml:space="preserve">The </w:t>
      </w:r>
      <w:r w:rsidR="001D0B44">
        <w:rPr>
          <w:color w:val="000000"/>
          <w:szCs w:val="22"/>
          <w:lang w:val="en-US"/>
        </w:rPr>
        <w:t>locations/</w:t>
      </w:r>
      <w:r w:rsidRPr="0071577B">
        <w:rPr>
          <w:color w:val="000000"/>
          <w:szCs w:val="22"/>
          <w:lang w:val="en-US"/>
        </w:rPr>
        <w:t>meadows were selected by the GBRMPA, using advice from expert working groups</w:t>
      </w:r>
      <w:r w:rsidR="00206A72">
        <w:rPr>
          <w:color w:val="000000"/>
          <w:szCs w:val="22"/>
          <w:lang w:val="en-US"/>
        </w:rPr>
        <w:t xml:space="preserve"> in 2004</w:t>
      </w:r>
      <w:r w:rsidRPr="0071577B">
        <w:rPr>
          <w:color w:val="000000"/>
          <w:szCs w:val="22"/>
          <w:lang w:val="en-US"/>
        </w:rPr>
        <w:t xml:space="preserve">. The selection of </w:t>
      </w:r>
      <w:r w:rsidR="001D0B44">
        <w:rPr>
          <w:color w:val="000000"/>
          <w:szCs w:val="22"/>
          <w:lang w:val="en-US"/>
        </w:rPr>
        <w:t>locations/</w:t>
      </w:r>
      <w:r w:rsidRPr="0071577B">
        <w:rPr>
          <w:color w:val="000000"/>
          <w:szCs w:val="22"/>
          <w:lang w:val="en-US"/>
        </w:rPr>
        <w:t xml:space="preserve">meadows was based upon </w:t>
      </w:r>
      <w:r>
        <w:rPr>
          <w:color w:val="000000"/>
          <w:szCs w:val="22"/>
          <w:lang w:val="en-US"/>
        </w:rPr>
        <w:t>a number of competing factors</w:t>
      </w:r>
      <w:r w:rsidRPr="0071577B">
        <w:rPr>
          <w:color w:val="000000"/>
          <w:szCs w:val="22"/>
          <w:lang w:val="en-US"/>
        </w:rPr>
        <w:t>:</w:t>
      </w:r>
    </w:p>
    <w:p w:rsidR="003D1F7F" w:rsidRPr="0071577B" w:rsidRDefault="003D1F7F" w:rsidP="003D1F7F">
      <w:pPr>
        <w:numPr>
          <w:ilvl w:val="0"/>
          <w:numId w:val="1"/>
        </w:numPr>
        <w:spacing w:before="0" w:after="0"/>
        <w:rPr>
          <w:color w:val="000000"/>
          <w:szCs w:val="22"/>
        </w:rPr>
      </w:pPr>
      <w:r w:rsidRPr="0071577B">
        <w:rPr>
          <w:color w:val="000000"/>
          <w:szCs w:val="22"/>
        </w:rPr>
        <w:t xml:space="preserve">meadows were representative of seagrass habitats and seagrass communities across each region (based on </w:t>
      </w:r>
      <w:hyperlink w:anchor="_ENREF_147" w:tooltip="Lee Long, 1993 #682" w:history="1">
        <w:r w:rsidR="00E6043D">
          <w:rPr>
            <w:color w:val="000000"/>
            <w:szCs w:val="22"/>
          </w:rPr>
          <w:fldChar w:fldCharType="begin"/>
        </w:r>
        <w:r w:rsidR="00E6043D">
          <w:rPr>
            <w:color w:val="000000"/>
            <w:szCs w:val="22"/>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E6043D">
          <w:rPr>
            <w:color w:val="000000"/>
            <w:szCs w:val="22"/>
          </w:rPr>
          <w:fldChar w:fldCharType="separate"/>
        </w:r>
        <w:r w:rsidR="00E6043D">
          <w:rPr>
            <w:noProof/>
            <w:color w:val="000000"/>
            <w:szCs w:val="22"/>
          </w:rPr>
          <w:t>Lee Long</w:t>
        </w:r>
        <w:r w:rsidR="00E6043D" w:rsidRPr="00644A84">
          <w:rPr>
            <w:i/>
            <w:noProof/>
            <w:color w:val="000000"/>
            <w:szCs w:val="22"/>
          </w:rPr>
          <w:t xml:space="preserve"> et al.</w:t>
        </w:r>
        <w:r w:rsidR="00E6043D">
          <w:rPr>
            <w:noProof/>
            <w:color w:val="000000"/>
            <w:szCs w:val="22"/>
          </w:rPr>
          <w:t xml:space="preserve"> 1993</w:t>
        </w:r>
        <w:r w:rsidR="00E6043D">
          <w:rPr>
            <w:color w:val="000000"/>
            <w:szCs w:val="22"/>
          </w:rPr>
          <w:fldChar w:fldCharType="end"/>
        </w:r>
      </w:hyperlink>
      <w:r w:rsidRPr="0071577B">
        <w:rPr>
          <w:color w:val="000000"/>
          <w:szCs w:val="22"/>
        </w:rPr>
        <w:t xml:space="preserve">, </w:t>
      </w:r>
      <w:hyperlink w:anchor="_ENREF_145" w:tooltip="Lee Long, 1997 #5808" w:history="1">
        <w:r w:rsidR="00E6043D">
          <w:rPr>
            <w:color w:val="000000"/>
            <w:szCs w:val="22"/>
          </w:rPr>
          <w:fldChar w:fldCharType="begin"/>
        </w:r>
        <w:r w:rsidR="00E6043D">
          <w:rPr>
            <w:color w:val="000000"/>
            <w:szCs w:val="22"/>
          </w:rPr>
          <w:instrText xml:space="preserve"> ADDIN EN.CITE &lt;EndNote&gt;&lt;Cite&gt;&lt;Author&gt;Lee Long&lt;/Author&gt;&lt;Year&gt;1997&lt;/Year&gt;&lt;RecNum&gt;5808&lt;/RecNum&gt;&lt;DisplayText&gt;Lee Long&lt;style face="italic"&gt; et al.&lt;/style&gt; 1997&lt;/DisplayText&gt;&lt;record&gt;&lt;rec-number&gt;5808&lt;/rec-number&gt;&lt;foreign-keys&gt;&lt;key app="EN" db-id="0eve55x9y5vfd6e9dacxtew4eatve2dzds9a"&gt;5808&lt;/key&gt;&lt;/foreign-keys&gt;&lt;ref-type name="Report"&gt;27&lt;/ref-type&gt;&lt;contributors&gt;&lt;authors&gt;&lt;author&gt;Lee Long, W.J.&lt;/author&gt;&lt;author&gt;McKenzie, Len J&lt;/author&gt;&lt;author&gt;Coles, R G&lt;/author&gt;&lt;/authors&gt;&lt;/contributors&gt;&lt;titles&gt;&lt;title&gt;Seagrass Communities in the Shoalwater Bay Region, Queensland; Spring (September) 1995 &amp;amp; Autumn (April) 1996&lt;/title&gt;&lt;secondary-title&gt;Queensland Department of Primary Industries Information Series QI96042&lt;/secondary-title&gt;&lt;/titles&gt;&lt;pages&gt;38&lt;/pages&gt;&lt;dates&gt;&lt;year&gt;1997&lt;/year&gt;&lt;/dates&gt;&lt;pub-location&gt;Cairns, QLD&lt;/pub-location&gt;&lt;publisher&gt;Queensland Department of Primary Industries,Northern Fisheries Centre&lt;/publisher&gt;&lt;isbn&gt;QI96042&lt;/isbn&gt;&lt;work-type&gt;Information Series&lt;/work-type&gt;&lt;urls&gt;&lt;/urls&gt;&lt;/record&gt;&lt;/Cite&gt;&lt;/EndNote&gt;</w:instrText>
        </w:r>
        <w:r w:rsidR="00E6043D">
          <w:rPr>
            <w:color w:val="000000"/>
            <w:szCs w:val="22"/>
          </w:rPr>
          <w:fldChar w:fldCharType="separate"/>
        </w:r>
        <w:r w:rsidR="00E6043D">
          <w:rPr>
            <w:noProof/>
            <w:color w:val="000000"/>
            <w:szCs w:val="22"/>
          </w:rPr>
          <w:t>Lee Long</w:t>
        </w:r>
        <w:r w:rsidR="00E6043D" w:rsidRPr="00644A84">
          <w:rPr>
            <w:i/>
            <w:noProof/>
            <w:color w:val="000000"/>
            <w:szCs w:val="22"/>
          </w:rPr>
          <w:t xml:space="preserve"> et al.</w:t>
        </w:r>
        <w:r w:rsidR="00E6043D">
          <w:rPr>
            <w:noProof/>
            <w:color w:val="000000"/>
            <w:szCs w:val="22"/>
          </w:rPr>
          <w:t xml:space="preserve"> 1997</w:t>
        </w:r>
        <w:r w:rsidR="00E6043D">
          <w:rPr>
            <w:color w:val="000000"/>
            <w:szCs w:val="22"/>
          </w:rPr>
          <w:fldChar w:fldCharType="end"/>
        </w:r>
      </w:hyperlink>
      <w:r w:rsidRPr="0071577B">
        <w:rPr>
          <w:color w:val="000000"/>
          <w:szCs w:val="22"/>
        </w:rPr>
        <w:t xml:space="preserve">, </w:t>
      </w:r>
      <w:hyperlink w:anchor="_ENREF_146" w:tooltip="Lee Long, 1998 #7423" w:history="1">
        <w:r w:rsidR="00E6043D">
          <w:rPr>
            <w:color w:val="000000"/>
            <w:szCs w:val="22"/>
          </w:rPr>
          <w:fldChar w:fldCharType="begin"/>
        </w:r>
        <w:r w:rsidR="00E6043D">
          <w:rPr>
            <w:color w:val="000000"/>
            <w:szCs w:val="22"/>
          </w:rPr>
          <w:instrText xml:space="preserve"> ADDIN EN.CITE &lt;EndNote&gt;&lt;Cite&gt;&lt;Author&gt;Lee Long&lt;/Author&gt;&lt;Year&gt;1998&lt;/Year&gt;&lt;RecNum&gt;7423&lt;/RecNum&gt;&lt;DisplayText&gt;Lee Long&lt;style face="italic"&gt; et al.&lt;/style&gt; 1998&lt;/DisplayText&gt;&lt;record&gt;&lt;rec-number&gt;7423&lt;/rec-number&gt;&lt;foreign-keys&gt;&lt;key app="EN" db-id="0eve55x9y5vfd6e9dacxtew4eatve2dzds9a"&gt;7423&lt;/key&gt;&lt;/foreign-keys&gt;&lt;ref-type name="Report"&gt;27&lt;/ref-type&gt;&lt;contributors&gt;&lt;authors&gt;&lt;author&gt;Lee Long, Warren J.&lt;/author&gt;&lt;author&gt;McKenzie, Len J.&lt;/author&gt;&lt;author&gt;Roelofs, A.J.&lt;/author&gt;&lt;author&gt;Makey, L.J.&lt;/author&gt;&lt;author&gt;Coles, R. G.&lt;/author&gt;&lt;author&gt;Roder C.A.&lt;/author&gt;&lt;/authors&gt;&lt;/contributors&gt;&lt;titles&gt;&lt;title&gt;Baseline Survey of Hinchinbrook Region Seagrasses - October (Spring) 1996. Research publication No. 51&lt;/title&gt;&lt;/titles&gt;&lt;pages&gt;26&lt;/pages&gt;&lt;dates&gt;&lt;year&gt;1998&lt;/year&gt;&lt;pub-dates&gt;&lt;date&gt;June 1998&lt;/date&gt;&lt;/pub-dates&gt;&lt;/dates&gt;&lt;pub-location&gt;Townsville&lt;/pub-location&gt;&lt;publisher&gt;Great Barrier Reef Marine Park Authority&lt;/publisher&gt;&lt;isbn&gt;51&lt;/isbn&gt;&lt;label&gt;distribution&lt;/label&gt;&lt;urls&gt;&lt;/urls&gt;&lt;/record&gt;&lt;/Cite&gt;&lt;/EndNote&gt;</w:instrText>
        </w:r>
        <w:r w:rsidR="00E6043D">
          <w:rPr>
            <w:color w:val="000000"/>
            <w:szCs w:val="22"/>
          </w:rPr>
          <w:fldChar w:fldCharType="separate"/>
        </w:r>
        <w:r w:rsidR="00E6043D">
          <w:rPr>
            <w:noProof/>
            <w:color w:val="000000"/>
            <w:szCs w:val="22"/>
          </w:rPr>
          <w:t>Lee Long</w:t>
        </w:r>
        <w:r w:rsidR="00E6043D" w:rsidRPr="00644A84">
          <w:rPr>
            <w:i/>
            <w:noProof/>
            <w:color w:val="000000"/>
            <w:szCs w:val="22"/>
          </w:rPr>
          <w:t xml:space="preserve"> et al.</w:t>
        </w:r>
        <w:r w:rsidR="00E6043D">
          <w:rPr>
            <w:noProof/>
            <w:color w:val="000000"/>
            <w:szCs w:val="22"/>
          </w:rPr>
          <w:t xml:space="preserve"> 1998</w:t>
        </w:r>
        <w:r w:rsidR="00E6043D">
          <w:rPr>
            <w:color w:val="000000"/>
            <w:szCs w:val="22"/>
          </w:rPr>
          <w:fldChar w:fldCharType="end"/>
        </w:r>
      </w:hyperlink>
      <w:r w:rsidRPr="0071577B">
        <w:rPr>
          <w:color w:val="000000"/>
          <w:szCs w:val="22"/>
          <w:lang w:val="fr-FR"/>
        </w:rPr>
        <w:t xml:space="preserve">; </w:t>
      </w:r>
      <w:hyperlink w:anchor="_ENREF_175" w:tooltip="McKenzie, 2000 #2827" w:history="1">
        <w:r w:rsidR="00E6043D">
          <w:rPr>
            <w:color w:val="000000"/>
            <w:szCs w:val="22"/>
          </w:rPr>
          <w:fldChar w:fldCharType="begin"/>
        </w:r>
        <w:r w:rsidR="00E6043D">
          <w:rPr>
            <w:color w:val="000000"/>
            <w:szCs w:val="22"/>
          </w:rPr>
          <w:instrText xml:space="preserve"> ADDIN EN.CITE &lt;EndNote&gt;&lt;Cite&gt;&lt;Author&gt;McKenzie&lt;/Author&gt;&lt;Year&gt;2000&lt;/Year&gt;&lt;RecNum&gt;2827&lt;/RecNum&gt;&lt;DisplayText&gt;McKenzie&lt;style face="italic"&gt; et al.&lt;/style&gt; 2000b&lt;/DisplayText&gt;&lt;record&gt;&lt;rec-number&gt;2827&lt;/rec-number&gt;&lt;foreign-keys&gt;&lt;key app="EN" db-id="0eve55x9y5vfd6e9dacxtew4eatve2dzds9a"&gt;2827&lt;/key&gt;&lt;/foreign-keys&gt;&lt;ref-type name="Report"&gt;27&lt;/ref-type&gt;&lt;contributors&gt;&lt;authors&gt;&lt;author&gt;McKenzie, Len J&lt;/author&gt;&lt;author&gt;Roder, C.A.&lt;/author&gt;&lt;author&gt;Roelofs, A.J.&lt;/author&gt;&lt;author&gt;Lee Long, W.J.&lt;/author&gt;&lt;/authors&gt;&lt;/contributors&gt;&lt;titles&gt;&lt;title&gt;Post-flood monitoring of seagrasses in Hervey Bay and the Great Sandy Strait, 1999: Implications for dugong, turtle and fisheries management.&lt;/title&gt;&lt;secondary-title&gt;Department of Primary Industries Information Series QI00059&lt;/secondary-title&gt;&lt;/titles&gt;&lt;pages&gt;46&lt;/pages&gt;&lt;dates&gt;&lt;year&gt;2000&lt;/year&gt;&lt;/dates&gt;&lt;pub-location&gt;Cairns&lt;/pub-location&gt;&lt;publisher&gt;Queensland Department of Primary Industries, NFC&lt;/publisher&gt;&lt;isbn&gt;QI00059&lt;/isbn&gt;&lt;work-type&gt;DPI Information Series&lt;/work-type&gt;&lt;urls&gt;&lt;/urls&gt;&lt;/record&gt;&lt;/Cite&gt;&lt;/EndNote&gt;</w:instrText>
        </w:r>
        <w:r w:rsidR="00E6043D">
          <w:rPr>
            <w:color w:val="000000"/>
            <w:szCs w:val="22"/>
          </w:rPr>
          <w:fldChar w:fldCharType="separate"/>
        </w:r>
        <w:r w:rsidR="00E6043D">
          <w:rPr>
            <w:noProof/>
            <w:color w:val="000000"/>
            <w:szCs w:val="22"/>
          </w:rPr>
          <w:t>McKenzie</w:t>
        </w:r>
        <w:r w:rsidR="00E6043D" w:rsidRPr="00644A84">
          <w:rPr>
            <w:i/>
            <w:noProof/>
            <w:color w:val="000000"/>
            <w:szCs w:val="22"/>
          </w:rPr>
          <w:t xml:space="preserve"> et al.</w:t>
        </w:r>
        <w:r w:rsidR="00E6043D">
          <w:rPr>
            <w:noProof/>
            <w:color w:val="000000"/>
            <w:szCs w:val="22"/>
          </w:rPr>
          <w:t xml:space="preserve"> 2000b</w:t>
        </w:r>
        <w:r w:rsidR="00E6043D">
          <w:rPr>
            <w:color w:val="000000"/>
            <w:szCs w:val="22"/>
          </w:rPr>
          <w:fldChar w:fldCharType="end"/>
        </w:r>
      </w:hyperlink>
      <w:r w:rsidRPr="0071577B">
        <w:rPr>
          <w:color w:val="000000"/>
          <w:szCs w:val="22"/>
          <w:lang w:val="fr-FR"/>
        </w:rPr>
        <w:t xml:space="preserve">; </w:t>
      </w:r>
      <w:hyperlink w:anchor="_ENREF_205" w:tooltip="Rasheed, 2003 #9496" w:history="1">
        <w:r w:rsidR="00E6043D">
          <w:rPr>
            <w:color w:val="000000"/>
            <w:szCs w:val="22"/>
          </w:rPr>
          <w:fldChar w:fldCharType="begin"/>
        </w:r>
        <w:r w:rsidR="00E6043D">
          <w:rPr>
            <w:color w:val="000000"/>
            <w:szCs w:val="22"/>
          </w:rPr>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E6043D">
          <w:rPr>
            <w:color w:val="000000"/>
            <w:szCs w:val="22"/>
          </w:rPr>
          <w:fldChar w:fldCharType="separate"/>
        </w:r>
        <w:r w:rsidR="00E6043D">
          <w:rPr>
            <w:noProof/>
            <w:color w:val="000000"/>
            <w:szCs w:val="22"/>
          </w:rPr>
          <w:t>Rasheed</w:t>
        </w:r>
        <w:r w:rsidR="00E6043D" w:rsidRPr="00644A84">
          <w:rPr>
            <w:i/>
            <w:noProof/>
            <w:color w:val="000000"/>
            <w:szCs w:val="22"/>
          </w:rPr>
          <w:t xml:space="preserve"> et al.</w:t>
        </w:r>
        <w:r w:rsidR="00E6043D">
          <w:rPr>
            <w:noProof/>
            <w:color w:val="000000"/>
            <w:szCs w:val="22"/>
          </w:rPr>
          <w:t xml:space="preserve"> 2003</w:t>
        </w:r>
        <w:r w:rsidR="00E6043D">
          <w:rPr>
            <w:color w:val="000000"/>
            <w:szCs w:val="22"/>
          </w:rPr>
          <w:fldChar w:fldCharType="end"/>
        </w:r>
      </w:hyperlink>
      <w:r w:rsidRPr="0071577B">
        <w:rPr>
          <w:color w:val="000000"/>
          <w:szCs w:val="22"/>
        </w:rPr>
        <w:t xml:space="preserve">; </w:t>
      </w:r>
      <w:hyperlink w:anchor="_ENREF_34" w:tooltip="Campbell, 2002 #9304" w:history="1">
        <w:r w:rsidR="00E6043D">
          <w:rPr>
            <w:color w:val="000000"/>
            <w:szCs w:val="22"/>
          </w:rPr>
          <w:fldChar w:fldCharType="begin"/>
        </w:r>
        <w:r w:rsidR="00E6043D">
          <w:rPr>
            <w:color w:val="000000"/>
            <w:szCs w:val="22"/>
          </w:rPr>
          <w:instrText xml:space="preserve"> ADDIN EN.CITE &lt;EndNote&gt;&lt;Cite&gt;&lt;Author&gt;Campbell&lt;/Author&gt;&lt;Year&gt;2002&lt;/Year&gt;&lt;RecNum&gt;9304&lt;/RecNum&gt;&lt;DisplayText&gt;Campbell&lt;style face="italic"&gt; et al.&lt;/style&gt; 2002&lt;/DisplayText&gt;&lt;record&gt;&lt;rec-number&gt;9304&lt;/rec-number&gt;&lt;foreign-keys&gt;&lt;key app="EN" db-id="0eve55x9y5vfd6e9dacxtew4eatve2dzds9a"&gt;9304&lt;/key&gt;&lt;/foreign-keys&gt;&lt;ref-type name="Report"&gt;27&lt;/ref-type&gt;&lt;contributors&gt;&lt;authors&gt;&lt;author&gt;Campbell, Stuart J&lt;/author&gt;&lt;author&gt;Roder, Chantal A.&lt;/author&gt;&lt;author&gt;McKenzie, Len J&lt;/author&gt;&lt;author&gt;Lee Long, Warren J&lt;/author&gt;&lt;/authors&gt;&lt;/contributors&gt;&lt;titles&gt;&lt;title&gt;Seagrass resources in the Whitsunday region 1999 and 2000&lt;/title&gt;&lt;secondary-title&gt;DPI Information Series QI02043&lt;/secondary-title&gt;&lt;/titles&gt;&lt;pages&gt;50&lt;/pages&gt;&lt;dates&gt;&lt;year&gt;2002&lt;/year&gt;&lt;/dates&gt;&lt;pub-location&gt;Cairns&lt;/pub-location&gt;&lt;publisher&gt;DPI&lt;/publisher&gt;&lt;urls&gt;&lt;/urls&gt;&lt;/record&gt;&lt;/Cite&gt;&lt;/EndNote&gt;</w:instrText>
        </w:r>
        <w:r w:rsidR="00E6043D">
          <w:rPr>
            <w:color w:val="000000"/>
            <w:szCs w:val="22"/>
          </w:rPr>
          <w:fldChar w:fldCharType="separate"/>
        </w:r>
        <w:r w:rsidR="00E6043D">
          <w:rPr>
            <w:noProof/>
            <w:color w:val="000000"/>
            <w:szCs w:val="22"/>
          </w:rPr>
          <w:t>Campbell</w:t>
        </w:r>
        <w:r w:rsidR="00E6043D" w:rsidRPr="00644A84">
          <w:rPr>
            <w:i/>
            <w:noProof/>
            <w:color w:val="000000"/>
            <w:szCs w:val="22"/>
          </w:rPr>
          <w:t xml:space="preserve"> et al.</w:t>
        </w:r>
        <w:r w:rsidR="00E6043D">
          <w:rPr>
            <w:noProof/>
            <w:color w:val="000000"/>
            <w:szCs w:val="22"/>
          </w:rPr>
          <w:t xml:space="preserve"> 2002</w:t>
        </w:r>
        <w:r w:rsidR="00E6043D">
          <w:rPr>
            <w:color w:val="000000"/>
            <w:szCs w:val="22"/>
          </w:rPr>
          <w:fldChar w:fldCharType="end"/>
        </w:r>
      </w:hyperlink>
      <w:r w:rsidR="00206A72">
        <w:rPr>
          <w:color w:val="000000"/>
          <w:szCs w:val="22"/>
        </w:rPr>
        <w:t>;</w:t>
      </w:r>
      <w:r w:rsidRPr="0071577B">
        <w:rPr>
          <w:color w:val="000000"/>
          <w:szCs w:val="22"/>
        </w:rPr>
        <w:t xml:space="preserve"> </w:t>
      </w:r>
      <w:hyperlink w:anchor="_ENREF_115" w:tooltip="Goldsworthy, 1994 #9497" w:history="1">
        <w:r w:rsidR="00E6043D">
          <w:rPr>
            <w:color w:val="000000"/>
            <w:szCs w:val="22"/>
          </w:rPr>
          <w:fldChar w:fldCharType="begin"/>
        </w:r>
        <w:r w:rsidR="00E6043D">
          <w:rPr>
            <w:color w:val="000000"/>
            <w:szCs w:val="22"/>
          </w:rPr>
          <w:instrText xml:space="preserve"> ADDIN EN.CITE &lt;EndNote&gt;&lt;Cite&gt;&lt;Author&gt;Goldsworthy&lt;/Author&gt;&lt;Year&gt;1994&lt;/Year&gt;&lt;RecNum&gt;9497&lt;/RecNum&gt;&lt;DisplayText&gt;Goldsworthy 1994&lt;/DisplayText&gt;&lt;record&gt;&lt;rec-number&gt;9497&lt;/rec-number&gt;&lt;foreign-keys&gt;&lt;key app="EN" db-id="0eve55x9y5vfd6e9dacxtew4eatve2dzds9a"&gt;9497&lt;/key&gt;&lt;/foreign-keys&gt;&lt;ref-type name="Book Section"&gt;5&lt;/ref-type&gt;&lt;contributors&gt;&lt;authors&gt;&lt;author&gt;Goldsworthy, Paul M&lt;/author&gt;&lt;/authors&gt;&lt;secondary-authors&gt;&lt;author&gt;Benson, L&lt;/author&gt;&lt;author&gt;Goldsworthy, P&lt;/author&gt;&lt;author&gt;Butler, R&lt;/author&gt;&lt;author&gt;Oliver, J&lt;/author&gt;&lt;/secondary-authors&gt;&lt;/contributors&gt;&lt;titles&gt;&lt;title&gt;Seagrasses&lt;/title&gt;&lt;secondary-title&gt;Townsville Port Authority Capital Dredging Works 1993: Environmental Monitoring Program&lt;/secondary-title&gt;&lt;/titles&gt;&lt;pages&gt;89-115&lt;/pages&gt;&lt;dates&gt;&lt;year&gt;1994&lt;/year&gt;&lt;/dates&gt;&lt;pub-location&gt;Townsville&lt;/pub-location&gt;&lt;publisher&gt;Townsville Port Authority&lt;/publisher&gt;&lt;urls&gt;&lt;/urls&gt;&lt;/record&gt;&lt;/Cite&gt;&lt;/EndNote&gt;</w:instrText>
        </w:r>
        <w:r w:rsidR="00E6043D">
          <w:rPr>
            <w:color w:val="000000"/>
            <w:szCs w:val="22"/>
          </w:rPr>
          <w:fldChar w:fldCharType="separate"/>
        </w:r>
        <w:r w:rsidR="00E6043D">
          <w:rPr>
            <w:noProof/>
            <w:color w:val="000000"/>
            <w:szCs w:val="22"/>
          </w:rPr>
          <w:t>Goldsworthy 1994</w:t>
        </w:r>
        <w:r w:rsidR="00E6043D">
          <w:rPr>
            <w:color w:val="000000"/>
            <w:szCs w:val="22"/>
          </w:rPr>
          <w:fldChar w:fldCharType="end"/>
        </w:r>
      </w:hyperlink>
      <w:r w:rsidRPr="0071577B">
        <w:rPr>
          <w:color w:val="000000"/>
          <w:szCs w:val="22"/>
        </w:rPr>
        <w:t>)</w:t>
      </w:r>
    </w:p>
    <w:p w:rsidR="003D1F7F" w:rsidRDefault="004902B0" w:rsidP="003D1F7F">
      <w:pPr>
        <w:numPr>
          <w:ilvl w:val="0"/>
          <w:numId w:val="1"/>
        </w:numPr>
        <w:spacing w:before="0" w:after="0"/>
        <w:rPr>
          <w:color w:val="000000"/>
          <w:szCs w:val="22"/>
        </w:rPr>
      </w:pPr>
      <w:r w:rsidRPr="0071577B">
        <w:rPr>
          <w:color w:val="000000"/>
          <w:szCs w:val="22"/>
        </w:rPr>
        <w:t xml:space="preserve">where possible </w:t>
      </w:r>
      <w:r w:rsidR="003D1F7F" w:rsidRPr="0071577B">
        <w:rPr>
          <w:color w:val="000000"/>
          <w:szCs w:val="22"/>
        </w:rPr>
        <w:t xml:space="preserve">include legacy sites (e.g. Seagrass-Watch, MTSRF) or </w:t>
      </w:r>
      <w:r>
        <w:rPr>
          <w:color w:val="000000"/>
          <w:szCs w:val="22"/>
        </w:rPr>
        <w:t xml:space="preserve">former </w:t>
      </w:r>
      <w:r w:rsidRPr="0071577B">
        <w:rPr>
          <w:color w:val="000000"/>
          <w:szCs w:val="22"/>
        </w:rPr>
        <w:t xml:space="preserve">seagrass research </w:t>
      </w:r>
      <w:r w:rsidR="003D1F7F" w:rsidRPr="0071577B">
        <w:rPr>
          <w:color w:val="000000"/>
          <w:szCs w:val="22"/>
        </w:rPr>
        <w:t xml:space="preserve">sites (e.g. </w:t>
      </w:r>
      <w:r w:rsidR="00644A84">
        <w:rPr>
          <w:color w:val="000000"/>
          <w:szCs w:val="22"/>
        </w:rPr>
        <w:fldChar w:fldCharType="begin">
          <w:fldData xml:space="preserve">PEVuZE5vdGU+PENpdGU+PEF1dGhvcj5Mb2JiPC9BdXRob3I+PFllYXI+MjAwNjwvWWVhcj48UmVj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=
</w:fldData>
        </w:fldChar>
      </w:r>
      <w:r w:rsidR="00DD4F10">
        <w:rPr>
          <w:color w:val="000000"/>
          <w:szCs w:val="22"/>
        </w:rPr>
        <w:instrText xml:space="preserve"> ADDIN EN.CITE </w:instrText>
      </w:r>
      <w:r w:rsidR="00DD4F10">
        <w:rPr>
          <w:color w:val="000000"/>
          <w:szCs w:val="22"/>
        </w:rPr>
        <w:fldChar w:fldCharType="begin">
          <w:fldData xml:space="preserve">PEVuZE5vdGU+PENpdGU+PEF1dGhvcj5Mb2JiPC9BdXRob3I+PFllYXI+MjAwNjwvWWVhcj48UmVj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=
</w:fldData>
        </w:fldChar>
      </w:r>
      <w:r w:rsidR="00DD4F10">
        <w:rPr>
          <w:color w:val="000000"/>
          <w:szCs w:val="22"/>
        </w:rPr>
        <w:instrText xml:space="preserve"> ADDIN EN.CITE.DATA </w:instrText>
      </w:r>
      <w:r w:rsidR="00DD4F10">
        <w:rPr>
          <w:color w:val="000000"/>
          <w:szCs w:val="22"/>
        </w:rPr>
      </w:r>
      <w:r w:rsidR="00DD4F10">
        <w:rPr>
          <w:color w:val="000000"/>
          <w:szCs w:val="22"/>
        </w:rPr>
        <w:fldChar w:fldCharType="end"/>
      </w:r>
      <w:r w:rsidR="00644A84">
        <w:rPr>
          <w:color w:val="000000"/>
          <w:szCs w:val="22"/>
        </w:rPr>
      </w:r>
      <w:r w:rsidR="00644A84">
        <w:rPr>
          <w:color w:val="000000"/>
          <w:szCs w:val="22"/>
        </w:rPr>
        <w:fldChar w:fldCharType="separate"/>
      </w:r>
      <w:hyperlink w:anchor="_ENREF_89" w:tooltip="Dennison, 1995 #9771" w:history="1">
        <w:r w:rsidR="00E6043D">
          <w:rPr>
            <w:noProof/>
            <w:color w:val="000000"/>
            <w:szCs w:val="22"/>
          </w:rPr>
          <w:t>Dennison</w:t>
        </w:r>
        <w:r w:rsidR="00E6043D" w:rsidRPr="00644A84">
          <w:rPr>
            <w:i/>
            <w:noProof/>
            <w:color w:val="000000"/>
            <w:szCs w:val="22"/>
          </w:rPr>
          <w:t xml:space="preserve"> et al.</w:t>
        </w:r>
        <w:r w:rsidR="00E6043D">
          <w:rPr>
            <w:noProof/>
            <w:color w:val="000000"/>
            <w:szCs w:val="22"/>
          </w:rPr>
          <w:t xml:space="preserve"> 1995</w:t>
        </w:r>
      </w:hyperlink>
      <w:r w:rsidR="00644A84">
        <w:rPr>
          <w:noProof/>
          <w:color w:val="000000"/>
          <w:szCs w:val="22"/>
        </w:rPr>
        <w:t xml:space="preserve">; </w:t>
      </w:r>
      <w:hyperlink w:anchor="_ENREF_223" w:tooltip="Thorogood, 1999 #9772" w:history="1">
        <w:r w:rsidR="00E6043D">
          <w:rPr>
            <w:noProof/>
            <w:color w:val="000000"/>
            <w:szCs w:val="22"/>
          </w:rPr>
          <w:t>Thorogood and Boggon 1999</w:t>
        </w:r>
      </w:hyperlink>
      <w:r w:rsidR="00644A84">
        <w:rPr>
          <w:noProof/>
          <w:color w:val="000000"/>
          <w:szCs w:val="22"/>
        </w:rPr>
        <w:t xml:space="preserve">; </w:t>
      </w:r>
      <w:hyperlink w:anchor="_ENREF_229" w:tooltip="Udy, 1999 #2371" w:history="1">
        <w:r w:rsidR="00E6043D">
          <w:rPr>
            <w:noProof/>
            <w:color w:val="000000"/>
            <w:szCs w:val="22"/>
          </w:rPr>
          <w:t>Udy</w:t>
        </w:r>
        <w:r w:rsidR="00E6043D" w:rsidRPr="00644A84">
          <w:rPr>
            <w:i/>
            <w:noProof/>
            <w:color w:val="000000"/>
            <w:szCs w:val="22"/>
          </w:rPr>
          <w:t xml:space="preserve"> et al.</w:t>
        </w:r>
        <w:r w:rsidR="00E6043D">
          <w:rPr>
            <w:noProof/>
            <w:color w:val="000000"/>
            <w:szCs w:val="22"/>
          </w:rPr>
          <w:t xml:space="preserve"> 1999</w:t>
        </w:r>
      </w:hyperlink>
      <w:r w:rsidR="00644A84">
        <w:rPr>
          <w:noProof/>
          <w:color w:val="000000"/>
          <w:szCs w:val="22"/>
        </w:rPr>
        <w:t xml:space="preserve">; </w:t>
      </w:r>
      <w:hyperlink w:anchor="_ENREF_121" w:tooltip="Haynes, 2000 #7340" w:history="1">
        <w:r w:rsidR="00E6043D">
          <w:rPr>
            <w:noProof/>
            <w:color w:val="000000"/>
            <w:szCs w:val="22"/>
          </w:rPr>
          <w:t>Haynes</w:t>
        </w:r>
        <w:r w:rsidR="00E6043D" w:rsidRPr="00644A84">
          <w:rPr>
            <w:i/>
            <w:noProof/>
            <w:color w:val="000000"/>
            <w:szCs w:val="22"/>
          </w:rPr>
          <w:t xml:space="preserve"> et al.</w:t>
        </w:r>
        <w:r w:rsidR="00E6043D">
          <w:rPr>
            <w:noProof/>
            <w:color w:val="000000"/>
            <w:szCs w:val="22"/>
          </w:rPr>
          <w:t xml:space="preserve"> 2000</w:t>
        </w:r>
      </w:hyperlink>
      <w:r w:rsidR="00644A84">
        <w:rPr>
          <w:noProof/>
          <w:color w:val="000000"/>
          <w:szCs w:val="22"/>
        </w:rPr>
        <w:t xml:space="preserve">; </w:t>
      </w:r>
      <w:hyperlink w:anchor="_ENREF_128" w:tooltip="Inglis, 2000 #5408" w:history="1">
        <w:r w:rsidR="00E6043D">
          <w:rPr>
            <w:noProof/>
            <w:color w:val="000000"/>
            <w:szCs w:val="22"/>
          </w:rPr>
          <w:t>Inglis 2000</w:t>
        </w:r>
      </w:hyperlink>
      <w:r w:rsidR="00644A84">
        <w:rPr>
          <w:noProof/>
          <w:color w:val="000000"/>
          <w:szCs w:val="22"/>
        </w:rPr>
        <w:t xml:space="preserve">; </w:t>
      </w:r>
      <w:hyperlink w:anchor="_ENREF_31" w:tooltip="Campbell, 2001 #9341" w:history="1">
        <w:r w:rsidR="00E6043D">
          <w:rPr>
            <w:noProof/>
            <w:color w:val="000000"/>
            <w:szCs w:val="22"/>
          </w:rPr>
          <w:t>Campbell and McKenzie 2001</w:t>
        </w:r>
      </w:hyperlink>
      <w:r w:rsidR="00644A84">
        <w:rPr>
          <w:noProof/>
          <w:color w:val="000000"/>
          <w:szCs w:val="22"/>
        </w:rPr>
        <w:t xml:space="preserve">; </w:t>
      </w:r>
      <w:hyperlink w:anchor="_ENREF_187" w:tooltip="Mellors, 2003 #7086" w:history="1">
        <w:r w:rsidR="00E6043D">
          <w:rPr>
            <w:noProof/>
            <w:color w:val="000000"/>
            <w:szCs w:val="22"/>
          </w:rPr>
          <w:t>Mellors 2003</w:t>
        </w:r>
      </w:hyperlink>
      <w:r w:rsidR="00644A84">
        <w:rPr>
          <w:noProof/>
          <w:color w:val="000000"/>
          <w:szCs w:val="22"/>
        </w:rPr>
        <w:t xml:space="preserve">; </w:t>
      </w:r>
      <w:hyperlink w:anchor="_ENREF_32" w:tooltip="Campbell, 2004 #2838" w:history="1">
        <w:r w:rsidR="00E6043D">
          <w:rPr>
            <w:noProof/>
            <w:color w:val="000000"/>
            <w:szCs w:val="22"/>
          </w:rPr>
          <w:t>Campbell and McKenzie 2004</w:t>
        </w:r>
      </w:hyperlink>
      <w:r w:rsidR="00644A84">
        <w:rPr>
          <w:noProof/>
          <w:color w:val="000000"/>
          <w:szCs w:val="22"/>
        </w:rPr>
        <w:t xml:space="preserve">; </w:t>
      </w:r>
      <w:hyperlink w:anchor="_ENREF_149" w:tooltip="Limpus, 2005 #9691" w:history="1">
        <w:r w:rsidR="00E6043D">
          <w:rPr>
            <w:noProof/>
            <w:color w:val="000000"/>
            <w:szCs w:val="22"/>
          </w:rPr>
          <w:t>Limpus</w:t>
        </w:r>
        <w:r w:rsidR="00E6043D" w:rsidRPr="00644A84">
          <w:rPr>
            <w:i/>
            <w:noProof/>
            <w:color w:val="000000"/>
            <w:szCs w:val="22"/>
          </w:rPr>
          <w:t xml:space="preserve"> et al.</w:t>
        </w:r>
        <w:r w:rsidR="00E6043D">
          <w:rPr>
            <w:noProof/>
            <w:color w:val="000000"/>
            <w:szCs w:val="22"/>
          </w:rPr>
          <w:t xml:space="preserve"> 2005</w:t>
        </w:r>
      </w:hyperlink>
      <w:r w:rsidR="00644A84">
        <w:rPr>
          <w:noProof/>
          <w:color w:val="000000"/>
          <w:szCs w:val="22"/>
        </w:rPr>
        <w:t xml:space="preserve">; </w:t>
      </w:r>
      <w:hyperlink w:anchor="_ENREF_183" w:tooltip="McMahon, 2005 #7418" w:history="1">
        <w:r w:rsidR="00E6043D">
          <w:rPr>
            <w:noProof/>
            <w:color w:val="000000"/>
            <w:szCs w:val="22"/>
          </w:rPr>
          <w:t>McMahon</w:t>
        </w:r>
        <w:r w:rsidR="00E6043D" w:rsidRPr="00644A84">
          <w:rPr>
            <w:i/>
            <w:noProof/>
            <w:color w:val="000000"/>
            <w:szCs w:val="22"/>
          </w:rPr>
          <w:t xml:space="preserve"> et al.</w:t>
        </w:r>
        <w:r w:rsidR="00E6043D">
          <w:rPr>
            <w:noProof/>
            <w:color w:val="000000"/>
            <w:szCs w:val="22"/>
          </w:rPr>
          <w:t xml:space="preserve"> 2005</w:t>
        </w:r>
      </w:hyperlink>
      <w:r w:rsidR="00644A84">
        <w:rPr>
          <w:noProof/>
          <w:color w:val="000000"/>
          <w:szCs w:val="22"/>
        </w:rPr>
        <w:t xml:space="preserve">; </w:t>
      </w:r>
      <w:hyperlink w:anchor="_ENREF_185" w:tooltip="Mellors, 2005 #3739" w:history="1">
        <w:r w:rsidR="00E6043D">
          <w:rPr>
            <w:noProof/>
            <w:color w:val="000000"/>
            <w:szCs w:val="22"/>
          </w:rPr>
          <w:t>Mellors</w:t>
        </w:r>
        <w:r w:rsidR="00E6043D" w:rsidRPr="00644A84">
          <w:rPr>
            <w:i/>
            <w:noProof/>
            <w:color w:val="000000"/>
            <w:szCs w:val="22"/>
          </w:rPr>
          <w:t xml:space="preserve"> et al.</w:t>
        </w:r>
        <w:r w:rsidR="00E6043D">
          <w:rPr>
            <w:noProof/>
            <w:color w:val="000000"/>
            <w:szCs w:val="22"/>
          </w:rPr>
          <w:t xml:space="preserve"> 2005</w:t>
        </w:r>
      </w:hyperlink>
      <w:r w:rsidR="00644A84">
        <w:rPr>
          <w:noProof/>
          <w:color w:val="000000"/>
          <w:szCs w:val="22"/>
        </w:rPr>
        <w:t xml:space="preserve">; </w:t>
      </w:r>
      <w:hyperlink w:anchor="_ENREF_150" w:tooltip="Lobb, 2006 #9758" w:history="1">
        <w:r w:rsidR="00E6043D">
          <w:rPr>
            <w:noProof/>
            <w:color w:val="000000"/>
            <w:szCs w:val="22"/>
          </w:rPr>
          <w:t>Lobb 2006</w:t>
        </w:r>
      </w:hyperlink>
      <w:r w:rsidR="00644A84">
        <w:rPr>
          <w:color w:val="000000"/>
          <w:szCs w:val="22"/>
        </w:rPr>
        <w:fldChar w:fldCharType="end"/>
      </w:r>
      <w:r w:rsidR="003D1F7F" w:rsidRPr="0071577B">
        <w:rPr>
          <w:color w:val="000000"/>
          <w:szCs w:val="22"/>
        </w:rPr>
        <w:t>).</w:t>
      </w:r>
    </w:p>
    <w:p w:rsidR="003D1F7F" w:rsidRPr="0071577B" w:rsidRDefault="001D0B44" w:rsidP="003D1F7F">
      <w:pPr>
        <w:numPr>
          <w:ilvl w:val="0"/>
          <w:numId w:val="1"/>
        </w:numPr>
        <w:spacing w:before="0" w:after="0"/>
        <w:rPr>
          <w:color w:val="000000"/>
          <w:szCs w:val="22"/>
        </w:rPr>
      </w:pPr>
      <w:r>
        <w:rPr>
          <w:color w:val="000000"/>
          <w:szCs w:val="22"/>
          <w:lang w:val="en-US"/>
        </w:rPr>
        <w:t>a</w:t>
      </w:r>
      <w:r w:rsidR="003D1F7F" w:rsidRPr="0071577B">
        <w:rPr>
          <w:color w:val="000000"/>
          <w:szCs w:val="22"/>
          <w:lang w:val="en-US"/>
        </w:rPr>
        <w:t xml:space="preserve"> Minimum Detectable Difference (MDD) below 20% (at the 5% level of significance with 80% power) (</w:t>
      </w:r>
      <w:hyperlink w:anchor="_ENREF_22" w:tooltip="Bros, 1987 #9156" w:history="1">
        <w:r w:rsidR="00E6043D">
          <w:rPr>
            <w:color w:val="000000"/>
            <w:szCs w:val="22"/>
            <w:lang w:val="en-US"/>
          </w:rPr>
          <w:fldChar w:fldCharType="begin"/>
        </w:r>
        <w:r w:rsidR="00E6043D">
          <w:rPr>
            <w:color w:val="000000"/>
            <w:szCs w:val="22"/>
            <w:lang w:val="en-US"/>
          </w:rPr>
          <w:instrText xml:space="preserve"> ADDIN EN.CITE &lt;EndNote&gt;&lt;Cite&gt;&lt;Author&gt;Bros&lt;/Author&gt;&lt;Year&gt;1987&lt;/Year&gt;&lt;RecNum&gt;9156&lt;/RecNum&gt;&lt;DisplayText&gt;Bros and Cowell 1987&lt;/DisplayText&gt;&lt;record&gt;&lt;rec-number&gt;9156&lt;/rec-number&gt;&lt;foreign-keys&gt;&lt;key app="EN" db-id="0eve55x9y5vfd6e9dacxtew4eatve2dzds9a"&gt;9156&lt;/key&gt;&lt;/foreign-keys&gt;&lt;ref-type name="Journal Article"&gt;17&lt;/ref-type&gt;&lt;contributors&gt;&lt;authors&gt;&lt;author&gt;Bros, W.E.&lt;/author&gt;&lt;author&gt;Cowell, B.C.&lt;/author&gt;&lt;/authors&gt;&lt;/contributors&gt;&lt;titles&gt;&lt;title&gt;A technique for optimising sample size (replication)&lt;/title&gt;&lt;secondary-title&gt;Journal of  Experimental Marine Biology and Ecology&lt;/secondary-title&gt;&lt;/titles&gt;&lt;periodical&gt;&lt;full-title&gt;Journal of  Experimental Marine Biology and Ecology&lt;/full-title&gt;&lt;/periodical&gt;&lt;pages&gt;63-71&lt;/pages&gt;&lt;volume&gt;114&lt;/volume&gt;&lt;dates&gt;&lt;year&gt;1987&lt;/year&gt;&lt;/dates&gt;&lt;urls&gt;&lt;/urls&gt;&lt;/record&gt;&lt;/Cite&gt;&lt;/EndNote&gt;</w:instrText>
        </w:r>
        <w:r w:rsidR="00E6043D">
          <w:rPr>
            <w:color w:val="000000"/>
            <w:szCs w:val="22"/>
            <w:lang w:val="en-US"/>
          </w:rPr>
          <w:fldChar w:fldCharType="separate"/>
        </w:r>
        <w:r w:rsidR="00E6043D">
          <w:rPr>
            <w:noProof/>
            <w:color w:val="000000"/>
            <w:szCs w:val="22"/>
            <w:lang w:val="en-US"/>
          </w:rPr>
          <w:t>Bros and Cowell 1987</w:t>
        </w:r>
        <w:r w:rsidR="00E6043D">
          <w:rPr>
            <w:color w:val="000000"/>
            <w:szCs w:val="22"/>
            <w:lang w:val="en-US"/>
          </w:rPr>
          <w:fldChar w:fldCharType="end"/>
        </w:r>
      </w:hyperlink>
      <w:r w:rsidR="003D1F7F" w:rsidRPr="0071577B">
        <w:rPr>
          <w:color w:val="000000"/>
          <w:szCs w:val="22"/>
          <w:lang w:val="en-US"/>
        </w:rPr>
        <w:t>).</w:t>
      </w:r>
    </w:p>
    <w:p w:rsidR="003D1F7F" w:rsidRPr="0071577B" w:rsidRDefault="003D1F7F" w:rsidP="003D1F7F">
      <w:pPr>
        <w:spacing w:before="240"/>
        <w:rPr>
          <w:color w:val="000000"/>
          <w:szCs w:val="22"/>
          <w:lang w:val="en-US"/>
        </w:rPr>
      </w:pPr>
      <w:r>
        <w:rPr>
          <w:color w:val="000000"/>
          <w:szCs w:val="22"/>
          <w:lang w:val="en-US"/>
        </w:rPr>
        <w:t xml:space="preserve">Sites </w:t>
      </w:r>
      <w:r w:rsidRPr="00A22BEA">
        <w:rPr>
          <w:color w:val="000000"/>
          <w:szCs w:val="22"/>
          <w:lang w:val="en-US"/>
        </w:rPr>
        <w:t xml:space="preserve">were selected using mapping surveys across the regions prior to site establishment. Ideally mapping was conducted immediately prior to site positioning, however in most (60% of) cases it was based on historic (&gt;5yr) information. Representative meadows were those which covered the greater extent </w:t>
      </w:r>
      <w:r>
        <w:rPr>
          <w:color w:val="000000"/>
          <w:szCs w:val="22"/>
          <w:lang w:val="en-US"/>
        </w:rPr>
        <w:t>within the inshore region</w:t>
      </w:r>
      <w:r w:rsidRPr="00A22BEA">
        <w:rPr>
          <w:color w:val="000000"/>
          <w:szCs w:val="22"/>
          <w:lang w:val="en-US"/>
        </w:rPr>
        <w:t xml:space="preserve">, were generally the dominant seagrass community type and were within GBR </w:t>
      </w:r>
      <w:r w:rsidR="001D0B44">
        <w:rPr>
          <w:color w:val="000000"/>
          <w:szCs w:val="22"/>
          <w:lang w:val="en-US"/>
        </w:rPr>
        <w:t>baseline</w:t>
      </w:r>
      <w:r w:rsidRPr="00A22BEA">
        <w:rPr>
          <w:color w:val="000000"/>
          <w:szCs w:val="22"/>
          <w:lang w:val="en-US"/>
        </w:rPr>
        <w:t xml:space="preserve"> abundances (based on </w:t>
      </w:r>
      <w:r w:rsidR="00644A84">
        <w:rPr>
          <w:color w:val="000000"/>
          <w:szCs w:val="22"/>
          <w:lang w:val="en-US"/>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ZXZlNTV4OXk1dmZkNmU5ZGFjeHRldzRlYXR2ZTJkemRzOWEiPjk3NTk8L2tleT48L2ZvcmVpZ24t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=
</w:fldData>
        </w:fldChar>
      </w:r>
      <w:r w:rsidR="00644A84">
        <w:rPr>
          <w:color w:val="000000"/>
          <w:szCs w:val="22"/>
          <w:lang w:val="en-US"/>
        </w:rPr>
        <w:instrText xml:space="preserve"> ADDIN EN.CITE </w:instrText>
      </w:r>
      <w:r w:rsidR="00644A84">
        <w:rPr>
          <w:color w:val="000000"/>
          <w:szCs w:val="22"/>
          <w:lang w:val="en-US"/>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ZXZlNTV4OXk1dmZkNmU5ZGFjeHRldzRlYXR2ZTJkemRzOWEiPjk3NTk8L2tleT48L2ZvcmVpZ24t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=
</w:fldData>
        </w:fldChar>
      </w:r>
      <w:r w:rsidR="00644A84">
        <w:rPr>
          <w:color w:val="000000"/>
          <w:szCs w:val="22"/>
          <w:lang w:val="en-US"/>
        </w:rPr>
        <w:instrText xml:space="preserve"> ADDIN EN.CITE.DATA </w:instrText>
      </w:r>
      <w:r w:rsidR="00644A84">
        <w:rPr>
          <w:color w:val="000000"/>
          <w:szCs w:val="22"/>
          <w:lang w:val="en-US"/>
        </w:rPr>
      </w:r>
      <w:r w:rsidR="00644A84">
        <w:rPr>
          <w:color w:val="000000"/>
          <w:szCs w:val="22"/>
          <w:lang w:val="en-US"/>
        </w:rPr>
        <w:fldChar w:fldCharType="end"/>
      </w:r>
      <w:r w:rsidR="00644A84">
        <w:rPr>
          <w:color w:val="000000"/>
          <w:szCs w:val="22"/>
          <w:lang w:val="en-US"/>
        </w:rPr>
      </w:r>
      <w:r w:rsidR="00644A84">
        <w:rPr>
          <w:color w:val="000000"/>
          <w:szCs w:val="22"/>
          <w:lang w:val="en-US"/>
        </w:rPr>
        <w:fldChar w:fldCharType="separate"/>
      </w:r>
      <w:hyperlink w:anchor="_ENREF_55" w:tooltip="Coles, 2001 #9760" w:history="1">
        <w:r w:rsidR="00E6043D">
          <w:rPr>
            <w:noProof/>
            <w:color w:val="000000"/>
            <w:szCs w:val="22"/>
            <w:lang w:val="en-US"/>
          </w:rPr>
          <w:t>Coles</w:t>
        </w:r>
        <w:r w:rsidR="00E6043D" w:rsidRPr="00644A84">
          <w:rPr>
            <w:i/>
            <w:noProof/>
            <w:color w:val="000000"/>
            <w:szCs w:val="22"/>
            <w:lang w:val="en-US"/>
          </w:rPr>
          <w:t xml:space="preserve"> et al.</w:t>
        </w:r>
        <w:r w:rsidR="00E6043D">
          <w:rPr>
            <w:noProof/>
            <w:color w:val="000000"/>
            <w:szCs w:val="22"/>
            <w:lang w:val="en-US"/>
          </w:rPr>
          <w:t xml:space="preserve"> 2001a</w:t>
        </w:r>
      </w:hyperlink>
      <w:r w:rsidR="00644A84">
        <w:rPr>
          <w:noProof/>
          <w:color w:val="000000"/>
          <w:szCs w:val="22"/>
          <w:lang w:val="en-US"/>
        </w:rPr>
        <w:t xml:space="preserve">; </w:t>
      </w:r>
      <w:hyperlink w:anchor="_ENREF_57" w:tooltip="Coles, 2001 #9759" w:history="1">
        <w:r w:rsidR="00E6043D">
          <w:rPr>
            <w:noProof/>
            <w:color w:val="000000"/>
            <w:szCs w:val="22"/>
            <w:lang w:val="en-US"/>
          </w:rPr>
          <w:t>Coles</w:t>
        </w:r>
        <w:r w:rsidR="00E6043D" w:rsidRPr="00644A84">
          <w:rPr>
            <w:i/>
            <w:noProof/>
            <w:color w:val="000000"/>
            <w:szCs w:val="22"/>
            <w:lang w:val="en-US"/>
          </w:rPr>
          <w:t xml:space="preserve"> et al.</w:t>
        </w:r>
        <w:r w:rsidR="00E6043D">
          <w:rPr>
            <w:noProof/>
            <w:color w:val="000000"/>
            <w:szCs w:val="22"/>
            <w:lang w:val="en-US"/>
          </w:rPr>
          <w:t xml:space="preserve"> 2001c</w:t>
        </w:r>
      </w:hyperlink>
      <w:r w:rsidR="00644A84">
        <w:rPr>
          <w:noProof/>
          <w:color w:val="000000"/>
          <w:szCs w:val="22"/>
          <w:lang w:val="en-US"/>
        </w:rPr>
        <w:t xml:space="preserve">, </w:t>
      </w:r>
      <w:hyperlink w:anchor="_ENREF_56" w:tooltip="Coles, 2001 #9761" w:history="1">
        <w:r w:rsidR="00E6043D">
          <w:rPr>
            <w:noProof/>
            <w:color w:val="000000"/>
            <w:szCs w:val="22"/>
            <w:lang w:val="en-US"/>
          </w:rPr>
          <w:t>2001b</w:t>
        </w:r>
      </w:hyperlink>
      <w:r w:rsidR="00644A84">
        <w:rPr>
          <w:noProof/>
          <w:color w:val="000000"/>
          <w:szCs w:val="22"/>
          <w:lang w:val="en-US"/>
        </w:rPr>
        <w:t xml:space="preserve">, </w:t>
      </w:r>
      <w:hyperlink w:anchor="_ENREF_58" w:tooltip="Coles, 2001 #9762" w:history="1">
        <w:r w:rsidR="00E6043D">
          <w:rPr>
            <w:noProof/>
            <w:color w:val="000000"/>
            <w:szCs w:val="22"/>
            <w:lang w:val="en-US"/>
          </w:rPr>
          <w:t>2001d</w:t>
        </w:r>
      </w:hyperlink>
      <w:r w:rsidR="00644A84">
        <w:rPr>
          <w:color w:val="000000"/>
          <w:szCs w:val="22"/>
          <w:lang w:val="en-US"/>
        </w:rPr>
        <w:fldChar w:fldCharType="end"/>
      </w:r>
      <w:r w:rsidRPr="00A22BEA">
        <w:rPr>
          <w:color w:val="000000"/>
          <w:szCs w:val="22"/>
          <w:lang w:val="en-US"/>
        </w:rPr>
        <w:t xml:space="preserve">). To account for spatial heterogeneity of meadows within habitats, two sites were selected at each location. </w:t>
      </w:r>
      <w:r w:rsidR="00566CA2">
        <w:rPr>
          <w:color w:val="000000"/>
          <w:szCs w:val="22"/>
          <w:lang w:val="en-US"/>
        </w:rPr>
        <w:t>If meadow overall extent was larger than ~15hecatres (0.15 km</w:t>
      </w:r>
      <w:r w:rsidR="00566CA2" w:rsidRPr="00566CA2">
        <w:rPr>
          <w:color w:val="000000"/>
          <w:szCs w:val="22"/>
          <w:vertAlign w:val="superscript"/>
          <w:lang w:val="en-US"/>
        </w:rPr>
        <w:t>2</w:t>
      </w:r>
      <w:r w:rsidR="00566CA2">
        <w:rPr>
          <w:color w:val="000000"/>
          <w:szCs w:val="22"/>
          <w:lang w:val="en-US"/>
        </w:rPr>
        <w:t>), replicate sites were often located within the same meadow.</w:t>
      </w:r>
    </w:p>
    <w:p w:rsidR="003D1F7F" w:rsidRPr="0071577B" w:rsidRDefault="003D1F7F" w:rsidP="003D1F7F">
      <w:pPr>
        <w:spacing w:before="240"/>
        <w:rPr>
          <w:color w:val="000000"/>
          <w:szCs w:val="22"/>
          <w:lang w:val="en-US"/>
        </w:rPr>
      </w:pPr>
      <w:r w:rsidRPr="0071577B">
        <w:rPr>
          <w:color w:val="000000"/>
          <w:szCs w:val="22"/>
          <w:lang w:val="en-US"/>
        </w:rPr>
        <w:t>From the onset, inshore seagrass monitoring for the MMP was focused primarily on intertidal</w:t>
      </w:r>
      <w:r w:rsidR="00566CA2">
        <w:rPr>
          <w:color w:val="000000"/>
          <w:szCs w:val="22"/>
          <w:lang w:val="en-US"/>
        </w:rPr>
        <w:t>/lower littoral</w:t>
      </w:r>
      <w:r w:rsidRPr="0071577B">
        <w:rPr>
          <w:color w:val="000000"/>
          <w:szCs w:val="22"/>
          <w:lang w:val="en-US"/>
        </w:rPr>
        <w:t xml:space="preserve"> seagrass meadows due to:</w:t>
      </w:r>
    </w:p>
    <w:p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accessibility and cost effectiveness (limiting use of vessels and divers)</w:t>
      </w:r>
    </w:p>
    <w:p w:rsidR="003D1F7F" w:rsidRPr="0071577B" w:rsidRDefault="00AB452F" w:rsidP="003D1F7F">
      <w:pPr>
        <w:numPr>
          <w:ilvl w:val="0"/>
          <w:numId w:val="2"/>
        </w:numPr>
        <w:tabs>
          <w:tab w:val="clear" w:pos="360"/>
          <w:tab w:val="num" w:pos="709"/>
        </w:tabs>
        <w:spacing w:before="0" w:after="0"/>
        <w:ind w:left="709" w:hanging="349"/>
        <w:rPr>
          <w:color w:val="000000"/>
          <w:szCs w:val="22"/>
        </w:rPr>
      </w:pPr>
      <w:r>
        <w:rPr>
          <w:color w:val="000000"/>
          <w:szCs w:val="22"/>
        </w:rPr>
        <w:t>Occupational</w:t>
      </w:r>
      <w:r w:rsidR="003D1F7F" w:rsidRPr="0071577B">
        <w:rPr>
          <w:color w:val="000000"/>
          <w:szCs w:val="22"/>
        </w:rPr>
        <w:t xml:space="preserve"> Health and Safety due to dangerous marine animals (e.g., crocodiles, box jellyfish and </w:t>
      </w:r>
      <w:proofErr w:type="spellStart"/>
      <w:r w:rsidR="003D1F7F" w:rsidRPr="0071577B">
        <w:rPr>
          <w:color w:val="000000"/>
          <w:szCs w:val="22"/>
        </w:rPr>
        <w:t>irukandji</w:t>
      </w:r>
      <w:proofErr w:type="spellEnd"/>
      <w:r w:rsidR="003D1F7F" w:rsidRPr="0071577B">
        <w:rPr>
          <w:color w:val="000000"/>
          <w:szCs w:val="22"/>
        </w:rPr>
        <w:t>)</w:t>
      </w:r>
    </w:p>
    <w:p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occurrence of meadows in estuarine, coastal and reef habitats across the entire GBR, and</w:t>
      </w:r>
    </w:p>
    <w:p w:rsidR="003D1F7F" w:rsidRPr="0071577B" w:rsidRDefault="003D1F7F" w:rsidP="003D1F7F">
      <w:pPr>
        <w:numPr>
          <w:ilvl w:val="0"/>
          <w:numId w:val="2"/>
        </w:numPr>
        <w:tabs>
          <w:tab w:val="clear" w:pos="360"/>
          <w:tab w:val="num" w:pos="709"/>
        </w:tabs>
        <w:spacing w:before="0" w:after="0"/>
        <w:ind w:left="709" w:hanging="349"/>
        <w:rPr>
          <w:color w:val="000000"/>
          <w:szCs w:val="22"/>
        </w:rPr>
      </w:pPr>
      <w:proofErr w:type="gramStart"/>
      <w:r>
        <w:rPr>
          <w:color w:val="000000"/>
          <w:szCs w:val="22"/>
        </w:rPr>
        <w:t>where</w:t>
      </w:r>
      <w:proofErr w:type="gramEnd"/>
      <w:r>
        <w:rPr>
          <w:color w:val="000000"/>
          <w:szCs w:val="22"/>
        </w:rPr>
        <w:t xml:space="preserve"> possible, </w:t>
      </w:r>
      <w:r w:rsidRPr="0071577B">
        <w:rPr>
          <w:color w:val="000000"/>
          <w:szCs w:val="22"/>
        </w:rPr>
        <w:t xml:space="preserve">provides an opportunity for community involvement, ensuring broad acceptance and ownership of </w:t>
      </w:r>
      <w:r w:rsidRPr="001474A2">
        <w:rPr>
          <w:color w:val="000000"/>
          <w:szCs w:val="22"/>
        </w:rPr>
        <w:t xml:space="preserve">Reef </w:t>
      </w:r>
      <w:r>
        <w:rPr>
          <w:color w:val="000000"/>
          <w:szCs w:val="22"/>
        </w:rPr>
        <w:t>Plan</w:t>
      </w:r>
      <w:r w:rsidRPr="0071577B">
        <w:rPr>
          <w:color w:val="000000"/>
          <w:szCs w:val="22"/>
        </w:rPr>
        <w:t xml:space="preserve"> by the Queensland and Australian community.</w:t>
      </w:r>
    </w:p>
    <w:p w:rsidR="003D1F7F" w:rsidRPr="0071577B" w:rsidRDefault="003D1F7F" w:rsidP="003D1F7F">
      <w:pPr>
        <w:spacing w:before="240"/>
        <w:rPr>
          <w:color w:val="000000"/>
          <w:szCs w:val="22"/>
          <w:lang w:val="en-US"/>
        </w:rPr>
      </w:pPr>
      <w:r>
        <w:rPr>
          <w:color w:val="000000"/>
          <w:szCs w:val="22"/>
          <w:lang w:val="en-US"/>
        </w:rPr>
        <w:t xml:space="preserve">Some of the restrictions for working in hazardous waters are overcome by using drop cameras and this technique is being explored for future abundance monitoring; however, that will not contribute to physical sampling (e.g. tissue nutrients, reproductive effort), and issues to do with different sampling protocols (e.g. transects) will need to be considered. </w:t>
      </w:r>
      <w:r w:rsidRPr="0071577B">
        <w:rPr>
          <w:color w:val="000000"/>
          <w:szCs w:val="22"/>
          <w:lang w:val="en-US"/>
        </w:rPr>
        <w:t xml:space="preserve">Although considered intertidal within the MMP, the meadows chosen for monitoring were in fact lower littoral (rarely </w:t>
      </w:r>
      <w:r>
        <w:rPr>
          <w:color w:val="000000"/>
          <w:szCs w:val="22"/>
          <w:lang w:val="en-US"/>
        </w:rPr>
        <w:t>exposed to air</w:t>
      </w:r>
      <w:r w:rsidRPr="0071577B">
        <w:rPr>
          <w:color w:val="000000"/>
          <w:szCs w:val="22"/>
          <w:lang w:val="en-US"/>
        </w:rPr>
        <w:t>)</w:t>
      </w:r>
      <w:r>
        <w:rPr>
          <w:color w:val="000000"/>
          <w:szCs w:val="22"/>
          <w:lang w:val="en-US"/>
        </w:rPr>
        <w:t>. The long-term median annual daylight exposure (the time intertidal meadows are exposed to air during daylight hours) was 1.7% (all meadows pooled) (</w:t>
      </w:r>
      <w:r>
        <w:rPr>
          <w:color w:val="000000"/>
          <w:szCs w:val="22"/>
          <w:lang w:val="en-US"/>
        </w:rPr>
        <w:fldChar w:fldCharType="begin"/>
      </w:r>
      <w:r>
        <w:rPr>
          <w:color w:val="000000"/>
          <w:szCs w:val="22"/>
          <w:lang w:val="en-US"/>
        </w:rPr>
        <w:instrText xml:space="preserve"> REF _Ref409806677 \h </w:instrText>
      </w:r>
      <w:r>
        <w:rPr>
          <w:color w:val="000000"/>
          <w:szCs w:val="22"/>
          <w:lang w:val="en-US"/>
        </w:rPr>
      </w:r>
      <w:r>
        <w:rPr>
          <w:color w:val="000000"/>
          <w:szCs w:val="22"/>
          <w:lang w:val="en-US"/>
        </w:rPr>
        <w:fldChar w:fldCharType="separate"/>
      </w:r>
      <w:r w:rsidR="009C068F">
        <w:t xml:space="preserve">Table </w:t>
      </w:r>
      <w:r w:rsidR="009C068F">
        <w:rPr>
          <w:noProof/>
        </w:rPr>
        <w:t>46</w:t>
      </w:r>
      <w:r>
        <w:rPr>
          <w:color w:val="000000"/>
          <w:szCs w:val="22"/>
          <w:lang w:val="en-US"/>
        </w:rPr>
        <w:fldChar w:fldCharType="end"/>
      </w:r>
      <w:r>
        <w:rPr>
          <w:color w:val="000000"/>
          <w:szCs w:val="22"/>
          <w:lang w:val="en-US"/>
        </w:rPr>
        <w:t>)</w:t>
      </w:r>
      <w:r w:rsidRPr="0071577B">
        <w:rPr>
          <w:color w:val="000000"/>
          <w:szCs w:val="22"/>
          <w:lang w:val="en-US"/>
        </w:rPr>
        <w:t xml:space="preserve">. This limited </w:t>
      </w:r>
      <w:r>
        <w:rPr>
          <w:color w:val="000000"/>
          <w:szCs w:val="22"/>
          <w:lang w:val="en-US"/>
        </w:rPr>
        <w:t xml:space="preserve">the time </w:t>
      </w:r>
      <w:r w:rsidRPr="0071577B">
        <w:rPr>
          <w:color w:val="000000"/>
          <w:szCs w:val="22"/>
          <w:lang w:val="en-US"/>
        </w:rPr>
        <w:t xml:space="preserve">monitoring </w:t>
      </w:r>
      <w:r>
        <w:rPr>
          <w:color w:val="000000"/>
          <w:szCs w:val="22"/>
          <w:lang w:val="en-US"/>
        </w:rPr>
        <w:t xml:space="preserve">could be conducted </w:t>
      </w:r>
      <w:r w:rsidRPr="0071577B">
        <w:rPr>
          <w:color w:val="000000"/>
          <w:szCs w:val="22"/>
          <w:lang w:val="en-US"/>
        </w:rPr>
        <w:t xml:space="preserve">to the very low spring tides within small tidal windows (mostly </w:t>
      </w:r>
      <w:r>
        <w:rPr>
          <w:color w:val="000000"/>
          <w:szCs w:val="22"/>
          <w:lang w:val="en-US"/>
        </w:rPr>
        <w:t>1</w:t>
      </w:r>
      <w:r w:rsidRPr="0071577B">
        <w:rPr>
          <w:color w:val="000000"/>
          <w:szCs w:val="22"/>
          <w:lang w:val="en-US"/>
        </w:rPr>
        <w:t>-4hrs per day for 3-</w:t>
      </w:r>
      <w:r>
        <w:rPr>
          <w:color w:val="000000"/>
          <w:szCs w:val="22"/>
          <w:lang w:val="en-US"/>
        </w:rPr>
        <w:t>6</w:t>
      </w:r>
      <w:r w:rsidRPr="0071577B">
        <w:rPr>
          <w:color w:val="000000"/>
          <w:szCs w:val="22"/>
          <w:lang w:val="en-US"/>
        </w:rPr>
        <w:t xml:space="preserve"> days per month for 6-</w:t>
      </w:r>
      <w:r>
        <w:rPr>
          <w:color w:val="000000"/>
          <w:szCs w:val="22"/>
          <w:lang w:val="en-US"/>
        </w:rPr>
        <w:t>9</w:t>
      </w:r>
      <w:r w:rsidRPr="0071577B">
        <w:rPr>
          <w:color w:val="000000"/>
          <w:szCs w:val="22"/>
          <w:lang w:val="en-US"/>
        </w:rPr>
        <w:t xml:space="preserve"> months of the year). Traditional</w:t>
      </w:r>
      <w:r>
        <w:rPr>
          <w:color w:val="000000"/>
          <w:szCs w:val="22"/>
          <w:lang w:val="en-US"/>
        </w:rPr>
        <w:t xml:space="preserve">ly, </w:t>
      </w:r>
      <w:r w:rsidRPr="0071577B">
        <w:rPr>
          <w:color w:val="000000"/>
          <w:szCs w:val="22"/>
          <w:lang w:val="en-US"/>
        </w:rPr>
        <w:t>approaches</w:t>
      </w:r>
      <w:r>
        <w:rPr>
          <w:color w:val="000000"/>
          <w:szCs w:val="22"/>
          <w:lang w:val="en-US"/>
        </w:rPr>
        <w:t xml:space="preserve"> developed for monitoring</w:t>
      </w:r>
      <w:r w:rsidRPr="0071577B">
        <w:rPr>
          <w:color w:val="000000"/>
          <w:szCs w:val="22"/>
          <w:lang w:val="en-US"/>
        </w:rPr>
        <w:t xml:space="preserve"> seagrass to assess</w:t>
      </w:r>
      <w:r>
        <w:rPr>
          <w:color w:val="000000"/>
          <w:szCs w:val="22"/>
          <w:lang w:val="en-US"/>
        </w:rPr>
        <w:t xml:space="preserve"> changes in</w:t>
      </w:r>
      <w:r w:rsidRPr="0071577B">
        <w:rPr>
          <w:color w:val="000000"/>
          <w:szCs w:val="22"/>
          <w:lang w:val="en-US"/>
        </w:rPr>
        <w:t xml:space="preserve"> water quality </w:t>
      </w:r>
      <w:r>
        <w:rPr>
          <w:color w:val="000000"/>
          <w:szCs w:val="22"/>
          <w:lang w:val="en-US"/>
        </w:rPr>
        <w:t>were</w:t>
      </w:r>
      <w:r w:rsidRPr="0071577B">
        <w:rPr>
          <w:color w:val="000000"/>
          <w:szCs w:val="22"/>
          <w:lang w:val="en-US"/>
        </w:rPr>
        <w:t xml:space="preserve"> developed for subtidal meadows typified by small tidal ranges (e.g., Florida = 0.7m, Chesapeake Bay = 0.6m) and clear waters where the seaward edges of meadows were only determined by light (</w:t>
      </w:r>
      <w:hyperlink w:anchor="_ENREF_99" w:tooltip="EHMP, 2008 #9478" w:history="1">
        <w:r w:rsidR="00E6043D">
          <w:rPr>
            <w:color w:val="000000"/>
            <w:szCs w:val="22"/>
            <w:lang w:val="en-US"/>
          </w:rPr>
          <w:fldChar w:fldCharType="begin"/>
        </w:r>
        <w:r w:rsidR="00E6043D">
          <w:rPr>
            <w:color w:val="000000"/>
            <w:szCs w:val="22"/>
            <w:lang w:val="en-US"/>
          </w:rPr>
          <w:instrText xml:space="preserve"> ADDIN EN.CITE &lt;EndNote&gt;&lt;Cite&gt;&lt;Author&gt;EHMP&lt;/Author&gt;&lt;Year&gt;2008&lt;/Year&gt;&lt;RecNum&gt;9478&lt;/RecNum&gt;&lt;DisplayText&gt;EHMP 2008&lt;/DisplayText&gt;&lt;record&gt;&lt;rec-number&gt;9478&lt;/rec-number&gt;&lt;foreign-keys&gt;&lt;key app="EN" db-id="0eve55x9y5vfd6e9dacxtew4eatve2dzds9a"&gt;9478&lt;/key&gt;&lt;/foreign-keys&gt;&lt;ref-type name="Book"&gt;6&lt;/ref-type&gt;&lt;contributors&gt;&lt;authors&gt;&lt;author&gt;EHMP,&lt;/author&gt;&lt;/authors&gt;&lt;/contributors&gt;&lt;titles&gt;&lt;title&gt;Ecosystem Health Monitoring Program 2006-07: Annual Technical Report&lt;/title&gt;&lt;/titles&gt;&lt;section&gt;18-43&lt;/section&gt;&lt;dates&gt;&lt;year&gt;2008&lt;/year&gt;&lt;/dates&gt;&lt;pub-location&gt;Brisbane&lt;/pub-location&gt;&lt;publisher&gt;South East Queensland Healthy Waterways Partnership&lt;/publisher&gt;&lt;urls&gt;&lt;/urls&gt;&lt;/record&gt;&lt;/Cite&gt;&lt;/EndNote&gt;</w:instrText>
        </w:r>
        <w:r w:rsidR="00E6043D">
          <w:rPr>
            <w:color w:val="000000"/>
            <w:szCs w:val="22"/>
            <w:lang w:val="en-US"/>
          </w:rPr>
          <w:fldChar w:fldCharType="separate"/>
        </w:r>
        <w:r w:rsidR="00E6043D">
          <w:rPr>
            <w:noProof/>
            <w:color w:val="000000"/>
            <w:szCs w:val="22"/>
            <w:lang w:val="en-US"/>
          </w:rPr>
          <w:t>EHMP 2008</w:t>
        </w:r>
        <w:r w:rsidR="00E6043D">
          <w:rPr>
            <w:color w:val="000000"/>
            <w:szCs w:val="22"/>
            <w:lang w:val="en-US"/>
          </w:rPr>
          <w:fldChar w:fldCharType="end"/>
        </w:r>
      </w:hyperlink>
      <w:r w:rsidRPr="0071577B">
        <w:rPr>
          <w:color w:val="000000"/>
          <w:szCs w:val="22"/>
          <w:lang w:val="en-US"/>
        </w:rPr>
        <w:t xml:space="preserve">). Unfortunately, depth range monitoring in subtropical/tropical seagrass meadows </w:t>
      </w:r>
      <w:r w:rsidR="00CE7000">
        <w:rPr>
          <w:color w:val="000000"/>
          <w:szCs w:val="22"/>
          <w:lang w:val="en-US"/>
        </w:rPr>
        <w:t>has had</w:t>
      </w:r>
      <w:r w:rsidR="00B136DE">
        <w:rPr>
          <w:color w:val="000000"/>
          <w:szCs w:val="22"/>
          <w:lang w:val="en-US"/>
        </w:rPr>
        <w:t xml:space="preserve"> limited</w:t>
      </w:r>
      <w:r w:rsidRPr="0071577B">
        <w:rPr>
          <w:color w:val="000000"/>
          <w:szCs w:val="22"/>
          <w:lang w:val="en-US"/>
        </w:rPr>
        <w:t xml:space="preserve"> success </w:t>
      </w:r>
      <w:r w:rsidR="00B136DE">
        <w:rPr>
          <w:color w:val="000000"/>
          <w:szCs w:val="22"/>
          <w:lang w:val="en-US"/>
        </w:rPr>
        <w:t>due to logistic/technical issues (e.g. accuracy defining deep edge of a fragmented meadow</w:t>
      </w:r>
      <w:r w:rsidR="00E923EA">
        <w:rPr>
          <w:color w:val="000000"/>
          <w:szCs w:val="22"/>
          <w:lang w:val="en-US"/>
        </w:rPr>
        <w:t>,</w:t>
      </w:r>
      <w:r w:rsidR="00B136DE">
        <w:rPr>
          <w:color w:val="000000"/>
          <w:szCs w:val="22"/>
          <w:lang w:val="en-US"/>
        </w:rPr>
        <w:t xml:space="preserve"> </w:t>
      </w:r>
      <w:r w:rsidR="00CE7000">
        <w:rPr>
          <w:color w:val="000000"/>
          <w:szCs w:val="22"/>
          <w:lang w:val="en-US"/>
        </w:rPr>
        <w:t xml:space="preserve">and </w:t>
      </w:r>
      <w:r w:rsidR="00B136DE">
        <w:rPr>
          <w:color w:val="000000"/>
          <w:szCs w:val="22"/>
          <w:lang w:val="en-US"/>
        </w:rPr>
        <w:t xml:space="preserve">positional accuracy of </w:t>
      </w:r>
      <w:r w:rsidR="00E923EA">
        <w:rPr>
          <w:color w:val="000000"/>
          <w:szCs w:val="22"/>
          <w:lang w:val="en-US"/>
        </w:rPr>
        <w:t xml:space="preserve">the </w:t>
      </w:r>
      <w:proofErr w:type="spellStart"/>
      <w:r w:rsidR="00E923EA" w:rsidRPr="00E923EA">
        <w:rPr>
          <w:color w:val="000000"/>
          <w:szCs w:val="22"/>
          <w:lang w:val="en-US"/>
        </w:rPr>
        <w:t>autoset</w:t>
      </w:r>
      <w:proofErr w:type="spellEnd"/>
      <w:r w:rsidR="00E923EA" w:rsidRPr="00E923EA">
        <w:rPr>
          <w:color w:val="000000"/>
          <w:szCs w:val="22"/>
          <w:lang w:val="en-US"/>
        </w:rPr>
        <w:t xml:space="preserve"> level</w:t>
      </w:r>
      <w:r w:rsidR="00CE7000">
        <w:rPr>
          <w:color w:val="000000"/>
          <w:szCs w:val="22"/>
          <w:lang w:val="en-US"/>
        </w:rPr>
        <w:t>’s graduated staff</w:t>
      </w:r>
      <w:r w:rsidR="00E923EA">
        <w:rPr>
          <w:color w:val="000000"/>
          <w:szCs w:val="22"/>
          <w:lang w:val="en-US"/>
        </w:rPr>
        <w:t xml:space="preserve"> with increasing horizontal distance</w:t>
      </w:r>
      <w:r w:rsidR="00CE7000">
        <w:rPr>
          <w:color w:val="000000"/>
          <w:szCs w:val="22"/>
          <w:lang w:val="en-US"/>
        </w:rPr>
        <w:t>) (</w:t>
      </w:r>
      <w:r w:rsidR="00CE7000" w:rsidRPr="00CE7000">
        <w:rPr>
          <w:color w:val="000000"/>
          <w:szCs w:val="22"/>
          <w:lang w:val="en-US"/>
        </w:rPr>
        <w:t xml:space="preserve">B. </w:t>
      </w:r>
      <w:proofErr w:type="spellStart"/>
      <w:r w:rsidR="00CE7000" w:rsidRPr="00CE7000">
        <w:rPr>
          <w:color w:val="000000"/>
          <w:szCs w:val="22"/>
          <w:lang w:val="en-US"/>
        </w:rPr>
        <w:t>Longstaff</w:t>
      </w:r>
      <w:proofErr w:type="spellEnd"/>
      <w:r w:rsidR="00CE7000" w:rsidRPr="00CE7000">
        <w:rPr>
          <w:color w:val="000000"/>
          <w:szCs w:val="22"/>
          <w:lang w:val="en-US"/>
        </w:rPr>
        <w:t>, pers. comm. 05 May 2004</w:t>
      </w:r>
      <w:r w:rsidR="00CE7000">
        <w:rPr>
          <w:color w:val="000000"/>
          <w:szCs w:val="22"/>
          <w:lang w:val="en-US"/>
        </w:rPr>
        <w:t>)</w:t>
      </w:r>
      <w:r w:rsidR="00B136DE">
        <w:rPr>
          <w:color w:val="000000"/>
          <w:szCs w:val="22"/>
          <w:lang w:val="en-US"/>
        </w:rPr>
        <w:t xml:space="preserve"> </w:t>
      </w:r>
      <w:r w:rsidRPr="0071577B">
        <w:rPr>
          <w:color w:val="000000"/>
          <w:szCs w:val="22"/>
          <w:lang w:val="en-US"/>
        </w:rPr>
        <w:t xml:space="preserve">and </w:t>
      </w:r>
      <w:r w:rsidRPr="0071577B">
        <w:rPr>
          <w:color w:val="000000"/>
          <w:szCs w:val="22"/>
          <w:lang w:val="en-US"/>
        </w:rPr>
        <w:lastRenderedPageBreak/>
        <w:t>seagrass meadows within the Great Barrier Reef lagoon do not conform to traditional ecosystem models because of the systems complexity (</w:t>
      </w:r>
      <w:hyperlink w:anchor="_ENREF_35" w:tooltip="Carruthers, 2002 #8021" w:history="1">
        <w:r w:rsidR="00E6043D">
          <w:rPr>
            <w:color w:val="000000"/>
            <w:szCs w:val="22"/>
            <w:lang w:val="en-US"/>
          </w:rPr>
          <w:fldChar w:fldCharType="begin"/>
        </w:r>
        <w:r w:rsidR="00E6043D">
          <w:rPr>
            <w:color w:val="000000"/>
            <w:szCs w:val="22"/>
            <w:lang w:val="en-US"/>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E6043D">
          <w:rPr>
            <w:color w:val="000000"/>
            <w:szCs w:val="22"/>
            <w:lang w:val="en-US"/>
          </w:rPr>
          <w:fldChar w:fldCharType="separate"/>
        </w:r>
        <w:r w:rsidR="00E6043D">
          <w:rPr>
            <w:noProof/>
            <w:color w:val="000000"/>
            <w:szCs w:val="22"/>
            <w:lang w:val="en-US"/>
          </w:rPr>
          <w:t>Carruthers</w:t>
        </w:r>
        <w:r w:rsidR="00E6043D" w:rsidRPr="00644A84">
          <w:rPr>
            <w:i/>
            <w:noProof/>
            <w:color w:val="000000"/>
            <w:szCs w:val="22"/>
            <w:lang w:val="en-US"/>
          </w:rPr>
          <w:t>, et al.</w:t>
        </w:r>
        <w:r w:rsidR="00E6043D">
          <w:rPr>
            <w:noProof/>
            <w:color w:val="000000"/>
            <w:szCs w:val="22"/>
            <w:lang w:val="en-US"/>
          </w:rPr>
          <w:t xml:space="preserve"> 2002</w:t>
        </w:r>
        <w:r w:rsidR="00E6043D">
          <w:rPr>
            <w:color w:val="000000"/>
            <w:szCs w:val="22"/>
            <w:lang w:val="en-US"/>
          </w:rPr>
          <w:fldChar w:fldCharType="end"/>
        </w:r>
      </w:hyperlink>
      <w:r w:rsidRPr="0071577B">
        <w:rPr>
          <w:color w:val="000000"/>
          <w:szCs w:val="22"/>
          <w:lang w:val="en-US"/>
        </w:rPr>
        <w:t xml:space="preserve">), </w:t>
      </w:r>
      <w:bookmarkStart w:id="40" w:name="OLE_LINK33"/>
      <w:r w:rsidRPr="0071577B">
        <w:rPr>
          <w:color w:val="000000"/>
          <w:szCs w:val="22"/>
          <w:lang w:val="en-US"/>
        </w:rPr>
        <w:t>including:</w:t>
      </w:r>
    </w:p>
    <w:p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 xml:space="preserve">a variety of habitat types (estuarine, coastal, reef and </w:t>
      </w:r>
      <w:proofErr w:type="spellStart"/>
      <w:r w:rsidRPr="0071577B">
        <w:rPr>
          <w:color w:val="000000"/>
          <w:szCs w:val="22"/>
        </w:rPr>
        <w:t>deepwater</w:t>
      </w:r>
      <w:proofErr w:type="spellEnd"/>
      <w:r w:rsidRPr="0071577B">
        <w:rPr>
          <w:color w:val="000000"/>
          <w:szCs w:val="22"/>
        </w:rPr>
        <w:t>);</w:t>
      </w:r>
    </w:p>
    <w:p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a large variety of seagrass species with differ</w:t>
      </w:r>
      <w:r>
        <w:rPr>
          <w:color w:val="000000"/>
          <w:szCs w:val="22"/>
        </w:rPr>
        <w:t>ing</w:t>
      </w:r>
      <w:r w:rsidRPr="0071577B">
        <w:rPr>
          <w:color w:val="000000"/>
          <w:szCs w:val="22"/>
        </w:rPr>
        <w:t xml:space="preserve"> life history traits and strategies;</w:t>
      </w:r>
    </w:p>
    <w:p w:rsidR="003D1F7F"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 xml:space="preserve">tidal </w:t>
      </w:r>
      <w:r>
        <w:rPr>
          <w:color w:val="000000"/>
          <w:szCs w:val="22"/>
        </w:rPr>
        <w:t>amplitudes</w:t>
      </w:r>
      <w:r w:rsidRPr="0071577B">
        <w:rPr>
          <w:color w:val="000000"/>
          <w:szCs w:val="22"/>
        </w:rPr>
        <w:t xml:space="preserve"> spanning 3.42m (Cairns) to </w:t>
      </w:r>
      <w:r>
        <w:rPr>
          <w:color w:val="000000"/>
          <w:szCs w:val="22"/>
        </w:rPr>
        <w:t>10.4</w:t>
      </w:r>
      <w:r w:rsidRPr="0071577B">
        <w:rPr>
          <w:color w:val="000000"/>
          <w:szCs w:val="22"/>
        </w:rPr>
        <w:t>m (</w:t>
      </w:r>
      <w:r>
        <w:rPr>
          <w:color w:val="000000"/>
          <w:szCs w:val="22"/>
        </w:rPr>
        <w:t>Broad Sound</w:t>
      </w:r>
      <w:r w:rsidRPr="0071577B">
        <w:rPr>
          <w:color w:val="000000"/>
          <w:szCs w:val="22"/>
        </w:rPr>
        <w:t>) (www.msq.qld.gov.au</w:t>
      </w:r>
      <w:r>
        <w:rPr>
          <w:color w:val="000000"/>
          <w:szCs w:val="22"/>
        </w:rPr>
        <w:t xml:space="preserve">; </w:t>
      </w:r>
      <w:hyperlink w:anchor="_ENREF_157" w:tooltip="Maxwell, 1968 #700" w:history="1">
        <w:r w:rsidR="00E6043D">
          <w:rPr>
            <w:color w:val="000000"/>
            <w:lang w:val="en-GB"/>
          </w:rPr>
          <w:fldChar w:fldCharType="begin"/>
        </w:r>
        <w:r w:rsidR="00E6043D">
          <w:rPr>
            <w:color w:val="000000"/>
            <w:lang w:val="en-GB"/>
          </w:rPr>
          <w:instrText xml:space="preserve"> ADDIN EN.CITE &lt;EndNote&gt;&lt;Cite&gt;&lt;Author&gt;Maxwell&lt;/Author&gt;&lt;Year&gt;1968&lt;/Year&gt;&lt;RecNum&gt;700&lt;/RecNum&gt;&lt;DisplayText&gt;Maxwell 1968&lt;/DisplayText&gt;&lt;record&gt;&lt;rec-number&gt;700&lt;/rec-number&gt;&lt;foreign-keys&gt;&lt;key app="EN" db-id="0eve55x9y5vfd6e9dacxtew4eatve2dzds9a"&gt;700&lt;/key&gt;&lt;/foreign-keys&gt;&lt;ref-type name="Book"&gt;6&lt;/ref-type&gt;&lt;contributors&gt;&lt;authors&gt;&lt;author&gt;Maxwell, W. G. H.&lt;/author&gt;&lt;/authors&gt;&lt;/contributors&gt;&lt;titles&gt;&lt;title&gt;Atlas of the Great Barrier Reef&lt;/title&gt;&lt;/titles&gt;&lt;pages&gt;258&lt;/pages&gt;&lt;keywords&gt;&lt;keyword&gt;GREAT BARRIER REEF&lt;/keyword&gt;&lt;keyword&gt;LEN&amp;apos;S REFERENCES&lt;/keyword&gt;&lt;keyword&gt;SEDIMENTS&lt;/keyword&gt;&lt;/keywords&gt;&lt;dates&gt;&lt;year&gt;1968&lt;/year&gt;&lt;/dates&gt;&lt;pub-location&gt;Amsterdam&lt;/pub-location&gt;&lt;publisher&gt;Elsevier Publishing Company&lt;/publisher&gt;&lt;label&gt;702&lt;/label&gt;&lt;urls&gt;&lt;/urls&gt;&lt;custom1&gt;Annex&lt;/custom1&gt;&lt;/record&gt;&lt;/Cite&gt;&lt;/EndNote&gt;</w:instrText>
        </w:r>
        <w:r w:rsidR="00E6043D">
          <w:rPr>
            <w:color w:val="000000"/>
            <w:lang w:val="en-GB"/>
          </w:rPr>
          <w:fldChar w:fldCharType="separate"/>
        </w:r>
        <w:r w:rsidR="00E6043D">
          <w:rPr>
            <w:noProof/>
            <w:color w:val="000000"/>
            <w:lang w:val="en-GB"/>
          </w:rPr>
          <w:t>Maxwell 1968</w:t>
        </w:r>
        <w:r w:rsidR="00E6043D">
          <w:rPr>
            <w:color w:val="000000"/>
            <w:lang w:val="en-GB"/>
          </w:rPr>
          <w:fldChar w:fldCharType="end"/>
        </w:r>
      </w:hyperlink>
      <w:r w:rsidRPr="0071577B">
        <w:rPr>
          <w:color w:val="000000"/>
          <w:szCs w:val="22"/>
        </w:rPr>
        <w:t>);</w:t>
      </w:r>
    </w:p>
    <w:p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 xml:space="preserve">a variety of </w:t>
      </w:r>
      <w:r>
        <w:rPr>
          <w:color w:val="000000"/>
          <w:szCs w:val="22"/>
        </w:rPr>
        <w:t xml:space="preserve">sediment </w:t>
      </w:r>
      <w:r w:rsidRPr="0071577B">
        <w:rPr>
          <w:color w:val="000000"/>
          <w:szCs w:val="22"/>
        </w:rPr>
        <w:t>substrates, from terrigenous with high organic content, to oligotrophic calcium carbonate;</w:t>
      </w:r>
    </w:p>
    <w:p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turbid nearshore to clearer offshore waters;</w:t>
      </w:r>
    </w:p>
    <w:p w:rsidR="003D1F7F" w:rsidRPr="0071577B" w:rsidRDefault="003D1F7F" w:rsidP="003D1F7F">
      <w:pPr>
        <w:numPr>
          <w:ilvl w:val="0"/>
          <w:numId w:val="2"/>
        </w:numPr>
        <w:tabs>
          <w:tab w:val="clear" w:pos="360"/>
          <w:tab w:val="num" w:pos="709"/>
        </w:tabs>
        <w:spacing w:before="0" w:after="0"/>
        <w:ind w:left="709" w:hanging="349"/>
        <w:rPr>
          <w:color w:val="000000"/>
          <w:szCs w:val="22"/>
        </w:rPr>
      </w:pPr>
      <w:r>
        <w:rPr>
          <w:color w:val="000000"/>
          <w:szCs w:val="22"/>
        </w:rPr>
        <w:t>grazing dugongs and sea turtles</w:t>
      </w:r>
      <w:r w:rsidRPr="0071577B">
        <w:rPr>
          <w:color w:val="000000"/>
          <w:szCs w:val="22"/>
        </w:rPr>
        <w:t xml:space="preserve"> influencing meadow community structure and landscapes;</w:t>
      </w:r>
    </w:p>
    <w:p w:rsidR="003D1F7F" w:rsidRPr="0071577B" w:rsidRDefault="003D1F7F" w:rsidP="003D1F7F">
      <w:pPr>
        <w:numPr>
          <w:ilvl w:val="0"/>
          <w:numId w:val="2"/>
        </w:numPr>
        <w:tabs>
          <w:tab w:val="clear" w:pos="360"/>
          <w:tab w:val="num" w:pos="709"/>
        </w:tabs>
        <w:spacing w:before="0" w:after="0"/>
        <w:ind w:left="709" w:hanging="349"/>
        <w:rPr>
          <w:color w:val="000000"/>
          <w:szCs w:val="22"/>
        </w:rPr>
      </w:pPr>
      <w:proofErr w:type="gramStart"/>
      <w:r w:rsidRPr="0071577B">
        <w:rPr>
          <w:color w:val="000000"/>
          <w:szCs w:val="22"/>
        </w:rPr>
        <w:t>near</w:t>
      </w:r>
      <w:proofErr w:type="gramEnd"/>
      <w:r w:rsidRPr="0071577B">
        <w:rPr>
          <w:color w:val="000000"/>
          <w:szCs w:val="22"/>
        </w:rPr>
        <w:t xml:space="preserve"> absence of shallow subtidal meadows south of the Whitsundays due to the large tides which scour the seabed.</w:t>
      </w:r>
    </w:p>
    <w:bookmarkEnd w:id="40"/>
    <w:p w:rsidR="003D1F7F" w:rsidRPr="0071577B" w:rsidRDefault="003D1F7F" w:rsidP="003D1F7F">
      <w:pPr>
        <w:spacing w:before="240"/>
        <w:rPr>
          <w:color w:val="000000"/>
          <w:szCs w:val="22"/>
          <w:lang w:val="en-US"/>
        </w:rPr>
      </w:pPr>
      <w:r w:rsidRPr="0071577B">
        <w:rPr>
          <w:color w:val="000000"/>
          <w:szCs w:val="22"/>
          <w:lang w:val="en-US"/>
        </w:rPr>
        <w:t xml:space="preserve">Subtidal meadows across the GBR are predominately dominated by </w:t>
      </w:r>
      <w:proofErr w:type="spellStart"/>
      <w:r w:rsidRPr="0071577B">
        <w:rPr>
          <w:i/>
          <w:color w:val="000000"/>
          <w:szCs w:val="22"/>
          <w:lang w:val="en-US"/>
        </w:rPr>
        <w:t>Halophila</w:t>
      </w:r>
      <w:proofErr w:type="spellEnd"/>
      <w:r w:rsidRPr="0071577B">
        <w:rPr>
          <w:color w:val="000000"/>
          <w:szCs w:val="22"/>
          <w:lang w:val="en-US"/>
        </w:rPr>
        <w:t xml:space="preserve"> species and are highly variable in abundance and distribution (</w:t>
      </w:r>
      <w:hyperlink w:anchor="_ENREF_142" w:tooltip="Lee Long, 2000 #5782" w:history="1">
        <w:r w:rsidR="00E6043D">
          <w:rPr>
            <w:color w:val="000000"/>
            <w:szCs w:val="22"/>
            <w:lang w:val="en-US"/>
          </w:rPr>
          <w:fldChar w:fldCharType="begin"/>
        </w:r>
        <w:r w:rsidR="00E6043D">
          <w:rPr>
            <w:color w:val="000000"/>
            <w:szCs w:val="22"/>
            <w:lang w:val="en-US"/>
          </w:rPr>
          <w:instrText xml:space="preserve"> ADDIN EN.CITE &lt;EndNote&gt;&lt;Cite&gt;&lt;Author&gt;Lee Long&lt;/Author&gt;&lt;Year&gt;2000&lt;/Year&gt;&lt;RecNum&gt;5782&lt;/RecNum&gt;&lt;DisplayText&gt;Lee Long&lt;style face="italic"&gt; et al.&lt;/style&gt; 2000&lt;/DisplayText&gt;&lt;record&gt;&lt;rec-number&gt;5782&lt;/rec-number&gt;&lt;foreign-keys&gt;&lt;key app="EN" db-id="0eve55x9y5vfd6e9dacxtew4eatve2dzds9a"&gt;5782&lt;/key&gt;&lt;/foreign-keys&gt;&lt;ref-type name="Journal Article"&gt;17&lt;/ref-type&gt;&lt;contributors&gt;&lt;authors&gt;&lt;author&gt;Lee Long, Warren J&lt;/author&gt;&lt;author&gt;Coles, Robert G&lt;/author&gt;&lt;author&gt;McKenzie, Len J&lt;/author&gt;&lt;/authors&gt;&lt;/contributors&gt;&lt;titles&gt;&lt;title&gt;Issues for Seagrass conservation management in Queensland&lt;/title&gt;&lt;secondary-title&gt;Pacific Conservation Biology&lt;/secondary-title&gt;&lt;/titles&gt;&lt;periodical&gt;&lt;full-title&gt;Pacific Conservation Biology&lt;/full-title&gt;&lt;/periodical&gt;&lt;pages&gt;321-328&lt;/pages&gt;&lt;volume&gt;5&lt;/volume&gt;&lt;number&gt;4&lt;/number&gt;&lt;dates&gt;&lt;year&gt;2000&lt;/year&gt;&lt;/dates&gt;&lt;urls&gt;&lt;/urls&gt;&lt;/record&gt;&lt;/Cite&gt;&lt;/EndNote&gt;</w:instrText>
        </w:r>
        <w:r w:rsidR="00E6043D">
          <w:rPr>
            <w:color w:val="000000"/>
            <w:szCs w:val="22"/>
            <w:lang w:val="en-US"/>
          </w:rPr>
          <w:fldChar w:fldCharType="separate"/>
        </w:r>
        <w:r w:rsidR="00E6043D">
          <w:rPr>
            <w:noProof/>
            <w:color w:val="000000"/>
            <w:szCs w:val="22"/>
            <w:lang w:val="en-US"/>
          </w:rPr>
          <w:t>Lee Long</w:t>
        </w:r>
        <w:r w:rsidR="00E6043D" w:rsidRPr="00644A84">
          <w:rPr>
            <w:i/>
            <w:noProof/>
            <w:color w:val="000000"/>
            <w:szCs w:val="22"/>
            <w:lang w:val="en-US"/>
          </w:rPr>
          <w:t xml:space="preserve"> et al.</w:t>
        </w:r>
        <w:r w:rsidR="00E6043D">
          <w:rPr>
            <w:noProof/>
            <w:color w:val="000000"/>
            <w:szCs w:val="22"/>
            <w:lang w:val="en-US"/>
          </w:rPr>
          <w:t xml:space="preserve"> 2000</w:t>
        </w:r>
        <w:r w:rsidR="00E6043D">
          <w:rPr>
            <w:color w:val="000000"/>
            <w:szCs w:val="22"/>
            <w:lang w:val="en-US"/>
          </w:rPr>
          <w:fldChar w:fldCharType="end"/>
        </w:r>
      </w:hyperlink>
      <w:r w:rsidRPr="0071577B">
        <w:rPr>
          <w:color w:val="000000"/>
          <w:szCs w:val="22"/>
          <w:lang w:val="en-US"/>
        </w:rPr>
        <w:t>). Due to this high variability they are generally not recommended for monitoring as the MDD is very poor at the 5% level of significance with 80% power (</w:t>
      </w:r>
      <w:hyperlink w:anchor="_ENREF_172" w:tooltip="McKenzie, 1998 #6844" w:history="1">
        <w:r w:rsidR="00E6043D">
          <w:rPr>
            <w:color w:val="000000"/>
            <w:szCs w:val="22"/>
            <w:lang w:val="en-US"/>
          </w:rPr>
          <w:fldChar w:fldCharType="begin"/>
        </w:r>
        <w:r w:rsidR="00E6043D">
          <w:rPr>
            <w:color w:val="000000"/>
            <w:szCs w:val="22"/>
            <w:lang w:val="en-US"/>
          </w:rPr>
          <w:instrText xml:space="preserve"> ADDIN EN.CITE &lt;EndNote&gt;&lt;Cite&gt;&lt;Author&gt;McKenzie&lt;/Author&gt;&lt;Year&gt;1998&lt;/Year&gt;&lt;RecNum&gt;6844&lt;/RecNum&gt;&lt;DisplayText&gt;McKenzie&lt;style face="italic"&gt; et al.&lt;/style&gt; 1998&lt;/DisplayText&gt;&lt;record&gt;&lt;rec-number&gt;6844&lt;/rec-number&gt;&lt;foreign-keys&gt;&lt;key app="EN" db-id="0eve55x9y5vfd6e9dacxtew4eatve2dzds9a"&gt;6844&lt;/key&gt;&lt;/foreign-keys&gt;&lt;ref-type name="Book"&gt;6&lt;/ref-type&gt;&lt;contributors&gt;&lt;authors&gt;&lt;author&gt;McKenzie, Len J&lt;/author&gt;&lt;author&gt;Lee Long, W. J.&lt;/author&gt;&lt;author&gt;Roelofs, A&lt;/author&gt;&lt;author&gt;Roder, C A&lt;/author&gt;&lt;author&gt;Coles, R&lt;/author&gt;&lt;/authors&gt;&lt;/contributors&gt;&lt;titles&gt;&lt;title&gt;Port of Mourilyin seagrass monitoring - first four years. EcoPorts Monograph Serie No. 15.&lt;/title&gt;&lt;/titles&gt;&lt;pages&gt;30&lt;/pages&gt;&lt;dates&gt;&lt;year&gt;1998&lt;/year&gt;&lt;/dates&gt;&lt;pub-location&gt;Brisbane&lt;/pub-location&gt;&lt;publisher&gt;Ports Corporation of Queensland&lt;/publisher&gt;&lt;urls&gt;&lt;/urls&gt;&lt;/record&gt;&lt;/Cite&gt;&lt;/EndNote&gt;</w:instrText>
        </w:r>
        <w:r w:rsidR="00E6043D">
          <w:rPr>
            <w:color w:val="000000"/>
            <w:szCs w:val="22"/>
            <w:lang w:val="en-US"/>
          </w:rPr>
          <w:fldChar w:fldCharType="separate"/>
        </w:r>
        <w:r w:rsidR="00E6043D">
          <w:rPr>
            <w:noProof/>
            <w:color w:val="000000"/>
            <w:szCs w:val="22"/>
            <w:lang w:val="en-US"/>
          </w:rPr>
          <w:t>McKenzie</w:t>
        </w:r>
        <w:r w:rsidR="00E6043D" w:rsidRPr="00644A84">
          <w:rPr>
            <w:i/>
            <w:noProof/>
            <w:color w:val="000000"/>
            <w:szCs w:val="22"/>
            <w:lang w:val="en-US"/>
          </w:rPr>
          <w:t xml:space="preserve"> et al.</w:t>
        </w:r>
        <w:r w:rsidR="00E6043D">
          <w:rPr>
            <w:noProof/>
            <w:color w:val="000000"/>
            <w:szCs w:val="22"/>
            <w:lang w:val="en-US"/>
          </w:rPr>
          <w:t xml:space="preserve"> 1998</w:t>
        </w:r>
        <w:r w:rsidR="00E6043D">
          <w:rPr>
            <w:color w:val="000000"/>
            <w:szCs w:val="22"/>
            <w:lang w:val="en-US"/>
          </w:rPr>
          <w:fldChar w:fldCharType="end"/>
        </w:r>
      </w:hyperlink>
      <w:r w:rsidRPr="0071577B">
        <w:rPr>
          <w:color w:val="000000"/>
          <w:szCs w:val="22"/>
          <w:lang w:val="en-US"/>
        </w:rPr>
        <w:t xml:space="preserve">). Predominately stable lower littoral meadows of foundation species (e.g., </w:t>
      </w:r>
      <w:proofErr w:type="spellStart"/>
      <w:r w:rsidRPr="0071577B">
        <w:rPr>
          <w:i/>
          <w:color w:val="000000"/>
          <w:szCs w:val="22"/>
          <w:lang w:val="en-US"/>
        </w:rPr>
        <w:t>Zostera</w:t>
      </w:r>
      <w:proofErr w:type="spellEnd"/>
      <w:r w:rsidRPr="0071577B">
        <w:rPr>
          <w:color w:val="000000"/>
          <w:szCs w:val="22"/>
          <w:lang w:val="en-US"/>
        </w:rPr>
        <w:t xml:space="preserve">) are best for determining significant change/impact (McKenzie </w:t>
      </w:r>
      <w:r w:rsidRPr="0071577B">
        <w:rPr>
          <w:i/>
          <w:color w:val="000000"/>
          <w:szCs w:val="22"/>
          <w:lang w:val="en-US"/>
        </w:rPr>
        <w:t>et al.</w:t>
      </w:r>
      <w:r w:rsidRPr="0071577B">
        <w:rPr>
          <w:color w:val="000000"/>
          <w:szCs w:val="22"/>
          <w:lang w:val="en-US"/>
        </w:rPr>
        <w:t xml:space="preserve"> 1998). Neverthe</w:t>
      </w:r>
      <w:r w:rsidR="00206A72">
        <w:rPr>
          <w:color w:val="000000"/>
          <w:szCs w:val="22"/>
          <w:lang w:val="en-US"/>
        </w:rPr>
        <w:t>less, where possible, shallow (&gt;</w:t>
      </w:r>
      <w:r w:rsidRPr="0071577B">
        <w:rPr>
          <w:color w:val="000000"/>
          <w:szCs w:val="22"/>
          <w:lang w:val="en-US"/>
        </w:rPr>
        <w:t>1.5m below Lowest Astronomical Tide) subtidal monitoring has been conducted since October 2009 at locations in the Burdekin and Wet Tropics regions. These sites were chosen as they were dominated by species similar to adjacent lower littoral meadows.</w:t>
      </w:r>
    </w:p>
    <w:p w:rsidR="003D1F7F" w:rsidRPr="0071577B" w:rsidRDefault="003D1F7F" w:rsidP="003D1F7F">
      <w:pPr>
        <w:rPr>
          <w:color w:val="000000"/>
          <w:szCs w:val="22"/>
        </w:rPr>
      </w:pPr>
      <w:r w:rsidRPr="0071577B">
        <w:rPr>
          <w:color w:val="000000"/>
          <w:szCs w:val="22"/>
          <w:lang w:val="en-US"/>
        </w:rPr>
        <w:t>Due to the high diversity of seagrass species across the GBR, it was decided in consultation with GBRMPA to direct monitoring toward the foundation seagrass species across the seagrass habitats</w:t>
      </w:r>
      <w:r w:rsidR="004902B0">
        <w:rPr>
          <w:color w:val="000000"/>
          <w:szCs w:val="22"/>
          <w:lang w:val="en-US"/>
        </w:rPr>
        <w:t xml:space="preserve"> (</w:t>
      </w:r>
      <w:r w:rsidR="004902B0">
        <w:rPr>
          <w:color w:val="000000"/>
          <w:szCs w:val="22"/>
          <w:lang w:val="en-US"/>
        </w:rPr>
        <w:fldChar w:fldCharType="begin"/>
      </w:r>
      <w:r w:rsidR="004902B0">
        <w:rPr>
          <w:color w:val="000000"/>
          <w:szCs w:val="22"/>
          <w:lang w:val="en-US"/>
        </w:rPr>
        <w:instrText xml:space="preserve"> REF _Ref236539751 \h </w:instrText>
      </w:r>
      <w:r w:rsidR="004902B0">
        <w:rPr>
          <w:color w:val="000000"/>
          <w:szCs w:val="22"/>
          <w:lang w:val="en-US"/>
        </w:rPr>
      </w:r>
      <w:r w:rsidR="004902B0">
        <w:rPr>
          <w:color w:val="000000"/>
          <w:szCs w:val="22"/>
          <w:lang w:val="en-US"/>
        </w:rPr>
        <w:fldChar w:fldCharType="separate"/>
      </w:r>
      <w:r w:rsidR="009C068F" w:rsidRPr="00015190">
        <w:rPr>
          <w:color w:val="000000"/>
          <w:szCs w:val="22"/>
        </w:rPr>
        <w:t xml:space="preserve">Table </w:t>
      </w:r>
      <w:r w:rsidR="009C068F">
        <w:rPr>
          <w:noProof/>
          <w:color w:val="000000"/>
          <w:szCs w:val="22"/>
        </w:rPr>
        <w:t>3</w:t>
      </w:r>
      <w:r w:rsidR="004902B0">
        <w:rPr>
          <w:color w:val="000000"/>
          <w:szCs w:val="22"/>
          <w:lang w:val="en-US"/>
        </w:rPr>
        <w:fldChar w:fldCharType="end"/>
      </w:r>
      <w:r w:rsidR="004902B0">
        <w:rPr>
          <w:color w:val="000000"/>
          <w:szCs w:val="22"/>
          <w:lang w:val="en-US"/>
        </w:rPr>
        <w:t>)</w:t>
      </w:r>
      <w:r w:rsidRPr="0071577B">
        <w:rPr>
          <w:color w:val="000000"/>
          <w:szCs w:val="22"/>
          <w:lang w:val="en-US"/>
        </w:rPr>
        <w:t>. A foundation species is the dominant primary producer in an ecosystem both in terms of abundance and influence, playing central roles in sustaining ecosystem services (</w:t>
      </w:r>
      <w:hyperlink w:anchor="_ENREF_4" w:tooltip="Angelini, 2011 #9077" w:history="1">
        <w:r w:rsidR="00E6043D">
          <w:rPr>
            <w:color w:val="000000"/>
            <w:szCs w:val="22"/>
            <w:lang w:val="en-US"/>
          </w:rPr>
          <w:fldChar w:fldCharType="begin"/>
        </w:r>
        <w:r w:rsidR="00E6043D">
          <w:rPr>
            <w:color w:val="000000"/>
            <w:szCs w:val="22"/>
            <w:lang w:val="en-US"/>
          </w:rPr>
          <w:instrText xml:space="preserve"> ADDIN EN.CITE &lt;EndNote&gt;&lt;Cite&gt;&lt;Author&gt;Angelini&lt;/Author&gt;&lt;Year&gt;2011&lt;/Year&gt;&lt;RecNum&gt;9077&lt;/RecNum&gt;&lt;DisplayText&gt;Angelini&lt;style face="italic"&gt; et al.&lt;/style&gt; 2011&lt;/DisplayText&gt;&lt;record&gt;&lt;rec-number&gt;9077&lt;/rec-number&gt;&lt;foreign-keys&gt;&lt;key app="EN" db-id="0eve55x9y5vfd6e9dacxtew4eatve2dzds9a"&gt;9077&lt;/key&gt;&lt;/foreign-keys&gt;&lt;ref-type name="Journal Article"&gt;17&lt;/ref-type&gt;&lt;contributors&gt;&lt;authors&gt;&lt;author&gt;Angelini, Christine &lt;/author&gt;&lt;author&gt;Altieri, Andrew H. &lt;/author&gt;&lt;author&gt;Silliman, Brian R.&lt;/author&gt;&lt;author&gt;Bertness, Mark D. &lt;/author&gt;&lt;/authors&gt;&lt;/contributors&gt;&lt;titles&gt;&lt;title&gt;Interactions among Foundation Species and their Consequences for Community Organization, Biodiversity, and Conservation&lt;/title&gt;&lt;secondary-title&gt;BioScience&lt;/secondary-title&gt;&lt;/titles&gt;&lt;periodical&gt;&lt;full-title&gt;BioScience&lt;/full-title&gt;&lt;/periodical&gt;&lt;pages&gt;782-789&lt;/pages&gt;&lt;volume&gt;61&lt;/volume&gt;&lt;number&gt;10&lt;/number&gt;&lt;dates&gt;&lt;year&gt;2011&lt;/year&gt;&lt;/dates&gt;&lt;urls&gt;&lt;/urls&gt;&lt;/record&gt;&lt;/Cite&gt;&lt;/EndNote&gt;</w:instrText>
        </w:r>
        <w:r w:rsidR="00E6043D">
          <w:rPr>
            <w:color w:val="000000"/>
            <w:szCs w:val="22"/>
            <w:lang w:val="en-US"/>
          </w:rPr>
          <w:fldChar w:fldCharType="separate"/>
        </w:r>
        <w:r w:rsidR="00E6043D">
          <w:rPr>
            <w:noProof/>
            <w:color w:val="000000"/>
            <w:szCs w:val="22"/>
            <w:lang w:val="en-US"/>
          </w:rPr>
          <w:t>Angelini</w:t>
        </w:r>
        <w:r w:rsidR="00E6043D" w:rsidRPr="00644A84">
          <w:rPr>
            <w:i/>
            <w:noProof/>
            <w:color w:val="000000"/>
            <w:szCs w:val="22"/>
            <w:lang w:val="en-US"/>
          </w:rPr>
          <w:t xml:space="preserve"> et al.</w:t>
        </w:r>
        <w:r w:rsidR="00E6043D">
          <w:rPr>
            <w:noProof/>
            <w:color w:val="000000"/>
            <w:szCs w:val="22"/>
            <w:lang w:val="en-US"/>
          </w:rPr>
          <w:t xml:space="preserve"> 2011</w:t>
        </w:r>
        <w:r w:rsidR="00E6043D">
          <w:rPr>
            <w:color w:val="000000"/>
            <w:szCs w:val="22"/>
            <w:lang w:val="en-US"/>
          </w:rPr>
          <w:fldChar w:fldCharType="end"/>
        </w:r>
      </w:hyperlink>
      <w:r w:rsidRPr="0071577B">
        <w:rPr>
          <w:color w:val="000000"/>
          <w:szCs w:val="22"/>
          <w:lang w:val="en-US"/>
        </w:rPr>
        <w:t xml:space="preserve">). The activities of foundation species physically modify the environment and produce and maintain habitats that benefit other organisms that use those habitats. For the seagrass habitats assessed in the MMP, the foundation seagrass species were those species which typified the habitats both in </w:t>
      </w:r>
      <w:r w:rsidRPr="00606051">
        <w:rPr>
          <w:color w:val="000000"/>
          <w:szCs w:val="22"/>
          <w:lang w:val="en-US"/>
        </w:rPr>
        <w:t>abundance and structure when the meadow was considered in its steady state</w:t>
      </w:r>
      <w:r w:rsidR="005918BE">
        <w:rPr>
          <w:color w:val="000000"/>
          <w:szCs w:val="22"/>
          <w:lang w:val="en-US"/>
        </w:rPr>
        <w:t xml:space="preserve"> (opportunistic or persistent)</w:t>
      </w:r>
      <w:r w:rsidRPr="00606051">
        <w:rPr>
          <w:color w:val="000000"/>
          <w:szCs w:val="22"/>
          <w:lang w:val="en-US"/>
        </w:rPr>
        <w:t xml:space="preserve"> (</w:t>
      </w:r>
      <w:hyperlink w:anchor="_ENREF_133" w:tooltip="Kilminster, 2015 #10294" w:history="1">
        <w:r w:rsidR="00E6043D">
          <w:rPr>
            <w:color w:val="000000"/>
            <w:szCs w:val="22"/>
            <w:lang w:val="en-US"/>
          </w:rPr>
          <w:fldChar w:fldCharType="begin"/>
        </w:r>
        <w:r w:rsidR="00E6043D">
          <w:rPr>
            <w:color w:val="000000"/>
            <w:szCs w:val="22"/>
            <w:lang w:val="en-US"/>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E6043D">
          <w:rPr>
            <w:color w:val="000000"/>
            <w:szCs w:val="22"/>
            <w:lang w:val="en-US"/>
          </w:rPr>
          <w:fldChar w:fldCharType="separate"/>
        </w:r>
        <w:r w:rsidR="00E6043D">
          <w:rPr>
            <w:noProof/>
            <w:color w:val="000000"/>
            <w:szCs w:val="22"/>
            <w:lang w:val="en-US"/>
          </w:rPr>
          <w:t>Kilminster</w:t>
        </w:r>
        <w:r w:rsidR="00E6043D" w:rsidRPr="00644A84">
          <w:rPr>
            <w:i/>
            <w:noProof/>
            <w:color w:val="000000"/>
            <w:szCs w:val="22"/>
            <w:lang w:val="en-US"/>
          </w:rPr>
          <w:t xml:space="preserve"> et al.</w:t>
        </w:r>
        <w:r w:rsidR="00E6043D">
          <w:rPr>
            <w:noProof/>
            <w:color w:val="000000"/>
            <w:szCs w:val="22"/>
            <w:lang w:val="en-US"/>
          </w:rPr>
          <w:t xml:space="preserve"> 2015</w:t>
        </w:r>
        <w:r w:rsidR="00E6043D">
          <w:rPr>
            <w:color w:val="000000"/>
            <w:szCs w:val="22"/>
            <w:lang w:val="en-US"/>
          </w:rPr>
          <w:fldChar w:fldCharType="end"/>
        </w:r>
      </w:hyperlink>
      <w:r w:rsidRPr="00606051">
        <w:rPr>
          <w:color w:val="000000"/>
          <w:szCs w:val="22"/>
          <w:lang w:val="en-US"/>
        </w:rPr>
        <w:t xml:space="preserve">). The </w:t>
      </w:r>
      <w:r w:rsidRPr="00606051">
        <w:rPr>
          <w:color w:val="000000"/>
          <w:szCs w:val="22"/>
        </w:rPr>
        <w:t xml:space="preserve">foundation species were all di-meristematic leaf-replacing forms </w:t>
      </w:r>
      <w:r w:rsidR="004902B0">
        <w:rPr>
          <w:color w:val="000000"/>
          <w:szCs w:val="22"/>
        </w:rPr>
        <w:t xml:space="preserve">from the following families: </w:t>
      </w:r>
      <w:proofErr w:type="spellStart"/>
      <w:r w:rsidR="004902B0" w:rsidRPr="004902B0">
        <w:rPr>
          <w:i/>
          <w:color w:val="000000"/>
          <w:szCs w:val="22"/>
        </w:rPr>
        <w:t>Cymodocea</w:t>
      </w:r>
      <w:proofErr w:type="spellEnd"/>
      <w:r w:rsidR="004902B0" w:rsidRPr="004902B0">
        <w:rPr>
          <w:i/>
          <w:color w:val="000000"/>
          <w:szCs w:val="22"/>
        </w:rPr>
        <w:t xml:space="preserve">, </w:t>
      </w:r>
      <w:proofErr w:type="spellStart"/>
      <w:r w:rsidR="004902B0" w:rsidRPr="004902B0">
        <w:rPr>
          <w:i/>
          <w:color w:val="000000"/>
          <w:szCs w:val="22"/>
        </w:rPr>
        <w:t>Enhalus</w:t>
      </w:r>
      <w:proofErr w:type="spellEnd"/>
      <w:r w:rsidR="004902B0" w:rsidRPr="004902B0">
        <w:rPr>
          <w:i/>
          <w:color w:val="000000"/>
          <w:szCs w:val="22"/>
        </w:rPr>
        <w:t xml:space="preserve">, </w:t>
      </w:r>
      <w:proofErr w:type="spellStart"/>
      <w:r w:rsidR="004902B0" w:rsidRPr="004902B0">
        <w:rPr>
          <w:i/>
          <w:color w:val="000000"/>
          <w:szCs w:val="22"/>
        </w:rPr>
        <w:t>Halodule</w:t>
      </w:r>
      <w:proofErr w:type="spellEnd"/>
      <w:r w:rsidR="004902B0" w:rsidRPr="004902B0">
        <w:rPr>
          <w:i/>
          <w:color w:val="000000"/>
          <w:szCs w:val="22"/>
        </w:rPr>
        <w:t xml:space="preserve">, </w:t>
      </w:r>
      <w:proofErr w:type="spellStart"/>
      <w:r w:rsidR="004902B0" w:rsidRPr="004902B0">
        <w:rPr>
          <w:i/>
          <w:color w:val="000000"/>
          <w:szCs w:val="22"/>
        </w:rPr>
        <w:t>Thalassia</w:t>
      </w:r>
      <w:proofErr w:type="spellEnd"/>
      <w:r w:rsidR="004902B0">
        <w:rPr>
          <w:color w:val="000000"/>
          <w:szCs w:val="22"/>
        </w:rPr>
        <w:t xml:space="preserve"> and </w:t>
      </w:r>
      <w:proofErr w:type="spellStart"/>
      <w:r w:rsidR="004902B0" w:rsidRPr="004902B0">
        <w:rPr>
          <w:i/>
          <w:color w:val="000000"/>
          <w:szCs w:val="22"/>
        </w:rPr>
        <w:t>Zostera</w:t>
      </w:r>
      <w:proofErr w:type="spellEnd"/>
      <w:r w:rsidR="004902B0">
        <w:rPr>
          <w:color w:val="000000"/>
          <w:szCs w:val="22"/>
        </w:rPr>
        <w:t xml:space="preserve"> </w:t>
      </w:r>
      <w:r w:rsidRPr="00606051">
        <w:rPr>
          <w:color w:val="000000"/>
          <w:szCs w:val="22"/>
        </w:rPr>
        <w:t>(</w:t>
      </w:r>
      <w:r w:rsidR="00EB19B4">
        <w:rPr>
          <w:color w:val="0000FF"/>
          <w:szCs w:val="22"/>
        </w:rPr>
        <w:fldChar w:fldCharType="begin"/>
      </w:r>
      <w:r w:rsidR="00EB19B4">
        <w:rPr>
          <w:color w:val="000000"/>
          <w:szCs w:val="22"/>
        </w:rPr>
        <w:instrText xml:space="preserve"> REF _Ref236539751 \h </w:instrText>
      </w:r>
      <w:r w:rsidR="00EB19B4">
        <w:rPr>
          <w:color w:val="0000FF"/>
          <w:szCs w:val="22"/>
        </w:rPr>
      </w:r>
      <w:r w:rsidR="00EB19B4">
        <w:rPr>
          <w:color w:val="0000FF"/>
          <w:szCs w:val="22"/>
        </w:rPr>
        <w:fldChar w:fldCharType="separate"/>
      </w:r>
      <w:r w:rsidR="009C068F" w:rsidRPr="00015190">
        <w:rPr>
          <w:color w:val="000000"/>
          <w:szCs w:val="22"/>
        </w:rPr>
        <w:t xml:space="preserve">Table </w:t>
      </w:r>
      <w:r w:rsidR="009C068F">
        <w:rPr>
          <w:noProof/>
          <w:color w:val="000000"/>
          <w:szCs w:val="22"/>
        </w:rPr>
        <w:t>3</w:t>
      </w:r>
      <w:r w:rsidR="00EB19B4">
        <w:rPr>
          <w:color w:val="0000FF"/>
          <w:szCs w:val="22"/>
        </w:rPr>
        <w:fldChar w:fldCharType="end"/>
      </w:r>
      <w:r w:rsidRPr="00606051">
        <w:rPr>
          <w:color w:val="000000"/>
          <w:szCs w:val="22"/>
        </w:rPr>
        <w:t>).</w:t>
      </w:r>
    </w:p>
    <w:p w:rsidR="003D1F7F" w:rsidRPr="0071577B" w:rsidRDefault="003D1F7F" w:rsidP="003D1F7F">
      <w:pPr>
        <w:spacing w:before="240"/>
        <w:rPr>
          <w:color w:val="000000"/>
          <w:szCs w:val="22"/>
        </w:rPr>
      </w:pPr>
      <w:r w:rsidRPr="0071577B">
        <w:rPr>
          <w:color w:val="000000"/>
          <w:szCs w:val="22"/>
          <w:lang w:val="en-US"/>
        </w:rPr>
        <w:t xml:space="preserve">The timing of the monitoring within the MMP was decided by the GBRMPA, using advice from expert working groups. As the major period of runoff from catchments and agricultural lands was the tropical wet season/monsoon (December to April), </w:t>
      </w:r>
      <w:r w:rsidRPr="0071577B">
        <w:rPr>
          <w:color w:val="000000"/>
          <w:szCs w:val="22"/>
        </w:rPr>
        <w:t xml:space="preserve">monitoring was focussed on the late dry (growing) season and late wet season to capture the </w:t>
      </w:r>
      <w:r w:rsidR="00A1555C">
        <w:rPr>
          <w:color w:val="000000"/>
          <w:szCs w:val="22"/>
        </w:rPr>
        <w:t>condition</w:t>
      </w:r>
      <w:r w:rsidRPr="0071577B">
        <w:rPr>
          <w:color w:val="000000"/>
          <w:szCs w:val="22"/>
        </w:rPr>
        <w:t xml:space="preserve"> of seagrass pr</w:t>
      </w:r>
      <w:r>
        <w:rPr>
          <w:color w:val="000000"/>
          <w:szCs w:val="22"/>
        </w:rPr>
        <w:t>e</w:t>
      </w:r>
      <w:r w:rsidRPr="0071577B">
        <w:rPr>
          <w:color w:val="000000"/>
          <w:szCs w:val="22"/>
        </w:rPr>
        <w:t xml:space="preserve"> and post wet.</w:t>
      </w:r>
    </w:p>
    <w:p w:rsidR="004902B0" w:rsidRDefault="003D1F7F" w:rsidP="004902B0">
      <w:pPr>
        <w:spacing w:before="240"/>
        <w:rPr>
          <w:color w:val="000000"/>
          <w:szCs w:val="22"/>
        </w:rPr>
      </w:pPr>
      <w:r w:rsidRPr="00177611">
        <w:rPr>
          <w:color w:val="000000"/>
          <w:szCs w:val="22"/>
          <w:lang w:val="en-US"/>
        </w:rPr>
        <w:t xml:space="preserve">Seagrass monitoring methods were conducted as per McKenzie </w:t>
      </w:r>
      <w:r w:rsidRPr="00177611">
        <w:rPr>
          <w:i/>
          <w:color w:val="000000"/>
          <w:szCs w:val="22"/>
          <w:lang w:val="en-US"/>
        </w:rPr>
        <w:t xml:space="preserve">et al. </w:t>
      </w:r>
      <w:r w:rsidRPr="00177611">
        <w:rPr>
          <w:color w:val="000000"/>
          <w:szCs w:val="22"/>
          <w:lang w:val="en-US"/>
        </w:rPr>
        <w:t xml:space="preserve">(2010). </w:t>
      </w:r>
      <w:r w:rsidRPr="00177611">
        <w:rPr>
          <w:color w:val="000000"/>
          <w:szCs w:val="22"/>
        </w:rPr>
        <w:t xml:space="preserve">Forty five sites </w:t>
      </w:r>
      <w:r>
        <w:rPr>
          <w:color w:val="000000"/>
          <w:szCs w:val="22"/>
        </w:rPr>
        <w:t xml:space="preserve">at 21 locations </w:t>
      </w:r>
      <w:r w:rsidRPr="00177611">
        <w:rPr>
          <w:color w:val="000000"/>
          <w:szCs w:val="22"/>
        </w:rPr>
        <w:t xml:space="preserve">were monitored during the </w:t>
      </w:r>
      <w:r>
        <w:rPr>
          <w:color w:val="000000"/>
          <w:szCs w:val="22"/>
        </w:rPr>
        <w:t>201</w:t>
      </w:r>
      <w:r w:rsidR="00C815FB">
        <w:rPr>
          <w:color w:val="000000"/>
          <w:szCs w:val="22"/>
        </w:rPr>
        <w:t>4</w:t>
      </w:r>
      <w:r>
        <w:rPr>
          <w:color w:val="000000"/>
          <w:szCs w:val="22"/>
        </w:rPr>
        <w:t>-1</w:t>
      </w:r>
      <w:r w:rsidR="00C815FB">
        <w:rPr>
          <w:color w:val="000000"/>
          <w:szCs w:val="22"/>
        </w:rPr>
        <w:t>5</w:t>
      </w:r>
      <w:r w:rsidRPr="00177611">
        <w:rPr>
          <w:color w:val="000000"/>
          <w:szCs w:val="22"/>
        </w:rPr>
        <w:t xml:space="preserve"> monitoring period (</w:t>
      </w:r>
      <w:r w:rsidRPr="00177611">
        <w:rPr>
          <w:color w:val="000000"/>
        </w:rPr>
        <w:fldChar w:fldCharType="begin"/>
      </w:r>
      <w:r w:rsidRPr="00177611">
        <w:rPr>
          <w:color w:val="000000"/>
        </w:rPr>
        <w:instrText xml:space="preserve"> REF _Ref236539751 \h  \* MERGEFORMAT </w:instrText>
      </w:r>
      <w:r w:rsidRPr="00177611">
        <w:rPr>
          <w:color w:val="000000"/>
        </w:rPr>
      </w:r>
      <w:r w:rsidRPr="00177611">
        <w:rPr>
          <w:color w:val="000000"/>
        </w:rPr>
        <w:fldChar w:fldCharType="separate"/>
      </w:r>
      <w:r w:rsidR="009C068F" w:rsidRPr="00015190">
        <w:rPr>
          <w:color w:val="000000"/>
          <w:szCs w:val="22"/>
        </w:rPr>
        <w:t xml:space="preserve">Table </w:t>
      </w:r>
      <w:r w:rsidR="009C068F">
        <w:rPr>
          <w:noProof/>
          <w:color w:val="000000"/>
          <w:szCs w:val="22"/>
        </w:rPr>
        <w:t>3</w:t>
      </w:r>
      <w:r w:rsidRPr="00177611">
        <w:rPr>
          <w:color w:val="000000"/>
        </w:rPr>
        <w:fldChar w:fldCharType="end"/>
      </w:r>
      <w:r w:rsidRPr="00177611">
        <w:rPr>
          <w:color w:val="000000"/>
          <w:szCs w:val="22"/>
        </w:rPr>
        <w:t>). This included eight coastal, four estuarine and nine reef locations (i.e. two-three sites at each location). At the reef locations in the Burdekin and Wet Tropics, intertidal sites were paired with a subtidal site (</w:t>
      </w:r>
      <w:r w:rsidRPr="00177611">
        <w:rPr>
          <w:color w:val="000000"/>
        </w:rPr>
        <w:fldChar w:fldCharType="begin"/>
      </w:r>
      <w:r w:rsidRPr="00177611">
        <w:rPr>
          <w:color w:val="000000"/>
        </w:rPr>
        <w:instrText xml:space="preserve"> REF _Ref236539751 \h  \* MERGEFORMAT </w:instrText>
      </w:r>
      <w:r w:rsidRPr="00177611">
        <w:rPr>
          <w:color w:val="000000"/>
        </w:rPr>
      </w:r>
      <w:r w:rsidRPr="00177611">
        <w:rPr>
          <w:color w:val="000000"/>
        </w:rPr>
        <w:fldChar w:fldCharType="separate"/>
      </w:r>
      <w:r w:rsidR="009C068F" w:rsidRPr="00015190">
        <w:rPr>
          <w:color w:val="000000"/>
          <w:szCs w:val="22"/>
        </w:rPr>
        <w:t xml:space="preserve">Table </w:t>
      </w:r>
      <w:r w:rsidR="009C068F">
        <w:rPr>
          <w:noProof/>
          <w:color w:val="000000"/>
          <w:szCs w:val="22"/>
        </w:rPr>
        <w:t>3</w:t>
      </w:r>
      <w:r w:rsidRPr="00177611">
        <w:rPr>
          <w:color w:val="000000"/>
        </w:rPr>
        <w:fldChar w:fldCharType="end"/>
      </w:r>
      <w:r w:rsidRPr="00177611">
        <w:rPr>
          <w:color w:val="000000"/>
          <w:szCs w:val="22"/>
        </w:rPr>
        <w:t xml:space="preserve">). </w:t>
      </w:r>
      <w:r w:rsidR="00C815FB">
        <w:rPr>
          <w:color w:val="000000"/>
          <w:szCs w:val="22"/>
        </w:rPr>
        <w:t xml:space="preserve">Data from an additional </w:t>
      </w:r>
      <w:r w:rsidR="004902B0">
        <w:rPr>
          <w:color w:val="000000"/>
          <w:szCs w:val="22"/>
        </w:rPr>
        <w:t>eight</w:t>
      </w:r>
      <w:r w:rsidR="00C815FB">
        <w:rPr>
          <w:color w:val="000000"/>
          <w:szCs w:val="22"/>
        </w:rPr>
        <w:t xml:space="preserve"> sites </w:t>
      </w:r>
      <w:r w:rsidR="005918BE">
        <w:rPr>
          <w:color w:val="000000"/>
          <w:szCs w:val="22"/>
        </w:rPr>
        <w:t xml:space="preserve">were included from </w:t>
      </w:r>
      <w:r w:rsidR="00C815FB">
        <w:rPr>
          <w:color w:val="000000"/>
          <w:szCs w:val="22"/>
        </w:rPr>
        <w:t xml:space="preserve">the Seagrass-Watch program </w:t>
      </w:r>
      <w:r w:rsidR="005918BE">
        <w:rPr>
          <w:color w:val="000000"/>
          <w:szCs w:val="22"/>
        </w:rPr>
        <w:t>to improve the spatial resolution where possible</w:t>
      </w:r>
      <w:r w:rsidR="00D43B9E">
        <w:rPr>
          <w:color w:val="000000"/>
          <w:szCs w:val="22"/>
        </w:rPr>
        <w:t xml:space="preserve"> (</w:t>
      </w:r>
      <w:r w:rsidR="00D43B9E">
        <w:rPr>
          <w:color w:val="000000"/>
          <w:szCs w:val="22"/>
        </w:rPr>
        <w:fldChar w:fldCharType="begin"/>
      </w:r>
      <w:r w:rsidR="00D43B9E">
        <w:rPr>
          <w:color w:val="000000"/>
          <w:szCs w:val="22"/>
        </w:rPr>
        <w:instrText xml:space="preserve"> REF _Ref461186562 \h </w:instrText>
      </w:r>
      <w:r w:rsidR="00D43B9E">
        <w:rPr>
          <w:color w:val="000000"/>
          <w:szCs w:val="22"/>
        </w:rPr>
      </w:r>
      <w:r w:rsidR="00D43B9E">
        <w:rPr>
          <w:color w:val="000000"/>
          <w:szCs w:val="22"/>
        </w:rPr>
        <w:fldChar w:fldCharType="separate"/>
      </w:r>
      <w:r w:rsidR="009C068F" w:rsidRPr="00015190">
        <w:rPr>
          <w:color w:val="000000"/>
          <w:szCs w:val="22"/>
        </w:rPr>
        <w:t xml:space="preserve">Table </w:t>
      </w:r>
      <w:r w:rsidR="009C068F">
        <w:rPr>
          <w:noProof/>
          <w:color w:val="000000"/>
          <w:szCs w:val="22"/>
        </w:rPr>
        <w:t>4</w:t>
      </w:r>
      <w:r w:rsidR="00D43B9E">
        <w:rPr>
          <w:color w:val="000000"/>
          <w:szCs w:val="22"/>
        </w:rPr>
        <w:fldChar w:fldCharType="end"/>
      </w:r>
      <w:r w:rsidR="00D43B9E">
        <w:rPr>
          <w:color w:val="000000"/>
          <w:szCs w:val="22"/>
        </w:rPr>
        <w:t>)</w:t>
      </w:r>
      <w:r w:rsidR="00C815FB">
        <w:rPr>
          <w:color w:val="000000"/>
          <w:szCs w:val="22"/>
        </w:rPr>
        <w:t xml:space="preserve">. </w:t>
      </w:r>
      <w:r w:rsidRPr="00177611">
        <w:rPr>
          <w:color w:val="000000"/>
          <w:szCs w:val="22"/>
        </w:rPr>
        <w:t xml:space="preserve">A description of all data collected during the sampling period under the monitoring contract </w:t>
      </w:r>
      <w:r w:rsidRPr="00606051">
        <w:rPr>
          <w:color w:val="000000"/>
          <w:szCs w:val="22"/>
        </w:rPr>
        <w:t xml:space="preserve">has been collated by Natural Resource Management (NRM) region, site, parameter, and the number of samples collected per sampling period is listed in </w:t>
      </w:r>
      <w:r w:rsidR="00EB19B4">
        <w:rPr>
          <w:color w:val="0000FF"/>
          <w:szCs w:val="22"/>
        </w:rPr>
        <w:fldChar w:fldCharType="begin"/>
      </w:r>
      <w:r w:rsidR="00EB19B4">
        <w:rPr>
          <w:color w:val="000000"/>
          <w:szCs w:val="22"/>
        </w:rPr>
        <w:instrText xml:space="preserve"> REF _Ref442523235 \h </w:instrText>
      </w:r>
      <w:r w:rsidR="00EB19B4">
        <w:rPr>
          <w:color w:val="0000FF"/>
          <w:szCs w:val="22"/>
        </w:rPr>
      </w:r>
      <w:r w:rsidR="00EB19B4">
        <w:rPr>
          <w:color w:val="0000FF"/>
          <w:szCs w:val="22"/>
        </w:rPr>
        <w:fldChar w:fldCharType="separate"/>
      </w:r>
      <w:r w:rsidR="009C068F">
        <w:rPr>
          <w:color w:val="000000"/>
          <w:szCs w:val="22"/>
        </w:rPr>
        <w:t xml:space="preserve">Table </w:t>
      </w:r>
      <w:r w:rsidR="009C068F">
        <w:rPr>
          <w:noProof/>
          <w:color w:val="000000"/>
          <w:szCs w:val="22"/>
        </w:rPr>
        <w:t>30</w:t>
      </w:r>
      <w:r w:rsidR="00EB19B4">
        <w:rPr>
          <w:color w:val="0000FF"/>
          <w:szCs w:val="22"/>
        </w:rPr>
        <w:fldChar w:fldCharType="end"/>
      </w:r>
      <w:r w:rsidRPr="00606051">
        <w:rPr>
          <w:color w:val="000000"/>
          <w:szCs w:val="22"/>
        </w:rPr>
        <w:t xml:space="preserve">. The seagrass species </w:t>
      </w:r>
      <w:r w:rsidR="00AB452F" w:rsidRPr="0071577B">
        <w:rPr>
          <w:color w:val="000000"/>
          <w:szCs w:val="22"/>
        </w:rPr>
        <w:t xml:space="preserve">(including foundation) </w:t>
      </w:r>
      <w:r w:rsidRPr="00606051">
        <w:rPr>
          <w:color w:val="000000"/>
          <w:szCs w:val="22"/>
        </w:rPr>
        <w:t>present</w:t>
      </w:r>
      <w:r w:rsidRPr="00177611">
        <w:rPr>
          <w:color w:val="000000"/>
          <w:szCs w:val="22"/>
        </w:rPr>
        <w:t xml:space="preserve"> at each </w:t>
      </w:r>
      <w:r w:rsidRPr="0071577B">
        <w:rPr>
          <w:color w:val="000000"/>
          <w:szCs w:val="22"/>
        </w:rPr>
        <w:t xml:space="preserve">monitoring site is listed </w:t>
      </w:r>
      <w:r w:rsidR="00EB19B4">
        <w:rPr>
          <w:color w:val="0000FF"/>
          <w:szCs w:val="22"/>
        </w:rPr>
        <w:fldChar w:fldCharType="begin"/>
      </w:r>
      <w:r w:rsidR="00EB19B4">
        <w:rPr>
          <w:color w:val="000000"/>
          <w:szCs w:val="22"/>
        </w:rPr>
        <w:instrText xml:space="preserve"> REF _Ref236539751 \h </w:instrText>
      </w:r>
      <w:r w:rsidR="00EB19B4">
        <w:rPr>
          <w:color w:val="0000FF"/>
          <w:szCs w:val="22"/>
        </w:rPr>
      </w:r>
      <w:r w:rsidR="00EB19B4">
        <w:rPr>
          <w:color w:val="0000FF"/>
          <w:szCs w:val="22"/>
        </w:rPr>
        <w:fldChar w:fldCharType="separate"/>
      </w:r>
      <w:r w:rsidR="009C068F" w:rsidRPr="00015190">
        <w:rPr>
          <w:color w:val="000000"/>
          <w:szCs w:val="22"/>
        </w:rPr>
        <w:t xml:space="preserve">Table </w:t>
      </w:r>
      <w:r w:rsidR="009C068F">
        <w:rPr>
          <w:noProof/>
          <w:color w:val="000000"/>
          <w:szCs w:val="22"/>
        </w:rPr>
        <w:t>3</w:t>
      </w:r>
      <w:r w:rsidR="00EB19B4">
        <w:rPr>
          <w:color w:val="0000FF"/>
          <w:szCs w:val="22"/>
        </w:rPr>
        <w:fldChar w:fldCharType="end"/>
      </w:r>
      <w:r w:rsidRPr="005918BE">
        <w:rPr>
          <w:color w:val="0000FF"/>
          <w:szCs w:val="22"/>
        </w:rPr>
        <w:t>.</w:t>
      </w:r>
      <w:r w:rsidR="004902B0" w:rsidRPr="004902B0">
        <w:rPr>
          <w:color w:val="000000"/>
          <w:szCs w:val="22"/>
        </w:rPr>
        <w:t xml:space="preserve"> </w:t>
      </w:r>
    </w:p>
    <w:p w:rsidR="004902B0" w:rsidRPr="00015190" w:rsidRDefault="004902B0" w:rsidP="00AB452F">
      <w:pPr>
        <w:spacing w:before="240"/>
        <w:rPr>
          <w:color w:val="000000"/>
        </w:rPr>
      </w:pPr>
      <w:r>
        <w:rPr>
          <w:color w:val="000000"/>
          <w:szCs w:val="22"/>
        </w:rPr>
        <w:t xml:space="preserve">In 2005 and 2014, the monitoring program </w:t>
      </w:r>
      <w:r w:rsidRPr="00206A72">
        <w:rPr>
          <w:color w:val="000000"/>
          <w:szCs w:val="22"/>
        </w:rPr>
        <w:t xml:space="preserve">received thorough independent </w:t>
      </w:r>
      <w:r>
        <w:rPr>
          <w:color w:val="000000"/>
          <w:szCs w:val="22"/>
        </w:rPr>
        <w:t xml:space="preserve">statistical </w:t>
      </w:r>
      <w:r w:rsidRPr="00206A72">
        <w:rPr>
          <w:color w:val="000000"/>
          <w:szCs w:val="22"/>
        </w:rPr>
        <w:t xml:space="preserve">analysis and review </w:t>
      </w:r>
      <w:r>
        <w:rPr>
          <w:color w:val="000000"/>
          <w:szCs w:val="22"/>
        </w:rPr>
        <w:t>(</w:t>
      </w:r>
      <w:r>
        <w:rPr>
          <w:color w:val="000000"/>
          <w:szCs w:val="22"/>
        </w:rPr>
        <w:fldChar w:fldCharType="begin"/>
      </w:r>
      <w:r>
        <w:rPr>
          <w:color w:val="000000"/>
          <w:szCs w:val="22"/>
        </w:rPr>
        <w:instrText xml:space="preserve"> ADDIN EN.CITE &lt;EndNote&gt;&lt;Cite&gt;&lt;Author&gt;De’ath&lt;/Author&gt;&lt;Year&gt;2005&lt;/Year&gt;&lt;RecNum&gt;9495&lt;/RecNum&gt;&lt;DisplayText&gt;De’ath 2005; Kuhnert&lt;style face="italic"&gt;, et al.&lt;/style&gt; 2014&lt;/DisplayText&gt;&lt;record&gt;&lt;rec-number&gt;9495&lt;/rec-number&gt;&lt;foreign-keys&gt;&lt;key app="EN" db-id="0eve55x9y5vfd6e9dacxtew4eatve2dzds9a"&gt;9495&lt;/key&gt;&lt;/foreign-keys&gt;&lt;ref-type name="Book"&gt;6&lt;/ref-type&gt;&lt;contributors&gt;&lt;authors&gt;&lt;author&gt;De’ath, G&lt;/author&gt;&lt;/authors&gt;&lt;/contributors&gt;&lt;titles&gt;&lt;title&gt;Water Quality Monitoring: From River to Reef&lt;/title&gt;&lt;/titles&gt;&lt;pages&gt;108&lt;/pages&gt;&lt;dates&gt;&lt;year&gt;2005&lt;/year&gt;&lt;/dates&gt;&lt;pub-location&gt;Townsville&lt;/pub-location&gt;&lt;publisher&gt;AIMS&lt;/publisher&gt;&lt;urls&gt;&lt;/urls&gt;&lt;/record&gt;&lt;/Cite&gt;&lt;Cite&gt;&lt;Author&gt;Kuhnert&lt;/Author&gt;&lt;Year&gt;2014&lt;/Year&gt;&lt;RecNum&gt;10482&lt;/RecNum&gt;&lt;record&gt;&lt;rec-number&gt;10482&lt;/rec-number&gt;&lt;foreign-keys&gt;&lt;key app="EN" db-id="0eve55x9y5vfd6e9dacxtew4eatve2dzds9a"&gt;10482&lt;/key&gt;&lt;/foreign-keys&gt;&lt;ref-type name="Book"&gt;6&lt;/ref-type&gt;&lt;contributors&gt;&lt;authors&gt;&lt;author&gt;Kuhnert, Petra M&lt;/author&gt;&lt;author&gt;Liu, Yang&lt;/author&gt;&lt;author&gt;Henderson, Brent L.&lt;/author&gt;&lt;author&gt;Dambacher, Jeffrey&lt;/author&gt;&lt;author&gt;Lawrence, Emma&lt;/author&gt;&lt;author&gt;Kroon, Frederieke J.&lt;/author&gt;&lt;/authors&gt;&lt;/contributors&gt;&lt;titles&gt;&lt;title&gt;Review of the Marine Monitoring Program (MMP), Final Report for the Great Barrier Reef Marine Park Authority (GBRMPA)&lt;/title&gt;&lt;/titles&gt;&lt;pages&gt;276&lt;/pages&gt;&lt;dates&gt;&lt;year&gt;2014&lt;/year&gt;&lt;/dates&gt;&lt;pub-location&gt;Adelaide&lt;/pub-location&gt;&lt;publisher&gt;CSIRO&lt;/publisher&gt;&lt;urls&gt;&lt;/urls&gt;&lt;/record&gt;&lt;/Cite&gt;&lt;/EndNote&gt;</w:instrText>
      </w:r>
      <w:r>
        <w:rPr>
          <w:color w:val="000000"/>
          <w:szCs w:val="22"/>
        </w:rPr>
        <w:fldChar w:fldCharType="separate"/>
      </w:r>
      <w:hyperlink w:anchor="_ENREF_84" w:tooltip="De’ath, 2005 #9495" w:history="1">
        <w:r w:rsidR="00E6043D">
          <w:rPr>
            <w:noProof/>
            <w:color w:val="000000"/>
            <w:szCs w:val="22"/>
          </w:rPr>
          <w:t>De’ath 2005</w:t>
        </w:r>
      </w:hyperlink>
      <w:r>
        <w:rPr>
          <w:noProof/>
          <w:color w:val="000000"/>
          <w:szCs w:val="22"/>
        </w:rPr>
        <w:t xml:space="preserve">; </w:t>
      </w:r>
      <w:hyperlink w:anchor="_ENREF_135" w:tooltip="Kuhnert, 2014 #10482" w:history="1">
        <w:r w:rsidR="00E6043D">
          <w:rPr>
            <w:noProof/>
            <w:color w:val="000000"/>
            <w:szCs w:val="22"/>
          </w:rPr>
          <w:t>Kuhnert</w:t>
        </w:r>
        <w:r w:rsidR="00E6043D" w:rsidRPr="00E74FD4">
          <w:rPr>
            <w:i/>
            <w:noProof/>
            <w:color w:val="000000"/>
            <w:szCs w:val="22"/>
          </w:rPr>
          <w:t>, et al.</w:t>
        </w:r>
        <w:r w:rsidR="00E6043D">
          <w:rPr>
            <w:noProof/>
            <w:color w:val="000000"/>
            <w:szCs w:val="22"/>
          </w:rPr>
          <w:t xml:space="preserve"> 2014</w:t>
        </w:r>
      </w:hyperlink>
      <w:r>
        <w:rPr>
          <w:color w:val="000000"/>
          <w:szCs w:val="22"/>
        </w:rPr>
        <w:fldChar w:fldCharType="end"/>
      </w:r>
      <w:r>
        <w:rPr>
          <w:color w:val="000000"/>
          <w:szCs w:val="22"/>
        </w:rPr>
        <w:t>). The development and</w:t>
      </w:r>
      <w:r w:rsidRPr="000D6EE6">
        <w:rPr>
          <w:color w:val="000000"/>
          <w:szCs w:val="22"/>
        </w:rPr>
        <w:t xml:space="preserve"> </w:t>
      </w:r>
      <w:r>
        <w:rPr>
          <w:color w:val="000000"/>
          <w:szCs w:val="22"/>
        </w:rPr>
        <w:t xml:space="preserve">any modifications of the program were evaluated by the Paddock to Reef </w:t>
      </w:r>
      <w:r w:rsidRPr="00206A72">
        <w:rPr>
          <w:color w:val="000000"/>
          <w:szCs w:val="22"/>
        </w:rPr>
        <w:t>Independent Science Panel</w:t>
      </w:r>
      <w:r>
        <w:rPr>
          <w:color w:val="000000"/>
          <w:szCs w:val="22"/>
        </w:rPr>
        <w:t>. Program reports and results are reviewed annually by independent seagrass experts</w:t>
      </w:r>
      <w:r w:rsidRPr="000D6EE6">
        <w:rPr>
          <w:color w:val="000000"/>
          <w:szCs w:val="22"/>
        </w:rPr>
        <w:t xml:space="preserve"> </w:t>
      </w:r>
      <w:r>
        <w:rPr>
          <w:color w:val="000000"/>
          <w:szCs w:val="22"/>
        </w:rPr>
        <w:t>external to GBRMPA and MMP.</w:t>
      </w:r>
    </w:p>
    <w:p w:rsidR="004902B0" w:rsidRPr="00015190" w:rsidRDefault="004902B0" w:rsidP="004902B0">
      <w:pPr>
        <w:rPr>
          <w:rFonts w:ascii="Arial" w:hAnsi="Arial" w:cs="Arial"/>
          <w:color w:val="000000"/>
        </w:rPr>
        <w:sectPr w:rsidR="004902B0" w:rsidRPr="00015190" w:rsidSect="001368E7">
          <w:headerReference w:type="even" r:id="rId32"/>
          <w:headerReference w:type="default" r:id="rId33"/>
          <w:headerReference w:type="first" r:id="rId34"/>
          <w:pgSz w:w="11906" w:h="16838" w:code="9"/>
          <w:pgMar w:top="1418" w:right="1418" w:bottom="1418" w:left="1418" w:header="709" w:footer="709" w:gutter="0"/>
          <w:cols w:space="708"/>
          <w:docGrid w:linePitch="360"/>
        </w:sectPr>
      </w:pPr>
    </w:p>
    <w:p w:rsidR="004902B0" w:rsidRPr="00015190" w:rsidRDefault="004902B0" w:rsidP="004902B0">
      <w:pPr>
        <w:keepNext/>
        <w:jc w:val="center"/>
        <w:rPr>
          <w:i/>
          <w:vanish/>
          <w:color w:val="000000"/>
          <w:szCs w:val="22"/>
          <w:specVanish/>
        </w:rPr>
      </w:pPr>
      <w:bookmarkStart w:id="41" w:name="_Ref236539751"/>
      <w:bookmarkStart w:id="42" w:name="_Toc176158939"/>
      <w:bookmarkStart w:id="43" w:name="_Toc462685072"/>
      <w:bookmarkStart w:id="44" w:name="_Toc431494017"/>
      <w:bookmarkStart w:id="45" w:name="_Ref318377132"/>
      <w:bookmarkStart w:id="46" w:name="_Toc176158941"/>
      <w:bookmarkStart w:id="47" w:name="_Toc175991044"/>
      <w:r w:rsidRPr="00015190">
        <w:rPr>
          <w:color w:val="000000"/>
          <w:szCs w:val="22"/>
        </w:rPr>
        <w:lastRenderedPageBreak/>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9C068F">
        <w:rPr>
          <w:noProof/>
          <w:color w:val="000000"/>
          <w:szCs w:val="22"/>
        </w:rPr>
        <w:t>3</w:t>
      </w:r>
      <w:r w:rsidRPr="00015190">
        <w:rPr>
          <w:color w:val="000000"/>
          <w:szCs w:val="22"/>
        </w:rPr>
        <w:fldChar w:fldCharType="end"/>
      </w:r>
      <w:bookmarkEnd w:id="41"/>
      <w:r w:rsidRPr="00015190">
        <w:rPr>
          <w:i/>
          <w:color w:val="000000"/>
          <w:szCs w:val="22"/>
        </w:rPr>
        <w:t>. MMP inshore seagrass long-term monitoring</w:t>
      </w:r>
      <w:bookmarkEnd w:id="42"/>
      <w:r w:rsidRPr="00015190">
        <w:rPr>
          <w:i/>
          <w:color w:val="000000"/>
          <w:szCs w:val="22"/>
        </w:rPr>
        <w:t xml:space="preserve"> site</w:t>
      </w:r>
      <w:r>
        <w:rPr>
          <w:i/>
          <w:color w:val="000000"/>
          <w:szCs w:val="22"/>
        </w:rPr>
        <w:t xml:space="preserve"> details including p</w:t>
      </w:r>
      <w:r w:rsidRPr="00015190">
        <w:rPr>
          <w:i/>
          <w:color w:val="000000"/>
          <w:szCs w:val="22"/>
        </w:rPr>
        <w:t>resence of foundation (</w:t>
      </w:r>
      <w:r w:rsidRPr="00015190">
        <w:rPr>
          <w:color w:val="000000"/>
          <w:szCs w:val="22"/>
        </w:rPr>
        <w:sym w:font="Wingdings" w:char="F06E"/>
      </w:r>
      <w:r w:rsidRPr="00015190">
        <w:rPr>
          <w:i/>
          <w:color w:val="000000"/>
          <w:szCs w:val="22"/>
        </w:rPr>
        <w:t>) and other (</w:t>
      </w:r>
      <w:r w:rsidRPr="00015190">
        <w:rPr>
          <w:color w:val="000000"/>
          <w:szCs w:val="22"/>
        </w:rPr>
        <w:sym w:font="Wingdings" w:char="F0A8"/>
      </w:r>
      <w:r w:rsidRPr="00015190">
        <w:rPr>
          <w:i/>
          <w:color w:val="000000"/>
          <w:szCs w:val="22"/>
        </w:rPr>
        <w:t>) seagrass species sampled for plant tissue and reproductive health.</w:t>
      </w:r>
      <w:bookmarkEnd w:id="43"/>
      <w:r w:rsidRPr="00015190">
        <w:rPr>
          <w:i/>
          <w:color w:val="000000"/>
          <w:szCs w:val="22"/>
        </w:rPr>
        <w:t xml:space="preserve"> </w:t>
      </w:r>
    </w:p>
    <w:p w:rsidR="004902B0" w:rsidRPr="00015190" w:rsidRDefault="004902B0" w:rsidP="004902B0">
      <w:pPr>
        <w:spacing w:before="0" w:after="0"/>
        <w:rPr>
          <w:i/>
          <w:color w:val="000000"/>
          <w:szCs w:val="22"/>
        </w:rPr>
      </w:pPr>
      <w:r w:rsidRPr="00015190">
        <w:rPr>
          <w:i/>
          <w:color w:val="000000"/>
          <w:szCs w:val="22"/>
        </w:rPr>
        <w:t xml:space="preserve">NRM region from www.nrm.gov.au. </w:t>
      </w:r>
      <w:bookmarkStart w:id="48" w:name="OLE_LINK5"/>
      <w:bookmarkStart w:id="49" w:name="OLE_LINK6"/>
      <w:r w:rsidRPr="00015190">
        <w:rPr>
          <w:i/>
          <w:color w:val="000000"/>
          <w:szCs w:val="22"/>
        </w:rPr>
        <w:t>* = intertidal, ^=subtidal.</w:t>
      </w:r>
      <w:bookmarkEnd w:id="44"/>
      <w:r w:rsidRPr="00015190">
        <w:rPr>
          <w:i/>
          <w:color w:val="000000"/>
          <w:szCs w:val="22"/>
        </w:rPr>
        <w:t xml:space="preserve"> </w:t>
      </w:r>
      <w:bookmarkEnd w:id="48"/>
      <w:bookmarkEnd w:id="49"/>
    </w:p>
    <w:tbl>
      <w:tblPr>
        <w:tblW w:w="13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6"/>
        <w:gridCol w:w="1287"/>
        <w:gridCol w:w="1186"/>
        <w:gridCol w:w="1576"/>
        <w:gridCol w:w="674"/>
        <w:gridCol w:w="1579"/>
        <w:gridCol w:w="486"/>
        <w:gridCol w:w="711"/>
        <w:gridCol w:w="576"/>
        <w:gridCol w:w="712"/>
        <w:gridCol w:w="481"/>
        <w:gridCol w:w="426"/>
        <w:gridCol w:w="426"/>
        <w:gridCol w:w="426"/>
        <w:gridCol w:w="426"/>
        <w:gridCol w:w="426"/>
        <w:gridCol w:w="426"/>
        <w:gridCol w:w="426"/>
        <w:gridCol w:w="426"/>
        <w:gridCol w:w="426"/>
      </w:tblGrid>
      <w:tr w:rsidR="004902B0" w:rsidRPr="00015190" w:rsidTr="00CD53D5">
        <w:trPr>
          <w:trHeight w:val="170"/>
          <w:jc w:val="center"/>
        </w:trPr>
        <w:tc>
          <w:tcPr>
            <w:tcW w:w="836" w:type="dxa"/>
            <w:shd w:val="clear" w:color="auto" w:fill="BBE0E3"/>
            <w:vAlign w:val="center"/>
          </w:tcPr>
          <w:p w:rsidR="004902B0" w:rsidRPr="00880D29" w:rsidRDefault="004902B0" w:rsidP="00CD53D5">
            <w:pPr>
              <w:spacing w:before="0" w:after="0"/>
              <w:jc w:val="center"/>
              <w:rPr>
                <w:rFonts w:cs="Arial"/>
                <w:b/>
                <w:bCs/>
                <w:color w:val="000000"/>
                <w:sz w:val="14"/>
                <w:szCs w:val="14"/>
              </w:rPr>
            </w:pPr>
            <w:r w:rsidRPr="00880D29">
              <w:rPr>
                <w:rFonts w:cs="Arial"/>
                <w:b/>
                <w:bCs/>
                <w:color w:val="000000"/>
                <w:sz w:val="14"/>
                <w:szCs w:val="14"/>
              </w:rPr>
              <w:t>GBR region</w:t>
            </w:r>
          </w:p>
        </w:tc>
        <w:tc>
          <w:tcPr>
            <w:tcW w:w="1287" w:type="dxa"/>
            <w:shd w:val="clear" w:color="auto" w:fill="BBE0E3"/>
            <w:noWrap/>
            <w:vAlign w:val="center"/>
          </w:tcPr>
          <w:p w:rsidR="004902B0" w:rsidRPr="00880D29" w:rsidRDefault="004902B0" w:rsidP="00CD53D5">
            <w:pPr>
              <w:spacing w:before="0" w:after="0"/>
              <w:jc w:val="center"/>
              <w:rPr>
                <w:rFonts w:cs="Arial"/>
                <w:b/>
                <w:bCs/>
                <w:color w:val="000000"/>
                <w:sz w:val="14"/>
                <w:szCs w:val="14"/>
              </w:rPr>
            </w:pPr>
            <w:r w:rsidRPr="00880D29">
              <w:rPr>
                <w:rFonts w:cs="Arial"/>
                <w:b/>
                <w:bCs/>
                <w:color w:val="000000"/>
                <w:sz w:val="14"/>
                <w:szCs w:val="14"/>
              </w:rPr>
              <w:t>NRM region (</w:t>
            </w:r>
            <w:r w:rsidRPr="00880D29">
              <w:rPr>
                <w:rFonts w:cs="Arial"/>
                <w:b/>
                <w:bCs/>
                <w:i/>
                <w:color w:val="000000"/>
                <w:sz w:val="14"/>
                <w:szCs w:val="14"/>
              </w:rPr>
              <w:t>Board</w:t>
            </w:r>
            <w:r w:rsidRPr="00880D29">
              <w:rPr>
                <w:rFonts w:cs="Arial"/>
                <w:b/>
                <w:bCs/>
                <w:color w:val="000000"/>
                <w:sz w:val="14"/>
                <w:szCs w:val="14"/>
              </w:rPr>
              <w:t>)</w:t>
            </w:r>
          </w:p>
        </w:tc>
        <w:tc>
          <w:tcPr>
            <w:tcW w:w="1186" w:type="dxa"/>
            <w:shd w:val="clear" w:color="auto" w:fill="BBE0E3"/>
            <w:vAlign w:val="center"/>
          </w:tcPr>
          <w:p w:rsidR="004902B0" w:rsidRPr="00880D29" w:rsidRDefault="00AB60E3" w:rsidP="00CD53D5">
            <w:pPr>
              <w:spacing w:before="0" w:after="0"/>
              <w:jc w:val="center"/>
              <w:rPr>
                <w:rFonts w:cs="Arial"/>
                <w:b/>
                <w:bCs/>
                <w:color w:val="000000"/>
                <w:sz w:val="14"/>
                <w:szCs w:val="14"/>
              </w:rPr>
            </w:pPr>
            <w:r>
              <w:rPr>
                <w:rFonts w:cs="Arial"/>
                <w:b/>
                <w:bCs/>
                <w:color w:val="000000"/>
                <w:sz w:val="14"/>
                <w:szCs w:val="14"/>
              </w:rPr>
              <w:t>Basin</w:t>
            </w:r>
          </w:p>
        </w:tc>
        <w:tc>
          <w:tcPr>
            <w:tcW w:w="1576" w:type="dxa"/>
            <w:shd w:val="clear" w:color="auto" w:fill="BBE0E3"/>
            <w:vAlign w:val="center"/>
          </w:tcPr>
          <w:p w:rsidR="004902B0" w:rsidRPr="00880D29" w:rsidRDefault="004902B0" w:rsidP="00CD53D5">
            <w:pPr>
              <w:spacing w:before="0" w:after="0"/>
              <w:jc w:val="center"/>
              <w:rPr>
                <w:rFonts w:cs="Arial"/>
                <w:b/>
                <w:bCs/>
                <w:color w:val="000000"/>
                <w:sz w:val="14"/>
                <w:szCs w:val="14"/>
              </w:rPr>
            </w:pPr>
            <w:r w:rsidRPr="00880D29">
              <w:rPr>
                <w:rFonts w:cs="Arial"/>
                <w:b/>
                <w:bCs/>
                <w:color w:val="000000"/>
                <w:sz w:val="14"/>
                <w:szCs w:val="14"/>
              </w:rPr>
              <w:t>Monitoring location</w:t>
            </w:r>
          </w:p>
        </w:tc>
        <w:tc>
          <w:tcPr>
            <w:tcW w:w="2253" w:type="dxa"/>
            <w:gridSpan w:val="2"/>
            <w:shd w:val="clear" w:color="auto" w:fill="BBE0E3"/>
            <w:noWrap/>
            <w:vAlign w:val="center"/>
          </w:tcPr>
          <w:p w:rsidR="004902B0" w:rsidRPr="00880D29" w:rsidRDefault="004902B0" w:rsidP="00CD53D5">
            <w:pPr>
              <w:spacing w:before="0" w:after="0"/>
              <w:jc w:val="center"/>
              <w:rPr>
                <w:rFonts w:cs="Arial"/>
                <w:b/>
                <w:bCs/>
                <w:color w:val="000000"/>
                <w:sz w:val="14"/>
                <w:szCs w:val="14"/>
              </w:rPr>
            </w:pPr>
            <w:r w:rsidRPr="00880D29">
              <w:rPr>
                <w:rFonts w:cs="Arial"/>
                <w:b/>
                <w:bCs/>
                <w:color w:val="000000"/>
                <w:sz w:val="14"/>
                <w:szCs w:val="14"/>
              </w:rPr>
              <w:t>Site</w:t>
            </w:r>
          </w:p>
        </w:tc>
        <w:tc>
          <w:tcPr>
            <w:tcW w:w="1197" w:type="dxa"/>
            <w:gridSpan w:val="2"/>
            <w:shd w:val="clear" w:color="auto" w:fill="BBE0E3"/>
            <w:noWrap/>
            <w:vAlign w:val="center"/>
          </w:tcPr>
          <w:p w:rsidR="004902B0" w:rsidRPr="00880D29" w:rsidRDefault="004902B0" w:rsidP="00CD53D5">
            <w:pPr>
              <w:spacing w:before="0" w:after="0"/>
              <w:jc w:val="center"/>
              <w:rPr>
                <w:rFonts w:cs="Arial"/>
                <w:b/>
                <w:bCs/>
                <w:color w:val="000000"/>
                <w:sz w:val="14"/>
                <w:szCs w:val="14"/>
              </w:rPr>
            </w:pPr>
            <w:r w:rsidRPr="00880D29">
              <w:rPr>
                <w:rFonts w:cs="Arial"/>
                <w:b/>
                <w:bCs/>
                <w:color w:val="000000"/>
                <w:sz w:val="14"/>
                <w:szCs w:val="14"/>
              </w:rPr>
              <w:t>Latitude</w:t>
            </w:r>
          </w:p>
        </w:tc>
        <w:tc>
          <w:tcPr>
            <w:tcW w:w="1288" w:type="dxa"/>
            <w:gridSpan w:val="2"/>
            <w:shd w:val="clear" w:color="auto" w:fill="BBE0E3"/>
            <w:noWrap/>
            <w:vAlign w:val="center"/>
          </w:tcPr>
          <w:p w:rsidR="004902B0" w:rsidRPr="00880D29" w:rsidRDefault="004902B0" w:rsidP="00CD53D5">
            <w:pPr>
              <w:spacing w:before="0" w:after="0"/>
              <w:jc w:val="center"/>
              <w:rPr>
                <w:rFonts w:cs="Arial"/>
                <w:b/>
                <w:color w:val="000000"/>
                <w:sz w:val="14"/>
                <w:szCs w:val="14"/>
              </w:rPr>
            </w:pPr>
            <w:r w:rsidRPr="00880D29">
              <w:rPr>
                <w:rFonts w:cs="Arial"/>
                <w:b/>
                <w:bCs/>
                <w:color w:val="000000"/>
                <w:sz w:val="14"/>
                <w:szCs w:val="14"/>
              </w:rPr>
              <w:t>Longitude</w:t>
            </w:r>
          </w:p>
        </w:tc>
        <w:tc>
          <w:tcPr>
            <w:tcW w:w="481" w:type="dxa"/>
            <w:shd w:val="clear" w:color="auto" w:fill="BBE0E3"/>
            <w:noWrap/>
            <w:vAlign w:val="center"/>
          </w:tcPr>
          <w:p w:rsidR="004902B0" w:rsidRPr="00017A7E" w:rsidRDefault="004902B0" w:rsidP="00CD53D5">
            <w:pPr>
              <w:spacing w:before="0" w:after="0"/>
              <w:jc w:val="center"/>
              <w:rPr>
                <w:rFonts w:cs="Arial"/>
                <w:b/>
                <w:bCs/>
                <w:color w:val="000000"/>
                <w:sz w:val="14"/>
                <w:szCs w:val="14"/>
              </w:rPr>
            </w:pPr>
            <w:r>
              <w:rPr>
                <w:rFonts w:cs="Arial"/>
                <w:b/>
                <w:bCs/>
                <w:color w:val="000000"/>
                <w:sz w:val="14"/>
                <w:szCs w:val="14"/>
              </w:rPr>
              <w:t>CR</w:t>
            </w:r>
          </w:p>
        </w:tc>
        <w:tc>
          <w:tcPr>
            <w:tcW w:w="426" w:type="dxa"/>
            <w:shd w:val="clear" w:color="auto" w:fill="BBE0E3"/>
            <w:vAlign w:val="center"/>
          </w:tcPr>
          <w:p w:rsidR="004902B0" w:rsidRPr="00017A7E" w:rsidRDefault="004902B0" w:rsidP="00CD53D5">
            <w:pPr>
              <w:spacing w:before="0" w:after="0"/>
              <w:jc w:val="center"/>
              <w:rPr>
                <w:rFonts w:cs="Arial"/>
                <w:b/>
                <w:bCs/>
                <w:color w:val="000000"/>
                <w:sz w:val="14"/>
                <w:szCs w:val="14"/>
              </w:rPr>
            </w:pPr>
            <w:r w:rsidRPr="00017A7E">
              <w:rPr>
                <w:rFonts w:cs="Arial"/>
                <w:b/>
                <w:bCs/>
                <w:color w:val="000000"/>
                <w:sz w:val="14"/>
                <w:szCs w:val="14"/>
              </w:rPr>
              <w:t>C</w:t>
            </w:r>
            <w:r>
              <w:rPr>
                <w:rFonts w:cs="Arial"/>
                <w:b/>
                <w:bCs/>
                <w:color w:val="000000"/>
                <w:sz w:val="14"/>
                <w:szCs w:val="14"/>
              </w:rPr>
              <w:t>S</w:t>
            </w:r>
          </w:p>
        </w:tc>
        <w:tc>
          <w:tcPr>
            <w:tcW w:w="426" w:type="dxa"/>
            <w:shd w:val="clear" w:color="auto" w:fill="BBE0E3"/>
            <w:vAlign w:val="center"/>
          </w:tcPr>
          <w:p w:rsidR="004902B0" w:rsidRPr="00017A7E" w:rsidRDefault="004902B0" w:rsidP="00CD53D5">
            <w:pPr>
              <w:spacing w:before="0" w:after="0"/>
              <w:jc w:val="center"/>
              <w:rPr>
                <w:rFonts w:cs="Arial"/>
                <w:b/>
                <w:bCs/>
                <w:color w:val="000000"/>
                <w:sz w:val="14"/>
                <w:szCs w:val="14"/>
              </w:rPr>
            </w:pPr>
            <w:r w:rsidRPr="00017A7E">
              <w:rPr>
                <w:rFonts w:cs="Arial"/>
                <w:b/>
                <w:bCs/>
                <w:color w:val="000000"/>
                <w:sz w:val="14"/>
                <w:szCs w:val="14"/>
              </w:rPr>
              <w:t>E</w:t>
            </w:r>
            <w:r>
              <w:rPr>
                <w:rFonts w:cs="Arial"/>
                <w:b/>
                <w:bCs/>
                <w:color w:val="000000"/>
                <w:sz w:val="14"/>
                <w:szCs w:val="14"/>
              </w:rPr>
              <w:t>A</w:t>
            </w:r>
          </w:p>
        </w:tc>
        <w:tc>
          <w:tcPr>
            <w:tcW w:w="426" w:type="dxa"/>
            <w:shd w:val="clear" w:color="auto" w:fill="BBE0E3"/>
            <w:vAlign w:val="center"/>
          </w:tcPr>
          <w:p w:rsidR="004902B0" w:rsidRPr="00017A7E" w:rsidRDefault="004902B0" w:rsidP="00CD53D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D</w:t>
            </w:r>
          </w:p>
        </w:tc>
        <w:tc>
          <w:tcPr>
            <w:tcW w:w="426" w:type="dxa"/>
            <w:shd w:val="clear" w:color="auto" w:fill="BBE0E3"/>
            <w:vAlign w:val="center"/>
          </w:tcPr>
          <w:p w:rsidR="004902B0" w:rsidRPr="00017A7E" w:rsidRDefault="004902B0" w:rsidP="00CD53D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O</w:t>
            </w:r>
          </w:p>
        </w:tc>
        <w:tc>
          <w:tcPr>
            <w:tcW w:w="426" w:type="dxa"/>
            <w:shd w:val="clear" w:color="auto" w:fill="BBE0E3"/>
            <w:vAlign w:val="center"/>
          </w:tcPr>
          <w:p w:rsidR="004902B0" w:rsidRPr="00017A7E" w:rsidRDefault="004902B0" w:rsidP="00CD53D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S</w:t>
            </w:r>
          </w:p>
        </w:tc>
        <w:tc>
          <w:tcPr>
            <w:tcW w:w="426" w:type="dxa"/>
            <w:shd w:val="clear" w:color="auto" w:fill="BBE0E3"/>
            <w:vAlign w:val="center"/>
          </w:tcPr>
          <w:p w:rsidR="004902B0" w:rsidRPr="00017A7E" w:rsidRDefault="004902B0" w:rsidP="00CD53D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U</w:t>
            </w:r>
          </w:p>
        </w:tc>
        <w:tc>
          <w:tcPr>
            <w:tcW w:w="426" w:type="dxa"/>
            <w:shd w:val="clear" w:color="auto" w:fill="BBE0E3"/>
            <w:vAlign w:val="center"/>
          </w:tcPr>
          <w:p w:rsidR="004902B0" w:rsidRPr="00017A7E" w:rsidRDefault="004902B0" w:rsidP="00CD53D5">
            <w:pPr>
              <w:spacing w:before="0" w:after="0"/>
              <w:jc w:val="center"/>
              <w:rPr>
                <w:rFonts w:cs="Arial"/>
                <w:b/>
                <w:bCs/>
                <w:color w:val="000000"/>
                <w:sz w:val="14"/>
                <w:szCs w:val="14"/>
              </w:rPr>
            </w:pPr>
            <w:r w:rsidRPr="00017A7E">
              <w:rPr>
                <w:rFonts w:cs="Arial"/>
                <w:b/>
                <w:bCs/>
                <w:color w:val="000000"/>
                <w:sz w:val="14"/>
                <w:szCs w:val="14"/>
              </w:rPr>
              <w:t>S</w:t>
            </w:r>
            <w:r>
              <w:rPr>
                <w:rFonts w:cs="Arial"/>
                <w:b/>
                <w:bCs/>
                <w:color w:val="000000"/>
                <w:sz w:val="14"/>
                <w:szCs w:val="14"/>
              </w:rPr>
              <w:t>I</w:t>
            </w:r>
          </w:p>
        </w:tc>
        <w:tc>
          <w:tcPr>
            <w:tcW w:w="426" w:type="dxa"/>
            <w:shd w:val="clear" w:color="auto" w:fill="BBE0E3"/>
            <w:vAlign w:val="center"/>
          </w:tcPr>
          <w:p w:rsidR="004902B0" w:rsidRPr="00017A7E" w:rsidRDefault="004902B0" w:rsidP="00CD53D5">
            <w:pPr>
              <w:spacing w:before="0" w:after="0"/>
              <w:jc w:val="center"/>
              <w:rPr>
                <w:rFonts w:cs="Arial"/>
                <w:b/>
                <w:bCs/>
                <w:color w:val="000000"/>
                <w:sz w:val="14"/>
                <w:szCs w:val="14"/>
              </w:rPr>
            </w:pPr>
            <w:r w:rsidRPr="00017A7E">
              <w:rPr>
                <w:rFonts w:cs="Arial"/>
                <w:b/>
                <w:bCs/>
                <w:color w:val="000000"/>
                <w:sz w:val="14"/>
                <w:szCs w:val="14"/>
              </w:rPr>
              <w:t>T</w:t>
            </w:r>
            <w:r>
              <w:rPr>
                <w:rFonts w:cs="Arial"/>
                <w:b/>
                <w:bCs/>
                <w:color w:val="000000"/>
                <w:sz w:val="14"/>
                <w:szCs w:val="14"/>
              </w:rPr>
              <w:t>H</w:t>
            </w:r>
          </w:p>
        </w:tc>
        <w:tc>
          <w:tcPr>
            <w:tcW w:w="426" w:type="dxa"/>
            <w:shd w:val="clear" w:color="auto" w:fill="BBE0E3"/>
            <w:vAlign w:val="center"/>
          </w:tcPr>
          <w:p w:rsidR="004902B0" w:rsidRPr="00017A7E" w:rsidRDefault="004902B0" w:rsidP="00CD53D5">
            <w:pPr>
              <w:spacing w:before="0" w:after="0"/>
              <w:jc w:val="center"/>
              <w:rPr>
                <w:rFonts w:cs="Arial"/>
                <w:b/>
                <w:bCs/>
                <w:color w:val="000000"/>
                <w:sz w:val="14"/>
                <w:szCs w:val="14"/>
              </w:rPr>
            </w:pPr>
            <w:r w:rsidRPr="00017A7E">
              <w:rPr>
                <w:rFonts w:cs="Arial"/>
                <w:b/>
                <w:bCs/>
                <w:color w:val="000000"/>
                <w:sz w:val="14"/>
                <w:szCs w:val="14"/>
              </w:rPr>
              <w:t>Z</w:t>
            </w:r>
            <w:r>
              <w:rPr>
                <w:rFonts w:cs="Arial"/>
                <w:b/>
                <w:bCs/>
                <w:color w:val="000000"/>
                <w:sz w:val="14"/>
                <w:szCs w:val="14"/>
              </w:rPr>
              <w:t>M</w:t>
            </w:r>
          </w:p>
        </w:tc>
      </w:tr>
      <w:tr w:rsidR="004902B0" w:rsidRPr="00015190" w:rsidTr="00CD53D5">
        <w:trPr>
          <w:trHeight w:val="170"/>
          <w:jc w:val="center"/>
        </w:trPr>
        <w:tc>
          <w:tcPr>
            <w:tcW w:w="836" w:type="dxa"/>
            <w:vMerge w:val="restart"/>
            <w:shd w:val="clear" w:color="auto" w:fill="auto"/>
            <w:noWrap/>
            <w:vAlign w:val="center"/>
          </w:tcPr>
          <w:p w:rsidR="004902B0" w:rsidRPr="00880D29" w:rsidRDefault="004902B0" w:rsidP="00CD53D5">
            <w:pPr>
              <w:jc w:val="center"/>
              <w:rPr>
                <w:color w:val="000000"/>
                <w:sz w:val="14"/>
                <w:szCs w:val="14"/>
              </w:rPr>
            </w:pPr>
            <w:r w:rsidRPr="00880D29">
              <w:rPr>
                <w:color w:val="000000"/>
                <w:sz w:val="14"/>
                <w:szCs w:val="14"/>
              </w:rPr>
              <w:t>Far Northern</w:t>
            </w:r>
          </w:p>
        </w:tc>
        <w:tc>
          <w:tcPr>
            <w:tcW w:w="1287" w:type="dxa"/>
            <w:vMerge w:val="restart"/>
            <w:shd w:val="clear" w:color="auto" w:fill="E7F3F4"/>
            <w:noWrap/>
            <w:vAlign w:val="center"/>
          </w:tcPr>
          <w:p w:rsidR="004902B0" w:rsidRDefault="004902B0" w:rsidP="007C23BD">
            <w:pPr>
              <w:spacing w:before="0" w:after="0"/>
              <w:jc w:val="center"/>
              <w:rPr>
                <w:color w:val="000000"/>
                <w:sz w:val="14"/>
                <w:szCs w:val="14"/>
              </w:rPr>
            </w:pPr>
            <w:r w:rsidRPr="00880D29">
              <w:rPr>
                <w:color w:val="000000"/>
                <w:sz w:val="14"/>
                <w:szCs w:val="14"/>
              </w:rPr>
              <w:t>Cape York</w:t>
            </w:r>
          </w:p>
          <w:p w:rsidR="007C23BD" w:rsidRPr="007C23BD" w:rsidRDefault="007C23BD" w:rsidP="007C23BD">
            <w:pPr>
              <w:spacing w:before="0" w:after="0"/>
              <w:jc w:val="center"/>
              <w:rPr>
                <w:i/>
                <w:color w:val="000000"/>
                <w:sz w:val="14"/>
                <w:szCs w:val="14"/>
              </w:rPr>
            </w:pPr>
            <w:r w:rsidRPr="007C23BD">
              <w:rPr>
                <w:i/>
                <w:color w:val="000000"/>
                <w:sz w:val="14"/>
                <w:szCs w:val="14"/>
              </w:rPr>
              <w:t>(Cape York Natural Resource Management)</w:t>
            </w:r>
          </w:p>
        </w:tc>
        <w:tc>
          <w:tcPr>
            <w:tcW w:w="1186" w:type="dxa"/>
            <w:vMerge w:val="restart"/>
            <w:shd w:val="clear" w:color="auto" w:fill="E7F3F4"/>
            <w:vAlign w:val="center"/>
          </w:tcPr>
          <w:p w:rsidR="004902B0" w:rsidRPr="00880D29" w:rsidRDefault="00A2184C" w:rsidP="00C02B42">
            <w:pPr>
              <w:spacing w:before="0" w:after="0"/>
              <w:jc w:val="center"/>
              <w:rPr>
                <w:color w:val="000000"/>
                <w:sz w:val="14"/>
                <w:szCs w:val="14"/>
              </w:rPr>
            </w:pPr>
            <w:r>
              <w:rPr>
                <w:color w:val="000000"/>
                <w:sz w:val="14"/>
                <w:szCs w:val="14"/>
              </w:rPr>
              <w:t xml:space="preserve">Jacky </w:t>
            </w:r>
            <w:proofErr w:type="spellStart"/>
            <w:r>
              <w:rPr>
                <w:color w:val="000000"/>
                <w:sz w:val="14"/>
                <w:szCs w:val="14"/>
              </w:rPr>
              <w:t>Jacky</w:t>
            </w:r>
            <w:proofErr w:type="spellEnd"/>
            <w:r>
              <w:rPr>
                <w:color w:val="000000"/>
                <w:sz w:val="14"/>
                <w:szCs w:val="14"/>
              </w:rPr>
              <w:t xml:space="preserve"> / </w:t>
            </w:r>
            <w:r w:rsidR="00C02B42">
              <w:rPr>
                <w:color w:val="000000"/>
                <w:sz w:val="14"/>
                <w:szCs w:val="14"/>
              </w:rPr>
              <w:t>Olive-P</w:t>
            </w:r>
            <w:r w:rsidR="00C02B42" w:rsidRPr="00C02B42">
              <w:rPr>
                <w:color w:val="000000"/>
                <w:sz w:val="14"/>
                <w:szCs w:val="14"/>
              </w:rPr>
              <w:t>ascoe</w:t>
            </w: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Shelburne Bay</w:t>
            </w:r>
          </w:p>
          <w:p w:rsidR="004902B0" w:rsidRPr="00880D29" w:rsidRDefault="004902B0" w:rsidP="00CD53D5">
            <w:pPr>
              <w:spacing w:before="0" w:after="0"/>
              <w:jc w:val="center"/>
              <w:rPr>
                <w:i/>
                <w:color w:val="000000"/>
                <w:sz w:val="14"/>
                <w:szCs w:val="14"/>
              </w:rPr>
            </w:pPr>
            <w:r w:rsidRPr="00880D29">
              <w:rPr>
                <w:i/>
                <w:color w:val="000000"/>
                <w:sz w:val="14"/>
                <w:szCs w:val="14"/>
              </w:rPr>
              <w:t>coastal</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SR1*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Shelburne Bay</w:t>
            </w:r>
          </w:p>
        </w:tc>
        <w:tc>
          <w:tcPr>
            <w:tcW w:w="48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11°</w:t>
            </w:r>
          </w:p>
        </w:tc>
        <w:tc>
          <w:tcPr>
            <w:tcW w:w="711"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53.233</w:t>
            </w:r>
          </w:p>
        </w:tc>
        <w:tc>
          <w:tcPr>
            <w:tcW w:w="57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142°</w:t>
            </w:r>
          </w:p>
        </w:tc>
        <w:tc>
          <w:tcPr>
            <w:tcW w:w="712"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54.851</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jc w:val="center"/>
              <w:rPr>
                <w:color w:val="000000"/>
                <w:sz w:val="14"/>
                <w:szCs w:val="14"/>
              </w:rPr>
            </w:pPr>
          </w:p>
        </w:tc>
        <w:tc>
          <w:tcPr>
            <w:tcW w:w="1287" w:type="dxa"/>
            <w:vMerge/>
            <w:shd w:val="clear" w:color="auto" w:fill="E7F3F4"/>
            <w:noWrap/>
            <w:vAlign w:val="center"/>
          </w:tcPr>
          <w:p w:rsidR="004902B0" w:rsidRPr="00880D29" w:rsidRDefault="004902B0" w:rsidP="00CD53D5">
            <w:pPr>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SR2*</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Shelburne Bay</w:t>
            </w:r>
          </w:p>
        </w:tc>
        <w:tc>
          <w:tcPr>
            <w:tcW w:w="48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11°</w:t>
            </w:r>
          </w:p>
        </w:tc>
        <w:tc>
          <w:tcPr>
            <w:tcW w:w="711"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53.251</w:t>
            </w:r>
          </w:p>
        </w:tc>
        <w:tc>
          <w:tcPr>
            <w:tcW w:w="57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142°</w:t>
            </w:r>
          </w:p>
        </w:tc>
        <w:tc>
          <w:tcPr>
            <w:tcW w:w="712"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54.938</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jc w:val="center"/>
              <w:rPr>
                <w:color w:val="000000"/>
                <w:sz w:val="14"/>
                <w:szCs w:val="14"/>
              </w:rPr>
            </w:pPr>
          </w:p>
        </w:tc>
        <w:tc>
          <w:tcPr>
            <w:tcW w:w="1287" w:type="dxa"/>
            <w:vMerge/>
            <w:shd w:val="clear" w:color="auto" w:fill="E7F3F4"/>
            <w:noWrap/>
            <w:vAlign w:val="center"/>
          </w:tcPr>
          <w:p w:rsidR="004902B0" w:rsidRPr="00880D29" w:rsidRDefault="004902B0" w:rsidP="00CD53D5">
            <w:pPr>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Piper Reef</w:t>
            </w:r>
          </w:p>
          <w:p w:rsidR="004902B0" w:rsidRPr="00880D29" w:rsidRDefault="004902B0" w:rsidP="00CD53D5">
            <w:pPr>
              <w:spacing w:before="0" w:after="0"/>
              <w:jc w:val="center"/>
              <w:rPr>
                <w:i/>
                <w:color w:val="000000"/>
                <w:sz w:val="14"/>
                <w:szCs w:val="14"/>
              </w:rPr>
            </w:pPr>
            <w:r w:rsidRPr="00880D29">
              <w:rPr>
                <w:i/>
                <w:color w:val="000000"/>
                <w:sz w:val="14"/>
                <w:szCs w:val="14"/>
              </w:rPr>
              <w:t>reef</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FR1*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Farmer Is.</w:t>
            </w:r>
          </w:p>
        </w:tc>
        <w:tc>
          <w:tcPr>
            <w:tcW w:w="48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12°</w:t>
            </w:r>
          </w:p>
        </w:tc>
        <w:tc>
          <w:tcPr>
            <w:tcW w:w="711"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15.352</w:t>
            </w:r>
          </w:p>
        </w:tc>
        <w:tc>
          <w:tcPr>
            <w:tcW w:w="57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143°</w:t>
            </w:r>
          </w:p>
        </w:tc>
        <w:tc>
          <w:tcPr>
            <w:tcW w:w="712"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14.020</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jc w:val="center"/>
              <w:rPr>
                <w:color w:val="000000"/>
                <w:sz w:val="14"/>
                <w:szCs w:val="14"/>
              </w:rPr>
            </w:pPr>
          </w:p>
        </w:tc>
        <w:tc>
          <w:tcPr>
            <w:tcW w:w="1287" w:type="dxa"/>
            <w:vMerge/>
            <w:shd w:val="clear" w:color="auto" w:fill="E7F3F4"/>
            <w:noWrap/>
            <w:vAlign w:val="center"/>
          </w:tcPr>
          <w:p w:rsidR="004902B0" w:rsidRPr="00880D29" w:rsidRDefault="004902B0" w:rsidP="00CD53D5">
            <w:pPr>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FR2*</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Farmer Is.</w:t>
            </w:r>
          </w:p>
        </w:tc>
        <w:tc>
          <w:tcPr>
            <w:tcW w:w="48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12°</w:t>
            </w:r>
          </w:p>
        </w:tc>
        <w:tc>
          <w:tcPr>
            <w:tcW w:w="711"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15.448</w:t>
            </w:r>
          </w:p>
        </w:tc>
        <w:tc>
          <w:tcPr>
            <w:tcW w:w="57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143°</w:t>
            </w:r>
          </w:p>
        </w:tc>
        <w:tc>
          <w:tcPr>
            <w:tcW w:w="712"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14.185</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jc w:val="center"/>
              <w:rPr>
                <w:color w:val="000000"/>
                <w:sz w:val="14"/>
                <w:szCs w:val="14"/>
              </w:rPr>
            </w:pPr>
          </w:p>
        </w:tc>
        <w:tc>
          <w:tcPr>
            <w:tcW w:w="1287" w:type="dxa"/>
            <w:vMerge/>
            <w:shd w:val="clear" w:color="auto" w:fill="E7F3F4"/>
            <w:noWrap/>
            <w:vAlign w:val="center"/>
          </w:tcPr>
          <w:p w:rsidR="004902B0" w:rsidRPr="00880D29" w:rsidRDefault="004902B0" w:rsidP="00CD53D5">
            <w:pPr>
              <w:jc w:val="center"/>
              <w:rPr>
                <w:color w:val="000000"/>
                <w:sz w:val="14"/>
                <w:szCs w:val="14"/>
              </w:rPr>
            </w:pPr>
          </w:p>
        </w:tc>
        <w:tc>
          <w:tcPr>
            <w:tcW w:w="1186" w:type="dxa"/>
            <w:vMerge w:val="restart"/>
            <w:shd w:val="clear" w:color="auto" w:fill="E7F3F4"/>
            <w:vAlign w:val="center"/>
          </w:tcPr>
          <w:p w:rsidR="004902B0" w:rsidRPr="00880D29" w:rsidRDefault="004902B0" w:rsidP="00CD53D5">
            <w:pPr>
              <w:spacing w:before="0" w:after="0"/>
              <w:jc w:val="center"/>
              <w:rPr>
                <w:color w:val="000000"/>
                <w:sz w:val="14"/>
                <w:szCs w:val="14"/>
              </w:rPr>
            </w:pPr>
            <w:r w:rsidRPr="00880D29">
              <w:rPr>
                <w:color w:val="000000"/>
                <w:sz w:val="14"/>
                <w:szCs w:val="14"/>
              </w:rPr>
              <w:t>Normanby</w:t>
            </w: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Stanley Island</w:t>
            </w:r>
          </w:p>
          <w:p w:rsidR="004902B0" w:rsidRPr="00880D29" w:rsidRDefault="004902B0" w:rsidP="00CD53D5">
            <w:pPr>
              <w:spacing w:before="0" w:after="0"/>
              <w:jc w:val="center"/>
              <w:rPr>
                <w:i/>
                <w:color w:val="000000"/>
                <w:sz w:val="14"/>
                <w:szCs w:val="14"/>
              </w:rPr>
            </w:pPr>
            <w:r w:rsidRPr="00880D29">
              <w:rPr>
                <w:i/>
                <w:color w:val="000000"/>
                <w:sz w:val="14"/>
                <w:szCs w:val="14"/>
              </w:rPr>
              <w:t>reef</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ST1*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Stanley Island</w:t>
            </w:r>
          </w:p>
        </w:tc>
        <w:tc>
          <w:tcPr>
            <w:tcW w:w="48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w:t>
            </w:r>
          </w:p>
        </w:tc>
        <w:tc>
          <w:tcPr>
            <w:tcW w:w="711"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8.576</w:t>
            </w:r>
          </w:p>
        </w:tc>
        <w:tc>
          <w:tcPr>
            <w:tcW w:w="57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144°</w:t>
            </w:r>
          </w:p>
        </w:tc>
        <w:tc>
          <w:tcPr>
            <w:tcW w:w="712"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14.680</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jc w:val="center"/>
              <w:rPr>
                <w:color w:val="000000"/>
                <w:sz w:val="14"/>
                <w:szCs w:val="14"/>
              </w:rPr>
            </w:pPr>
          </w:p>
        </w:tc>
        <w:tc>
          <w:tcPr>
            <w:tcW w:w="1287" w:type="dxa"/>
            <w:vMerge/>
            <w:shd w:val="clear" w:color="auto" w:fill="E7F3F4"/>
            <w:noWrap/>
            <w:vAlign w:val="center"/>
          </w:tcPr>
          <w:p w:rsidR="004902B0" w:rsidRPr="00880D29" w:rsidRDefault="004902B0" w:rsidP="00CD53D5">
            <w:pPr>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ST2*</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Stanley Island</w:t>
            </w:r>
          </w:p>
        </w:tc>
        <w:tc>
          <w:tcPr>
            <w:tcW w:w="48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w:t>
            </w:r>
          </w:p>
        </w:tc>
        <w:tc>
          <w:tcPr>
            <w:tcW w:w="711"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8.547</w:t>
            </w:r>
          </w:p>
        </w:tc>
        <w:tc>
          <w:tcPr>
            <w:tcW w:w="57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144°</w:t>
            </w:r>
          </w:p>
        </w:tc>
        <w:tc>
          <w:tcPr>
            <w:tcW w:w="712"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14.588</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jc w:val="center"/>
              <w:rPr>
                <w:color w:val="000000"/>
                <w:sz w:val="14"/>
                <w:szCs w:val="14"/>
              </w:rPr>
            </w:pPr>
          </w:p>
        </w:tc>
        <w:tc>
          <w:tcPr>
            <w:tcW w:w="1287" w:type="dxa"/>
            <w:vMerge/>
            <w:shd w:val="clear" w:color="auto" w:fill="E7F3F4"/>
            <w:noWrap/>
            <w:vAlign w:val="center"/>
          </w:tcPr>
          <w:p w:rsidR="004902B0" w:rsidRPr="00880D29" w:rsidRDefault="004902B0" w:rsidP="00CD53D5">
            <w:pPr>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Bathurst Bay</w:t>
            </w:r>
          </w:p>
          <w:p w:rsidR="004902B0" w:rsidRPr="00880D29" w:rsidRDefault="004902B0" w:rsidP="00CD53D5">
            <w:pPr>
              <w:spacing w:before="0" w:after="0"/>
              <w:jc w:val="center"/>
              <w:rPr>
                <w:i/>
                <w:color w:val="000000"/>
                <w:sz w:val="14"/>
                <w:szCs w:val="14"/>
              </w:rPr>
            </w:pPr>
            <w:r w:rsidRPr="00880D29">
              <w:rPr>
                <w:i/>
                <w:color w:val="000000"/>
                <w:sz w:val="14"/>
                <w:szCs w:val="14"/>
              </w:rPr>
              <w:t>coastal</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BY1*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Bathurst Bay</w:t>
            </w:r>
          </w:p>
        </w:tc>
        <w:tc>
          <w:tcPr>
            <w:tcW w:w="48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w:t>
            </w:r>
          </w:p>
        </w:tc>
        <w:tc>
          <w:tcPr>
            <w:tcW w:w="711"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16.082</w:t>
            </w:r>
          </w:p>
        </w:tc>
        <w:tc>
          <w:tcPr>
            <w:tcW w:w="57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144°</w:t>
            </w:r>
          </w:p>
        </w:tc>
        <w:tc>
          <w:tcPr>
            <w:tcW w:w="712"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13.961</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jc w:val="center"/>
              <w:rPr>
                <w:color w:val="000000"/>
                <w:sz w:val="14"/>
                <w:szCs w:val="14"/>
              </w:rPr>
            </w:pPr>
          </w:p>
        </w:tc>
        <w:tc>
          <w:tcPr>
            <w:tcW w:w="1287" w:type="dxa"/>
            <w:vMerge/>
            <w:shd w:val="clear" w:color="auto" w:fill="E7F3F4"/>
            <w:noWrap/>
            <w:vAlign w:val="center"/>
          </w:tcPr>
          <w:p w:rsidR="004902B0" w:rsidRPr="00880D29" w:rsidRDefault="004902B0" w:rsidP="00CD53D5">
            <w:pPr>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BY2*</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Bathurst Bay</w:t>
            </w:r>
          </w:p>
        </w:tc>
        <w:tc>
          <w:tcPr>
            <w:tcW w:w="48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w:t>
            </w:r>
          </w:p>
        </w:tc>
        <w:tc>
          <w:tcPr>
            <w:tcW w:w="711"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16.062</w:t>
            </w:r>
          </w:p>
        </w:tc>
        <w:tc>
          <w:tcPr>
            <w:tcW w:w="57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144°</w:t>
            </w:r>
          </w:p>
        </w:tc>
        <w:tc>
          <w:tcPr>
            <w:tcW w:w="712"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13.896</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val="restart"/>
            <w:shd w:val="clear" w:color="auto" w:fill="E7F3F4"/>
            <w:vAlign w:val="center"/>
          </w:tcPr>
          <w:p w:rsidR="004902B0" w:rsidRPr="00880D29" w:rsidRDefault="00A2184C" w:rsidP="00CD53D5">
            <w:pPr>
              <w:spacing w:before="0" w:after="0"/>
              <w:jc w:val="center"/>
              <w:rPr>
                <w:color w:val="000000"/>
                <w:sz w:val="14"/>
                <w:szCs w:val="14"/>
              </w:rPr>
            </w:pPr>
            <w:r>
              <w:rPr>
                <w:color w:val="000000"/>
                <w:sz w:val="14"/>
                <w:szCs w:val="14"/>
              </w:rPr>
              <w:t>Endeavour</w:t>
            </w: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Cooktown</w:t>
            </w:r>
          </w:p>
          <w:p w:rsidR="004902B0" w:rsidRPr="00880D29" w:rsidRDefault="004902B0" w:rsidP="00CD53D5">
            <w:pPr>
              <w:spacing w:before="0" w:after="0"/>
              <w:jc w:val="center"/>
              <w:rPr>
                <w:color w:val="000000"/>
                <w:sz w:val="14"/>
                <w:szCs w:val="14"/>
              </w:rPr>
            </w:pPr>
            <w:r w:rsidRPr="00880D29">
              <w:rPr>
                <w:i/>
                <w:color w:val="000000"/>
                <w:sz w:val="14"/>
                <w:szCs w:val="14"/>
              </w:rPr>
              <w:t>reef</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AP1*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Archer Point</w:t>
            </w:r>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36.500</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145°</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19.143</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r w:rsidRPr="00F45F13">
              <w:rPr>
                <w:color w:val="000000"/>
                <w:sz w:val="14"/>
                <w:szCs w:val="14"/>
              </w:rPr>
              <w:t>*</w:t>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AP2*</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Archer Point</w:t>
            </w:r>
          </w:p>
        </w:tc>
        <w:tc>
          <w:tcPr>
            <w:tcW w:w="486" w:type="dxa"/>
            <w:shd w:val="clear" w:color="auto" w:fill="E7F3F4"/>
            <w:vAlign w:val="center"/>
          </w:tcPr>
          <w:p w:rsidR="004902B0" w:rsidRPr="00880D29" w:rsidRDefault="004902B0" w:rsidP="00CD53D5">
            <w:pPr>
              <w:spacing w:before="0" w:after="0"/>
              <w:jc w:val="center"/>
              <w:rPr>
                <w:color w:val="000000"/>
                <w:sz w:val="14"/>
                <w:szCs w:val="14"/>
              </w:rPr>
            </w:pPr>
            <w:r w:rsidRPr="00880D29">
              <w:rPr>
                <w:color w:val="000000"/>
                <w:sz w:val="14"/>
                <w:szCs w:val="14"/>
              </w:rPr>
              <w:t>15°</w:t>
            </w:r>
          </w:p>
        </w:tc>
        <w:tc>
          <w:tcPr>
            <w:tcW w:w="711" w:type="dxa"/>
            <w:shd w:val="clear" w:color="auto" w:fill="E7F3F4"/>
            <w:vAlign w:val="center"/>
          </w:tcPr>
          <w:p w:rsidR="004902B0" w:rsidRPr="00880D29" w:rsidRDefault="004902B0" w:rsidP="00CD53D5">
            <w:pPr>
              <w:spacing w:before="0" w:after="0"/>
              <w:jc w:val="center"/>
              <w:rPr>
                <w:color w:val="000000"/>
                <w:sz w:val="14"/>
                <w:szCs w:val="14"/>
              </w:rPr>
            </w:pPr>
            <w:r w:rsidRPr="00880D29">
              <w:rPr>
                <w:color w:val="000000"/>
                <w:sz w:val="14"/>
                <w:szCs w:val="14"/>
              </w:rPr>
              <w:t>36.525</w:t>
            </w:r>
          </w:p>
        </w:tc>
        <w:tc>
          <w:tcPr>
            <w:tcW w:w="576" w:type="dxa"/>
            <w:shd w:val="clear" w:color="auto" w:fill="E7F3F4"/>
            <w:vAlign w:val="center"/>
          </w:tcPr>
          <w:p w:rsidR="004902B0" w:rsidRPr="00880D29" w:rsidRDefault="004902B0" w:rsidP="00CD53D5">
            <w:pPr>
              <w:spacing w:before="0" w:after="0"/>
              <w:jc w:val="center"/>
              <w:rPr>
                <w:color w:val="000000"/>
                <w:sz w:val="14"/>
                <w:szCs w:val="14"/>
              </w:rPr>
            </w:pPr>
            <w:r w:rsidRPr="00880D29">
              <w:rPr>
                <w:color w:val="000000"/>
                <w:sz w:val="14"/>
                <w:szCs w:val="14"/>
              </w:rPr>
              <w:t>145°</w:t>
            </w:r>
          </w:p>
        </w:tc>
        <w:tc>
          <w:tcPr>
            <w:tcW w:w="712" w:type="dxa"/>
            <w:shd w:val="clear" w:color="auto" w:fill="E7F3F4"/>
            <w:vAlign w:val="center"/>
          </w:tcPr>
          <w:p w:rsidR="004902B0" w:rsidRPr="00880D29" w:rsidRDefault="004902B0" w:rsidP="00CD53D5">
            <w:pPr>
              <w:spacing w:before="0" w:after="0"/>
              <w:jc w:val="center"/>
              <w:rPr>
                <w:color w:val="000000"/>
                <w:sz w:val="14"/>
                <w:szCs w:val="14"/>
              </w:rPr>
            </w:pPr>
            <w:r w:rsidRPr="00880D29">
              <w:rPr>
                <w:color w:val="000000"/>
                <w:sz w:val="14"/>
                <w:szCs w:val="14"/>
              </w:rPr>
              <w:t>19.108</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val="restart"/>
            <w:shd w:val="clear" w:color="auto" w:fill="auto"/>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Northern</w:t>
            </w:r>
          </w:p>
        </w:tc>
        <w:tc>
          <w:tcPr>
            <w:tcW w:w="1287"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Wet Tropics</w:t>
            </w:r>
          </w:p>
          <w:p w:rsidR="004902B0" w:rsidRPr="00880D29" w:rsidRDefault="004902B0" w:rsidP="00CD53D5">
            <w:pPr>
              <w:spacing w:before="0" w:after="0"/>
              <w:jc w:val="center"/>
              <w:rPr>
                <w:color w:val="000000"/>
                <w:sz w:val="14"/>
                <w:szCs w:val="14"/>
              </w:rPr>
            </w:pPr>
            <w:r w:rsidRPr="00880D29">
              <w:rPr>
                <w:color w:val="000000"/>
                <w:sz w:val="14"/>
                <w:szCs w:val="14"/>
              </w:rPr>
              <w:t>(</w:t>
            </w:r>
            <w:r w:rsidRPr="00880D29">
              <w:rPr>
                <w:i/>
                <w:color w:val="000000"/>
                <w:sz w:val="14"/>
                <w:szCs w:val="14"/>
              </w:rPr>
              <w:t>Terrain NRM</w:t>
            </w:r>
            <w:r w:rsidRPr="00880D29">
              <w:rPr>
                <w:color w:val="000000"/>
                <w:sz w:val="14"/>
                <w:szCs w:val="14"/>
              </w:rPr>
              <w:t>)</w:t>
            </w:r>
          </w:p>
        </w:tc>
        <w:tc>
          <w:tcPr>
            <w:tcW w:w="1186" w:type="dxa"/>
            <w:vMerge w:val="restart"/>
            <w:shd w:val="clear" w:color="auto" w:fill="F3F9FA"/>
            <w:vAlign w:val="center"/>
          </w:tcPr>
          <w:p w:rsidR="004902B0" w:rsidRPr="00880D29" w:rsidRDefault="004902B0" w:rsidP="00CD53D5">
            <w:pPr>
              <w:spacing w:before="0" w:after="0"/>
              <w:jc w:val="center"/>
              <w:rPr>
                <w:color w:val="000000"/>
                <w:sz w:val="14"/>
                <w:szCs w:val="14"/>
              </w:rPr>
            </w:pPr>
            <w:r w:rsidRPr="00880D29">
              <w:rPr>
                <w:color w:val="000000"/>
                <w:sz w:val="14"/>
                <w:szCs w:val="14"/>
              </w:rPr>
              <w:t>Daintree</w:t>
            </w:r>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Low Isles</w:t>
            </w:r>
          </w:p>
          <w:p w:rsidR="004902B0" w:rsidRPr="00880D29" w:rsidRDefault="004902B0" w:rsidP="00CD53D5">
            <w:pPr>
              <w:spacing w:before="0" w:after="0"/>
              <w:jc w:val="center"/>
              <w:rPr>
                <w:color w:val="000000"/>
                <w:sz w:val="14"/>
                <w:szCs w:val="14"/>
              </w:rPr>
            </w:pPr>
            <w:r w:rsidRPr="00880D29">
              <w:rPr>
                <w:i/>
                <w:color w:val="000000"/>
                <w:sz w:val="14"/>
                <w:szCs w:val="14"/>
              </w:rPr>
              <w:t>reef</w:t>
            </w: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LI1*</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Low Isles</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23.11</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33.88</w:t>
            </w:r>
          </w:p>
        </w:tc>
        <w:tc>
          <w:tcPr>
            <w:tcW w:w="481" w:type="dxa"/>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6"/>
                <w:szCs w:val="16"/>
              </w:rPr>
            </w:pPr>
            <w:r w:rsidRPr="00F45F13">
              <w:rPr>
                <w:color w:val="000000"/>
                <w:sz w:val="16"/>
                <w:szCs w:val="16"/>
              </w:rPr>
              <w:sym w:font="Wingdings" w:char="F06E"/>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LI2^</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Low Isles</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22.97</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33.85</w:t>
            </w:r>
          </w:p>
        </w:tc>
        <w:tc>
          <w:tcPr>
            <w:tcW w:w="481" w:type="dxa"/>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val="restart"/>
            <w:shd w:val="clear" w:color="auto" w:fill="F3F9FA"/>
            <w:vAlign w:val="center"/>
          </w:tcPr>
          <w:p w:rsidR="00C02B42" w:rsidRDefault="00C02B42" w:rsidP="00CD53D5">
            <w:pPr>
              <w:spacing w:before="0" w:after="0"/>
              <w:jc w:val="center"/>
              <w:rPr>
                <w:color w:val="000000"/>
                <w:sz w:val="14"/>
                <w:szCs w:val="14"/>
              </w:rPr>
            </w:pPr>
            <w:r>
              <w:rPr>
                <w:color w:val="000000"/>
                <w:sz w:val="14"/>
                <w:szCs w:val="14"/>
              </w:rPr>
              <w:t>Mossman</w:t>
            </w:r>
          </w:p>
          <w:p w:rsidR="004902B0" w:rsidRPr="00880D29" w:rsidRDefault="004902B0" w:rsidP="00CD53D5">
            <w:pPr>
              <w:spacing w:before="0" w:after="0"/>
              <w:jc w:val="center"/>
              <w:rPr>
                <w:color w:val="000000"/>
                <w:sz w:val="14"/>
                <w:szCs w:val="14"/>
              </w:rPr>
            </w:pPr>
            <w:r w:rsidRPr="00880D29">
              <w:rPr>
                <w:color w:val="000000"/>
                <w:sz w:val="14"/>
                <w:szCs w:val="14"/>
              </w:rPr>
              <w:t>Barron</w:t>
            </w:r>
          </w:p>
          <w:p w:rsidR="004902B0" w:rsidRPr="00880D29" w:rsidRDefault="004902B0" w:rsidP="00CD53D5">
            <w:pPr>
              <w:spacing w:before="0" w:after="0"/>
              <w:jc w:val="center"/>
              <w:rPr>
                <w:color w:val="000000"/>
                <w:sz w:val="14"/>
                <w:szCs w:val="14"/>
              </w:rPr>
            </w:pPr>
            <w:r w:rsidRPr="00880D29">
              <w:rPr>
                <w:color w:val="000000"/>
                <w:sz w:val="14"/>
                <w:szCs w:val="14"/>
              </w:rPr>
              <w:t>Russell -Mulgrave</w:t>
            </w:r>
          </w:p>
          <w:p w:rsidR="004902B0" w:rsidRPr="00880D29" w:rsidRDefault="004902B0" w:rsidP="00CD53D5">
            <w:pPr>
              <w:spacing w:before="0" w:after="0"/>
              <w:jc w:val="center"/>
              <w:rPr>
                <w:color w:val="000000"/>
                <w:sz w:val="14"/>
                <w:szCs w:val="14"/>
              </w:rPr>
            </w:pPr>
            <w:r w:rsidRPr="00880D29">
              <w:rPr>
                <w:color w:val="000000"/>
                <w:sz w:val="14"/>
                <w:szCs w:val="14"/>
              </w:rPr>
              <w:t>Johnstone</w:t>
            </w:r>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Yule Point</w:t>
            </w:r>
          </w:p>
          <w:p w:rsidR="004902B0" w:rsidRPr="00880D29" w:rsidRDefault="004902B0" w:rsidP="00CD53D5">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YP1*</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Yule Point</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34.159</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30.744</w:t>
            </w:r>
          </w:p>
        </w:tc>
        <w:tc>
          <w:tcPr>
            <w:tcW w:w="481" w:type="dxa"/>
            <w:vMerge w:val="restart"/>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r w:rsidRPr="00F45F13">
              <w:rPr>
                <w:color w:val="000000"/>
                <w:sz w:val="14"/>
                <w:szCs w:val="14"/>
              </w:rPr>
              <w:t>*</w:t>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YP2*</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Yule Point</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33.832</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30.555</w:t>
            </w:r>
          </w:p>
        </w:tc>
        <w:tc>
          <w:tcPr>
            <w:tcW w:w="481" w:type="dxa"/>
            <w:vMerge/>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Green Island</w:t>
            </w:r>
          </w:p>
          <w:p w:rsidR="004902B0" w:rsidRPr="00880D29" w:rsidRDefault="004902B0" w:rsidP="00CD53D5">
            <w:pPr>
              <w:spacing w:before="0" w:after="0"/>
              <w:jc w:val="center"/>
              <w:rPr>
                <w:color w:val="000000"/>
                <w:sz w:val="14"/>
                <w:szCs w:val="14"/>
              </w:rPr>
            </w:pPr>
            <w:r w:rsidRPr="00880D29">
              <w:rPr>
                <w:i/>
                <w:color w:val="000000"/>
                <w:sz w:val="14"/>
                <w:szCs w:val="14"/>
              </w:rPr>
              <w:t>reef</w:t>
            </w: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GI1*</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Green Island</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45.789</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58.31</w:t>
            </w:r>
          </w:p>
        </w:tc>
        <w:tc>
          <w:tcPr>
            <w:tcW w:w="481" w:type="dxa"/>
            <w:vMerge w:val="restart"/>
            <w:shd w:val="clear" w:color="auto" w:fill="F3F9FA"/>
            <w:noWrap/>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GI2*</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Green Island</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45.776</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58.501</w:t>
            </w:r>
          </w:p>
        </w:tc>
        <w:tc>
          <w:tcPr>
            <w:tcW w:w="481" w:type="dxa"/>
            <w:vMerge/>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GI3^</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Green Island</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45.29</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58.38</w:t>
            </w:r>
          </w:p>
        </w:tc>
        <w:tc>
          <w:tcPr>
            <w:tcW w:w="481" w:type="dxa"/>
            <w:shd w:val="clear" w:color="auto" w:fill="F3F9FA"/>
            <w:noWrap/>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val="restart"/>
            <w:shd w:val="clear" w:color="auto" w:fill="F3F9FA"/>
            <w:vAlign w:val="center"/>
          </w:tcPr>
          <w:p w:rsidR="004902B0" w:rsidRPr="00880D29" w:rsidRDefault="004902B0" w:rsidP="00CD53D5">
            <w:pPr>
              <w:spacing w:before="0" w:after="0"/>
              <w:jc w:val="center"/>
              <w:rPr>
                <w:color w:val="000000"/>
                <w:sz w:val="14"/>
                <w:szCs w:val="14"/>
              </w:rPr>
            </w:pPr>
            <w:r w:rsidRPr="00880D29">
              <w:rPr>
                <w:color w:val="000000"/>
                <w:sz w:val="14"/>
                <w:szCs w:val="14"/>
              </w:rPr>
              <w:t>Tully</w:t>
            </w:r>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Mission Beach</w:t>
            </w:r>
          </w:p>
          <w:p w:rsidR="004902B0" w:rsidRPr="00880D29" w:rsidRDefault="004902B0" w:rsidP="00CD53D5">
            <w:pPr>
              <w:spacing w:before="0" w:after="0"/>
              <w:jc w:val="center"/>
              <w:rPr>
                <w:i/>
                <w:color w:val="000000"/>
                <w:sz w:val="14"/>
                <w:szCs w:val="14"/>
              </w:rPr>
            </w:pPr>
            <w:r w:rsidRPr="00880D29">
              <w:rPr>
                <w:i/>
                <w:color w:val="000000"/>
                <w:sz w:val="14"/>
                <w:szCs w:val="14"/>
              </w:rPr>
              <w:t xml:space="preserve">coastal </w:t>
            </w: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LB1*</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Lugger Bay</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57.645</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5.61</w:t>
            </w:r>
          </w:p>
        </w:tc>
        <w:tc>
          <w:tcPr>
            <w:tcW w:w="481" w:type="dxa"/>
            <w:vMerge w:val="restart"/>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iCs/>
                <w:color w:val="000000"/>
                <w:sz w:val="14"/>
                <w:szCs w:val="14"/>
              </w:rPr>
            </w:pPr>
            <w:r w:rsidRPr="00880D29">
              <w:rPr>
                <w:iCs/>
                <w:color w:val="000000"/>
                <w:sz w:val="14"/>
                <w:szCs w:val="14"/>
              </w:rPr>
              <w:t>LB2*</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Lugger Bay</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highlight w:val="yellow"/>
              </w:rPr>
            </w:pPr>
            <w:r w:rsidRPr="00880D29">
              <w:rPr>
                <w:color w:val="000000"/>
                <w:sz w:val="14"/>
                <w:szCs w:val="14"/>
              </w:rPr>
              <w:t>57.674</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highlight w:val="yellow"/>
              </w:rPr>
            </w:pPr>
            <w:r w:rsidRPr="00880D29">
              <w:rPr>
                <w:color w:val="000000"/>
                <w:sz w:val="14"/>
                <w:szCs w:val="14"/>
              </w:rPr>
              <w:t>5.612</w:t>
            </w:r>
          </w:p>
        </w:tc>
        <w:tc>
          <w:tcPr>
            <w:tcW w:w="481" w:type="dxa"/>
            <w:vMerge/>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Dunk Island</w:t>
            </w:r>
          </w:p>
          <w:p w:rsidR="004902B0" w:rsidRPr="00880D29" w:rsidRDefault="004902B0" w:rsidP="00CD53D5">
            <w:pPr>
              <w:spacing w:before="0" w:after="0"/>
              <w:jc w:val="center"/>
              <w:rPr>
                <w:i/>
                <w:color w:val="000000"/>
                <w:sz w:val="14"/>
                <w:szCs w:val="14"/>
              </w:rPr>
            </w:pPr>
            <w:r w:rsidRPr="00880D29">
              <w:rPr>
                <w:i/>
                <w:color w:val="000000"/>
                <w:sz w:val="14"/>
                <w:szCs w:val="14"/>
              </w:rPr>
              <w:t>reef</w:t>
            </w:r>
          </w:p>
        </w:tc>
        <w:tc>
          <w:tcPr>
            <w:tcW w:w="674" w:type="dxa"/>
            <w:shd w:val="clear" w:color="auto" w:fill="F3F9FA"/>
            <w:noWrap/>
            <w:vAlign w:val="center"/>
          </w:tcPr>
          <w:p w:rsidR="004902B0" w:rsidRPr="00880D29" w:rsidRDefault="004902B0" w:rsidP="00CD53D5">
            <w:pPr>
              <w:spacing w:before="0" w:after="0"/>
              <w:jc w:val="center"/>
              <w:rPr>
                <w:iCs/>
                <w:color w:val="000000"/>
                <w:sz w:val="14"/>
                <w:szCs w:val="14"/>
              </w:rPr>
            </w:pPr>
            <w:r w:rsidRPr="00880D29">
              <w:rPr>
                <w:iCs/>
                <w:color w:val="000000"/>
                <w:sz w:val="14"/>
                <w:szCs w:val="14"/>
              </w:rPr>
              <w:t>DI1*</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Dunk Island</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56.6496</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8.4654</w:t>
            </w:r>
          </w:p>
        </w:tc>
        <w:tc>
          <w:tcPr>
            <w:tcW w:w="481" w:type="dxa"/>
            <w:vMerge w:val="restart"/>
            <w:shd w:val="clear" w:color="auto" w:fill="F3F9FA"/>
            <w:noWrap/>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iCs/>
                <w:color w:val="000000"/>
                <w:sz w:val="14"/>
                <w:szCs w:val="14"/>
              </w:rPr>
            </w:pPr>
            <w:r w:rsidRPr="00880D29">
              <w:rPr>
                <w:iCs/>
                <w:color w:val="000000"/>
                <w:sz w:val="14"/>
                <w:szCs w:val="14"/>
              </w:rPr>
              <w:t>DI2*</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Dunk Island</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56.7396</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8.4624</w:t>
            </w:r>
          </w:p>
        </w:tc>
        <w:tc>
          <w:tcPr>
            <w:tcW w:w="481" w:type="dxa"/>
            <w:vMerge/>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iCs/>
                <w:color w:val="000000"/>
                <w:sz w:val="14"/>
                <w:szCs w:val="14"/>
              </w:rPr>
            </w:pPr>
            <w:r w:rsidRPr="00880D29">
              <w:rPr>
                <w:iCs/>
                <w:color w:val="000000"/>
                <w:sz w:val="14"/>
                <w:szCs w:val="14"/>
              </w:rPr>
              <w:t>DI3^</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Dunk Island</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55.91</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08.42</w:t>
            </w:r>
          </w:p>
        </w:tc>
        <w:tc>
          <w:tcPr>
            <w:tcW w:w="481" w:type="dxa"/>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c>
          <w:tcPr>
            <w:tcW w:w="426" w:type="dxa"/>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val="restart"/>
            <w:shd w:val="clear" w:color="auto" w:fill="auto"/>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Central</w:t>
            </w:r>
          </w:p>
        </w:tc>
        <w:tc>
          <w:tcPr>
            <w:tcW w:w="1287"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Burdekin</w:t>
            </w:r>
          </w:p>
          <w:p w:rsidR="004902B0" w:rsidRPr="00880D29" w:rsidRDefault="004902B0" w:rsidP="00CD53D5">
            <w:pPr>
              <w:spacing w:before="0" w:after="0"/>
              <w:jc w:val="center"/>
              <w:rPr>
                <w:color w:val="000000"/>
                <w:sz w:val="14"/>
                <w:szCs w:val="14"/>
              </w:rPr>
            </w:pPr>
            <w:r w:rsidRPr="00880D29">
              <w:rPr>
                <w:color w:val="000000"/>
                <w:sz w:val="14"/>
                <w:szCs w:val="14"/>
              </w:rPr>
              <w:t>(</w:t>
            </w:r>
            <w:r w:rsidRPr="00880D29">
              <w:rPr>
                <w:i/>
                <w:color w:val="000000"/>
                <w:sz w:val="14"/>
                <w:szCs w:val="14"/>
              </w:rPr>
              <w:t>NQ Dry Tropics</w:t>
            </w:r>
            <w:r w:rsidRPr="00880D29">
              <w:rPr>
                <w:color w:val="000000"/>
                <w:sz w:val="14"/>
                <w:szCs w:val="14"/>
              </w:rPr>
              <w:t>)</w:t>
            </w:r>
          </w:p>
        </w:tc>
        <w:tc>
          <w:tcPr>
            <w:tcW w:w="1186" w:type="dxa"/>
            <w:vMerge w:val="restart"/>
            <w:shd w:val="clear" w:color="auto" w:fill="E7F3F4"/>
            <w:vAlign w:val="center"/>
          </w:tcPr>
          <w:p w:rsidR="004902B0" w:rsidRPr="00880D29" w:rsidRDefault="004902B0" w:rsidP="00CD53D5">
            <w:pPr>
              <w:spacing w:before="0" w:after="0"/>
              <w:jc w:val="center"/>
              <w:rPr>
                <w:color w:val="000000"/>
                <w:sz w:val="14"/>
                <w:szCs w:val="14"/>
              </w:rPr>
            </w:pPr>
            <w:r w:rsidRPr="00880D29">
              <w:rPr>
                <w:color w:val="000000"/>
                <w:sz w:val="14"/>
                <w:szCs w:val="14"/>
              </w:rPr>
              <w:t>Burdekin</w:t>
            </w: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Magnetic island</w:t>
            </w:r>
          </w:p>
          <w:p w:rsidR="004902B0" w:rsidRPr="00880D29" w:rsidRDefault="004902B0" w:rsidP="00CD53D5">
            <w:pPr>
              <w:spacing w:before="0" w:after="0"/>
              <w:jc w:val="center"/>
              <w:rPr>
                <w:color w:val="000000"/>
                <w:sz w:val="14"/>
                <w:szCs w:val="14"/>
              </w:rPr>
            </w:pPr>
            <w:r w:rsidRPr="00880D29">
              <w:rPr>
                <w:i/>
                <w:color w:val="000000"/>
                <w:sz w:val="14"/>
                <w:szCs w:val="14"/>
              </w:rPr>
              <w:t>reef</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MI1*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Picnic Bay</w:t>
            </w:r>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10.734</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50.468</w:t>
            </w:r>
          </w:p>
        </w:tc>
        <w:tc>
          <w:tcPr>
            <w:tcW w:w="481" w:type="dxa"/>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r w:rsidRPr="00F45F13">
              <w:rPr>
                <w:color w:val="000000"/>
                <w:sz w:val="14"/>
                <w:szCs w:val="14"/>
              </w:rPr>
              <w:t>*</w:t>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MI2*</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Cockle Bay</w:t>
            </w:r>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10.612</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49.737</w:t>
            </w:r>
          </w:p>
        </w:tc>
        <w:tc>
          <w:tcPr>
            <w:tcW w:w="481" w:type="dxa"/>
            <w:shd w:val="clear" w:color="auto" w:fill="E7F3F4"/>
            <w:noWrap/>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MI3^</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Picnic Bay</w:t>
            </w:r>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10.734</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50.468</w:t>
            </w:r>
          </w:p>
        </w:tc>
        <w:tc>
          <w:tcPr>
            <w:tcW w:w="481" w:type="dxa"/>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c>
          <w:tcPr>
            <w:tcW w:w="426" w:type="dxa"/>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Townsville</w:t>
            </w:r>
          </w:p>
          <w:p w:rsidR="004902B0" w:rsidRPr="00880D29" w:rsidRDefault="004902B0" w:rsidP="00CD53D5">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SB1*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Shelley Beach</w:t>
            </w:r>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11.046</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45.697</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BB1*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Bushland Beach</w:t>
            </w:r>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11.028</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40.951</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Bowling Green Bay</w:t>
            </w:r>
          </w:p>
          <w:p w:rsidR="004902B0" w:rsidRPr="00880D29" w:rsidRDefault="004902B0" w:rsidP="00CD53D5">
            <w:pPr>
              <w:spacing w:before="0" w:after="0"/>
              <w:jc w:val="center"/>
              <w:rPr>
                <w:i/>
                <w:color w:val="000000"/>
                <w:sz w:val="14"/>
                <w:szCs w:val="14"/>
              </w:rPr>
            </w:pPr>
            <w:r w:rsidRPr="00880D29">
              <w:rPr>
                <w:i/>
                <w:color w:val="000000"/>
                <w:sz w:val="14"/>
                <w:szCs w:val="14"/>
              </w:rPr>
              <w:t>coastal</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JR1*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proofErr w:type="spellStart"/>
            <w:r w:rsidRPr="00880D29">
              <w:rPr>
                <w:color w:val="000000"/>
                <w:sz w:val="14"/>
                <w:szCs w:val="14"/>
              </w:rPr>
              <w:t>Jerona</w:t>
            </w:r>
            <w:proofErr w:type="spellEnd"/>
            <w:r w:rsidRPr="00880D29">
              <w:rPr>
                <w:color w:val="000000"/>
                <w:sz w:val="14"/>
                <w:szCs w:val="14"/>
              </w:rPr>
              <w:t xml:space="preserve"> (</w:t>
            </w:r>
            <w:proofErr w:type="spellStart"/>
            <w:r w:rsidRPr="00880D29">
              <w:rPr>
                <w:color w:val="000000"/>
                <w:sz w:val="14"/>
                <w:szCs w:val="14"/>
              </w:rPr>
              <w:t>Barratta</w:t>
            </w:r>
            <w:proofErr w:type="spellEnd"/>
            <w:r w:rsidRPr="00880D29">
              <w:rPr>
                <w:color w:val="000000"/>
                <w:sz w:val="14"/>
                <w:szCs w:val="14"/>
              </w:rPr>
              <w:t xml:space="preserve"> CK)</w:t>
            </w:r>
          </w:p>
        </w:tc>
        <w:tc>
          <w:tcPr>
            <w:tcW w:w="486" w:type="dxa"/>
            <w:shd w:val="clear" w:color="auto" w:fill="E7F3F4"/>
            <w:noWrap/>
          </w:tcPr>
          <w:p w:rsidR="004902B0" w:rsidRPr="00880D29" w:rsidRDefault="004902B0" w:rsidP="00CD53D5">
            <w:pPr>
              <w:spacing w:before="0" w:after="0"/>
              <w:jc w:val="center"/>
              <w:rPr>
                <w:color w:val="000000"/>
                <w:sz w:val="14"/>
                <w:szCs w:val="14"/>
              </w:rPr>
            </w:pPr>
            <w:r w:rsidRPr="00880D29">
              <w:rPr>
                <w:color w:val="000000"/>
                <w:sz w:val="14"/>
                <w:szCs w:val="14"/>
              </w:rPr>
              <w:t>19°</w:t>
            </w:r>
          </w:p>
        </w:tc>
        <w:tc>
          <w:tcPr>
            <w:tcW w:w="711" w:type="dxa"/>
            <w:shd w:val="clear" w:color="auto" w:fill="E7F3F4"/>
            <w:noWrap/>
          </w:tcPr>
          <w:p w:rsidR="004902B0" w:rsidRPr="00880D29" w:rsidRDefault="004902B0" w:rsidP="00CD53D5">
            <w:pPr>
              <w:spacing w:before="0" w:after="0"/>
              <w:jc w:val="center"/>
              <w:rPr>
                <w:color w:val="000000"/>
                <w:sz w:val="14"/>
                <w:szCs w:val="14"/>
              </w:rPr>
            </w:pPr>
            <w:r w:rsidRPr="00880D29">
              <w:rPr>
                <w:color w:val="000000"/>
                <w:sz w:val="14"/>
                <w:szCs w:val="14"/>
              </w:rPr>
              <w:t>25.380</w:t>
            </w:r>
          </w:p>
        </w:tc>
        <w:tc>
          <w:tcPr>
            <w:tcW w:w="576" w:type="dxa"/>
            <w:shd w:val="clear" w:color="auto" w:fill="E7F3F4"/>
            <w:noWrap/>
          </w:tcPr>
          <w:p w:rsidR="004902B0" w:rsidRPr="00880D29" w:rsidRDefault="004902B0" w:rsidP="00CD53D5">
            <w:pPr>
              <w:spacing w:before="0" w:after="0"/>
              <w:jc w:val="center"/>
              <w:rPr>
                <w:color w:val="000000"/>
                <w:sz w:val="14"/>
                <w:szCs w:val="14"/>
              </w:rPr>
            </w:pPr>
            <w:r w:rsidRPr="00880D29">
              <w:rPr>
                <w:color w:val="000000"/>
                <w:sz w:val="14"/>
                <w:szCs w:val="14"/>
              </w:rPr>
              <w:t>147°</w:t>
            </w:r>
          </w:p>
        </w:tc>
        <w:tc>
          <w:tcPr>
            <w:tcW w:w="712" w:type="dxa"/>
            <w:shd w:val="clear" w:color="auto" w:fill="E7F3F4"/>
            <w:noWrap/>
          </w:tcPr>
          <w:p w:rsidR="004902B0" w:rsidRPr="00880D29" w:rsidRDefault="004902B0" w:rsidP="00CD53D5">
            <w:pPr>
              <w:spacing w:before="0" w:after="0"/>
              <w:jc w:val="center"/>
              <w:rPr>
                <w:color w:val="000000"/>
                <w:sz w:val="14"/>
                <w:szCs w:val="14"/>
              </w:rPr>
            </w:pPr>
            <w:r w:rsidRPr="00880D29">
              <w:rPr>
                <w:color w:val="000000"/>
                <w:sz w:val="14"/>
                <w:szCs w:val="14"/>
              </w:rPr>
              <w:t>14.480</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JR2*</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proofErr w:type="spellStart"/>
            <w:r w:rsidRPr="00880D29">
              <w:rPr>
                <w:color w:val="000000"/>
                <w:sz w:val="14"/>
                <w:szCs w:val="14"/>
              </w:rPr>
              <w:t>Jerona</w:t>
            </w:r>
            <w:proofErr w:type="spellEnd"/>
            <w:r w:rsidRPr="00880D29">
              <w:rPr>
                <w:color w:val="000000"/>
                <w:sz w:val="14"/>
                <w:szCs w:val="14"/>
              </w:rPr>
              <w:t xml:space="preserve"> (</w:t>
            </w:r>
            <w:proofErr w:type="spellStart"/>
            <w:r w:rsidRPr="00880D29">
              <w:rPr>
                <w:color w:val="000000"/>
                <w:sz w:val="14"/>
                <w:szCs w:val="14"/>
              </w:rPr>
              <w:t>Barratta</w:t>
            </w:r>
            <w:proofErr w:type="spellEnd"/>
            <w:r w:rsidRPr="00880D29">
              <w:rPr>
                <w:color w:val="000000"/>
                <w:sz w:val="14"/>
                <w:szCs w:val="14"/>
              </w:rPr>
              <w:t xml:space="preserve"> CK)</w:t>
            </w:r>
          </w:p>
        </w:tc>
        <w:tc>
          <w:tcPr>
            <w:tcW w:w="486" w:type="dxa"/>
            <w:shd w:val="clear" w:color="auto" w:fill="E7F3F4"/>
            <w:noWrap/>
          </w:tcPr>
          <w:p w:rsidR="004902B0" w:rsidRPr="00880D29" w:rsidRDefault="004902B0" w:rsidP="00CD53D5">
            <w:pPr>
              <w:spacing w:before="0" w:after="0"/>
              <w:jc w:val="center"/>
              <w:rPr>
                <w:color w:val="000000"/>
                <w:sz w:val="14"/>
                <w:szCs w:val="14"/>
              </w:rPr>
            </w:pPr>
            <w:r w:rsidRPr="00880D29">
              <w:rPr>
                <w:color w:val="000000"/>
                <w:sz w:val="14"/>
                <w:szCs w:val="14"/>
              </w:rPr>
              <w:t>19°</w:t>
            </w:r>
          </w:p>
        </w:tc>
        <w:tc>
          <w:tcPr>
            <w:tcW w:w="711" w:type="dxa"/>
            <w:shd w:val="clear" w:color="auto" w:fill="E7F3F4"/>
            <w:noWrap/>
          </w:tcPr>
          <w:p w:rsidR="004902B0" w:rsidRPr="00880D29" w:rsidRDefault="004902B0" w:rsidP="00CD53D5">
            <w:pPr>
              <w:spacing w:before="0" w:after="0"/>
              <w:jc w:val="center"/>
              <w:rPr>
                <w:color w:val="000000"/>
                <w:sz w:val="14"/>
                <w:szCs w:val="14"/>
              </w:rPr>
            </w:pPr>
            <w:r w:rsidRPr="00880D29">
              <w:rPr>
                <w:color w:val="000000"/>
                <w:sz w:val="14"/>
                <w:szCs w:val="14"/>
              </w:rPr>
              <w:t>25.281</w:t>
            </w:r>
          </w:p>
        </w:tc>
        <w:tc>
          <w:tcPr>
            <w:tcW w:w="576" w:type="dxa"/>
            <w:shd w:val="clear" w:color="auto" w:fill="E7F3F4"/>
            <w:noWrap/>
          </w:tcPr>
          <w:p w:rsidR="004902B0" w:rsidRPr="00880D29" w:rsidRDefault="004902B0" w:rsidP="00CD53D5">
            <w:pPr>
              <w:spacing w:before="0" w:after="0"/>
              <w:jc w:val="center"/>
              <w:rPr>
                <w:color w:val="000000"/>
                <w:sz w:val="14"/>
                <w:szCs w:val="14"/>
              </w:rPr>
            </w:pPr>
            <w:r w:rsidRPr="00880D29">
              <w:rPr>
                <w:color w:val="000000"/>
                <w:sz w:val="14"/>
                <w:szCs w:val="14"/>
              </w:rPr>
              <w:t>147°</w:t>
            </w:r>
          </w:p>
        </w:tc>
        <w:tc>
          <w:tcPr>
            <w:tcW w:w="712" w:type="dxa"/>
            <w:shd w:val="clear" w:color="auto" w:fill="E7F3F4"/>
            <w:noWrap/>
          </w:tcPr>
          <w:p w:rsidR="004902B0" w:rsidRPr="00880D29" w:rsidRDefault="004902B0" w:rsidP="00CD53D5">
            <w:pPr>
              <w:spacing w:before="0" w:after="0"/>
              <w:jc w:val="center"/>
              <w:rPr>
                <w:color w:val="000000"/>
                <w:sz w:val="14"/>
                <w:szCs w:val="14"/>
              </w:rPr>
            </w:pPr>
            <w:r w:rsidRPr="00880D29">
              <w:rPr>
                <w:color w:val="000000"/>
                <w:sz w:val="14"/>
                <w:szCs w:val="14"/>
              </w:rPr>
              <w:t>14.425</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Mackay Whitsunday</w:t>
            </w:r>
          </w:p>
          <w:p w:rsidR="004902B0" w:rsidRPr="00880D29" w:rsidRDefault="004902B0" w:rsidP="00CD53D5">
            <w:pPr>
              <w:spacing w:before="0" w:after="0"/>
              <w:jc w:val="center"/>
              <w:rPr>
                <w:color w:val="000000"/>
                <w:sz w:val="14"/>
                <w:szCs w:val="14"/>
              </w:rPr>
            </w:pPr>
            <w:r w:rsidRPr="00880D29">
              <w:rPr>
                <w:color w:val="000000"/>
                <w:sz w:val="14"/>
                <w:szCs w:val="14"/>
              </w:rPr>
              <w:t>(</w:t>
            </w:r>
            <w:r w:rsidRPr="00880D29">
              <w:rPr>
                <w:i/>
                <w:color w:val="000000"/>
                <w:sz w:val="14"/>
                <w:szCs w:val="14"/>
              </w:rPr>
              <w:t>Reef Catchments</w:t>
            </w:r>
            <w:r w:rsidRPr="00880D29">
              <w:rPr>
                <w:color w:val="000000"/>
                <w:sz w:val="14"/>
                <w:szCs w:val="14"/>
              </w:rPr>
              <w:t>)</w:t>
            </w:r>
          </w:p>
        </w:tc>
        <w:tc>
          <w:tcPr>
            <w:tcW w:w="1186" w:type="dxa"/>
            <w:vMerge w:val="restart"/>
            <w:shd w:val="clear" w:color="auto" w:fill="F3F9FA"/>
            <w:vAlign w:val="center"/>
          </w:tcPr>
          <w:p w:rsidR="004902B0" w:rsidRPr="00880D29" w:rsidRDefault="004902B0" w:rsidP="00CD53D5">
            <w:pPr>
              <w:spacing w:before="0" w:after="0"/>
              <w:jc w:val="center"/>
              <w:rPr>
                <w:color w:val="000000"/>
                <w:sz w:val="14"/>
                <w:szCs w:val="14"/>
              </w:rPr>
            </w:pPr>
            <w:r w:rsidRPr="00880D29">
              <w:rPr>
                <w:color w:val="000000"/>
                <w:sz w:val="14"/>
                <w:szCs w:val="14"/>
              </w:rPr>
              <w:t>Proserpine</w:t>
            </w:r>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Whitsundays</w:t>
            </w:r>
          </w:p>
          <w:p w:rsidR="004902B0" w:rsidRPr="00880D29" w:rsidRDefault="004902B0" w:rsidP="00CD53D5">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PI2*</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Pioneer Bay</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20°</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16.176</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148°</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41.586</w:t>
            </w:r>
          </w:p>
        </w:tc>
        <w:tc>
          <w:tcPr>
            <w:tcW w:w="481" w:type="dxa"/>
            <w:vMerge w:val="restart"/>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PI3*</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Pioneer Bay</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20°</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16.248</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148°</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41.844</w:t>
            </w:r>
          </w:p>
        </w:tc>
        <w:tc>
          <w:tcPr>
            <w:tcW w:w="481" w:type="dxa"/>
            <w:vMerge/>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Whitsundays</w:t>
            </w:r>
          </w:p>
          <w:p w:rsidR="004902B0" w:rsidRPr="00880D29" w:rsidRDefault="004902B0" w:rsidP="00CD53D5">
            <w:pPr>
              <w:spacing w:before="0" w:after="0"/>
              <w:jc w:val="center"/>
              <w:rPr>
                <w:color w:val="000000"/>
                <w:sz w:val="14"/>
                <w:szCs w:val="14"/>
              </w:rPr>
            </w:pPr>
            <w:r w:rsidRPr="00880D29">
              <w:rPr>
                <w:i/>
                <w:color w:val="000000"/>
                <w:sz w:val="14"/>
                <w:szCs w:val="14"/>
              </w:rPr>
              <w:t>reef</w:t>
            </w: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HM1*</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Hamilton Island</w:t>
            </w:r>
          </w:p>
        </w:tc>
        <w:tc>
          <w:tcPr>
            <w:tcW w:w="486" w:type="dxa"/>
            <w:shd w:val="clear" w:color="auto" w:fill="F3F9FA"/>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20°</w:t>
            </w:r>
          </w:p>
        </w:tc>
        <w:tc>
          <w:tcPr>
            <w:tcW w:w="711" w:type="dxa"/>
            <w:shd w:val="clear" w:color="auto" w:fill="F3F9FA"/>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20.7396</w:t>
            </w:r>
          </w:p>
        </w:tc>
        <w:tc>
          <w:tcPr>
            <w:tcW w:w="576" w:type="dxa"/>
            <w:shd w:val="clear" w:color="auto" w:fill="F3F9FA"/>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148°</w:t>
            </w:r>
          </w:p>
        </w:tc>
        <w:tc>
          <w:tcPr>
            <w:tcW w:w="712" w:type="dxa"/>
            <w:shd w:val="clear" w:color="auto" w:fill="F3F9FA"/>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57.5658</w:t>
            </w:r>
          </w:p>
        </w:tc>
        <w:tc>
          <w:tcPr>
            <w:tcW w:w="481" w:type="dxa"/>
            <w:vMerge w:val="restart"/>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HM2*</w:t>
            </w:r>
          </w:p>
        </w:tc>
        <w:tc>
          <w:tcPr>
            <w:tcW w:w="1579" w:type="dxa"/>
            <w:shd w:val="clear" w:color="auto" w:fill="F3F9FA"/>
            <w:noWrap/>
            <w:vAlign w:val="center"/>
          </w:tcPr>
          <w:p w:rsidR="004902B0" w:rsidRPr="00880D29" w:rsidRDefault="004902B0" w:rsidP="00CD53D5">
            <w:pPr>
              <w:spacing w:before="0" w:after="0"/>
              <w:jc w:val="center"/>
              <w:rPr>
                <w:i/>
                <w:color w:val="000000"/>
                <w:sz w:val="14"/>
                <w:szCs w:val="14"/>
              </w:rPr>
            </w:pPr>
            <w:r w:rsidRPr="00880D29">
              <w:rPr>
                <w:color w:val="000000"/>
                <w:sz w:val="14"/>
                <w:szCs w:val="14"/>
              </w:rPr>
              <w:t>Hamilton Island</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20°</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20.802</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148°</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58.246</w:t>
            </w:r>
          </w:p>
        </w:tc>
        <w:tc>
          <w:tcPr>
            <w:tcW w:w="481" w:type="dxa"/>
            <w:vMerge/>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val="restart"/>
            <w:shd w:val="clear" w:color="auto" w:fill="F3F9FA"/>
            <w:vAlign w:val="center"/>
          </w:tcPr>
          <w:p w:rsidR="004902B0" w:rsidRPr="00880D29" w:rsidRDefault="004902B0" w:rsidP="00CD53D5">
            <w:pPr>
              <w:spacing w:before="0" w:after="0"/>
              <w:jc w:val="center"/>
              <w:rPr>
                <w:color w:val="000000"/>
                <w:sz w:val="14"/>
                <w:szCs w:val="14"/>
              </w:rPr>
            </w:pPr>
            <w:r w:rsidRPr="00880D29">
              <w:rPr>
                <w:color w:val="000000"/>
                <w:sz w:val="14"/>
                <w:szCs w:val="14"/>
              </w:rPr>
              <w:t>Pioneer</w:t>
            </w:r>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Mackay</w:t>
            </w:r>
          </w:p>
          <w:p w:rsidR="004902B0" w:rsidRPr="00880D29" w:rsidRDefault="004902B0" w:rsidP="00CD53D5">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SI1*</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Sarina Inlet</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21°</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23.76</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149°</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18.2</w:t>
            </w:r>
          </w:p>
        </w:tc>
        <w:tc>
          <w:tcPr>
            <w:tcW w:w="481" w:type="dxa"/>
            <w:vMerge w:val="restart"/>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iCs/>
                <w:color w:val="000000"/>
                <w:sz w:val="14"/>
                <w:szCs w:val="14"/>
              </w:rPr>
            </w:pPr>
            <w:r w:rsidRPr="00880D29">
              <w:rPr>
                <w:iCs/>
                <w:color w:val="000000"/>
                <w:sz w:val="14"/>
                <w:szCs w:val="14"/>
              </w:rPr>
              <w:t>SI2*</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Sarina Inlet</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21°</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23.712</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149°</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18.276</w:t>
            </w:r>
          </w:p>
        </w:tc>
        <w:tc>
          <w:tcPr>
            <w:tcW w:w="481" w:type="dxa"/>
            <w:vMerge/>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val="restart"/>
            <w:shd w:val="clear" w:color="auto" w:fill="auto"/>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Southern</w:t>
            </w:r>
          </w:p>
        </w:tc>
        <w:tc>
          <w:tcPr>
            <w:tcW w:w="1287"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Fitzroy</w:t>
            </w:r>
          </w:p>
          <w:p w:rsidR="004902B0" w:rsidRPr="00880D29" w:rsidRDefault="004902B0" w:rsidP="00CD53D5">
            <w:pPr>
              <w:spacing w:before="0" w:after="0"/>
              <w:jc w:val="center"/>
              <w:rPr>
                <w:color w:val="000000"/>
                <w:sz w:val="14"/>
                <w:szCs w:val="14"/>
              </w:rPr>
            </w:pPr>
            <w:r w:rsidRPr="00880D29">
              <w:rPr>
                <w:color w:val="000000"/>
                <w:sz w:val="14"/>
                <w:szCs w:val="14"/>
              </w:rPr>
              <w:t>(</w:t>
            </w:r>
            <w:r w:rsidRPr="00880D29">
              <w:rPr>
                <w:i/>
                <w:color w:val="000000"/>
                <w:sz w:val="14"/>
                <w:szCs w:val="14"/>
              </w:rPr>
              <w:t>Fitzroy Basin Association</w:t>
            </w:r>
            <w:r w:rsidRPr="00880D29">
              <w:rPr>
                <w:color w:val="000000"/>
                <w:sz w:val="14"/>
                <w:szCs w:val="14"/>
              </w:rPr>
              <w:t>)</w:t>
            </w:r>
          </w:p>
        </w:tc>
        <w:tc>
          <w:tcPr>
            <w:tcW w:w="1186" w:type="dxa"/>
            <w:vMerge w:val="restart"/>
            <w:shd w:val="clear" w:color="auto" w:fill="E7F3F4"/>
            <w:vAlign w:val="center"/>
          </w:tcPr>
          <w:p w:rsidR="004902B0" w:rsidRPr="00880D29" w:rsidRDefault="004902B0" w:rsidP="00CD53D5">
            <w:pPr>
              <w:spacing w:before="0" w:after="0"/>
              <w:jc w:val="center"/>
              <w:rPr>
                <w:color w:val="000000"/>
                <w:sz w:val="14"/>
                <w:szCs w:val="14"/>
              </w:rPr>
            </w:pPr>
            <w:r w:rsidRPr="00880D29">
              <w:rPr>
                <w:color w:val="000000"/>
                <w:sz w:val="14"/>
                <w:szCs w:val="14"/>
              </w:rPr>
              <w:t>Fitzroy</w:t>
            </w: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Shoalwater Bay</w:t>
            </w:r>
          </w:p>
          <w:p w:rsidR="004902B0" w:rsidRPr="00880D29" w:rsidRDefault="004902B0" w:rsidP="00CD53D5">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RC1*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Ross Creek</w:t>
            </w:r>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22°</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22.953</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150°</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12.685</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WH1*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proofErr w:type="spellStart"/>
            <w:r w:rsidRPr="00880D29">
              <w:rPr>
                <w:color w:val="000000"/>
                <w:sz w:val="14"/>
                <w:szCs w:val="14"/>
              </w:rPr>
              <w:t>Wheelans</w:t>
            </w:r>
            <w:proofErr w:type="spellEnd"/>
            <w:r w:rsidRPr="00880D29">
              <w:rPr>
                <w:color w:val="000000"/>
                <w:sz w:val="14"/>
                <w:szCs w:val="14"/>
              </w:rPr>
              <w:t xml:space="preserve"> Hut</w:t>
            </w:r>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22°</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23.926</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150°</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16.366</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Keppel Islands</w:t>
            </w:r>
          </w:p>
          <w:p w:rsidR="004902B0" w:rsidRPr="00880D29" w:rsidRDefault="004902B0" w:rsidP="00CD53D5">
            <w:pPr>
              <w:spacing w:before="0" w:after="0"/>
              <w:jc w:val="center"/>
              <w:rPr>
                <w:color w:val="000000"/>
                <w:sz w:val="14"/>
                <w:szCs w:val="14"/>
              </w:rPr>
            </w:pPr>
            <w:r w:rsidRPr="00880D29">
              <w:rPr>
                <w:i/>
                <w:color w:val="000000"/>
                <w:sz w:val="14"/>
                <w:szCs w:val="14"/>
              </w:rPr>
              <w:t>reef</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GK1*</w:t>
            </w:r>
          </w:p>
        </w:tc>
        <w:tc>
          <w:tcPr>
            <w:tcW w:w="1579"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Great Keppel Is.</w:t>
            </w:r>
          </w:p>
        </w:tc>
        <w:tc>
          <w:tcPr>
            <w:tcW w:w="486" w:type="dxa"/>
            <w:shd w:val="clear" w:color="auto" w:fill="E7F3F4"/>
            <w:noWrap/>
            <w:vAlign w:val="bottom"/>
          </w:tcPr>
          <w:p w:rsidR="004902B0" w:rsidRPr="00880D29" w:rsidRDefault="004902B0" w:rsidP="00CD53D5">
            <w:pPr>
              <w:spacing w:before="0" w:after="0"/>
              <w:jc w:val="center"/>
              <w:rPr>
                <w:color w:val="000000"/>
                <w:sz w:val="14"/>
                <w:szCs w:val="14"/>
              </w:rPr>
            </w:pPr>
            <w:bookmarkStart w:id="50" w:name="OLE_LINK20"/>
            <w:bookmarkStart w:id="51" w:name="OLE_LINK21"/>
            <w:r w:rsidRPr="00880D29">
              <w:rPr>
                <w:color w:val="000000"/>
                <w:sz w:val="14"/>
                <w:szCs w:val="14"/>
              </w:rPr>
              <w:t>23°</w:t>
            </w:r>
            <w:bookmarkEnd w:id="50"/>
            <w:bookmarkEnd w:id="51"/>
          </w:p>
        </w:tc>
        <w:tc>
          <w:tcPr>
            <w:tcW w:w="711"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11.7834</w:t>
            </w:r>
          </w:p>
        </w:tc>
        <w:tc>
          <w:tcPr>
            <w:tcW w:w="576"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150°</w:t>
            </w:r>
          </w:p>
        </w:tc>
        <w:tc>
          <w:tcPr>
            <w:tcW w:w="712" w:type="dxa"/>
            <w:shd w:val="clear" w:color="auto" w:fill="E7F3F4"/>
            <w:noWrap/>
            <w:vAlign w:val="bottom"/>
          </w:tcPr>
          <w:p w:rsidR="004902B0" w:rsidRPr="00880D29" w:rsidRDefault="004902B0" w:rsidP="00CD53D5">
            <w:pPr>
              <w:spacing w:before="0" w:after="0"/>
              <w:jc w:val="center"/>
              <w:rPr>
                <w:color w:val="000000"/>
                <w:sz w:val="14"/>
                <w:szCs w:val="14"/>
              </w:rPr>
            </w:pPr>
            <w:r w:rsidRPr="00880D29">
              <w:rPr>
                <w:color w:val="000000"/>
                <w:sz w:val="14"/>
                <w:szCs w:val="14"/>
              </w:rPr>
              <w:t>56.3682</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GK2*</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Great Keppel Is.</w:t>
            </w:r>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23°</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11.637</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150°</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56.3778</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val="restart"/>
            <w:shd w:val="clear" w:color="auto" w:fill="E7F3F4"/>
            <w:vAlign w:val="center"/>
          </w:tcPr>
          <w:p w:rsidR="004902B0" w:rsidRPr="00880D29" w:rsidRDefault="004902B0" w:rsidP="00CD53D5">
            <w:pPr>
              <w:spacing w:before="0" w:after="0"/>
              <w:jc w:val="center"/>
              <w:rPr>
                <w:color w:val="000000"/>
                <w:sz w:val="14"/>
                <w:szCs w:val="14"/>
              </w:rPr>
            </w:pPr>
            <w:r w:rsidRPr="00880D29">
              <w:rPr>
                <w:color w:val="000000"/>
                <w:sz w:val="14"/>
                <w:szCs w:val="14"/>
              </w:rPr>
              <w:t>Boyne</w:t>
            </w:r>
          </w:p>
        </w:tc>
        <w:tc>
          <w:tcPr>
            <w:tcW w:w="1576" w:type="dxa"/>
            <w:vMerge w:val="restart"/>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Gladstone Harbour</w:t>
            </w:r>
          </w:p>
          <w:p w:rsidR="004902B0" w:rsidRPr="00880D29" w:rsidRDefault="004902B0" w:rsidP="00CD53D5">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GH1*</w:t>
            </w:r>
          </w:p>
        </w:tc>
        <w:tc>
          <w:tcPr>
            <w:tcW w:w="1579"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 xml:space="preserve">Gladstone </w:t>
            </w:r>
            <w:proofErr w:type="spellStart"/>
            <w:r w:rsidRPr="00880D29">
              <w:rPr>
                <w:color w:val="000000"/>
                <w:sz w:val="14"/>
                <w:szCs w:val="14"/>
              </w:rPr>
              <w:t>Hbr</w:t>
            </w:r>
            <w:proofErr w:type="spellEnd"/>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23°</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46.005</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151°</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18.052</w:t>
            </w:r>
          </w:p>
        </w:tc>
        <w:tc>
          <w:tcPr>
            <w:tcW w:w="481" w:type="dxa"/>
            <w:vMerge w:val="restart"/>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r>
              <w:rPr>
                <w:color w:val="000000"/>
                <w:sz w:val="14"/>
                <w:szCs w:val="14"/>
              </w:rPr>
              <w:t>*</w:t>
            </w: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E7F3F4"/>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E7F3F4"/>
            <w:vAlign w:val="center"/>
          </w:tcPr>
          <w:p w:rsidR="004902B0" w:rsidRPr="00880D29" w:rsidRDefault="004902B0" w:rsidP="00CD53D5">
            <w:pPr>
              <w:spacing w:before="0" w:after="0"/>
              <w:jc w:val="center"/>
              <w:rPr>
                <w:color w:val="000000"/>
                <w:sz w:val="14"/>
                <w:szCs w:val="14"/>
              </w:rPr>
            </w:pPr>
          </w:p>
        </w:tc>
        <w:tc>
          <w:tcPr>
            <w:tcW w:w="1576" w:type="dxa"/>
            <w:vMerge/>
            <w:shd w:val="clear" w:color="auto" w:fill="E7F3F4"/>
            <w:noWrap/>
            <w:vAlign w:val="center"/>
          </w:tcPr>
          <w:p w:rsidR="004902B0" w:rsidRPr="00880D29" w:rsidRDefault="004902B0" w:rsidP="00CD53D5">
            <w:pPr>
              <w:spacing w:before="0" w:after="0"/>
              <w:jc w:val="center"/>
              <w:rPr>
                <w:color w:val="000000"/>
                <w:sz w:val="14"/>
                <w:szCs w:val="14"/>
              </w:rPr>
            </w:pPr>
          </w:p>
        </w:tc>
        <w:tc>
          <w:tcPr>
            <w:tcW w:w="674"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GH2*</w:t>
            </w:r>
          </w:p>
        </w:tc>
        <w:tc>
          <w:tcPr>
            <w:tcW w:w="1579" w:type="dxa"/>
            <w:shd w:val="clear" w:color="auto" w:fill="E7F3F4"/>
            <w:noWrap/>
            <w:vAlign w:val="center"/>
          </w:tcPr>
          <w:p w:rsidR="004902B0" w:rsidRPr="00880D29" w:rsidRDefault="004902B0" w:rsidP="00CD53D5">
            <w:pPr>
              <w:spacing w:before="0" w:after="0"/>
              <w:jc w:val="center"/>
              <w:rPr>
                <w:i/>
                <w:color w:val="000000"/>
                <w:sz w:val="14"/>
                <w:szCs w:val="14"/>
              </w:rPr>
            </w:pPr>
            <w:r w:rsidRPr="00880D29">
              <w:rPr>
                <w:color w:val="000000"/>
                <w:sz w:val="14"/>
                <w:szCs w:val="14"/>
              </w:rPr>
              <w:t xml:space="preserve">Gladstone </w:t>
            </w:r>
            <w:proofErr w:type="spellStart"/>
            <w:r w:rsidRPr="00880D29">
              <w:rPr>
                <w:color w:val="000000"/>
                <w:sz w:val="14"/>
                <w:szCs w:val="14"/>
              </w:rPr>
              <w:t>Hbr</w:t>
            </w:r>
            <w:proofErr w:type="spellEnd"/>
          </w:p>
        </w:tc>
        <w:tc>
          <w:tcPr>
            <w:tcW w:w="48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23°</w:t>
            </w:r>
          </w:p>
        </w:tc>
        <w:tc>
          <w:tcPr>
            <w:tcW w:w="711"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45.874</w:t>
            </w:r>
          </w:p>
        </w:tc>
        <w:tc>
          <w:tcPr>
            <w:tcW w:w="576"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151°</w:t>
            </w:r>
          </w:p>
        </w:tc>
        <w:tc>
          <w:tcPr>
            <w:tcW w:w="712" w:type="dxa"/>
            <w:shd w:val="clear" w:color="auto" w:fill="E7F3F4"/>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18.224</w:t>
            </w:r>
          </w:p>
        </w:tc>
        <w:tc>
          <w:tcPr>
            <w:tcW w:w="481" w:type="dxa"/>
            <w:vMerge/>
            <w:shd w:val="clear" w:color="auto" w:fill="E7F3F4"/>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c>
          <w:tcPr>
            <w:tcW w:w="426" w:type="dxa"/>
            <w:vMerge/>
            <w:shd w:val="clear" w:color="auto" w:fill="E7F3F4"/>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Burnett Mary</w:t>
            </w:r>
          </w:p>
          <w:p w:rsidR="004902B0" w:rsidRPr="00880D29" w:rsidRDefault="004902B0" w:rsidP="00CD53D5">
            <w:pPr>
              <w:spacing w:before="0" w:after="0"/>
              <w:jc w:val="center"/>
              <w:rPr>
                <w:color w:val="000000"/>
                <w:sz w:val="14"/>
                <w:szCs w:val="14"/>
              </w:rPr>
            </w:pPr>
            <w:r w:rsidRPr="00880D29">
              <w:rPr>
                <w:color w:val="000000"/>
                <w:sz w:val="14"/>
                <w:szCs w:val="14"/>
              </w:rPr>
              <w:t>(</w:t>
            </w:r>
            <w:r w:rsidRPr="00880D29">
              <w:rPr>
                <w:i/>
                <w:color w:val="000000"/>
                <w:sz w:val="14"/>
                <w:szCs w:val="14"/>
              </w:rPr>
              <w:t>Burnett Mary Regional Group</w:t>
            </w:r>
            <w:r w:rsidRPr="00880D29">
              <w:rPr>
                <w:color w:val="000000"/>
                <w:sz w:val="14"/>
                <w:szCs w:val="14"/>
              </w:rPr>
              <w:t>)</w:t>
            </w:r>
          </w:p>
        </w:tc>
        <w:tc>
          <w:tcPr>
            <w:tcW w:w="1186" w:type="dxa"/>
            <w:vMerge w:val="restart"/>
            <w:shd w:val="clear" w:color="auto" w:fill="F3F9FA"/>
            <w:vAlign w:val="center"/>
          </w:tcPr>
          <w:p w:rsidR="004902B0" w:rsidRPr="00880D29" w:rsidRDefault="004902B0" w:rsidP="00CD53D5">
            <w:pPr>
              <w:spacing w:before="0" w:after="0"/>
              <w:jc w:val="center"/>
              <w:rPr>
                <w:color w:val="000000"/>
                <w:sz w:val="14"/>
                <w:szCs w:val="14"/>
              </w:rPr>
            </w:pPr>
            <w:bookmarkStart w:id="52" w:name="OLE_LINK22"/>
            <w:bookmarkStart w:id="53" w:name="OLE_LINK23"/>
            <w:r w:rsidRPr="00880D29">
              <w:rPr>
                <w:color w:val="000000"/>
                <w:sz w:val="14"/>
                <w:szCs w:val="14"/>
              </w:rPr>
              <w:t>Burnett</w:t>
            </w:r>
            <w:bookmarkEnd w:id="52"/>
            <w:bookmarkEnd w:id="53"/>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proofErr w:type="spellStart"/>
            <w:r w:rsidRPr="00880D29">
              <w:rPr>
                <w:color w:val="000000"/>
                <w:sz w:val="14"/>
                <w:szCs w:val="14"/>
              </w:rPr>
              <w:t>Rodds</w:t>
            </w:r>
            <w:proofErr w:type="spellEnd"/>
            <w:r w:rsidRPr="00880D29">
              <w:rPr>
                <w:color w:val="000000"/>
                <w:sz w:val="14"/>
                <w:szCs w:val="14"/>
              </w:rPr>
              <w:t xml:space="preserve"> Bay</w:t>
            </w:r>
          </w:p>
          <w:p w:rsidR="004902B0" w:rsidRPr="00880D29" w:rsidRDefault="004902B0" w:rsidP="00CD53D5">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F3F9FA"/>
            <w:noWrap/>
            <w:vAlign w:val="center"/>
          </w:tcPr>
          <w:p w:rsidR="004902B0" w:rsidRPr="00880D29" w:rsidRDefault="004902B0" w:rsidP="00CD53D5">
            <w:pPr>
              <w:spacing w:before="0" w:after="0"/>
              <w:jc w:val="center"/>
              <w:rPr>
                <w:iCs/>
                <w:color w:val="000000"/>
                <w:sz w:val="14"/>
                <w:szCs w:val="14"/>
              </w:rPr>
            </w:pPr>
            <w:r w:rsidRPr="00880D29">
              <w:rPr>
                <w:iCs/>
                <w:color w:val="000000"/>
                <w:sz w:val="14"/>
                <w:szCs w:val="14"/>
              </w:rPr>
              <w:t>RD1*</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proofErr w:type="spellStart"/>
            <w:r w:rsidRPr="00880D29">
              <w:rPr>
                <w:color w:val="000000"/>
                <w:sz w:val="14"/>
                <w:szCs w:val="14"/>
              </w:rPr>
              <w:t>Rodds</w:t>
            </w:r>
            <w:proofErr w:type="spellEnd"/>
            <w:r w:rsidRPr="00880D29">
              <w:rPr>
                <w:color w:val="000000"/>
                <w:sz w:val="14"/>
                <w:szCs w:val="14"/>
              </w:rPr>
              <w:t xml:space="preserve"> Bay</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24°</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3.4812</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151°</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39.3288</w:t>
            </w:r>
          </w:p>
        </w:tc>
        <w:tc>
          <w:tcPr>
            <w:tcW w:w="481" w:type="dxa"/>
            <w:vMerge w:val="restart"/>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iCs/>
                <w:color w:val="000000"/>
                <w:sz w:val="14"/>
                <w:szCs w:val="14"/>
              </w:rPr>
            </w:pPr>
            <w:r w:rsidRPr="00880D29">
              <w:rPr>
                <w:iCs/>
                <w:color w:val="000000"/>
                <w:sz w:val="14"/>
                <w:szCs w:val="14"/>
              </w:rPr>
              <w:t>RD2*</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proofErr w:type="spellStart"/>
            <w:r w:rsidRPr="00880D29">
              <w:rPr>
                <w:color w:val="000000"/>
                <w:sz w:val="14"/>
                <w:szCs w:val="14"/>
              </w:rPr>
              <w:t>Rodds</w:t>
            </w:r>
            <w:proofErr w:type="spellEnd"/>
            <w:r w:rsidRPr="00880D29">
              <w:rPr>
                <w:color w:val="000000"/>
                <w:sz w:val="14"/>
                <w:szCs w:val="14"/>
              </w:rPr>
              <w:t xml:space="preserve"> Bay</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highlight w:val="yellow"/>
              </w:rPr>
            </w:pPr>
            <w:r w:rsidRPr="00880D29">
              <w:rPr>
                <w:color w:val="000000"/>
                <w:sz w:val="14"/>
                <w:szCs w:val="14"/>
              </w:rPr>
              <w:t>24°</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4.866</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151°</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39.7584</w:t>
            </w:r>
          </w:p>
        </w:tc>
        <w:tc>
          <w:tcPr>
            <w:tcW w:w="481" w:type="dxa"/>
            <w:vMerge/>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shd w:val="clear" w:color="auto" w:fill="F3F9FA"/>
            <w:vAlign w:val="center"/>
          </w:tcPr>
          <w:p w:rsidR="004902B0" w:rsidRPr="00F45F13" w:rsidRDefault="004902B0" w:rsidP="00CD53D5">
            <w:pPr>
              <w:spacing w:before="0" w:after="0"/>
              <w:jc w:val="center"/>
              <w:rPr>
                <w:color w:val="000000"/>
                <w:sz w:val="14"/>
                <w:szCs w:val="14"/>
              </w:rPr>
            </w:pP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val="restart"/>
            <w:shd w:val="clear" w:color="auto" w:fill="F3F9FA"/>
            <w:vAlign w:val="center"/>
          </w:tcPr>
          <w:p w:rsidR="004902B0" w:rsidRPr="00880D29" w:rsidRDefault="004902B0" w:rsidP="00CD53D5">
            <w:pPr>
              <w:spacing w:before="0" w:after="0"/>
              <w:jc w:val="center"/>
              <w:rPr>
                <w:color w:val="000000"/>
                <w:sz w:val="14"/>
                <w:szCs w:val="14"/>
              </w:rPr>
            </w:pPr>
            <w:r w:rsidRPr="00880D29">
              <w:rPr>
                <w:color w:val="000000"/>
                <w:sz w:val="14"/>
                <w:szCs w:val="14"/>
              </w:rPr>
              <w:t>Mary</w:t>
            </w:r>
          </w:p>
        </w:tc>
        <w:tc>
          <w:tcPr>
            <w:tcW w:w="1576" w:type="dxa"/>
            <w:vMerge w:val="restart"/>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Hervey Bay</w:t>
            </w:r>
          </w:p>
          <w:p w:rsidR="004902B0" w:rsidRPr="00880D29" w:rsidRDefault="004902B0" w:rsidP="00CD53D5">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UG1*</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Urangan</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25°</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18.053</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152°</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54.409</w:t>
            </w:r>
          </w:p>
        </w:tc>
        <w:tc>
          <w:tcPr>
            <w:tcW w:w="481" w:type="dxa"/>
            <w:vMerge w:val="restart"/>
            <w:shd w:val="clear" w:color="auto" w:fill="F3F9FA"/>
            <w:noWrap/>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p>
        </w:tc>
        <w:tc>
          <w:tcPr>
            <w:tcW w:w="426" w:type="dxa"/>
            <w:vMerge w:val="restart"/>
            <w:shd w:val="clear" w:color="auto" w:fill="F3F9FA"/>
            <w:vAlign w:val="center"/>
          </w:tcPr>
          <w:p w:rsidR="004902B0" w:rsidRPr="00F45F13" w:rsidRDefault="004902B0" w:rsidP="00CD53D5">
            <w:pPr>
              <w:spacing w:before="0" w:after="0"/>
              <w:jc w:val="center"/>
              <w:rPr>
                <w:color w:val="000000"/>
                <w:sz w:val="14"/>
                <w:szCs w:val="14"/>
              </w:rPr>
            </w:pPr>
            <w:r w:rsidRPr="00F45F13">
              <w:rPr>
                <w:color w:val="000000"/>
                <w:sz w:val="16"/>
                <w:szCs w:val="16"/>
              </w:rPr>
              <w:sym w:font="Wingdings" w:char="F06E"/>
            </w:r>
          </w:p>
        </w:tc>
      </w:tr>
      <w:tr w:rsidR="004902B0" w:rsidRPr="00015190" w:rsidTr="00CD53D5">
        <w:trPr>
          <w:trHeight w:val="170"/>
          <w:jc w:val="center"/>
        </w:trPr>
        <w:tc>
          <w:tcPr>
            <w:tcW w:w="836" w:type="dxa"/>
            <w:vMerge/>
            <w:shd w:val="clear" w:color="auto" w:fill="auto"/>
            <w:noWrap/>
            <w:vAlign w:val="center"/>
          </w:tcPr>
          <w:p w:rsidR="004902B0" w:rsidRPr="00880D29" w:rsidRDefault="004902B0" w:rsidP="00CD53D5">
            <w:pPr>
              <w:spacing w:before="0" w:after="0"/>
              <w:ind w:firstLine="560"/>
              <w:jc w:val="center"/>
              <w:rPr>
                <w:color w:val="000000"/>
                <w:sz w:val="14"/>
                <w:szCs w:val="14"/>
              </w:rPr>
            </w:pPr>
          </w:p>
        </w:tc>
        <w:tc>
          <w:tcPr>
            <w:tcW w:w="1287"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18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1576" w:type="dxa"/>
            <w:vMerge/>
            <w:shd w:val="clear" w:color="auto" w:fill="F3F9FA"/>
            <w:noWrap/>
            <w:vAlign w:val="center"/>
          </w:tcPr>
          <w:p w:rsidR="004902B0" w:rsidRPr="00880D29" w:rsidRDefault="004902B0" w:rsidP="00CD53D5">
            <w:pPr>
              <w:spacing w:before="0" w:after="0"/>
              <w:jc w:val="center"/>
              <w:rPr>
                <w:color w:val="000000"/>
                <w:sz w:val="14"/>
                <w:szCs w:val="14"/>
              </w:rPr>
            </w:pPr>
          </w:p>
        </w:tc>
        <w:tc>
          <w:tcPr>
            <w:tcW w:w="674"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UG2*</w:t>
            </w:r>
          </w:p>
        </w:tc>
        <w:tc>
          <w:tcPr>
            <w:tcW w:w="1579"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Urangan</w:t>
            </w:r>
          </w:p>
        </w:tc>
        <w:tc>
          <w:tcPr>
            <w:tcW w:w="48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25°</w:t>
            </w:r>
          </w:p>
        </w:tc>
        <w:tc>
          <w:tcPr>
            <w:tcW w:w="711"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18.197</w:t>
            </w:r>
          </w:p>
        </w:tc>
        <w:tc>
          <w:tcPr>
            <w:tcW w:w="576"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152°</w:t>
            </w:r>
          </w:p>
        </w:tc>
        <w:tc>
          <w:tcPr>
            <w:tcW w:w="712" w:type="dxa"/>
            <w:shd w:val="clear" w:color="auto" w:fill="F3F9FA"/>
            <w:noWrap/>
            <w:vAlign w:val="center"/>
          </w:tcPr>
          <w:p w:rsidR="004902B0" w:rsidRPr="00880D29" w:rsidRDefault="004902B0" w:rsidP="00CD53D5">
            <w:pPr>
              <w:spacing w:before="0" w:after="0"/>
              <w:jc w:val="center"/>
              <w:rPr>
                <w:color w:val="000000"/>
                <w:sz w:val="14"/>
                <w:szCs w:val="14"/>
              </w:rPr>
            </w:pPr>
            <w:r w:rsidRPr="00880D29">
              <w:rPr>
                <w:color w:val="000000"/>
                <w:sz w:val="14"/>
                <w:szCs w:val="14"/>
              </w:rPr>
              <w:t>54.364</w:t>
            </w:r>
          </w:p>
        </w:tc>
        <w:tc>
          <w:tcPr>
            <w:tcW w:w="481" w:type="dxa"/>
            <w:vMerge/>
            <w:shd w:val="clear" w:color="auto" w:fill="F3F9FA"/>
            <w:noWrap/>
            <w:vAlign w:val="center"/>
          </w:tcPr>
          <w:p w:rsidR="004902B0" w:rsidRPr="00017A7E" w:rsidRDefault="004902B0" w:rsidP="00CD53D5">
            <w:pPr>
              <w:spacing w:before="0" w:after="0"/>
              <w:jc w:val="center"/>
              <w:rPr>
                <w:color w:val="000000"/>
                <w:sz w:val="14"/>
                <w:szCs w:val="14"/>
              </w:rPr>
            </w:pPr>
          </w:p>
        </w:tc>
        <w:tc>
          <w:tcPr>
            <w:tcW w:w="426" w:type="dxa"/>
            <w:vMerge/>
            <w:shd w:val="clear" w:color="auto" w:fill="F3F9FA"/>
          </w:tcPr>
          <w:p w:rsidR="004902B0" w:rsidRPr="00017A7E" w:rsidRDefault="004902B0" w:rsidP="00CD53D5">
            <w:pPr>
              <w:spacing w:before="0" w:after="0"/>
              <w:jc w:val="center"/>
              <w:rPr>
                <w:color w:val="000000"/>
                <w:sz w:val="14"/>
                <w:szCs w:val="14"/>
              </w:rPr>
            </w:pPr>
          </w:p>
        </w:tc>
        <w:tc>
          <w:tcPr>
            <w:tcW w:w="426" w:type="dxa"/>
            <w:vMerge/>
            <w:shd w:val="clear" w:color="auto" w:fill="F3F9FA"/>
          </w:tcPr>
          <w:p w:rsidR="004902B0" w:rsidRPr="00017A7E" w:rsidRDefault="004902B0" w:rsidP="00CD53D5">
            <w:pPr>
              <w:spacing w:before="0" w:after="0"/>
              <w:jc w:val="center"/>
              <w:rPr>
                <w:color w:val="000000"/>
                <w:sz w:val="14"/>
                <w:szCs w:val="14"/>
              </w:rPr>
            </w:pPr>
          </w:p>
        </w:tc>
        <w:tc>
          <w:tcPr>
            <w:tcW w:w="426" w:type="dxa"/>
            <w:vMerge/>
            <w:shd w:val="clear" w:color="auto" w:fill="F3F9FA"/>
          </w:tcPr>
          <w:p w:rsidR="004902B0" w:rsidRPr="00017A7E" w:rsidRDefault="004902B0" w:rsidP="00CD53D5">
            <w:pPr>
              <w:spacing w:before="0" w:after="0"/>
              <w:jc w:val="center"/>
              <w:rPr>
                <w:color w:val="000000"/>
                <w:sz w:val="14"/>
                <w:szCs w:val="14"/>
              </w:rPr>
            </w:pPr>
          </w:p>
        </w:tc>
        <w:tc>
          <w:tcPr>
            <w:tcW w:w="426" w:type="dxa"/>
            <w:vMerge/>
            <w:shd w:val="clear" w:color="auto" w:fill="F3F9FA"/>
          </w:tcPr>
          <w:p w:rsidR="004902B0" w:rsidRPr="00017A7E" w:rsidRDefault="004902B0" w:rsidP="00CD53D5">
            <w:pPr>
              <w:spacing w:before="0" w:after="0"/>
              <w:jc w:val="center"/>
              <w:rPr>
                <w:color w:val="000000"/>
                <w:sz w:val="14"/>
                <w:szCs w:val="14"/>
              </w:rPr>
            </w:pPr>
          </w:p>
        </w:tc>
        <w:tc>
          <w:tcPr>
            <w:tcW w:w="426" w:type="dxa"/>
            <w:vMerge/>
            <w:shd w:val="clear" w:color="auto" w:fill="F3F9FA"/>
          </w:tcPr>
          <w:p w:rsidR="004902B0" w:rsidRPr="00017A7E" w:rsidRDefault="004902B0" w:rsidP="00CD53D5">
            <w:pPr>
              <w:spacing w:before="0" w:after="0"/>
              <w:jc w:val="center"/>
              <w:rPr>
                <w:color w:val="000000"/>
                <w:sz w:val="14"/>
                <w:szCs w:val="14"/>
              </w:rPr>
            </w:pPr>
          </w:p>
        </w:tc>
        <w:tc>
          <w:tcPr>
            <w:tcW w:w="426" w:type="dxa"/>
            <w:vMerge/>
            <w:shd w:val="clear" w:color="auto" w:fill="F3F9FA"/>
          </w:tcPr>
          <w:p w:rsidR="004902B0" w:rsidRPr="00017A7E" w:rsidRDefault="004902B0" w:rsidP="00CD53D5">
            <w:pPr>
              <w:spacing w:before="0" w:after="0"/>
              <w:jc w:val="center"/>
              <w:rPr>
                <w:color w:val="000000"/>
                <w:sz w:val="14"/>
                <w:szCs w:val="14"/>
              </w:rPr>
            </w:pPr>
          </w:p>
        </w:tc>
        <w:tc>
          <w:tcPr>
            <w:tcW w:w="426" w:type="dxa"/>
            <w:vMerge/>
            <w:shd w:val="clear" w:color="auto" w:fill="F3F9FA"/>
          </w:tcPr>
          <w:p w:rsidR="004902B0" w:rsidRPr="00017A7E" w:rsidRDefault="004902B0" w:rsidP="00CD53D5">
            <w:pPr>
              <w:spacing w:before="0" w:after="0"/>
              <w:jc w:val="center"/>
              <w:rPr>
                <w:color w:val="000000"/>
                <w:sz w:val="14"/>
                <w:szCs w:val="14"/>
              </w:rPr>
            </w:pPr>
          </w:p>
        </w:tc>
        <w:tc>
          <w:tcPr>
            <w:tcW w:w="426" w:type="dxa"/>
            <w:vMerge/>
            <w:shd w:val="clear" w:color="auto" w:fill="F3F9FA"/>
          </w:tcPr>
          <w:p w:rsidR="004902B0" w:rsidRPr="00017A7E" w:rsidRDefault="004902B0" w:rsidP="00CD53D5">
            <w:pPr>
              <w:spacing w:before="0" w:after="0"/>
              <w:jc w:val="center"/>
              <w:rPr>
                <w:color w:val="000000"/>
                <w:sz w:val="14"/>
                <w:szCs w:val="14"/>
              </w:rPr>
            </w:pPr>
          </w:p>
        </w:tc>
        <w:tc>
          <w:tcPr>
            <w:tcW w:w="426" w:type="dxa"/>
            <w:vMerge/>
            <w:shd w:val="clear" w:color="auto" w:fill="F3F9FA"/>
          </w:tcPr>
          <w:p w:rsidR="004902B0" w:rsidRPr="00017A7E" w:rsidRDefault="004902B0" w:rsidP="00CD53D5">
            <w:pPr>
              <w:spacing w:before="0" w:after="0"/>
              <w:jc w:val="center"/>
              <w:rPr>
                <w:color w:val="000000"/>
                <w:sz w:val="14"/>
                <w:szCs w:val="14"/>
              </w:rPr>
            </w:pPr>
          </w:p>
        </w:tc>
      </w:tr>
    </w:tbl>
    <w:p w:rsidR="004902B0" w:rsidRPr="00484F6F" w:rsidRDefault="004902B0" w:rsidP="004902B0">
      <w:pPr>
        <w:spacing w:before="0" w:after="0"/>
        <w:rPr>
          <w:i/>
          <w:color w:val="000000"/>
          <w:sz w:val="16"/>
          <w:szCs w:val="16"/>
        </w:rPr>
      </w:pPr>
      <w:r w:rsidRPr="00484F6F">
        <w:rPr>
          <w:i/>
          <w:color w:val="000000"/>
          <w:sz w:val="16"/>
          <w:szCs w:val="16"/>
        </w:rPr>
        <w:t>* indicates presence adjacent, but not within, 50m x 50m site.</w:t>
      </w:r>
    </w:p>
    <w:p w:rsidR="004902B0" w:rsidRDefault="004902B0" w:rsidP="004902B0">
      <w:pPr>
        <w:spacing w:before="0" w:after="0"/>
        <w:rPr>
          <w:i/>
          <w:color w:val="000000"/>
          <w:sz w:val="16"/>
          <w:szCs w:val="16"/>
          <w:lang w:val="it-IT"/>
        </w:rPr>
      </w:pPr>
      <w:r w:rsidRPr="00484F6F">
        <w:rPr>
          <w:i/>
          <w:color w:val="000000"/>
          <w:sz w:val="16"/>
          <w:szCs w:val="16"/>
          <w:lang w:val="it-IT"/>
        </w:rPr>
        <w:t xml:space="preserve">Zostera muelleri = Zostera muelleri </w:t>
      </w:r>
      <w:r w:rsidRPr="00484F6F">
        <w:rPr>
          <w:color w:val="000000"/>
          <w:sz w:val="16"/>
          <w:szCs w:val="16"/>
          <w:lang w:val="it-IT"/>
        </w:rPr>
        <w:t>subsp</w:t>
      </w:r>
      <w:r w:rsidRPr="00484F6F">
        <w:rPr>
          <w:i/>
          <w:color w:val="000000"/>
          <w:sz w:val="16"/>
          <w:szCs w:val="16"/>
          <w:lang w:val="it-IT"/>
        </w:rPr>
        <w:t>. capricorni, as revision of Zostera capricorni (</w:t>
      </w:r>
      <w:r w:rsidR="00AF19E7">
        <w:fldChar w:fldCharType="begin"/>
      </w:r>
      <w:r w:rsidR="00AF19E7">
        <w:instrText xml:space="preserve"> HYPERLINK \l "_ENREF_129" \o "Jacobs, 2006 #9168" </w:instrText>
      </w:r>
      <w:r w:rsidR="00AF19E7">
        <w:fldChar w:fldCharType="separate"/>
      </w:r>
      <w:r w:rsidR="00E6043D" w:rsidRPr="00484F6F">
        <w:rPr>
          <w:i/>
          <w:color w:val="000000"/>
          <w:sz w:val="16"/>
          <w:szCs w:val="16"/>
          <w:lang w:val="it-IT"/>
        </w:rPr>
        <w:fldChar w:fldCharType="begin"/>
      </w:r>
      <w:r w:rsidR="00E6043D" w:rsidRPr="00484F6F">
        <w:rPr>
          <w:i/>
          <w:color w:val="000000"/>
          <w:sz w:val="16"/>
          <w:szCs w:val="16"/>
          <w:lang w:val="it-IT"/>
        </w:rPr>
        <w:instrText xml:space="preserve"> ADDIN EN.CITE &lt;EndNote&gt;&lt;Cite&gt;&lt;Author&gt;Jacobs&lt;/Author&gt;&lt;Year&gt;2006&lt;/Year&gt;&lt;RecNum&gt;9168&lt;/RecNum&gt;&lt;DisplayText&gt;Jacobs&lt;style face="italic"&gt; et al.&lt;/style&gt; 2006&lt;/DisplayText&gt;&lt;record&gt;&lt;rec-number&gt;9168&lt;/rec-number&gt;&lt;foreign-keys&gt;&lt;key app="EN" db-id="0eve55x9y5vfd6e9dacxtew4eatve2dzds9a"&gt;9168&lt;/key&gt;&lt;/foreign-keys&gt;&lt;ref-type name="Journal Article"&gt;17&lt;/ref-type&gt;&lt;contributors&gt;&lt;authors&gt;&lt;author&gt;Jacobs, S.W.L.&lt;/author&gt;&lt;author&gt;Les, D.H.&lt;/author&gt;&lt;author&gt;Moody, M.L.&lt;/author&gt;&lt;/authors&gt;&lt;/contributors&gt;&lt;titles&gt;&lt;title&gt;New combinations in Australasian Zostera (Zosteraceae)&lt;/title&gt;&lt;secondary-title&gt;Telopea&lt;/secondary-title&gt;&lt;/titles&gt;&lt;periodical&gt;&lt;full-title&gt;Telopea&lt;/full-title&gt;&lt;/periodical&gt;&lt;pages&gt;127-128&lt;/pages&gt;&lt;volume&gt;11&lt;/volume&gt;&lt;number&gt;2&lt;/number&gt;&lt;dates&gt;&lt;year&gt;2006&lt;/year&gt;&lt;/dates&gt;&lt;urls&gt;&lt;/urls&gt;&lt;/record&gt;&lt;/Cite&gt;&lt;/EndNote&gt;</w:instrText>
      </w:r>
      <w:r w:rsidR="00E6043D" w:rsidRPr="00484F6F">
        <w:rPr>
          <w:i/>
          <w:color w:val="000000"/>
          <w:sz w:val="16"/>
          <w:szCs w:val="16"/>
          <w:lang w:val="it-IT"/>
        </w:rPr>
        <w:fldChar w:fldCharType="separate"/>
      </w:r>
      <w:r w:rsidR="00E6043D" w:rsidRPr="00484F6F">
        <w:rPr>
          <w:i/>
          <w:noProof/>
          <w:color w:val="000000"/>
          <w:sz w:val="16"/>
          <w:szCs w:val="16"/>
          <w:lang w:val="it-IT"/>
        </w:rPr>
        <w:t>Jacobs et al. 2006</w:t>
      </w:r>
      <w:r w:rsidR="00E6043D" w:rsidRPr="00484F6F">
        <w:rPr>
          <w:i/>
          <w:color w:val="000000"/>
          <w:sz w:val="16"/>
          <w:szCs w:val="16"/>
          <w:lang w:val="it-IT"/>
        </w:rPr>
        <w:fldChar w:fldCharType="end"/>
      </w:r>
      <w:r w:rsidR="00AF19E7">
        <w:rPr>
          <w:i/>
          <w:color w:val="000000"/>
          <w:sz w:val="16"/>
          <w:szCs w:val="16"/>
          <w:lang w:val="it-IT"/>
        </w:rPr>
        <w:fldChar w:fldCharType="end"/>
      </w:r>
      <w:r w:rsidRPr="00484F6F">
        <w:rPr>
          <w:i/>
          <w:color w:val="000000"/>
          <w:sz w:val="16"/>
          <w:szCs w:val="16"/>
          <w:lang w:val="it-IT"/>
        </w:rPr>
        <w:t xml:space="preserve">) resulted in classification to subspecies. </w:t>
      </w:r>
    </w:p>
    <w:p w:rsidR="008B4845" w:rsidRPr="008B4845" w:rsidRDefault="008B4845" w:rsidP="008B4845">
      <w:pPr>
        <w:rPr>
          <w:color w:val="000000"/>
          <w:szCs w:val="22"/>
        </w:rPr>
      </w:pPr>
    </w:p>
    <w:p w:rsidR="008B4845" w:rsidRPr="008B4845" w:rsidRDefault="008B4845" w:rsidP="008B4845">
      <w:pPr>
        <w:rPr>
          <w:color w:val="000000"/>
          <w:szCs w:val="22"/>
        </w:rPr>
      </w:pPr>
    </w:p>
    <w:p w:rsidR="008B4845" w:rsidRPr="008B4845" w:rsidRDefault="008B4845" w:rsidP="008B4845">
      <w:pPr>
        <w:rPr>
          <w:color w:val="000000"/>
          <w:szCs w:val="22"/>
        </w:rPr>
      </w:pPr>
    </w:p>
    <w:p w:rsidR="00955497" w:rsidRPr="00015190" w:rsidRDefault="00955497" w:rsidP="00955497">
      <w:pPr>
        <w:keepNext/>
        <w:jc w:val="center"/>
        <w:rPr>
          <w:i/>
          <w:vanish/>
          <w:color w:val="000000"/>
          <w:szCs w:val="22"/>
          <w:specVanish/>
        </w:rPr>
      </w:pPr>
      <w:bookmarkStart w:id="54" w:name="_Ref461186562"/>
      <w:bookmarkStart w:id="55" w:name="_Toc462685073"/>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9C068F">
        <w:rPr>
          <w:noProof/>
          <w:color w:val="000000"/>
          <w:szCs w:val="22"/>
        </w:rPr>
        <w:t>4</w:t>
      </w:r>
      <w:r w:rsidRPr="00015190">
        <w:rPr>
          <w:color w:val="000000"/>
          <w:szCs w:val="22"/>
        </w:rPr>
        <w:fldChar w:fldCharType="end"/>
      </w:r>
      <w:bookmarkEnd w:id="54"/>
      <w:r w:rsidRPr="00015190">
        <w:rPr>
          <w:i/>
          <w:color w:val="000000"/>
          <w:szCs w:val="22"/>
        </w:rPr>
        <w:t xml:space="preserve">. </w:t>
      </w:r>
      <w:r>
        <w:rPr>
          <w:i/>
          <w:color w:val="000000"/>
          <w:szCs w:val="22"/>
        </w:rPr>
        <w:t>Details of additional</w:t>
      </w:r>
      <w:r w:rsidRPr="00015190">
        <w:rPr>
          <w:i/>
          <w:color w:val="000000"/>
          <w:szCs w:val="22"/>
        </w:rPr>
        <w:t xml:space="preserve"> inshore seagrass long-term monitoring </w:t>
      </w:r>
      <w:r>
        <w:rPr>
          <w:i/>
          <w:color w:val="000000"/>
          <w:szCs w:val="22"/>
        </w:rPr>
        <w:t>sites from the Seagrass-Watch program, including p</w:t>
      </w:r>
      <w:r w:rsidRPr="00015190">
        <w:rPr>
          <w:i/>
          <w:color w:val="000000"/>
          <w:szCs w:val="22"/>
        </w:rPr>
        <w:t>resence of foundation (</w:t>
      </w:r>
      <w:r w:rsidRPr="00015190">
        <w:rPr>
          <w:color w:val="000000"/>
          <w:szCs w:val="22"/>
        </w:rPr>
        <w:sym w:font="Wingdings" w:char="F06E"/>
      </w:r>
      <w:r w:rsidRPr="00015190">
        <w:rPr>
          <w:i/>
          <w:color w:val="000000"/>
          <w:szCs w:val="22"/>
        </w:rPr>
        <w:t>) and other (</w:t>
      </w:r>
      <w:r w:rsidRPr="00015190">
        <w:rPr>
          <w:color w:val="000000"/>
          <w:szCs w:val="22"/>
        </w:rPr>
        <w:sym w:font="Wingdings" w:char="F0A8"/>
      </w:r>
      <w:r w:rsidRPr="00015190">
        <w:rPr>
          <w:i/>
          <w:color w:val="000000"/>
          <w:szCs w:val="22"/>
        </w:rPr>
        <w:t>) seagrass species.</w:t>
      </w:r>
      <w:bookmarkEnd w:id="55"/>
      <w:r w:rsidRPr="00015190">
        <w:rPr>
          <w:i/>
          <w:color w:val="000000"/>
          <w:szCs w:val="22"/>
        </w:rPr>
        <w:t xml:space="preserve"> </w:t>
      </w:r>
    </w:p>
    <w:p w:rsidR="00955497" w:rsidRPr="00015190" w:rsidRDefault="00955497" w:rsidP="00955497">
      <w:pPr>
        <w:spacing w:before="0" w:after="0"/>
        <w:rPr>
          <w:i/>
          <w:color w:val="000000"/>
          <w:szCs w:val="22"/>
        </w:rPr>
      </w:pPr>
      <w:r w:rsidRPr="00015190">
        <w:rPr>
          <w:i/>
          <w:color w:val="000000"/>
          <w:szCs w:val="22"/>
        </w:rPr>
        <w:t xml:space="preserve">NRM region from www.nrm.gov.au. </w:t>
      </w:r>
      <w:r w:rsidR="00AB60E3" w:rsidRPr="00015190">
        <w:rPr>
          <w:i/>
          <w:color w:val="000000"/>
          <w:szCs w:val="22"/>
        </w:rPr>
        <w:t>* = intertidal</w:t>
      </w:r>
    </w:p>
    <w:tbl>
      <w:tblPr>
        <w:tblW w:w="135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2044"/>
        <w:gridCol w:w="1078"/>
        <w:gridCol w:w="1445"/>
        <w:gridCol w:w="619"/>
        <w:gridCol w:w="1202"/>
        <w:gridCol w:w="463"/>
        <w:gridCol w:w="678"/>
        <w:gridCol w:w="546"/>
        <w:gridCol w:w="678"/>
        <w:gridCol w:w="459"/>
        <w:gridCol w:w="357"/>
        <w:gridCol w:w="370"/>
        <w:gridCol w:w="393"/>
        <w:gridCol w:w="399"/>
        <w:gridCol w:w="371"/>
        <w:gridCol w:w="396"/>
        <w:gridCol w:w="341"/>
        <w:gridCol w:w="374"/>
        <w:gridCol w:w="406"/>
      </w:tblGrid>
      <w:tr w:rsidR="00AB60E3" w:rsidRPr="00015190" w:rsidTr="00C02B42">
        <w:trPr>
          <w:trHeight w:val="170"/>
          <w:jc w:val="center"/>
        </w:trPr>
        <w:tc>
          <w:tcPr>
            <w:tcW w:w="937" w:type="dxa"/>
            <w:shd w:val="clear" w:color="auto" w:fill="BBE0E3"/>
          </w:tcPr>
          <w:p w:rsidR="00AB60E3" w:rsidRPr="00880D29" w:rsidRDefault="00AB60E3" w:rsidP="00955497">
            <w:pPr>
              <w:spacing w:before="0" w:after="0"/>
              <w:jc w:val="center"/>
              <w:rPr>
                <w:rFonts w:cs="Arial"/>
                <w:b/>
                <w:bCs/>
                <w:color w:val="000000"/>
                <w:sz w:val="14"/>
                <w:szCs w:val="14"/>
              </w:rPr>
            </w:pPr>
            <w:r w:rsidRPr="00880D29">
              <w:rPr>
                <w:rFonts w:cs="Arial"/>
                <w:b/>
                <w:bCs/>
                <w:color w:val="000000"/>
                <w:sz w:val="14"/>
                <w:szCs w:val="14"/>
              </w:rPr>
              <w:t>GBR region</w:t>
            </w:r>
          </w:p>
        </w:tc>
        <w:tc>
          <w:tcPr>
            <w:tcW w:w="2044" w:type="dxa"/>
            <w:shd w:val="clear" w:color="auto" w:fill="BBE0E3"/>
          </w:tcPr>
          <w:p w:rsidR="00AB60E3" w:rsidRPr="00880D29" w:rsidRDefault="00AB60E3" w:rsidP="00955497">
            <w:pPr>
              <w:spacing w:before="0" w:after="0"/>
              <w:jc w:val="center"/>
              <w:rPr>
                <w:rFonts w:cs="Arial"/>
                <w:b/>
                <w:bCs/>
                <w:color w:val="000000"/>
                <w:sz w:val="14"/>
                <w:szCs w:val="14"/>
              </w:rPr>
            </w:pPr>
            <w:r w:rsidRPr="00880D29">
              <w:rPr>
                <w:rFonts w:cs="Arial"/>
                <w:b/>
                <w:bCs/>
                <w:color w:val="000000"/>
                <w:sz w:val="14"/>
                <w:szCs w:val="14"/>
              </w:rPr>
              <w:t>NRM region (</w:t>
            </w:r>
            <w:r w:rsidRPr="00880D29">
              <w:rPr>
                <w:rFonts w:cs="Arial"/>
                <w:b/>
                <w:bCs/>
                <w:i/>
                <w:color w:val="000000"/>
                <w:sz w:val="14"/>
                <w:szCs w:val="14"/>
              </w:rPr>
              <w:t>Board</w:t>
            </w:r>
            <w:r w:rsidRPr="00880D29">
              <w:rPr>
                <w:rFonts w:cs="Arial"/>
                <w:b/>
                <w:bCs/>
                <w:color w:val="000000"/>
                <w:sz w:val="14"/>
                <w:szCs w:val="14"/>
              </w:rPr>
              <w:t>)</w:t>
            </w:r>
          </w:p>
        </w:tc>
        <w:tc>
          <w:tcPr>
            <w:tcW w:w="1078" w:type="dxa"/>
            <w:shd w:val="clear" w:color="auto" w:fill="BBE0E3"/>
          </w:tcPr>
          <w:p w:rsidR="00AB60E3" w:rsidRPr="00880D29" w:rsidRDefault="00AB60E3" w:rsidP="00955497">
            <w:pPr>
              <w:spacing w:before="0" w:after="0"/>
              <w:jc w:val="center"/>
              <w:rPr>
                <w:rFonts w:cs="Arial"/>
                <w:b/>
                <w:bCs/>
                <w:color w:val="000000"/>
                <w:sz w:val="14"/>
                <w:szCs w:val="14"/>
              </w:rPr>
            </w:pPr>
            <w:r>
              <w:rPr>
                <w:rFonts w:cs="Arial"/>
                <w:b/>
                <w:bCs/>
                <w:color w:val="000000"/>
                <w:sz w:val="14"/>
                <w:szCs w:val="14"/>
              </w:rPr>
              <w:t>Basin</w:t>
            </w:r>
          </w:p>
        </w:tc>
        <w:tc>
          <w:tcPr>
            <w:tcW w:w="1445" w:type="dxa"/>
            <w:shd w:val="clear" w:color="auto" w:fill="BBE0E3"/>
            <w:vAlign w:val="center"/>
          </w:tcPr>
          <w:p w:rsidR="00AB60E3" w:rsidRPr="00880D29" w:rsidRDefault="00AB60E3" w:rsidP="00955497">
            <w:pPr>
              <w:spacing w:before="0" w:after="0"/>
              <w:jc w:val="center"/>
              <w:rPr>
                <w:rFonts w:cs="Arial"/>
                <w:b/>
                <w:bCs/>
                <w:color w:val="000000"/>
                <w:sz w:val="14"/>
                <w:szCs w:val="14"/>
              </w:rPr>
            </w:pPr>
            <w:r w:rsidRPr="00880D29">
              <w:rPr>
                <w:rFonts w:cs="Arial"/>
                <w:b/>
                <w:bCs/>
                <w:color w:val="000000"/>
                <w:sz w:val="14"/>
                <w:szCs w:val="14"/>
              </w:rPr>
              <w:t>Monitoring location</w:t>
            </w:r>
          </w:p>
        </w:tc>
        <w:tc>
          <w:tcPr>
            <w:tcW w:w="1821" w:type="dxa"/>
            <w:gridSpan w:val="2"/>
            <w:shd w:val="clear" w:color="auto" w:fill="BBE0E3"/>
            <w:noWrap/>
            <w:vAlign w:val="center"/>
          </w:tcPr>
          <w:p w:rsidR="00AB60E3" w:rsidRPr="00880D29" w:rsidRDefault="00AB60E3" w:rsidP="00955497">
            <w:pPr>
              <w:spacing w:before="0" w:after="0"/>
              <w:jc w:val="center"/>
              <w:rPr>
                <w:rFonts w:cs="Arial"/>
                <w:b/>
                <w:bCs/>
                <w:color w:val="000000"/>
                <w:sz w:val="14"/>
                <w:szCs w:val="14"/>
              </w:rPr>
            </w:pPr>
            <w:r w:rsidRPr="00880D29">
              <w:rPr>
                <w:rFonts w:cs="Arial"/>
                <w:b/>
                <w:bCs/>
                <w:color w:val="000000"/>
                <w:sz w:val="14"/>
                <w:szCs w:val="14"/>
              </w:rPr>
              <w:t>Site</w:t>
            </w:r>
          </w:p>
        </w:tc>
        <w:tc>
          <w:tcPr>
            <w:tcW w:w="1141" w:type="dxa"/>
            <w:gridSpan w:val="2"/>
            <w:shd w:val="clear" w:color="auto" w:fill="BBE0E3"/>
            <w:noWrap/>
            <w:vAlign w:val="center"/>
          </w:tcPr>
          <w:p w:rsidR="00AB60E3" w:rsidRPr="00880D29" w:rsidRDefault="00AB60E3" w:rsidP="00955497">
            <w:pPr>
              <w:spacing w:before="0" w:after="0"/>
              <w:jc w:val="center"/>
              <w:rPr>
                <w:rFonts w:cs="Arial"/>
                <w:b/>
                <w:bCs/>
                <w:color w:val="000000"/>
                <w:sz w:val="14"/>
                <w:szCs w:val="14"/>
              </w:rPr>
            </w:pPr>
            <w:r w:rsidRPr="00880D29">
              <w:rPr>
                <w:rFonts w:cs="Arial"/>
                <w:b/>
                <w:bCs/>
                <w:color w:val="000000"/>
                <w:sz w:val="14"/>
                <w:szCs w:val="14"/>
              </w:rPr>
              <w:t>Latitude</w:t>
            </w:r>
          </w:p>
        </w:tc>
        <w:tc>
          <w:tcPr>
            <w:tcW w:w="1224" w:type="dxa"/>
            <w:gridSpan w:val="2"/>
            <w:shd w:val="clear" w:color="auto" w:fill="BBE0E3"/>
            <w:noWrap/>
            <w:vAlign w:val="center"/>
          </w:tcPr>
          <w:p w:rsidR="00AB60E3" w:rsidRPr="00880D29" w:rsidRDefault="00AB60E3" w:rsidP="00955497">
            <w:pPr>
              <w:spacing w:before="0" w:after="0"/>
              <w:jc w:val="center"/>
              <w:rPr>
                <w:rFonts w:cs="Arial"/>
                <w:b/>
                <w:color w:val="000000"/>
                <w:sz w:val="14"/>
                <w:szCs w:val="14"/>
              </w:rPr>
            </w:pPr>
            <w:r w:rsidRPr="00880D29">
              <w:rPr>
                <w:rFonts w:cs="Arial"/>
                <w:b/>
                <w:bCs/>
                <w:color w:val="000000"/>
                <w:sz w:val="14"/>
                <w:szCs w:val="14"/>
              </w:rPr>
              <w:t>Longitude</w:t>
            </w:r>
          </w:p>
        </w:tc>
        <w:tc>
          <w:tcPr>
            <w:tcW w:w="459" w:type="dxa"/>
            <w:shd w:val="clear" w:color="auto" w:fill="BBE0E3"/>
            <w:noWrap/>
            <w:vAlign w:val="center"/>
          </w:tcPr>
          <w:p w:rsidR="00AB60E3" w:rsidRPr="00017A7E" w:rsidRDefault="00AB60E3" w:rsidP="00955497">
            <w:pPr>
              <w:spacing w:before="0" w:after="0"/>
              <w:jc w:val="center"/>
              <w:rPr>
                <w:rFonts w:cs="Arial"/>
                <w:b/>
                <w:bCs/>
                <w:color w:val="000000"/>
                <w:sz w:val="14"/>
                <w:szCs w:val="14"/>
              </w:rPr>
            </w:pPr>
            <w:r>
              <w:rPr>
                <w:rFonts w:cs="Arial"/>
                <w:b/>
                <w:bCs/>
                <w:color w:val="000000"/>
                <w:sz w:val="14"/>
                <w:szCs w:val="14"/>
              </w:rPr>
              <w:t>CR</w:t>
            </w:r>
          </w:p>
        </w:tc>
        <w:tc>
          <w:tcPr>
            <w:tcW w:w="357" w:type="dxa"/>
            <w:shd w:val="clear" w:color="auto" w:fill="BBE0E3"/>
            <w:vAlign w:val="center"/>
          </w:tcPr>
          <w:p w:rsidR="00AB60E3" w:rsidRPr="00017A7E" w:rsidRDefault="00AB60E3" w:rsidP="00955497">
            <w:pPr>
              <w:spacing w:before="0" w:after="0"/>
              <w:jc w:val="center"/>
              <w:rPr>
                <w:rFonts w:cs="Arial"/>
                <w:b/>
                <w:bCs/>
                <w:color w:val="000000"/>
                <w:sz w:val="14"/>
                <w:szCs w:val="14"/>
              </w:rPr>
            </w:pPr>
            <w:r w:rsidRPr="00017A7E">
              <w:rPr>
                <w:rFonts w:cs="Arial"/>
                <w:b/>
                <w:bCs/>
                <w:color w:val="000000"/>
                <w:sz w:val="14"/>
                <w:szCs w:val="14"/>
              </w:rPr>
              <w:t>C</w:t>
            </w:r>
            <w:r>
              <w:rPr>
                <w:rFonts w:cs="Arial"/>
                <w:b/>
                <w:bCs/>
                <w:color w:val="000000"/>
                <w:sz w:val="14"/>
                <w:szCs w:val="14"/>
              </w:rPr>
              <w:t>S</w:t>
            </w:r>
          </w:p>
        </w:tc>
        <w:tc>
          <w:tcPr>
            <w:tcW w:w="370" w:type="dxa"/>
            <w:shd w:val="clear" w:color="auto" w:fill="BBE0E3"/>
            <w:vAlign w:val="center"/>
          </w:tcPr>
          <w:p w:rsidR="00AB60E3" w:rsidRPr="00017A7E" w:rsidRDefault="00AB60E3" w:rsidP="00955497">
            <w:pPr>
              <w:spacing w:before="0" w:after="0"/>
              <w:jc w:val="center"/>
              <w:rPr>
                <w:rFonts w:cs="Arial"/>
                <w:b/>
                <w:bCs/>
                <w:color w:val="000000"/>
                <w:sz w:val="14"/>
                <w:szCs w:val="14"/>
              </w:rPr>
            </w:pPr>
            <w:r w:rsidRPr="00017A7E">
              <w:rPr>
                <w:rFonts w:cs="Arial"/>
                <w:b/>
                <w:bCs/>
                <w:color w:val="000000"/>
                <w:sz w:val="14"/>
                <w:szCs w:val="14"/>
              </w:rPr>
              <w:t>E</w:t>
            </w:r>
            <w:r>
              <w:rPr>
                <w:rFonts w:cs="Arial"/>
                <w:b/>
                <w:bCs/>
                <w:color w:val="000000"/>
                <w:sz w:val="14"/>
                <w:szCs w:val="14"/>
              </w:rPr>
              <w:t>A</w:t>
            </w:r>
          </w:p>
        </w:tc>
        <w:tc>
          <w:tcPr>
            <w:tcW w:w="393" w:type="dxa"/>
            <w:shd w:val="clear" w:color="auto" w:fill="BBE0E3"/>
            <w:vAlign w:val="center"/>
          </w:tcPr>
          <w:p w:rsidR="00AB60E3" w:rsidRPr="00017A7E" w:rsidRDefault="00AB60E3" w:rsidP="00955497">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D</w:t>
            </w:r>
          </w:p>
        </w:tc>
        <w:tc>
          <w:tcPr>
            <w:tcW w:w="399" w:type="dxa"/>
            <w:shd w:val="clear" w:color="auto" w:fill="BBE0E3"/>
            <w:vAlign w:val="center"/>
          </w:tcPr>
          <w:p w:rsidR="00AB60E3" w:rsidRPr="00017A7E" w:rsidRDefault="00AB60E3" w:rsidP="00955497">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O</w:t>
            </w:r>
          </w:p>
        </w:tc>
        <w:tc>
          <w:tcPr>
            <w:tcW w:w="371" w:type="dxa"/>
            <w:shd w:val="clear" w:color="auto" w:fill="BBE0E3"/>
            <w:vAlign w:val="center"/>
          </w:tcPr>
          <w:p w:rsidR="00AB60E3" w:rsidRPr="00017A7E" w:rsidRDefault="00AB60E3" w:rsidP="00955497">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S</w:t>
            </w:r>
          </w:p>
        </w:tc>
        <w:tc>
          <w:tcPr>
            <w:tcW w:w="396" w:type="dxa"/>
            <w:shd w:val="clear" w:color="auto" w:fill="BBE0E3"/>
            <w:vAlign w:val="center"/>
          </w:tcPr>
          <w:p w:rsidR="00AB60E3" w:rsidRPr="00017A7E" w:rsidRDefault="00AB60E3" w:rsidP="00955497">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U</w:t>
            </w:r>
          </w:p>
        </w:tc>
        <w:tc>
          <w:tcPr>
            <w:tcW w:w="341" w:type="dxa"/>
            <w:shd w:val="clear" w:color="auto" w:fill="BBE0E3"/>
            <w:vAlign w:val="center"/>
          </w:tcPr>
          <w:p w:rsidR="00AB60E3" w:rsidRPr="00017A7E" w:rsidRDefault="00AB60E3" w:rsidP="00955497">
            <w:pPr>
              <w:spacing w:before="0" w:after="0"/>
              <w:jc w:val="center"/>
              <w:rPr>
                <w:rFonts w:cs="Arial"/>
                <w:b/>
                <w:bCs/>
                <w:color w:val="000000"/>
                <w:sz w:val="14"/>
                <w:szCs w:val="14"/>
              </w:rPr>
            </w:pPr>
            <w:r w:rsidRPr="00017A7E">
              <w:rPr>
                <w:rFonts w:cs="Arial"/>
                <w:b/>
                <w:bCs/>
                <w:color w:val="000000"/>
                <w:sz w:val="14"/>
                <w:szCs w:val="14"/>
              </w:rPr>
              <w:t>S</w:t>
            </w:r>
            <w:r>
              <w:rPr>
                <w:rFonts w:cs="Arial"/>
                <w:b/>
                <w:bCs/>
                <w:color w:val="000000"/>
                <w:sz w:val="14"/>
                <w:szCs w:val="14"/>
              </w:rPr>
              <w:t>I</w:t>
            </w:r>
          </w:p>
        </w:tc>
        <w:tc>
          <w:tcPr>
            <w:tcW w:w="374" w:type="dxa"/>
            <w:shd w:val="clear" w:color="auto" w:fill="BBE0E3"/>
            <w:vAlign w:val="center"/>
          </w:tcPr>
          <w:p w:rsidR="00AB60E3" w:rsidRPr="00017A7E" w:rsidRDefault="00AB60E3" w:rsidP="00955497">
            <w:pPr>
              <w:spacing w:before="0" w:after="0"/>
              <w:jc w:val="center"/>
              <w:rPr>
                <w:rFonts w:cs="Arial"/>
                <w:b/>
                <w:bCs/>
                <w:color w:val="000000"/>
                <w:sz w:val="14"/>
                <w:szCs w:val="14"/>
              </w:rPr>
            </w:pPr>
            <w:r w:rsidRPr="00017A7E">
              <w:rPr>
                <w:rFonts w:cs="Arial"/>
                <w:b/>
                <w:bCs/>
                <w:color w:val="000000"/>
                <w:sz w:val="14"/>
                <w:szCs w:val="14"/>
              </w:rPr>
              <w:t>T</w:t>
            </w:r>
            <w:r>
              <w:rPr>
                <w:rFonts w:cs="Arial"/>
                <w:b/>
                <w:bCs/>
                <w:color w:val="000000"/>
                <w:sz w:val="14"/>
                <w:szCs w:val="14"/>
              </w:rPr>
              <w:t>H</w:t>
            </w:r>
          </w:p>
        </w:tc>
        <w:tc>
          <w:tcPr>
            <w:tcW w:w="406" w:type="dxa"/>
            <w:shd w:val="clear" w:color="auto" w:fill="BBE0E3"/>
            <w:vAlign w:val="center"/>
          </w:tcPr>
          <w:p w:rsidR="00AB60E3" w:rsidRPr="00017A7E" w:rsidRDefault="00AB60E3" w:rsidP="00955497">
            <w:pPr>
              <w:spacing w:before="0" w:after="0"/>
              <w:jc w:val="center"/>
              <w:rPr>
                <w:rFonts w:cs="Arial"/>
                <w:b/>
                <w:bCs/>
                <w:color w:val="000000"/>
                <w:sz w:val="14"/>
                <w:szCs w:val="14"/>
              </w:rPr>
            </w:pPr>
            <w:r w:rsidRPr="00017A7E">
              <w:rPr>
                <w:rFonts w:cs="Arial"/>
                <w:b/>
                <w:bCs/>
                <w:color w:val="000000"/>
                <w:sz w:val="14"/>
                <w:szCs w:val="14"/>
              </w:rPr>
              <w:t>Z</w:t>
            </w:r>
            <w:r>
              <w:rPr>
                <w:rFonts w:cs="Arial"/>
                <w:b/>
                <w:bCs/>
                <w:color w:val="000000"/>
                <w:sz w:val="14"/>
                <w:szCs w:val="14"/>
              </w:rPr>
              <w:t>M</w:t>
            </w:r>
          </w:p>
        </w:tc>
      </w:tr>
      <w:tr w:rsidR="00AB60E3" w:rsidRPr="00015190" w:rsidTr="00C02B42">
        <w:trPr>
          <w:trHeight w:val="170"/>
          <w:jc w:val="center"/>
        </w:trPr>
        <w:tc>
          <w:tcPr>
            <w:tcW w:w="937" w:type="dxa"/>
            <w:shd w:val="clear" w:color="auto" w:fill="auto"/>
            <w:vAlign w:val="center"/>
          </w:tcPr>
          <w:p w:rsidR="00AB60E3" w:rsidRDefault="00AB60E3" w:rsidP="00C02B42">
            <w:pPr>
              <w:spacing w:before="0" w:after="0"/>
              <w:jc w:val="center"/>
              <w:rPr>
                <w:color w:val="000000"/>
                <w:sz w:val="14"/>
                <w:szCs w:val="14"/>
              </w:rPr>
            </w:pPr>
            <w:r>
              <w:rPr>
                <w:color w:val="000000"/>
                <w:sz w:val="14"/>
                <w:szCs w:val="14"/>
              </w:rPr>
              <w:t>Far Northern</w:t>
            </w:r>
          </w:p>
        </w:tc>
        <w:tc>
          <w:tcPr>
            <w:tcW w:w="2044" w:type="dxa"/>
            <w:shd w:val="clear" w:color="auto" w:fill="E7F3F4"/>
            <w:vAlign w:val="center"/>
          </w:tcPr>
          <w:p w:rsidR="007C23BD" w:rsidRDefault="007C23BD" w:rsidP="007C23BD">
            <w:pPr>
              <w:spacing w:before="0" w:after="0"/>
              <w:jc w:val="center"/>
              <w:rPr>
                <w:color w:val="000000"/>
                <w:sz w:val="14"/>
                <w:szCs w:val="14"/>
              </w:rPr>
            </w:pPr>
            <w:r w:rsidRPr="00880D29">
              <w:rPr>
                <w:color w:val="000000"/>
                <w:sz w:val="14"/>
                <w:szCs w:val="14"/>
              </w:rPr>
              <w:t>Cape York</w:t>
            </w:r>
          </w:p>
          <w:p w:rsidR="00AB60E3" w:rsidRPr="00880D29" w:rsidRDefault="007C23BD" w:rsidP="007C23BD">
            <w:pPr>
              <w:spacing w:before="0" w:after="0"/>
              <w:jc w:val="center"/>
              <w:rPr>
                <w:color w:val="000000"/>
                <w:sz w:val="14"/>
                <w:szCs w:val="14"/>
              </w:rPr>
            </w:pPr>
            <w:r w:rsidRPr="007C23BD">
              <w:rPr>
                <w:i/>
                <w:color w:val="000000"/>
                <w:sz w:val="14"/>
                <w:szCs w:val="14"/>
              </w:rPr>
              <w:t>(Cape York Natural Resource Management)</w:t>
            </w:r>
          </w:p>
        </w:tc>
        <w:tc>
          <w:tcPr>
            <w:tcW w:w="1078" w:type="dxa"/>
            <w:shd w:val="clear" w:color="auto" w:fill="E7F3F4"/>
            <w:vAlign w:val="center"/>
          </w:tcPr>
          <w:p w:rsidR="00AB60E3" w:rsidRDefault="007C23BD" w:rsidP="00C02B42">
            <w:pPr>
              <w:spacing w:before="0" w:after="0"/>
              <w:jc w:val="center"/>
              <w:rPr>
                <w:color w:val="000000"/>
                <w:sz w:val="14"/>
                <w:szCs w:val="14"/>
              </w:rPr>
            </w:pPr>
            <w:r>
              <w:rPr>
                <w:color w:val="000000"/>
                <w:sz w:val="14"/>
                <w:szCs w:val="14"/>
              </w:rPr>
              <w:t>Olive-P</w:t>
            </w:r>
            <w:r w:rsidRPr="00C02B42">
              <w:rPr>
                <w:color w:val="000000"/>
                <w:sz w:val="14"/>
                <w:szCs w:val="14"/>
              </w:rPr>
              <w:t>ascoe</w:t>
            </w:r>
            <w:r>
              <w:rPr>
                <w:color w:val="000000"/>
                <w:sz w:val="14"/>
                <w:szCs w:val="14"/>
              </w:rPr>
              <w:t xml:space="preserve"> </w:t>
            </w:r>
            <w:r w:rsidR="00A2184C">
              <w:rPr>
                <w:color w:val="000000"/>
                <w:sz w:val="14"/>
                <w:szCs w:val="14"/>
              </w:rPr>
              <w:t>/ Lockhart</w:t>
            </w:r>
          </w:p>
        </w:tc>
        <w:tc>
          <w:tcPr>
            <w:tcW w:w="1445" w:type="dxa"/>
            <w:shd w:val="clear" w:color="auto" w:fill="E7F3F4"/>
            <w:noWrap/>
            <w:vAlign w:val="center"/>
          </w:tcPr>
          <w:p w:rsidR="00AB60E3" w:rsidRPr="00880D29" w:rsidRDefault="00AB60E3" w:rsidP="00C02B42">
            <w:pPr>
              <w:spacing w:before="0" w:after="0"/>
              <w:jc w:val="center"/>
              <w:rPr>
                <w:color w:val="000000"/>
                <w:sz w:val="14"/>
                <w:szCs w:val="14"/>
              </w:rPr>
            </w:pPr>
            <w:r>
              <w:rPr>
                <w:color w:val="000000"/>
                <w:sz w:val="14"/>
                <w:szCs w:val="14"/>
              </w:rPr>
              <w:t>Weymouth Bay</w:t>
            </w:r>
          </w:p>
          <w:p w:rsidR="00AB60E3" w:rsidRPr="00880D29" w:rsidRDefault="00AB60E3" w:rsidP="00C02B42">
            <w:pPr>
              <w:spacing w:before="0" w:after="0"/>
              <w:jc w:val="center"/>
              <w:rPr>
                <w:i/>
                <w:color w:val="000000"/>
                <w:sz w:val="14"/>
                <w:szCs w:val="14"/>
              </w:rPr>
            </w:pPr>
            <w:r w:rsidRPr="00880D29">
              <w:rPr>
                <w:i/>
                <w:color w:val="000000"/>
                <w:sz w:val="14"/>
                <w:szCs w:val="14"/>
              </w:rPr>
              <w:t>reef</w:t>
            </w:r>
          </w:p>
        </w:tc>
        <w:tc>
          <w:tcPr>
            <w:tcW w:w="619" w:type="dxa"/>
            <w:shd w:val="clear" w:color="auto" w:fill="E7F3F4"/>
            <w:noWrap/>
            <w:vAlign w:val="center"/>
          </w:tcPr>
          <w:p w:rsidR="00AB60E3" w:rsidRPr="00880D29" w:rsidRDefault="00AB60E3" w:rsidP="00C02B42">
            <w:pPr>
              <w:spacing w:before="0" w:after="0"/>
              <w:jc w:val="center"/>
              <w:rPr>
                <w:color w:val="000000"/>
                <w:sz w:val="14"/>
                <w:szCs w:val="14"/>
              </w:rPr>
            </w:pPr>
            <w:r>
              <w:rPr>
                <w:color w:val="000000"/>
                <w:sz w:val="14"/>
                <w:szCs w:val="14"/>
              </w:rPr>
              <w:t>YY1</w:t>
            </w:r>
            <w:r w:rsidRPr="00880D29">
              <w:rPr>
                <w:color w:val="000000"/>
                <w:sz w:val="14"/>
                <w:szCs w:val="14"/>
              </w:rPr>
              <w:t>*</w:t>
            </w:r>
          </w:p>
        </w:tc>
        <w:tc>
          <w:tcPr>
            <w:tcW w:w="1202" w:type="dxa"/>
            <w:shd w:val="clear" w:color="auto" w:fill="E7F3F4"/>
            <w:noWrap/>
            <w:vAlign w:val="center"/>
          </w:tcPr>
          <w:p w:rsidR="00AB60E3" w:rsidRPr="00880D29" w:rsidRDefault="00AB60E3" w:rsidP="00C02B42">
            <w:pPr>
              <w:spacing w:before="0" w:after="0"/>
              <w:jc w:val="center"/>
              <w:rPr>
                <w:color w:val="000000"/>
                <w:sz w:val="14"/>
                <w:szCs w:val="14"/>
              </w:rPr>
            </w:pPr>
            <w:r>
              <w:rPr>
                <w:color w:val="000000"/>
                <w:sz w:val="14"/>
                <w:szCs w:val="14"/>
              </w:rPr>
              <w:t xml:space="preserve">Yum </w:t>
            </w:r>
            <w:proofErr w:type="spellStart"/>
            <w:r>
              <w:rPr>
                <w:color w:val="000000"/>
                <w:sz w:val="14"/>
                <w:szCs w:val="14"/>
              </w:rPr>
              <w:t>Yum</w:t>
            </w:r>
            <w:proofErr w:type="spellEnd"/>
            <w:r>
              <w:rPr>
                <w:color w:val="000000"/>
                <w:sz w:val="14"/>
                <w:szCs w:val="14"/>
              </w:rPr>
              <w:t xml:space="preserve"> Beach</w:t>
            </w:r>
          </w:p>
        </w:tc>
        <w:tc>
          <w:tcPr>
            <w:tcW w:w="463" w:type="dxa"/>
            <w:shd w:val="clear" w:color="auto" w:fill="E7F3F4"/>
            <w:noWrap/>
            <w:vAlign w:val="center"/>
          </w:tcPr>
          <w:p w:rsidR="00AB60E3" w:rsidRPr="00880D29" w:rsidRDefault="00AB60E3" w:rsidP="00C02B42">
            <w:pPr>
              <w:spacing w:before="0" w:after="0"/>
              <w:jc w:val="center"/>
              <w:rPr>
                <w:color w:val="000000"/>
                <w:sz w:val="14"/>
                <w:szCs w:val="14"/>
              </w:rPr>
            </w:pPr>
            <w:r w:rsidRPr="00880D29">
              <w:rPr>
                <w:color w:val="000000"/>
                <w:sz w:val="14"/>
                <w:szCs w:val="14"/>
              </w:rPr>
              <w:t>12°</w:t>
            </w:r>
          </w:p>
        </w:tc>
        <w:tc>
          <w:tcPr>
            <w:tcW w:w="678" w:type="dxa"/>
            <w:shd w:val="clear" w:color="auto" w:fill="E7F3F4"/>
            <w:noWrap/>
            <w:vAlign w:val="center"/>
          </w:tcPr>
          <w:p w:rsidR="00AB60E3" w:rsidRPr="00880D29" w:rsidRDefault="000E7655" w:rsidP="00C02B42">
            <w:pPr>
              <w:spacing w:before="0" w:after="0"/>
              <w:jc w:val="center"/>
              <w:rPr>
                <w:color w:val="000000"/>
                <w:sz w:val="14"/>
                <w:szCs w:val="14"/>
              </w:rPr>
            </w:pPr>
            <w:r>
              <w:rPr>
                <w:color w:val="000000"/>
                <w:sz w:val="14"/>
                <w:szCs w:val="14"/>
              </w:rPr>
              <w:t>34.260</w:t>
            </w:r>
          </w:p>
        </w:tc>
        <w:tc>
          <w:tcPr>
            <w:tcW w:w="546" w:type="dxa"/>
            <w:shd w:val="clear" w:color="auto" w:fill="E7F3F4"/>
            <w:noWrap/>
            <w:vAlign w:val="center"/>
          </w:tcPr>
          <w:p w:rsidR="00AB60E3" w:rsidRPr="00880D29" w:rsidRDefault="00AB60E3" w:rsidP="00C02B42">
            <w:pPr>
              <w:spacing w:before="0" w:after="0"/>
              <w:jc w:val="center"/>
              <w:rPr>
                <w:color w:val="000000"/>
                <w:sz w:val="14"/>
                <w:szCs w:val="14"/>
              </w:rPr>
            </w:pPr>
            <w:r w:rsidRPr="00880D29">
              <w:rPr>
                <w:color w:val="000000"/>
                <w:sz w:val="14"/>
                <w:szCs w:val="14"/>
              </w:rPr>
              <w:t>143°</w:t>
            </w:r>
          </w:p>
        </w:tc>
        <w:tc>
          <w:tcPr>
            <w:tcW w:w="678" w:type="dxa"/>
            <w:shd w:val="clear" w:color="auto" w:fill="E7F3F4"/>
            <w:noWrap/>
            <w:vAlign w:val="center"/>
          </w:tcPr>
          <w:p w:rsidR="00AB60E3" w:rsidRPr="00880D29" w:rsidRDefault="000E7655" w:rsidP="00C02B42">
            <w:pPr>
              <w:spacing w:before="0" w:after="0"/>
              <w:jc w:val="center"/>
              <w:rPr>
                <w:color w:val="000000"/>
                <w:sz w:val="14"/>
                <w:szCs w:val="14"/>
              </w:rPr>
            </w:pPr>
            <w:r>
              <w:rPr>
                <w:color w:val="000000"/>
                <w:sz w:val="14"/>
                <w:szCs w:val="14"/>
              </w:rPr>
              <w:t>21.635</w:t>
            </w:r>
          </w:p>
        </w:tc>
        <w:tc>
          <w:tcPr>
            <w:tcW w:w="459" w:type="dxa"/>
            <w:shd w:val="clear" w:color="auto" w:fill="E7F3F4"/>
            <w:noWrap/>
            <w:vAlign w:val="center"/>
          </w:tcPr>
          <w:p w:rsidR="00AB60E3" w:rsidRPr="00F45F13" w:rsidRDefault="00AB60E3" w:rsidP="00C02B42">
            <w:pPr>
              <w:spacing w:before="0" w:after="0"/>
              <w:jc w:val="center"/>
              <w:rPr>
                <w:color w:val="000000"/>
                <w:sz w:val="14"/>
                <w:szCs w:val="14"/>
              </w:rPr>
            </w:pPr>
            <w:r w:rsidRPr="00F45F13">
              <w:rPr>
                <w:color w:val="000000"/>
                <w:sz w:val="16"/>
                <w:szCs w:val="16"/>
              </w:rPr>
              <w:sym w:font="Wingdings" w:char="F06E"/>
            </w:r>
          </w:p>
        </w:tc>
        <w:tc>
          <w:tcPr>
            <w:tcW w:w="357" w:type="dxa"/>
            <w:shd w:val="clear" w:color="auto" w:fill="E7F3F4"/>
            <w:vAlign w:val="center"/>
          </w:tcPr>
          <w:p w:rsidR="00AB60E3" w:rsidRPr="00F45F13" w:rsidRDefault="005D7E5B" w:rsidP="00C02B42">
            <w:pPr>
              <w:spacing w:before="0" w:after="0"/>
              <w:jc w:val="center"/>
              <w:rPr>
                <w:color w:val="000000"/>
                <w:sz w:val="14"/>
                <w:szCs w:val="14"/>
              </w:rPr>
            </w:pPr>
            <w:r w:rsidRPr="00F45F13">
              <w:rPr>
                <w:color w:val="000000"/>
                <w:sz w:val="16"/>
                <w:szCs w:val="16"/>
              </w:rPr>
              <w:sym w:font="Wingdings" w:char="F06E"/>
            </w:r>
          </w:p>
        </w:tc>
        <w:tc>
          <w:tcPr>
            <w:tcW w:w="370" w:type="dxa"/>
            <w:shd w:val="clear" w:color="auto" w:fill="E7F3F4"/>
            <w:vAlign w:val="center"/>
          </w:tcPr>
          <w:p w:rsidR="00AB60E3" w:rsidRPr="00F45F13" w:rsidRDefault="005D7E5B" w:rsidP="00C02B42">
            <w:pPr>
              <w:spacing w:before="0" w:after="0"/>
              <w:jc w:val="center"/>
              <w:rPr>
                <w:color w:val="000000"/>
                <w:sz w:val="14"/>
                <w:szCs w:val="14"/>
              </w:rPr>
            </w:pPr>
            <w:r w:rsidRPr="00F45F13">
              <w:rPr>
                <w:color w:val="000000"/>
                <w:sz w:val="16"/>
                <w:szCs w:val="16"/>
              </w:rPr>
              <w:sym w:font="Wingdings" w:char="F06E"/>
            </w:r>
          </w:p>
        </w:tc>
        <w:tc>
          <w:tcPr>
            <w:tcW w:w="393" w:type="dxa"/>
            <w:shd w:val="clear" w:color="auto" w:fill="E7F3F4"/>
            <w:vAlign w:val="center"/>
          </w:tcPr>
          <w:p w:rsidR="00AB60E3" w:rsidRPr="00F45F13" w:rsidRDefault="00AB60E3" w:rsidP="00C02B42">
            <w:pPr>
              <w:spacing w:before="0" w:after="0"/>
              <w:jc w:val="center"/>
              <w:rPr>
                <w:color w:val="000000"/>
                <w:sz w:val="14"/>
                <w:szCs w:val="14"/>
              </w:rPr>
            </w:pPr>
          </w:p>
        </w:tc>
        <w:tc>
          <w:tcPr>
            <w:tcW w:w="399" w:type="dxa"/>
            <w:shd w:val="clear" w:color="auto" w:fill="E7F3F4"/>
            <w:vAlign w:val="center"/>
          </w:tcPr>
          <w:p w:rsidR="00AB60E3" w:rsidRPr="00F45F13" w:rsidRDefault="00AB60E3" w:rsidP="00C02B42">
            <w:pPr>
              <w:spacing w:before="0" w:after="0"/>
              <w:jc w:val="center"/>
              <w:rPr>
                <w:color w:val="000000"/>
                <w:sz w:val="14"/>
                <w:szCs w:val="14"/>
              </w:rPr>
            </w:pPr>
            <w:r w:rsidRPr="00F45F13">
              <w:rPr>
                <w:color w:val="000000"/>
                <w:sz w:val="14"/>
                <w:szCs w:val="14"/>
              </w:rPr>
              <w:sym w:font="Wingdings" w:char="F0A8"/>
            </w:r>
          </w:p>
        </w:tc>
        <w:tc>
          <w:tcPr>
            <w:tcW w:w="371" w:type="dxa"/>
            <w:shd w:val="clear" w:color="auto" w:fill="E7F3F4"/>
            <w:vAlign w:val="center"/>
          </w:tcPr>
          <w:p w:rsidR="00AB60E3" w:rsidRPr="00F45F13" w:rsidRDefault="00AB60E3" w:rsidP="00C02B42">
            <w:pPr>
              <w:spacing w:before="0" w:after="0"/>
              <w:jc w:val="center"/>
              <w:rPr>
                <w:color w:val="000000"/>
                <w:sz w:val="14"/>
                <w:szCs w:val="14"/>
              </w:rPr>
            </w:pPr>
          </w:p>
        </w:tc>
        <w:tc>
          <w:tcPr>
            <w:tcW w:w="396" w:type="dxa"/>
            <w:shd w:val="clear" w:color="auto" w:fill="E7F3F4"/>
            <w:vAlign w:val="center"/>
          </w:tcPr>
          <w:p w:rsidR="00AB60E3" w:rsidRPr="00F45F13" w:rsidRDefault="005D7E5B" w:rsidP="00C02B42">
            <w:pPr>
              <w:spacing w:before="0" w:after="0"/>
              <w:jc w:val="center"/>
              <w:rPr>
                <w:color w:val="000000"/>
                <w:sz w:val="14"/>
                <w:szCs w:val="14"/>
              </w:rPr>
            </w:pPr>
            <w:r w:rsidRPr="00F45F13">
              <w:rPr>
                <w:color w:val="000000"/>
                <w:sz w:val="16"/>
                <w:szCs w:val="16"/>
              </w:rPr>
              <w:sym w:font="Wingdings" w:char="F06E"/>
            </w:r>
          </w:p>
        </w:tc>
        <w:tc>
          <w:tcPr>
            <w:tcW w:w="341" w:type="dxa"/>
            <w:shd w:val="clear" w:color="auto" w:fill="E7F3F4"/>
            <w:vAlign w:val="center"/>
          </w:tcPr>
          <w:p w:rsidR="00AB60E3" w:rsidRPr="00F45F13" w:rsidRDefault="00AB60E3" w:rsidP="00C02B42">
            <w:pPr>
              <w:spacing w:before="0" w:after="0"/>
              <w:jc w:val="center"/>
              <w:rPr>
                <w:color w:val="000000"/>
                <w:sz w:val="14"/>
                <w:szCs w:val="14"/>
              </w:rPr>
            </w:pPr>
          </w:p>
        </w:tc>
        <w:tc>
          <w:tcPr>
            <w:tcW w:w="374" w:type="dxa"/>
            <w:shd w:val="clear" w:color="auto" w:fill="E7F3F4"/>
            <w:vAlign w:val="center"/>
          </w:tcPr>
          <w:p w:rsidR="00AB60E3" w:rsidRPr="00F45F13" w:rsidRDefault="00AB60E3" w:rsidP="00C02B42">
            <w:pPr>
              <w:spacing w:before="0" w:after="0"/>
              <w:jc w:val="center"/>
              <w:rPr>
                <w:color w:val="000000"/>
                <w:sz w:val="14"/>
                <w:szCs w:val="14"/>
              </w:rPr>
            </w:pPr>
            <w:r w:rsidRPr="00F45F13">
              <w:rPr>
                <w:color w:val="000000"/>
                <w:sz w:val="16"/>
                <w:szCs w:val="16"/>
              </w:rPr>
              <w:sym w:font="Wingdings" w:char="F06E"/>
            </w:r>
          </w:p>
        </w:tc>
        <w:tc>
          <w:tcPr>
            <w:tcW w:w="406" w:type="dxa"/>
            <w:shd w:val="clear" w:color="auto" w:fill="E7F3F4"/>
            <w:vAlign w:val="center"/>
          </w:tcPr>
          <w:p w:rsidR="00AB60E3" w:rsidRPr="00F45F13" w:rsidRDefault="00AB60E3" w:rsidP="00C02B42">
            <w:pPr>
              <w:spacing w:before="0" w:after="0"/>
              <w:jc w:val="center"/>
              <w:rPr>
                <w:color w:val="000000"/>
                <w:sz w:val="14"/>
                <w:szCs w:val="14"/>
              </w:rPr>
            </w:pPr>
          </w:p>
        </w:tc>
      </w:tr>
      <w:tr w:rsidR="00C02B42" w:rsidRPr="00015190" w:rsidTr="00C02B42">
        <w:trPr>
          <w:trHeight w:val="170"/>
          <w:jc w:val="center"/>
        </w:trPr>
        <w:tc>
          <w:tcPr>
            <w:tcW w:w="937" w:type="dxa"/>
            <w:vMerge w:val="restart"/>
            <w:shd w:val="clear" w:color="auto" w:fill="auto"/>
            <w:vAlign w:val="center"/>
          </w:tcPr>
          <w:p w:rsidR="00C02B42" w:rsidRPr="00880D29" w:rsidRDefault="00C02B42" w:rsidP="00C02B42">
            <w:pPr>
              <w:spacing w:before="0" w:after="0"/>
              <w:jc w:val="center"/>
              <w:rPr>
                <w:color w:val="000000"/>
                <w:sz w:val="14"/>
                <w:szCs w:val="14"/>
              </w:rPr>
            </w:pPr>
            <w:r w:rsidRPr="00880D29">
              <w:rPr>
                <w:color w:val="000000"/>
                <w:sz w:val="14"/>
                <w:szCs w:val="14"/>
              </w:rPr>
              <w:t>Central</w:t>
            </w:r>
          </w:p>
        </w:tc>
        <w:tc>
          <w:tcPr>
            <w:tcW w:w="2044" w:type="dxa"/>
            <w:shd w:val="clear" w:color="auto" w:fill="F3F9FA"/>
            <w:vAlign w:val="center"/>
          </w:tcPr>
          <w:p w:rsidR="00C02B42" w:rsidRPr="00880D29" w:rsidRDefault="00C02B42" w:rsidP="00C02B42">
            <w:pPr>
              <w:spacing w:before="0" w:after="0"/>
              <w:jc w:val="center"/>
              <w:rPr>
                <w:color w:val="000000"/>
                <w:sz w:val="14"/>
                <w:szCs w:val="14"/>
              </w:rPr>
            </w:pPr>
            <w:r w:rsidRPr="00880D29">
              <w:rPr>
                <w:color w:val="000000"/>
                <w:sz w:val="14"/>
                <w:szCs w:val="14"/>
              </w:rPr>
              <w:t>Burdekin</w:t>
            </w:r>
          </w:p>
          <w:p w:rsidR="00C02B42" w:rsidRPr="00880D29" w:rsidRDefault="00C02B42" w:rsidP="00C02B42">
            <w:pPr>
              <w:spacing w:before="0" w:after="0"/>
              <w:jc w:val="center"/>
              <w:rPr>
                <w:color w:val="000000"/>
                <w:sz w:val="14"/>
                <w:szCs w:val="14"/>
              </w:rPr>
            </w:pPr>
            <w:r w:rsidRPr="00880D29">
              <w:rPr>
                <w:color w:val="000000"/>
                <w:sz w:val="14"/>
                <w:szCs w:val="14"/>
              </w:rPr>
              <w:t>(</w:t>
            </w:r>
            <w:r w:rsidRPr="00880D29">
              <w:rPr>
                <w:i/>
                <w:color w:val="000000"/>
                <w:sz w:val="14"/>
                <w:szCs w:val="14"/>
              </w:rPr>
              <w:t>NQ Dry Tropics</w:t>
            </w:r>
            <w:r w:rsidRPr="00880D29">
              <w:rPr>
                <w:color w:val="000000"/>
                <w:sz w:val="14"/>
                <w:szCs w:val="14"/>
              </w:rPr>
              <w:t>)</w:t>
            </w:r>
          </w:p>
        </w:tc>
        <w:tc>
          <w:tcPr>
            <w:tcW w:w="1078" w:type="dxa"/>
            <w:shd w:val="clear" w:color="auto" w:fill="F3F9FA"/>
            <w:vAlign w:val="center"/>
          </w:tcPr>
          <w:p w:rsidR="00C02B42" w:rsidRPr="00880D29" w:rsidRDefault="00C02B42" w:rsidP="00C02B42">
            <w:pPr>
              <w:spacing w:before="0" w:after="0"/>
              <w:jc w:val="center"/>
              <w:rPr>
                <w:color w:val="000000"/>
                <w:sz w:val="14"/>
                <w:szCs w:val="14"/>
              </w:rPr>
            </w:pPr>
            <w:r>
              <w:rPr>
                <w:color w:val="000000"/>
                <w:sz w:val="14"/>
                <w:szCs w:val="14"/>
              </w:rPr>
              <w:t>Ross / Burdekin</w:t>
            </w:r>
          </w:p>
        </w:tc>
        <w:tc>
          <w:tcPr>
            <w:tcW w:w="1445" w:type="dxa"/>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Townsville</w:t>
            </w:r>
          </w:p>
          <w:p w:rsidR="00C02B42" w:rsidRPr="00880D29" w:rsidRDefault="00C02B42" w:rsidP="00C02B42">
            <w:pPr>
              <w:spacing w:before="0" w:after="0"/>
              <w:jc w:val="center"/>
              <w:rPr>
                <w:color w:val="000000"/>
                <w:sz w:val="14"/>
                <w:szCs w:val="14"/>
              </w:rPr>
            </w:pPr>
            <w:r w:rsidRPr="00880D29">
              <w:rPr>
                <w:i/>
                <w:color w:val="000000"/>
                <w:sz w:val="14"/>
                <w:szCs w:val="14"/>
              </w:rPr>
              <w:t>coastal</w:t>
            </w:r>
          </w:p>
        </w:tc>
        <w:tc>
          <w:tcPr>
            <w:tcW w:w="619" w:type="dxa"/>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SB</w:t>
            </w:r>
            <w:r>
              <w:rPr>
                <w:color w:val="000000"/>
                <w:sz w:val="14"/>
                <w:szCs w:val="14"/>
              </w:rPr>
              <w:t>2</w:t>
            </w:r>
            <w:r w:rsidRPr="00880D29">
              <w:rPr>
                <w:color w:val="000000"/>
                <w:sz w:val="14"/>
                <w:szCs w:val="14"/>
              </w:rPr>
              <w:t>*</w:t>
            </w:r>
          </w:p>
        </w:tc>
        <w:tc>
          <w:tcPr>
            <w:tcW w:w="1202" w:type="dxa"/>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Shelley Beach</w:t>
            </w:r>
          </w:p>
        </w:tc>
        <w:tc>
          <w:tcPr>
            <w:tcW w:w="463" w:type="dxa"/>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19°</w:t>
            </w:r>
          </w:p>
        </w:tc>
        <w:tc>
          <w:tcPr>
            <w:tcW w:w="678" w:type="dxa"/>
            <w:shd w:val="clear" w:color="auto" w:fill="F3F9FA"/>
            <w:noWrap/>
            <w:vAlign w:val="center"/>
          </w:tcPr>
          <w:p w:rsidR="00C02B42" w:rsidRPr="00880D29" w:rsidRDefault="00064F1E" w:rsidP="00C02B42">
            <w:pPr>
              <w:spacing w:before="0" w:after="0"/>
              <w:jc w:val="center"/>
              <w:rPr>
                <w:color w:val="000000"/>
                <w:sz w:val="14"/>
                <w:szCs w:val="14"/>
              </w:rPr>
            </w:pPr>
            <w:r>
              <w:rPr>
                <w:color w:val="000000"/>
                <w:sz w:val="14"/>
                <w:szCs w:val="14"/>
              </w:rPr>
              <w:t>10.953</w:t>
            </w:r>
          </w:p>
        </w:tc>
        <w:tc>
          <w:tcPr>
            <w:tcW w:w="546" w:type="dxa"/>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146°</w:t>
            </w:r>
          </w:p>
        </w:tc>
        <w:tc>
          <w:tcPr>
            <w:tcW w:w="678" w:type="dxa"/>
            <w:shd w:val="clear" w:color="auto" w:fill="F3F9FA"/>
            <w:noWrap/>
            <w:vAlign w:val="center"/>
          </w:tcPr>
          <w:p w:rsidR="00C02B42" w:rsidRPr="00880D29" w:rsidRDefault="00064F1E" w:rsidP="00C02B42">
            <w:pPr>
              <w:spacing w:before="0" w:after="0"/>
              <w:jc w:val="center"/>
              <w:rPr>
                <w:color w:val="000000"/>
                <w:sz w:val="14"/>
                <w:szCs w:val="14"/>
              </w:rPr>
            </w:pPr>
            <w:r>
              <w:rPr>
                <w:color w:val="000000"/>
                <w:sz w:val="14"/>
                <w:szCs w:val="14"/>
              </w:rPr>
              <w:t>45.764</w:t>
            </w:r>
          </w:p>
        </w:tc>
        <w:tc>
          <w:tcPr>
            <w:tcW w:w="459" w:type="dxa"/>
            <w:shd w:val="clear" w:color="auto" w:fill="F3F9FA"/>
            <w:noWrap/>
            <w:vAlign w:val="center"/>
          </w:tcPr>
          <w:p w:rsidR="00C02B42" w:rsidRPr="00F45F13" w:rsidRDefault="00C02B42" w:rsidP="00C02B42">
            <w:pPr>
              <w:spacing w:before="0" w:after="0"/>
              <w:jc w:val="center"/>
              <w:rPr>
                <w:color w:val="000000"/>
                <w:sz w:val="14"/>
                <w:szCs w:val="14"/>
              </w:rPr>
            </w:pPr>
          </w:p>
        </w:tc>
        <w:tc>
          <w:tcPr>
            <w:tcW w:w="357" w:type="dxa"/>
            <w:shd w:val="clear" w:color="auto" w:fill="F3F9FA"/>
            <w:vAlign w:val="center"/>
          </w:tcPr>
          <w:p w:rsidR="00C02B42" w:rsidRPr="00F45F13" w:rsidRDefault="00C02B42" w:rsidP="00C02B42">
            <w:pPr>
              <w:spacing w:before="0" w:after="0"/>
              <w:jc w:val="center"/>
              <w:rPr>
                <w:color w:val="000000"/>
                <w:sz w:val="14"/>
                <w:szCs w:val="14"/>
              </w:rPr>
            </w:pPr>
            <w:r w:rsidRPr="00F45F13">
              <w:rPr>
                <w:color w:val="000000"/>
                <w:sz w:val="14"/>
                <w:szCs w:val="14"/>
              </w:rPr>
              <w:sym w:font="Wingdings" w:char="F0A8"/>
            </w:r>
          </w:p>
        </w:tc>
        <w:tc>
          <w:tcPr>
            <w:tcW w:w="370" w:type="dxa"/>
            <w:shd w:val="clear" w:color="auto" w:fill="F3F9FA"/>
            <w:vAlign w:val="center"/>
          </w:tcPr>
          <w:p w:rsidR="00C02B42" w:rsidRPr="00F45F13" w:rsidRDefault="00C02B42" w:rsidP="00C02B42">
            <w:pPr>
              <w:spacing w:before="0" w:after="0"/>
              <w:jc w:val="center"/>
              <w:rPr>
                <w:color w:val="000000"/>
                <w:sz w:val="14"/>
                <w:szCs w:val="14"/>
              </w:rPr>
            </w:pPr>
          </w:p>
        </w:tc>
        <w:tc>
          <w:tcPr>
            <w:tcW w:w="393" w:type="dxa"/>
            <w:shd w:val="clear" w:color="auto" w:fill="F3F9FA"/>
            <w:vAlign w:val="center"/>
          </w:tcPr>
          <w:p w:rsidR="00C02B42" w:rsidRPr="00F45F13" w:rsidRDefault="00C02B42" w:rsidP="00C02B42">
            <w:pPr>
              <w:spacing w:before="0" w:after="0"/>
              <w:jc w:val="center"/>
              <w:rPr>
                <w:color w:val="000000"/>
                <w:sz w:val="14"/>
                <w:szCs w:val="14"/>
              </w:rPr>
            </w:pPr>
          </w:p>
        </w:tc>
        <w:tc>
          <w:tcPr>
            <w:tcW w:w="399" w:type="dxa"/>
            <w:shd w:val="clear" w:color="auto" w:fill="F3F9FA"/>
            <w:vAlign w:val="center"/>
          </w:tcPr>
          <w:p w:rsidR="00C02B42" w:rsidRPr="00F45F13" w:rsidRDefault="00C02B42" w:rsidP="00C02B42">
            <w:pPr>
              <w:spacing w:before="0" w:after="0"/>
              <w:jc w:val="center"/>
              <w:rPr>
                <w:color w:val="000000"/>
                <w:sz w:val="14"/>
                <w:szCs w:val="14"/>
              </w:rPr>
            </w:pPr>
            <w:r w:rsidRPr="00F45F13">
              <w:rPr>
                <w:color w:val="000000"/>
                <w:sz w:val="14"/>
                <w:szCs w:val="14"/>
              </w:rPr>
              <w:sym w:font="Wingdings" w:char="F0A8"/>
            </w:r>
          </w:p>
        </w:tc>
        <w:tc>
          <w:tcPr>
            <w:tcW w:w="371" w:type="dxa"/>
            <w:shd w:val="clear" w:color="auto" w:fill="F3F9FA"/>
            <w:vAlign w:val="center"/>
          </w:tcPr>
          <w:p w:rsidR="00C02B42" w:rsidRPr="00F45F13" w:rsidRDefault="00C02B42" w:rsidP="00C02B42">
            <w:pPr>
              <w:spacing w:before="0" w:after="0"/>
              <w:jc w:val="center"/>
              <w:rPr>
                <w:color w:val="000000"/>
                <w:sz w:val="14"/>
                <w:szCs w:val="14"/>
              </w:rPr>
            </w:pPr>
          </w:p>
        </w:tc>
        <w:tc>
          <w:tcPr>
            <w:tcW w:w="396" w:type="dxa"/>
            <w:shd w:val="clear" w:color="auto" w:fill="F3F9FA"/>
            <w:vAlign w:val="center"/>
          </w:tcPr>
          <w:p w:rsidR="00C02B42" w:rsidRPr="00F45F13" w:rsidRDefault="00C02B42" w:rsidP="00C02B42">
            <w:pPr>
              <w:spacing w:before="0" w:after="0"/>
              <w:jc w:val="center"/>
              <w:rPr>
                <w:color w:val="000000"/>
                <w:sz w:val="14"/>
                <w:szCs w:val="14"/>
              </w:rPr>
            </w:pPr>
            <w:r w:rsidRPr="00F45F13">
              <w:rPr>
                <w:color w:val="000000"/>
                <w:sz w:val="16"/>
                <w:szCs w:val="16"/>
              </w:rPr>
              <w:sym w:font="Wingdings" w:char="F06E"/>
            </w:r>
          </w:p>
        </w:tc>
        <w:tc>
          <w:tcPr>
            <w:tcW w:w="341" w:type="dxa"/>
            <w:shd w:val="clear" w:color="auto" w:fill="F3F9FA"/>
            <w:vAlign w:val="center"/>
          </w:tcPr>
          <w:p w:rsidR="00C02B42" w:rsidRPr="00F45F13" w:rsidRDefault="00C02B42" w:rsidP="00C02B42">
            <w:pPr>
              <w:spacing w:before="0" w:after="0"/>
              <w:jc w:val="center"/>
              <w:rPr>
                <w:color w:val="000000"/>
                <w:sz w:val="14"/>
                <w:szCs w:val="14"/>
              </w:rPr>
            </w:pPr>
          </w:p>
        </w:tc>
        <w:tc>
          <w:tcPr>
            <w:tcW w:w="374" w:type="dxa"/>
            <w:shd w:val="clear" w:color="auto" w:fill="F3F9FA"/>
            <w:vAlign w:val="center"/>
          </w:tcPr>
          <w:p w:rsidR="00C02B42" w:rsidRPr="00F45F13" w:rsidRDefault="00C02B42" w:rsidP="00C02B42">
            <w:pPr>
              <w:spacing w:before="0" w:after="0"/>
              <w:jc w:val="center"/>
              <w:rPr>
                <w:color w:val="000000"/>
                <w:sz w:val="14"/>
                <w:szCs w:val="14"/>
              </w:rPr>
            </w:pPr>
          </w:p>
        </w:tc>
        <w:tc>
          <w:tcPr>
            <w:tcW w:w="406" w:type="dxa"/>
            <w:shd w:val="clear" w:color="auto" w:fill="F3F9FA"/>
            <w:vAlign w:val="center"/>
          </w:tcPr>
          <w:p w:rsidR="00C02B42" w:rsidRPr="00F45F13" w:rsidRDefault="00C02B42" w:rsidP="00C02B42">
            <w:pPr>
              <w:spacing w:before="0" w:after="0"/>
              <w:jc w:val="center"/>
              <w:rPr>
                <w:color w:val="000000"/>
                <w:sz w:val="14"/>
                <w:szCs w:val="14"/>
              </w:rPr>
            </w:pPr>
            <w:r w:rsidRPr="00F45F13">
              <w:rPr>
                <w:color w:val="000000"/>
                <w:sz w:val="16"/>
                <w:szCs w:val="16"/>
              </w:rPr>
              <w:sym w:font="Wingdings" w:char="F06E"/>
            </w:r>
          </w:p>
        </w:tc>
      </w:tr>
      <w:tr w:rsidR="00C02B42" w:rsidRPr="00015190" w:rsidTr="00C02B42">
        <w:trPr>
          <w:trHeight w:val="170"/>
          <w:jc w:val="center"/>
        </w:trPr>
        <w:tc>
          <w:tcPr>
            <w:tcW w:w="937" w:type="dxa"/>
            <w:vMerge/>
            <w:shd w:val="clear" w:color="auto" w:fill="auto"/>
            <w:vAlign w:val="center"/>
          </w:tcPr>
          <w:p w:rsidR="00C02B42" w:rsidRPr="00880D29" w:rsidRDefault="00C02B42" w:rsidP="00C02B42">
            <w:pPr>
              <w:spacing w:before="0" w:after="0"/>
              <w:jc w:val="center"/>
              <w:rPr>
                <w:color w:val="000000"/>
                <w:sz w:val="14"/>
                <w:szCs w:val="14"/>
              </w:rPr>
            </w:pPr>
          </w:p>
        </w:tc>
        <w:tc>
          <w:tcPr>
            <w:tcW w:w="2044" w:type="dxa"/>
            <w:vMerge w:val="restart"/>
            <w:shd w:val="clear" w:color="auto" w:fill="E7F3F4"/>
            <w:vAlign w:val="center"/>
          </w:tcPr>
          <w:p w:rsidR="00C02B42" w:rsidRPr="00880D29" w:rsidRDefault="00C02B42" w:rsidP="00C02B42">
            <w:pPr>
              <w:spacing w:before="0" w:after="0"/>
              <w:jc w:val="center"/>
              <w:rPr>
                <w:color w:val="000000"/>
                <w:sz w:val="14"/>
                <w:szCs w:val="14"/>
              </w:rPr>
            </w:pPr>
            <w:r w:rsidRPr="00880D29">
              <w:rPr>
                <w:color w:val="000000"/>
                <w:sz w:val="14"/>
                <w:szCs w:val="14"/>
              </w:rPr>
              <w:t>Mackay Whitsunday</w:t>
            </w:r>
          </w:p>
          <w:p w:rsidR="00C02B42" w:rsidRPr="00880D29" w:rsidRDefault="00C02B42" w:rsidP="00C02B42">
            <w:pPr>
              <w:spacing w:before="0" w:after="0"/>
              <w:jc w:val="center"/>
              <w:rPr>
                <w:color w:val="000000"/>
                <w:sz w:val="14"/>
                <w:szCs w:val="14"/>
              </w:rPr>
            </w:pPr>
            <w:r w:rsidRPr="00880D29">
              <w:rPr>
                <w:color w:val="000000"/>
                <w:sz w:val="14"/>
                <w:szCs w:val="14"/>
              </w:rPr>
              <w:t>(</w:t>
            </w:r>
            <w:r w:rsidRPr="00880D29">
              <w:rPr>
                <w:i/>
                <w:color w:val="000000"/>
                <w:sz w:val="14"/>
                <w:szCs w:val="14"/>
              </w:rPr>
              <w:t>Reef Catchments</w:t>
            </w:r>
            <w:r w:rsidRPr="00880D29">
              <w:rPr>
                <w:color w:val="000000"/>
                <w:sz w:val="14"/>
                <w:szCs w:val="14"/>
              </w:rPr>
              <w:t>)</w:t>
            </w:r>
          </w:p>
        </w:tc>
        <w:tc>
          <w:tcPr>
            <w:tcW w:w="1078" w:type="dxa"/>
            <w:vMerge w:val="restart"/>
            <w:shd w:val="clear" w:color="auto" w:fill="E7F3F4"/>
            <w:vAlign w:val="center"/>
          </w:tcPr>
          <w:p w:rsidR="00C02B42" w:rsidRPr="00880D29" w:rsidRDefault="00C02B42" w:rsidP="00C02B42">
            <w:pPr>
              <w:spacing w:before="0" w:after="0"/>
              <w:jc w:val="center"/>
              <w:rPr>
                <w:color w:val="000000"/>
                <w:sz w:val="14"/>
                <w:szCs w:val="14"/>
              </w:rPr>
            </w:pPr>
            <w:r>
              <w:rPr>
                <w:color w:val="000000"/>
                <w:sz w:val="14"/>
                <w:szCs w:val="14"/>
              </w:rPr>
              <w:t>Proserpine</w:t>
            </w:r>
          </w:p>
        </w:tc>
        <w:tc>
          <w:tcPr>
            <w:tcW w:w="1445" w:type="dxa"/>
            <w:vMerge w:val="restart"/>
            <w:shd w:val="clear" w:color="auto" w:fill="E7F3F4"/>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Whitsundays</w:t>
            </w:r>
          </w:p>
          <w:p w:rsidR="00C02B42" w:rsidRPr="00880D29" w:rsidRDefault="00C02B42" w:rsidP="00C02B42">
            <w:pPr>
              <w:spacing w:before="0" w:after="0"/>
              <w:jc w:val="center"/>
              <w:rPr>
                <w:color w:val="000000"/>
                <w:sz w:val="14"/>
                <w:szCs w:val="14"/>
              </w:rPr>
            </w:pPr>
            <w:r>
              <w:rPr>
                <w:i/>
                <w:color w:val="000000"/>
                <w:sz w:val="14"/>
                <w:szCs w:val="14"/>
              </w:rPr>
              <w:t>reef</w:t>
            </w:r>
          </w:p>
        </w:tc>
        <w:tc>
          <w:tcPr>
            <w:tcW w:w="619" w:type="dxa"/>
            <w:shd w:val="clear" w:color="auto" w:fill="E7F3F4"/>
            <w:noWrap/>
            <w:vAlign w:val="center"/>
          </w:tcPr>
          <w:p w:rsidR="00C02B42" w:rsidRPr="00880D29" w:rsidRDefault="00C02B42" w:rsidP="00C02B42">
            <w:pPr>
              <w:spacing w:before="0" w:after="0"/>
              <w:jc w:val="center"/>
              <w:rPr>
                <w:color w:val="000000"/>
                <w:sz w:val="14"/>
                <w:szCs w:val="14"/>
              </w:rPr>
            </w:pPr>
            <w:r>
              <w:rPr>
                <w:color w:val="000000"/>
                <w:sz w:val="14"/>
                <w:szCs w:val="14"/>
              </w:rPr>
              <w:t>HB1</w:t>
            </w:r>
            <w:r w:rsidRPr="00880D29">
              <w:rPr>
                <w:color w:val="000000"/>
                <w:sz w:val="14"/>
                <w:szCs w:val="14"/>
              </w:rPr>
              <w:t>*</w:t>
            </w:r>
          </w:p>
        </w:tc>
        <w:tc>
          <w:tcPr>
            <w:tcW w:w="1202" w:type="dxa"/>
            <w:shd w:val="clear" w:color="auto" w:fill="E7F3F4"/>
            <w:noWrap/>
            <w:vAlign w:val="center"/>
          </w:tcPr>
          <w:p w:rsidR="00C02B42" w:rsidRPr="00880D29" w:rsidRDefault="00C02B42" w:rsidP="00C02B42">
            <w:pPr>
              <w:spacing w:before="0" w:after="0"/>
              <w:jc w:val="center"/>
              <w:rPr>
                <w:color w:val="000000"/>
                <w:sz w:val="14"/>
                <w:szCs w:val="14"/>
              </w:rPr>
            </w:pPr>
            <w:proofErr w:type="spellStart"/>
            <w:r>
              <w:rPr>
                <w:color w:val="000000"/>
                <w:sz w:val="14"/>
                <w:szCs w:val="14"/>
              </w:rPr>
              <w:t>Hydeaway</w:t>
            </w:r>
            <w:proofErr w:type="spellEnd"/>
            <w:r>
              <w:rPr>
                <w:color w:val="000000"/>
                <w:sz w:val="14"/>
                <w:szCs w:val="14"/>
              </w:rPr>
              <w:t xml:space="preserve"> </w:t>
            </w:r>
            <w:r w:rsidRPr="00880D29">
              <w:rPr>
                <w:color w:val="000000"/>
                <w:sz w:val="14"/>
                <w:szCs w:val="14"/>
              </w:rPr>
              <w:t>Bay</w:t>
            </w:r>
          </w:p>
        </w:tc>
        <w:tc>
          <w:tcPr>
            <w:tcW w:w="463" w:type="dxa"/>
            <w:shd w:val="clear" w:color="auto" w:fill="E7F3F4"/>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20°</w:t>
            </w:r>
          </w:p>
        </w:tc>
        <w:tc>
          <w:tcPr>
            <w:tcW w:w="678" w:type="dxa"/>
            <w:shd w:val="clear" w:color="auto" w:fill="E7F3F4"/>
            <w:noWrap/>
            <w:vAlign w:val="center"/>
          </w:tcPr>
          <w:p w:rsidR="00C02B42" w:rsidRPr="00880D29" w:rsidRDefault="00064F1E" w:rsidP="00C02B42">
            <w:pPr>
              <w:spacing w:before="0" w:after="0"/>
              <w:jc w:val="center"/>
              <w:rPr>
                <w:color w:val="000000"/>
                <w:sz w:val="14"/>
                <w:szCs w:val="14"/>
              </w:rPr>
            </w:pPr>
            <w:r>
              <w:rPr>
                <w:color w:val="000000"/>
                <w:sz w:val="14"/>
                <w:szCs w:val="14"/>
              </w:rPr>
              <w:t>4.487</w:t>
            </w:r>
          </w:p>
        </w:tc>
        <w:tc>
          <w:tcPr>
            <w:tcW w:w="546" w:type="dxa"/>
            <w:shd w:val="clear" w:color="auto" w:fill="E7F3F4"/>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148°</w:t>
            </w:r>
          </w:p>
        </w:tc>
        <w:tc>
          <w:tcPr>
            <w:tcW w:w="678" w:type="dxa"/>
            <w:shd w:val="clear" w:color="auto" w:fill="E7F3F4"/>
            <w:noWrap/>
            <w:vAlign w:val="center"/>
          </w:tcPr>
          <w:p w:rsidR="00C02B42" w:rsidRPr="00880D29" w:rsidRDefault="00064F1E" w:rsidP="00C02B42">
            <w:pPr>
              <w:spacing w:before="0" w:after="0"/>
              <w:jc w:val="center"/>
              <w:rPr>
                <w:color w:val="000000"/>
                <w:sz w:val="14"/>
                <w:szCs w:val="14"/>
              </w:rPr>
            </w:pPr>
            <w:r>
              <w:rPr>
                <w:color w:val="000000"/>
                <w:sz w:val="14"/>
                <w:szCs w:val="14"/>
              </w:rPr>
              <w:t>28.930</w:t>
            </w:r>
          </w:p>
        </w:tc>
        <w:tc>
          <w:tcPr>
            <w:tcW w:w="459" w:type="dxa"/>
            <w:vMerge w:val="restart"/>
            <w:shd w:val="clear" w:color="auto" w:fill="E7F3F4"/>
            <w:noWrap/>
            <w:vAlign w:val="center"/>
          </w:tcPr>
          <w:p w:rsidR="00C02B42" w:rsidRPr="00F45F13" w:rsidRDefault="00977EC0" w:rsidP="00C02B42">
            <w:pPr>
              <w:spacing w:before="0" w:after="0"/>
              <w:jc w:val="center"/>
              <w:rPr>
                <w:color w:val="000000"/>
                <w:sz w:val="14"/>
                <w:szCs w:val="14"/>
              </w:rPr>
            </w:pPr>
            <w:r w:rsidRPr="00F45F13">
              <w:rPr>
                <w:color w:val="000000"/>
                <w:sz w:val="16"/>
                <w:szCs w:val="16"/>
              </w:rPr>
              <w:sym w:font="Wingdings" w:char="F06E"/>
            </w:r>
          </w:p>
        </w:tc>
        <w:tc>
          <w:tcPr>
            <w:tcW w:w="357"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70"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93"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99" w:type="dxa"/>
            <w:vMerge w:val="restart"/>
            <w:shd w:val="clear" w:color="auto" w:fill="E7F3F4"/>
            <w:vAlign w:val="center"/>
          </w:tcPr>
          <w:p w:rsidR="00C02B42" w:rsidRPr="00F45F13" w:rsidRDefault="00C02B42" w:rsidP="00C02B42">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96" w:type="dxa"/>
            <w:vMerge w:val="restart"/>
            <w:shd w:val="clear" w:color="auto" w:fill="E7F3F4"/>
            <w:vAlign w:val="center"/>
          </w:tcPr>
          <w:p w:rsidR="00C02B42" w:rsidRPr="00F45F13" w:rsidRDefault="00C02B42" w:rsidP="00C02B42">
            <w:pPr>
              <w:spacing w:before="0" w:after="0"/>
              <w:jc w:val="center"/>
              <w:rPr>
                <w:color w:val="000000"/>
                <w:sz w:val="14"/>
                <w:szCs w:val="14"/>
              </w:rPr>
            </w:pPr>
            <w:r w:rsidRPr="00F45F13">
              <w:rPr>
                <w:color w:val="000000"/>
                <w:sz w:val="16"/>
                <w:szCs w:val="16"/>
              </w:rPr>
              <w:sym w:font="Wingdings" w:char="F06E"/>
            </w:r>
          </w:p>
        </w:tc>
        <w:tc>
          <w:tcPr>
            <w:tcW w:w="341"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74" w:type="dxa"/>
            <w:vMerge w:val="restart"/>
            <w:shd w:val="clear" w:color="auto" w:fill="E7F3F4"/>
            <w:vAlign w:val="center"/>
          </w:tcPr>
          <w:p w:rsidR="00C02B42" w:rsidRPr="00F45F13" w:rsidRDefault="00977EC0" w:rsidP="00C02B42">
            <w:pPr>
              <w:spacing w:before="0" w:after="0"/>
              <w:jc w:val="center"/>
              <w:rPr>
                <w:color w:val="000000"/>
                <w:sz w:val="14"/>
                <w:szCs w:val="14"/>
              </w:rPr>
            </w:pPr>
            <w:r w:rsidRPr="00F45F13">
              <w:rPr>
                <w:color w:val="000000"/>
                <w:sz w:val="16"/>
                <w:szCs w:val="16"/>
              </w:rPr>
              <w:sym w:font="Wingdings" w:char="F06E"/>
            </w:r>
          </w:p>
        </w:tc>
        <w:tc>
          <w:tcPr>
            <w:tcW w:w="406" w:type="dxa"/>
            <w:vMerge w:val="restart"/>
            <w:shd w:val="clear" w:color="auto" w:fill="E7F3F4"/>
            <w:vAlign w:val="center"/>
          </w:tcPr>
          <w:p w:rsidR="00C02B42" w:rsidRPr="00F45F13" w:rsidRDefault="00C02B42" w:rsidP="00C02B42">
            <w:pPr>
              <w:spacing w:before="0" w:after="0"/>
              <w:jc w:val="center"/>
              <w:rPr>
                <w:color w:val="000000"/>
                <w:sz w:val="14"/>
                <w:szCs w:val="14"/>
              </w:rPr>
            </w:pPr>
          </w:p>
        </w:tc>
      </w:tr>
      <w:tr w:rsidR="00C02B42" w:rsidRPr="00015190" w:rsidTr="00C02B42">
        <w:trPr>
          <w:trHeight w:val="170"/>
          <w:jc w:val="center"/>
        </w:trPr>
        <w:tc>
          <w:tcPr>
            <w:tcW w:w="937" w:type="dxa"/>
            <w:vMerge/>
            <w:shd w:val="clear" w:color="auto" w:fill="auto"/>
            <w:vAlign w:val="center"/>
          </w:tcPr>
          <w:p w:rsidR="00C02B42" w:rsidRPr="00880D29" w:rsidRDefault="00C02B42" w:rsidP="00C02B42">
            <w:pPr>
              <w:spacing w:before="0" w:after="0"/>
              <w:jc w:val="center"/>
              <w:rPr>
                <w:color w:val="000000"/>
                <w:sz w:val="14"/>
                <w:szCs w:val="14"/>
              </w:rPr>
            </w:pPr>
          </w:p>
        </w:tc>
        <w:tc>
          <w:tcPr>
            <w:tcW w:w="2044" w:type="dxa"/>
            <w:vMerge/>
            <w:shd w:val="clear" w:color="auto" w:fill="E7F3F4"/>
            <w:vAlign w:val="center"/>
          </w:tcPr>
          <w:p w:rsidR="00C02B42" w:rsidRPr="00880D29" w:rsidRDefault="00C02B42" w:rsidP="00C02B42">
            <w:pPr>
              <w:spacing w:before="0" w:after="0"/>
              <w:jc w:val="center"/>
              <w:rPr>
                <w:color w:val="000000"/>
                <w:sz w:val="14"/>
                <w:szCs w:val="14"/>
              </w:rPr>
            </w:pPr>
          </w:p>
        </w:tc>
        <w:tc>
          <w:tcPr>
            <w:tcW w:w="1078" w:type="dxa"/>
            <w:vMerge/>
            <w:shd w:val="clear" w:color="auto" w:fill="E7F3F4"/>
            <w:vAlign w:val="center"/>
          </w:tcPr>
          <w:p w:rsidR="00C02B42" w:rsidRPr="00880D29" w:rsidRDefault="00C02B42" w:rsidP="00C02B42">
            <w:pPr>
              <w:spacing w:before="0" w:after="0"/>
              <w:jc w:val="center"/>
              <w:rPr>
                <w:color w:val="000000"/>
                <w:sz w:val="14"/>
                <w:szCs w:val="14"/>
              </w:rPr>
            </w:pPr>
          </w:p>
        </w:tc>
        <w:tc>
          <w:tcPr>
            <w:tcW w:w="1445" w:type="dxa"/>
            <w:vMerge/>
            <w:shd w:val="clear" w:color="auto" w:fill="E7F3F4"/>
            <w:noWrap/>
            <w:vAlign w:val="center"/>
          </w:tcPr>
          <w:p w:rsidR="00C02B42" w:rsidRPr="00880D29" w:rsidRDefault="00C02B42" w:rsidP="00C02B42">
            <w:pPr>
              <w:spacing w:before="0" w:after="0"/>
              <w:jc w:val="center"/>
              <w:rPr>
                <w:color w:val="000000"/>
                <w:sz w:val="14"/>
                <w:szCs w:val="14"/>
              </w:rPr>
            </w:pPr>
          </w:p>
        </w:tc>
        <w:tc>
          <w:tcPr>
            <w:tcW w:w="619" w:type="dxa"/>
            <w:shd w:val="clear" w:color="auto" w:fill="E7F3F4"/>
            <w:noWrap/>
            <w:vAlign w:val="center"/>
          </w:tcPr>
          <w:p w:rsidR="00C02B42" w:rsidRPr="00880D29" w:rsidRDefault="00C02B42" w:rsidP="00C02B42">
            <w:pPr>
              <w:spacing w:before="0" w:after="0"/>
              <w:jc w:val="center"/>
              <w:rPr>
                <w:color w:val="000000"/>
                <w:sz w:val="14"/>
                <w:szCs w:val="14"/>
              </w:rPr>
            </w:pPr>
            <w:r>
              <w:rPr>
                <w:color w:val="000000"/>
                <w:sz w:val="14"/>
                <w:szCs w:val="14"/>
              </w:rPr>
              <w:t>HB2</w:t>
            </w:r>
            <w:r w:rsidRPr="00880D29">
              <w:rPr>
                <w:color w:val="000000"/>
                <w:sz w:val="14"/>
                <w:szCs w:val="14"/>
              </w:rPr>
              <w:t>*</w:t>
            </w:r>
          </w:p>
        </w:tc>
        <w:tc>
          <w:tcPr>
            <w:tcW w:w="1202" w:type="dxa"/>
            <w:shd w:val="clear" w:color="auto" w:fill="E7F3F4"/>
            <w:noWrap/>
            <w:vAlign w:val="center"/>
          </w:tcPr>
          <w:p w:rsidR="00C02B42" w:rsidRPr="00880D29" w:rsidRDefault="00C02B42" w:rsidP="00C02B42">
            <w:pPr>
              <w:spacing w:before="0" w:after="0"/>
              <w:jc w:val="center"/>
              <w:rPr>
                <w:color w:val="000000"/>
                <w:sz w:val="14"/>
                <w:szCs w:val="14"/>
              </w:rPr>
            </w:pPr>
            <w:proofErr w:type="spellStart"/>
            <w:r>
              <w:rPr>
                <w:color w:val="000000"/>
                <w:sz w:val="14"/>
                <w:szCs w:val="14"/>
              </w:rPr>
              <w:t>Hydeaway</w:t>
            </w:r>
            <w:proofErr w:type="spellEnd"/>
            <w:r>
              <w:rPr>
                <w:color w:val="000000"/>
                <w:sz w:val="14"/>
                <w:szCs w:val="14"/>
              </w:rPr>
              <w:t xml:space="preserve"> </w:t>
            </w:r>
            <w:r w:rsidRPr="00880D29">
              <w:rPr>
                <w:color w:val="000000"/>
                <w:sz w:val="14"/>
                <w:szCs w:val="14"/>
              </w:rPr>
              <w:t>Bay</w:t>
            </w:r>
          </w:p>
        </w:tc>
        <w:tc>
          <w:tcPr>
            <w:tcW w:w="463" w:type="dxa"/>
            <w:shd w:val="clear" w:color="auto" w:fill="E7F3F4"/>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20°</w:t>
            </w:r>
          </w:p>
        </w:tc>
        <w:tc>
          <w:tcPr>
            <w:tcW w:w="678" w:type="dxa"/>
            <w:shd w:val="clear" w:color="auto" w:fill="E7F3F4"/>
            <w:noWrap/>
            <w:vAlign w:val="center"/>
          </w:tcPr>
          <w:p w:rsidR="00C02B42" w:rsidRPr="00880D29" w:rsidRDefault="00064F1E" w:rsidP="00C02B42">
            <w:pPr>
              <w:spacing w:before="0" w:after="0"/>
              <w:jc w:val="center"/>
              <w:rPr>
                <w:color w:val="000000"/>
                <w:sz w:val="14"/>
                <w:szCs w:val="14"/>
              </w:rPr>
            </w:pPr>
            <w:r>
              <w:rPr>
                <w:color w:val="000000"/>
                <w:sz w:val="14"/>
                <w:szCs w:val="14"/>
              </w:rPr>
              <w:t>4.297</w:t>
            </w:r>
          </w:p>
        </w:tc>
        <w:tc>
          <w:tcPr>
            <w:tcW w:w="546" w:type="dxa"/>
            <w:shd w:val="clear" w:color="auto" w:fill="E7F3F4"/>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148°</w:t>
            </w:r>
          </w:p>
        </w:tc>
        <w:tc>
          <w:tcPr>
            <w:tcW w:w="678" w:type="dxa"/>
            <w:shd w:val="clear" w:color="auto" w:fill="E7F3F4"/>
            <w:noWrap/>
            <w:vAlign w:val="center"/>
          </w:tcPr>
          <w:p w:rsidR="00C02B42" w:rsidRPr="00880D29" w:rsidRDefault="00064F1E" w:rsidP="00C02B42">
            <w:pPr>
              <w:spacing w:before="0" w:after="0"/>
              <w:jc w:val="center"/>
              <w:rPr>
                <w:color w:val="000000"/>
                <w:sz w:val="14"/>
                <w:szCs w:val="14"/>
              </w:rPr>
            </w:pPr>
            <w:r>
              <w:rPr>
                <w:color w:val="000000"/>
                <w:sz w:val="14"/>
                <w:szCs w:val="14"/>
              </w:rPr>
              <w:t>28.846</w:t>
            </w:r>
          </w:p>
        </w:tc>
        <w:tc>
          <w:tcPr>
            <w:tcW w:w="459" w:type="dxa"/>
            <w:vMerge/>
            <w:shd w:val="clear" w:color="auto" w:fill="E7F3F4"/>
            <w:noWrap/>
            <w:vAlign w:val="center"/>
          </w:tcPr>
          <w:p w:rsidR="00C02B42" w:rsidRPr="00F45F13" w:rsidRDefault="00C02B42" w:rsidP="00C02B42">
            <w:pPr>
              <w:spacing w:before="0" w:after="0"/>
              <w:jc w:val="center"/>
              <w:rPr>
                <w:color w:val="000000"/>
                <w:sz w:val="14"/>
                <w:szCs w:val="14"/>
              </w:rPr>
            </w:pPr>
          </w:p>
        </w:tc>
        <w:tc>
          <w:tcPr>
            <w:tcW w:w="357" w:type="dxa"/>
            <w:vMerge/>
            <w:shd w:val="clear" w:color="auto" w:fill="E7F3F4"/>
            <w:vAlign w:val="center"/>
          </w:tcPr>
          <w:p w:rsidR="00C02B42" w:rsidRPr="00F45F13" w:rsidRDefault="00C02B42" w:rsidP="00C02B42">
            <w:pPr>
              <w:spacing w:before="0" w:after="0"/>
              <w:jc w:val="center"/>
              <w:rPr>
                <w:color w:val="000000"/>
                <w:sz w:val="14"/>
                <w:szCs w:val="14"/>
              </w:rPr>
            </w:pPr>
          </w:p>
        </w:tc>
        <w:tc>
          <w:tcPr>
            <w:tcW w:w="370" w:type="dxa"/>
            <w:vMerge/>
            <w:shd w:val="clear" w:color="auto" w:fill="E7F3F4"/>
            <w:vAlign w:val="center"/>
          </w:tcPr>
          <w:p w:rsidR="00C02B42" w:rsidRPr="00F45F13" w:rsidRDefault="00C02B42" w:rsidP="00C02B42">
            <w:pPr>
              <w:spacing w:before="0" w:after="0"/>
              <w:jc w:val="center"/>
              <w:rPr>
                <w:color w:val="000000"/>
                <w:sz w:val="14"/>
                <w:szCs w:val="14"/>
              </w:rPr>
            </w:pPr>
          </w:p>
        </w:tc>
        <w:tc>
          <w:tcPr>
            <w:tcW w:w="393" w:type="dxa"/>
            <w:vMerge/>
            <w:shd w:val="clear" w:color="auto" w:fill="E7F3F4"/>
            <w:vAlign w:val="center"/>
          </w:tcPr>
          <w:p w:rsidR="00C02B42" w:rsidRPr="00F45F13" w:rsidRDefault="00C02B42" w:rsidP="00C02B42">
            <w:pPr>
              <w:spacing w:before="0" w:after="0"/>
              <w:jc w:val="center"/>
              <w:rPr>
                <w:color w:val="000000"/>
                <w:sz w:val="14"/>
                <w:szCs w:val="14"/>
              </w:rPr>
            </w:pPr>
          </w:p>
        </w:tc>
        <w:tc>
          <w:tcPr>
            <w:tcW w:w="399" w:type="dxa"/>
            <w:vMerge/>
            <w:shd w:val="clear" w:color="auto" w:fill="E7F3F4"/>
            <w:vAlign w:val="center"/>
          </w:tcPr>
          <w:p w:rsidR="00C02B42" w:rsidRPr="00F45F13" w:rsidRDefault="00C02B42" w:rsidP="00C02B42">
            <w:pPr>
              <w:spacing w:before="0" w:after="0"/>
              <w:jc w:val="center"/>
              <w:rPr>
                <w:color w:val="000000"/>
                <w:sz w:val="14"/>
                <w:szCs w:val="14"/>
              </w:rPr>
            </w:pPr>
          </w:p>
        </w:tc>
        <w:tc>
          <w:tcPr>
            <w:tcW w:w="371" w:type="dxa"/>
            <w:vMerge/>
            <w:shd w:val="clear" w:color="auto" w:fill="E7F3F4"/>
            <w:vAlign w:val="center"/>
          </w:tcPr>
          <w:p w:rsidR="00C02B42" w:rsidRPr="00F45F13" w:rsidRDefault="00C02B42" w:rsidP="00C02B42">
            <w:pPr>
              <w:spacing w:before="0" w:after="0"/>
              <w:jc w:val="center"/>
              <w:rPr>
                <w:color w:val="000000"/>
                <w:sz w:val="14"/>
                <w:szCs w:val="14"/>
              </w:rPr>
            </w:pPr>
          </w:p>
        </w:tc>
        <w:tc>
          <w:tcPr>
            <w:tcW w:w="396" w:type="dxa"/>
            <w:vMerge/>
            <w:shd w:val="clear" w:color="auto" w:fill="E7F3F4"/>
            <w:vAlign w:val="center"/>
          </w:tcPr>
          <w:p w:rsidR="00C02B42" w:rsidRPr="00F45F13" w:rsidRDefault="00C02B42" w:rsidP="00C02B42">
            <w:pPr>
              <w:spacing w:before="0" w:after="0"/>
              <w:jc w:val="center"/>
              <w:rPr>
                <w:color w:val="000000"/>
                <w:sz w:val="14"/>
                <w:szCs w:val="14"/>
              </w:rPr>
            </w:pPr>
          </w:p>
        </w:tc>
        <w:tc>
          <w:tcPr>
            <w:tcW w:w="341" w:type="dxa"/>
            <w:vMerge/>
            <w:shd w:val="clear" w:color="auto" w:fill="E7F3F4"/>
            <w:vAlign w:val="center"/>
          </w:tcPr>
          <w:p w:rsidR="00C02B42" w:rsidRPr="00F45F13" w:rsidRDefault="00C02B42" w:rsidP="00C02B42">
            <w:pPr>
              <w:spacing w:before="0" w:after="0"/>
              <w:jc w:val="center"/>
              <w:rPr>
                <w:color w:val="000000"/>
                <w:sz w:val="14"/>
                <w:szCs w:val="14"/>
              </w:rPr>
            </w:pPr>
          </w:p>
        </w:tc>
        <w:tc>
          <w:tcPr>
            <w:tcW w:w="374" w:type="dxa"/>
            <w:vMerge/>
            <w:shd w:val="clear" w:color="auto" w:fill="E7F3F4"/>
            <w:vAlign w:val="center"/>
          </w:tcPr>
          <w:p w:rsidR="00C02B42" w:rsidRPr="00F45F13" w:rsidRDefault="00C02B42" w:rsidP="00C02B42">
            <w:pPr>
              <w:spacing w:before="0" w:after="0"/>
              <w:jc w:val="center"/>
              <w:rPr>
                <w:color w:val="000000"/>
                <w:sz w:val="14"/>
                <w:szCs w:val="14"/>
              </w:rPr>
            </w:pPr>
          </w:p>
        </w:tc>
        <w:tc>
          <w:tcPr>
            <w:tcW w:w="406" w:type="dxa"/>
            <w:vMerge/>
            <w:shd w:val="clear" w:color="auto" w:fill="E7F3F4"/>
            <w:vAlign w:val="center"/>
          </w:tcPr>
          <w:p w:rsidR="00C02B42" w:rsidRPr="00F45F13" w:rsidRDefault="00C02B42" w:rsidP="00C02B42">
            <w:pPr>
              <w:spacing w:before="0" w:after="0"/>
              <w:jc w:val="center"/>
              <w:rPr>
                <w:color w:val="000000"/>
                <w:sz w:val="14"/>
                <w:szCs w:val="14"/>
              </w:rPr>
            </w:pPr>
          </w:p>
        </w:tc>
      </w:tr>
      <w:tr w:rsidR="00C02B42" w:rsidRPr="00015190" w:rsidTr="00C02B42">
        <w:trPr>
          <w:trHeight w:val="87"/>
          <w:jc w:val="center"/>
        </w:trPr>
        <w:tc>
          <w:tcPr>
            <w:tcW w:w="937" w:type="dxa"/>
            <w:vMerge/>
            <w:shd w:val="clear" w:color="auto" w:fill="auto"/>
            <w:vAlign w:val="center"/>
          </w:tcPr>
          <w:p w:rsidR="00C02B42" w:rsidRPr="00880D29" w:rsidRDefault="00C02B42" w:rsidP="00C02B42">
            <w:pPr>
              <w:spacing w:before="0" w:after="0"/>
              <w:jc w:val="center"/>
              <w:rPr>
                <w:color w:val="000000"/>
                <w:sz w:val="14"/>
                <w:szCs w:val="14"/>
              </w:rPr>
            </w:pPr>
          </w:p>
        </w:tc>
        <w:tc>
          <w:tcPr>
            <w:tcW w:w="2044" w:type="dxa"/>
            <w:vMerge/>
            <w:shd w:val="clear" w:color="auto" w:fill="E7F3F4"/>
            <w:vAlign w:val="center"/>
          </w:tcPr>
          <w:p w:rsidR="00C02B42" w:rsidRPr="00880D29" w:rsidRDefault="00C02B42" w:rsidP="00C02B42">
            <w:pPr>
              <w:spacing w:before="0" w:after="0"/>
              <w:jc w:val="center"/>
              <w:rPr>
                <w:color w:val="000000"/>
                <w:sz w:val="14"/>
                <w:szCs w:val="14"/>
              </w:rPr>
            </w:pPr>
          </w:p>
        </w:tc>
        <w:tc>
          <w:tcPr>
            <w:tcW w:w="1078" w:type="dxa"/>
            <w:vMerge w:val="restart"/>
            <w:shd w:val="clear" w:color="auto" w:fill="E7F3F4"/>
            <w:vAlign w:val="center"/>
          </w:tcPr>
          <w:p w:rsidR="00C02B42" w:rsidRPr="00880D29" w:rsidRDefault="00C02B42" w:rsidP="00C02B42">
            <w:pPr>
              <w:spacing w:before="0" w:after="0"/>
              <w:jc w:val="center"/>
              <w:rPr>
                <w:color w:val="000000"/>
                <w:sz w:val="14"/>
                <w:szCs w:val="14"/>
              </w:rPr>
            </w:pPr>
            <w:r>
              <w:rPr>
                <w:color w:val="000000"/>
                <w:sz w:val="14"/>
                <w:szCs w:val="14"/>
              </w:rPr>
              <w:t>O</w:t>
            </w:r>
            <w:r w:rsidRPr="00C02B42">
              <w:rPr>
                <w:color w:val="000000"/>
                <w:sz w:val="14"/>
                <w:szCs w:val="14"/>
              </w:rPr>
              <w:t>'</w:t>
            </w:r>
            <w:r>
              <w:rPr>
                <w:color w:val="000000"/>
                <w:sz w:val="14"/>
                <w:szCs w:val="14"/>
              </w:rPr>
              <w:t>C</w:t>
            </w:r>
            <w:r w:rsidRPr="00C02B42">
              <w:rPr>
                <w:color w:val="000000"/>
                <w:sz w:val="14"/>
                <w:szCs w:val="14"/>
              </w:rPr>
              <w:t>onnell</w:t>
            </w:r>
          </w:p>
        </w:tc>
        <w:tc>
          <w:tcPr>
            <w:tcW w:w="1445" w:type="dxa"/>
            <w:vMerge w:val="restart"/>
            <w:shd w:val="clear" w:color="auto" w:fill="E7F3F4"/>
            <w:noWrap/>
            <w:vAlign w:val="center"/>
          </w:tcPr>
          <w:p w:rsidR="00C02B42" w:rsidRDefault="00C02B42" w:rsidP="00C02B42">
            <w:pPr>
              <w:spacing w:before="0" w:after="0"/>
              <w:jc w:val="center"/>
              <w:rPr>
                <w:color w:val="000000"/>
                <w:sz w:val="14"/>
                <w:szCs w:val="14"/>
              </w:rPr>
            </w:pPr>
            <w:r>
              <w:rPr>
                <w:color w:val="000000"/>
                <w:sz w:val="14"/>
                <w:szCs w:val="14"/>
              </w:rPr>
              <w:t>Repulse Bay</w:t>
            </w:r>
          </w:p>
          <w:p w:rsidR="00C02B42" w:rsidRPr="00880D29" w:rsidRDefault="00C02B42" w:rsidP="00C02B42">
            <w:pPr>
              <w:spacing w:before="0" w:after="0"/>
              <w:jc w:val="center"/>
              <w:rPr>
                <w:color w:val="000000"/>
                <w:sz w:val="14"/>
                <w:szCs w:val="14"/>
              </w:rPr>
            </w:pPr>
            <w:r w:rsidRPr="00C02B42">
              <w:rPr>
                <w:color w:val="000000"/>
                <w:sz w:val="14"/>
                <w:szCs w:val="14"/>
              </w:rPr>
              <w:t>coastal</w:t>
            </w:r>
          </w:p>
        </w:tc>
        <w:tc>
          <w:tcPr>
            <w:tcW w:w="619" w:type="dxa"/>
            <w:shd w:val="clear" w:color="auto" w:fill="E7F3F4"/>
            <w:noWrap/>
            <w:vAlign w:val="center"/>
          </w:tcPr>
          <w:p w:rsidR="00C02B42" w:rsidRPr="00880D29" w:rsidRDefault="00C02B42" w:rsidP="00C02B42">
            <w:pPr>
              <w:spacing w:before="0" w:after="0"/>
              <w:jc w:val="center"/>
              <w:rPr>
                <w:color w:val="000000"/>
                <w:sz w:val="14"/>
                <w:szCs w:val="14"/>
              </w:rPr>
            </w:pPr>
            <w:r>
              <w:rPr>
                <w:color w:val="000000"/>
                <w:sz w:val="14"/>
                <w:szCs w:val="14"/>
              </w:rPr>
              <w:t>MP2</w:t>
            </w:r>
            <w:r w:rsidRPr="00880D29">
              <w:rPr>
                <w:color w:val="000000"/>
                <w:sz w:val="14"/>
                <w:szCs w:val="14"/>
              </w:rPr>
              <w:t>*</w:t>
            </w:r>
          </w:p>
        </w:tc>
        <w:tc>
          <w:tcPr>
            <w:tcW w:w="1202" w:type="dxa"/>
            <w:shd w:val="clear" w:color="auto" w:fill="E7F3F4"/>
            <w:noWrap/>
            <w:vAlign w:val="center"/>
          </w:tcPr>
          <w:p w:rsidR="00C02B42" w:rsidRPr="00880D29" w:rsidRDefault="00C02B42" w:rsidP="00C02B42">
            <w:pPr>
              <w:spacing w:before="0" w:after="0"/>
              <w:jc w:val="center"/>
              <w:rPr>
                <w:color w:val="000000"/>
                <w:sz w:val="14"/>
                <w:szCs w:val="14"/>
              </w:rPr>
            </w:pPr>
            <w:r>
              <w:rPr>
                <w:color w:val="000000"/>
                <w:sz w:val="14"/>
                <w:szCs w:val="14"/>
              </w:rPr>
              <w:t>Midge Point</w:t>
            </w:r>
          </w:p>
        </w:tc>
        <w:tc>
          <w:tcPr>
            <w:tcW w:w="463" w:type="dxa"/>
            <w:shd w:val="clear" w:color="auto" w:fill="E7F3F4"/>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20°</w:t>
            </w:r>
          </w:p>
        </w:tc>
        <w:tc>
          <w:tcPr>
            <w:tcW w:w="678" w:type="dxa"/>
            <w:shd w:val="clear" w:color="auto" w:fill="E7F3F4"/>
            <w:noWrap/>
            <w:vAlign w:val="center"/>
          </w:tcPr>
          <w:p w:rsidR="00C02B42" w:rsidRPr="00880D29" w:rsidRDefault="00064F1E" w:rsidP="00C02B42">
            <w:pPr>
              <w:spacing w:before="0" w:after="0"/>
              <w:jc w:val="center"/>
              <w:rPr>
                <w:color w:val="000000"/>
                <w:sz w:val="14"/>
                <w:szCs w:val="14"/>
              </w:rPr>
            </w:pPr>
            <w:r>
              <w:rPr>
                <w:color w:val="000000"/>
                <w:sz w:val="14"/>
                <w:szCs w:val="14"/>
              </w:rPr>
              <w:t>38.099</w:t>
            </w:r>
          </w:p>
        </w:tc>
        <w:tc>
          <w:tcPr>
            <w:tcW w:w="546" w:type="dxa"/>
            <w:shd w:val="clear" w:color="auto" w:fill="E7F3F4"/>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148°</w:t>
            </w:r>
          </w:p>
        </w:tc>
        <w:tc>
          <w:tcPr>
            <w:tcW w:w="678" w:type="dxa"/>
            <w:shd w:val="clear" w:color="auto" w:fill="E7F3F4"/>
            <w:noWrap/>
            <w:vAlign w:val="center"/>
          </w:tcPr>
          <w:p w:rsidR="00C02B42" w:rsidRPr="00880D29" w:rsidRDefault="00064F1E" w:rsidP="00C02B42">
            <w:pPr>
              <w:spacing w:before="0" w:after="0"/>
              <w:jc w:val="center"/>
              <w:rPr>
                <w:color w:val="000000"/>
                <w:sz w:val="14"/>
                <w:szCs w:val="14"/>
              </w:rPr>
            </w:pPr>
            <w:r>
              <w:rPr>
                <w:color w:val="000000"/>
                <w:sz w:val="14"/>
                <w:szCs w:val="14"/>
              </w:rPr>
              <w:t>42.108</w:t>
            </w:r>
          </w:p>
        </w:tc>
        <w:tc>
          <w:tcPr>
            <w:tcW w:w="459" w:type="dxa"/>
            <w:vMerge w:val="restart"/>
            <w:shd w:val="clear" w:color="auto" w:fill="E7F3F4"/>
            <w:noWrap/>
            <w:vAlign w:val="center"/>
          </w:tcPr>
          <w:p w:rsidR="00C02B42" w:rsidRPr="00F45F13" w:rsidRDefault="00C02B42" w:rsidP="00C02B42">
            <w:pPr>
              <w:spacing w:before="0" w:after="0"/>
              <w:jc w:val="center"/>
              <w:rPr>
                <w:color w:val="000000"/>
                <w:sz w:val="14"/>
                <w:szCs w:val="14"/>
              </w:rPr>
            </w:pPr>
          </w:p>
        </w:tc>
        <w:tc>
          <w:tcPr>
            <w:tcW w:w="357"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70"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93"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99" w:type="dxa"/>
            <w:vMerge w:val="restart"/>
            <w:shd w:val="clear" w:color="auto" w:fill="E7F3F4"/>
            <w:vAlign w:val="center"/>
          </w:tcPr>
          <w:p w:rsidR="00C02B42" w:rsidRPr="00F45F13" w:rsidRDefault="00C02B42" w:rsidP="00C02B42">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96" w:type="dxa"/>
            <w:vMerge w:val="restart"/>
            <w:shd w:val="clear" w:color="auto" w:fill="E7F3F4"/>
            <w:vAlign w:val="center"/>
          </w:tcPr>
          <w:p w:rsidR="00C02B42" w:rsidRPr="00F45F13" w:rsidRDefault="00C02B42" w:rsidP="00C02B42">
            <w:pPr>
              <w:spacing w:before="0" w:after="0"/>
              <w:jc w:val="center"/>
              <w:rPr>
                <w:color w:val="000000"/>
                <w:sz w:val="14"/>
                <w:szCs w:val="14"/>
              </w:rPr>
            </w:pPr>
            <w:r w:rsidRPr="00F45F13">
              <w:rPr>
                <w:color w:val="000000"/>
                <w:sz w:val="16"/>
                <w:szCs w:val="16"/>
              </w:rPr>
              <w:sym w:font="Wingdings" w:char="F06E"/>
            </w:r>
          </w:p>
        </w:tc>
        <w:tc>
          <w:tcPr>
            <w:tcW w:w="341"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374" w:type="dxa"/>
            <w:vMerge w:val="restart"/>
            <w:shd w:val="clear" w:color="auto" w:fill="E7F3F4"/>
            <w:vAlign w:val="center"/>
          </w:tcPr>
          <w:p w:rsidR="00C02B42" w:rsidRPr="00F45F13" w:rsidRDefault="00C02B42" w:rsidP="00C02B42">
            <w:pPr>
              <w:spacing w:before="0" w:after="0"/>
              <w:jc w:val="center"/>
              <w:rPr>
                <w:color w:val="000000"/>
                <w:sz w:val="14"/>
                <w:szCs w:val="14"/>
              </w:rPr>
            </w:pPr>
          </w:p>
        </w:tc>
        <w:tc>
          <w:tcPr>
            <w:tcW w:w="406" w:type="dxa"/>
            <w:vMerge w:val="restart"/>
            <w:shd w:val="clear" w:color="auto" w:fill="E7F3F4"/>
            <w:vAlign w:val="center"/>
          </w:tcPr>
          <w:p w:rsidR="00C02B42" w:rsidRPr="00F45F13" w:rsidRDefault="00C02B42" w:rsidP="00C02B42">
            <w:pPr>
              <w:spacing w:before="0" w:after="0"/>
              <w:jc w:val="center"/>
              <w:rPr>
                <w:color w:val="000000"/>
                <w:sz w:val="14"/>
                <w:szCs w:val="14"/>
              </w:rPr>
            </w:pPr>
            <w:r w:rsidRPr="00F45F13">
              <w:rPr>
                <w:color w:val="000000"/>
                <w:sz w:val="16"/>
                <w:szCs w:val="16"/>
              </w:rPr>
              <w:sym w:font="Wingdings" w:char="F06E"/>
            </w:r>
          </w:p>
        </w:tc>
      </w:tr>
      <w:tr w:rsidR="00C02B42" w:rsidRPr="00015190" w:rsidTr="00C02B42">
        <w:trPr>
          <w:trHeight w:val="170"/>
          <w:jc w:val="center"/>
        </w:trPr>
        <w:tc>
          <w:tcPr>
            <w:tcW w:w="937" w:type="dxa"/>
            <w:vMerge/>
            <w:shd w:val="clear" w:color="auto" w:fill="auto"/>
            <w:vAlign w:val="center"/>
          </w:tcPr>
          <w:p w:rsidR="00C02B42" w:rsidRPr="00880D29" w:rsidRDefault="00C02B42" w:rsidP="00C02B42">
            <w:pPr>
              <w:spacing w:before="0" w:after="0"/>
              <w:jc w:val="center"/>
              <w:rPr>
                <w:color w:val="000000"/>
                <w:sz w:val="14"/>
                <w:szCs w:val="14"/>
              </w:rPr>
            </w:pPr>
          </w:p>
        </w:tc>
        <w:tc>
          <w:tcPr>
            <w:tcW w:w="2044" w:type="dxa"/>
            <w:vMerge/>
            <w:shd w:val="clear" w:color="auto" w:fill="F3F9FA"/>
            <w:vAlign w:val="center"/>
          </w:tcPr>
          <w:p w:rsidR="00C02B42" w:rsidRPr="00880D29" w:rsidRDefault="00C02B42" w:rsidP="00C02B42">
            <w:pPr>
              <w:spacing w:before="0" w:after="0"/>
              <w:jc w:val="center"/>
              <w:rPr>
                <w:color w:val="000000"/>
                <w:sz w:val="14"/>
                <w:szCs w:val="14"/>
              </w:rPr>
            </w:pPr>
          </w:p>
        </w:tc>
        <w:tc>
          <w:tcPr>
            <w:tcW w:w="1078" w:type="dxa"/>
            <w:vMerge/>
            <w:shd w:val="clear" w:color="auto" w:fill="F3F9FA"/>
            <w:vAlign w:val="center"/>
          </w:tcPr>
          <w:p w:rsidR="00C02B42" w:rsidRPr="00880D29" w:rsidRDefault="00C02B42" w:rsidP="00C02B42">
            <w:pPr>
              <w:spacing w:before="0" w:after="0"/>
              <w:jc w:val="center"/>
              <w:rPr>
                <w:color w:val="000000"/>
                <w:sz w:val="14"/>
                <w:szCs w:val="14"/>
              </w:rPr>
            </w:pPr>
          </w:p>
        </w:tc>
        <w:tc>
          <w:tcPr>
            <w:tcW w:w="1445" w:type="dxa"/>
            <w:vMerge/>
            <w:shd w:val="clear" w:color="auto" w:fill="F3F9FA"/>
            <w:noWrap/>
            <w:vAlign w:val="center"/>
          </w:tcPr>
          <w:p w:rsidR="00C02B42" w:rsidRPr="00880D29" w:rsidRDefault="00C02B42" w:rsidP="00C02B42">
            <w:pPr>
              <w:spacing w:before="0" w:after="0"/>
              <w:jc w:val="center"/>
              <w:rPr>
                <w:color w:val="000000"/>
                <w:sz w:val="14"/>
                <w:szCs w:val="14"/>
              </w:rPr>
            </w:pPr>
          </w:p>
        </w:tc>
        <w:tc>
          <w:tcPr>
            <w:tcW w:w="619" w:type="dxa"/>
            <w:shd w:val="clear" w:color="auto" w:fill="E7F3F4"/>
            <w:noWrap/>
            <w:vAlign w:val="center"/>
          </w:tcPr>
          <w:p w:rsidR="00C02B42" w:rsidRPr="00880D29" w:rsidRDefault="00C02B42" w:rsidP="00C02B42">
            <w:pPr>
              <w:spacing w:before="0" w:after="0"/>
              <w:jc w:val="center"/>
              <w:rPr>
                <w:color w:val="000000"/>
                <w:sz w:val="14"/>
                <w:szCs w:val="14"/>
              </w:rPr>
            </w:pPr>
            <w:r>
              <w:rPr>
                <w:color w:val="000000"/>
                <w:sz w:val="14"/>
                <w:szCs w:val="14"/>
              </w:rPr>
              <w:t>MP3</w:t>
            </w:r>
            <w:r w:rsidRPr="00880D29">
              <w:rPr>
                <w:color w:val="000000"/>
                <w:sz w:val="14"/>
                <w:szCs w:val="14"/>
              </w:rPr>
              <w:t>*</w:t>
            </w:r>
          </w:p>
        </w:tc>
        <w:tc>
          <w:tcPr>
            <w:tcW w:w="1202" w:type="dxa"/>
            <w:shd w:val="clear" w:color="auto" w:fill="E7F3F4"/>
            <w:noWrap/>
            <w:vAlign w:val="center"/>
          </w:tcPr>
          <w:p w:rsidR="00C02B42" w:rsidRPr="00880D29" w:rsidRDefault="00C02B42" w:rsidP="00C02B42">
            <w:pPr>
              <w:spacing w:before="0" w:after="0"/>
              <w:jc w:val="center"/>
              <w:rPr>
                <w:i/>
                <w:color w:val="000000"/>
                <w:sz w:val="14"/>
                <w:szCs w:val="14"/>
              </w:rPr>
            </w:pPr>
            <w:r>
              <w:rPr>
                <w:color w:val="000000"/>
                <w:sz w:val="14"/>
                <w:szCs w:val="14"/>
              </w:rPr>
              <w:t>Midge Point</w:t>
            </w:r>
          </w:p>
        </w:tc>
        <w:tc>
          <w:tcPr>
            <w:tcW w:w="463" w:type="dxa"/>
            <w:shd w:val="clear" w:color="auto" w:fill="E7F3F4"/>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20°</w:t>
            </w:r>
          </w:p>
        </w:tc>
        <w:tc>
          <w:tcPr>
            <w:tcW w:w="678" w:type="dxa"/>
            <w:shd w:val="clear" w:color="auto" w:fill="E7F3F4"/>
            <w:noWrap/>
            <w:vAlign w:val="center"/>
          </w:tcPr>
          <w:p w:rsidR="00C02B42" w:rsidRPr="00880D29" w:rsidRDefault="00064F1E" w:rsidP="00C02B42">
            <w:pPr>
              <w:spacing w:before="0" w:after="0"/>
              <w:jc w:val="center"/>
              <w:rPr>
                <w:color w:val="000000"/>
                <w:sz w:val="14"/>
                <w:szCs w:val="14"/>
              </w:rPr>
            </w:pPr>
            <w:r>
              <w:rPr>
                <w:color w:val="000000"/>
                <w:sz w:val="14"/>
                <w:szCs w:val="14"/>
              </w:rPr>
              <w:t>38.080</w:t>
            </w:r>
          </w:p>
        </w:tc>
        <w:tc>
          <w:tcPr>
            <w:tcW w:w="546" w:type="dxa"/>
            <w:shd w:val="clear" w:color="auto" w:fill="E7F3F4"/>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148°</w:t>
            </w:r>
          </w:p>
        </w:tc>
        <w:tc>
          <w:tcPr>
            <w:tcW w:w="678" w:type="dxa"/>
            <w:shd w:val="clear" w:color="auto" w:fill="E7F3F4"/>
            <w:noWrap/>
            <w:vAlign w:val="center"/>
          </w:tcPr>
          <w:p w:rsidR="00C02B42" w:rsidRPr="00880D29" w:rsidRDefault="00064F1E" w:rsidP="00C02B42">
            <w:pPr>
              <w:spacing w:before="0" w:after="0"/>
              <w:jc w:val="center"/>
              <w:rPr>
                <w:color w:val="000000"/>
                <w:sz w:val="14"/>
                <w:szCs w:val="14"/>
              </w:rPr>
            </w:pPr>
            <w:r>
              <w:rPr>
                <w:color w:val="000000"/>
                <w:sz w:val="14"/>
                <w:szCs w:val="14"/>
              </w:rPr>
              <w:t>42.280</w:t>
            </w:r>
          </w:p>
        </w:tc>
        <w:tc>
          <w:tcPr>
            <w:tcW w:w="459" w:type="dxa"/>
            <w:vMerge/>
            <w:shd w:val="clear" w:color="auto" w:fill="F3F9FA"/>
            <w:noWrap/>
            <w:vAlign w:val="center"/>
          </w:tcPr>
          <w:p w:rsidR="00C02B42" w:rsidRPr="00F45F13" w:rsidRDefault="00C02B42" w:rsidP="00C02B42">
            <w:pPr>
              <w:spacing w:before="0" w:after="0"/>
              <w:jc w:val="center"/>
              <w:rPr>
                <w:color w:val="000000"/>
                <w:sz w:val="14"/>
                <w:szCs w:val="14"/>
              </w:rPr>
            </w:pPr>
          </w:p>
        </w:tc>
        <w:tc>
          <w:tcPr>
            <w:tcW w:w="357" w:type="dxa"/>
            <w:vMerge/>
            <w:shd w:val="clear" w:color="auto" w:fill="F3F9FA"/>
            <w:vAlign w:val="center"/>
          </w:tcPr>
          <w:p w:rsidR="00C02B42" w:rsidRPr="00F45F13" w:rsidRDefault="00C02B42" w:rsidP="00C02B42">
            <w:pPr>
              <w:spacing w:before="0" w:after="0"/>
              <w:jc w:val="center"/>
              <w:rPr>
                <w:color w:val="000000"/>
                <w:sz w:val="14"/>
                <w:szCs w:val="14"/>
              </w:rPr>
            </w:pPr>
          </w:p>
        </w:tc>
        <w:tc>
          <w:tcPr>
            <w:tcW w:w="370" w:type="dxa"/>
            <w:vMerge/>
            <w:shd w:val="clear" w:color="auto" w:fill="F3F9FA"/>
            <w:vAlign w:val="center"/>
          </w:tcPr>
          <w:p w:rsidR="00C02B42" w:rsidRPr="00F45F13" w:rsidRDefault="00C02B42" w:rsidP="00C02B42">
            <w:pPr>
              <w:spacing w:before="0" w:after="0"/>
              <w:jc w:val="center"/>
              <w:rPr>
                <w:color w:val="000000"/>
                <w:sz w:val="14"/>
                <w:szCs w:val="14"/>
              </w:rPr>
            </w:pPr>
          </w:p>
        </w:tc>
        <w:tc>
          <w:tcPr>
            <w:tcW w:w="393" w:type="dxa"/>
            <w:vMerge/>
            <w:shd w:val="clear" w:color="auto" w:fill="F3F9FA"/>
            <w:vAlign w:val="center"/>
          </w:tcPr>
          <w:p w:rsidR="00C02B42" w:rsidRPr="00F45F13" w:rsidRDefault="00C02B42" w:rsidP="00C02B42">
            <w:pPr>
              <w:spacing w:before="0" w:after="0"/>
              <w:jc w:val="center"/>
              <w:rPr>
                <w:color w:val="000000"/>
                <w:sz w:val="14"/>
                <w:szCs w:val="14"/>
              </w:rPr>
            </w:pPr>
          </w:p>
        </w:tc>
        <w:tc>
          <w:tcPr>
            <w:tcW w:w="399" w:type="dxa"/>
            <w:vMerge/>
            <w:shd w:val="clear" w:color="auto" w:fill="F3F9FA"/>
            <w:vAlign w:val="center"/>
          </w:tcPr>
          <w:p w:rsidR="00C02B42" w:rsidRPr="00F45F13" w:rsidRDefault="00C02B42" w:rsidP="00C02B42">
            <w:pPr>
              <w:spacing w:before="0" w:after="0"/>
              <w:jc w:val="center"/>
              <w:rPr>
                <w:color w:val="000000"/>
                <w:sz w:val="14"/>
                <w:szCs w:val="14"/>
              </w:rPr>
            </w:pPr>
          </w:p>
        </w:tc>
        <w:tc>
          <w:tcPr>
            <w:tcW w:w="371" w:type="dxa"/>
            <w:vMerge/>
            <w:shd w:val="clear" w:color="auto" w:fill="F3F9FA"/>
            <w:vAlign w:val="center"/>
          </w:tcPr>
          <w:p w:rsidR="00C02B42" w:rsidRPr="00F45F13" w:rsidRDefault="00C02B42" w:rsidP="00C02B42">
            <w:pPr>
              <w:spacing w:before="0" w:after="0"/>
              <w:jc w:val="center"/>
              <w:rPr>
                <w:color w:val="000000"/>
                <w:sz w:val="14"/>
                <w:szCs w:val="14"/>
              </w:rPr>
            </w:pPr>
          </w:p>
        </w:tc>
        <w:tc>
          <w:tcPr>
            <w:tcW w:w="396" w:type="dxa"/>
            <w:vMerge/>
            <w:shd w:val="clear" w:color="auto" w:fill="F3F9FA"/>
            <w:vAlign w:val="center"/>
          </w:tcPr>
          <w:p w:rsidR="00C02B42" w:rsidRPr="00F45F13" w:rsidRDefault="00C02B42" w:rsidP="00C02B42">
            <w:pPr>
              <w:spacing w:before="0" w:after="0"/>
              <w:jc w:val="center"/>
              <w:rPr>
                <w:color w:val="000000"/>
                <w:sz w:val="14"/>
                <w:szCs w:val="14"/>
              </w:rPr>
            </w:pPr>
          </w:p>
        </w:tc>
        <w:tc>
          <w:tcPr>
            <w:tcW w:w="341" w:type="dxa"/>
            <w:vMerge/>
            <w:shd w:val="clear" w:color="auto" w:fill="F3F9FA"/>
            <w:vAlign w:val="center"/>
          </w:tcPr>
          <w:p w:rsidR="00C02B42" w:rsidRPr="00F45F13" w:rsidRDefault="00C02B42" w:rsidP="00C02B42">
            <w:pPr>
              <w:spacing w:before="0" w:after="0"/>
              <w:jc w:val="center"/>
              <w:rPr>
                <w:color w:val="000000"/>
                <w:sz w:val="14"/>
                <w:szCs w:val="14"/>
              </w:rPr>
            </w:pPr>
          </w:p>
        </w:tc>
        <w:tc>
          <w:tcPr>
            <w:tcW w:w="374" w:type="dxa"/>
            <w:vMerge/>
            <w:shd w:val="clear" w:color="auto" w:fill="F3F9FA"/>
            <w:vAlign w:val="center"/>
          </w:tcPr>
          <w:p w:rsidR="00C02B42" w:rsidRPr="00F45F13" w:rsidRDefault="00C02B42" w:rsidP="00C02B42">
            <w:pPr>
              <w:spacing w:before="0" w:after="0"/>
              <w:jc w:val="center"/>
              <w:rPr>
                <w:color w:val="000000"/>
                <w:sz w:val="14"/>
                <w:szCs w:val="14"/>
              </w:rPr>
            </w:pPr>
          </w:p>
        </w:tc>
        <w:tc>
          <w:tcPr>
            <w:tcW w:w="406" w:type="dxa"/>
            <w:vMerge/>
            <w:shd w:val="clear" w:color="auto" w:fill="F3F9FA"/>
            <w:vAlign w:val="center"/>
          </w:tcPr>
          <w:p w:rsidR="00C02B42" w:rsidRPr="00F45F13" w:rsidRDefault="00C02B42" w:rsidP="00C02B42">
            <w:pPr>
              <w:spacing w:before="0" w:after="0"/>
              <w:jc w:val="center"/>
              <w:rPr>
                <w:color w:val="000000"/>
                <w:sz w:val="14"/>
                <w:szCs w:val="14"/>
              </w:rPr>
            </w:pPr>
          </w:p>
        </w:tc>
      </w:tr>
      <w:tr w:rsidR="00C02B42" w:rsidRPr="00015190" w:rsidTr="00C02B42">
        <w:trPr>
          <w:trHeight w:val="170"/>
          <w:jc w:val="center"/>
        </w:trPr>
        <w:tc>
          <w:tcPr>
            <w:tcW w:w="937" w:type="dxa"/>
            <w:vMerge w:val="restart"/>
            <w:shd w:val="clear" w:color="auto" w:fill="auto"/>
            <w:vAlign w:val="center"/>
          </w:tcPr>
          <w:p w:rsidR="00C02B42" w:rsidRPr="00880D29" w:rsidRDefault="00C02B42" w:rsidP="00C02B42">
            <w:pPr>
              <w:spacing w:before="0" w:after="0"/>
              <w:jc w:val="center"/>
              <w:rPr>
                <w:color w:val="000000"/>
                <w:sz w:val="14"/>
                <w:szCs w:val="14"/>
              </w:rPr>
            </w:pPr>
            <w:r w:rsidRPr="00880D29">
              <w:rPr>
                <w:color w:val="000000"/>
                <w:sz w:val="14"/>
                <w:szCs w:val="14"/>
              </w:rPr>
              <w:t>Southern</w:t>
            </w:r>
          </w:p>
        </w:tc>
        <w:tc>
          <w:tcPr>
            <w:tcW w:w="2044" w:type="dxa"/>
            <w:vMerge w:val="restart"/>
            <w:shd w:val="clear" w:color="auto" w:fill="F3F9FA"/>
            <w:vAlign w:val="center"/>
          </w:tcPr>
          <w:p w:rsidR="00C02B42" w:rsidRPr="00880D29" w:rsidRDefault="00C02B42" w:rsidP="00C02B42">
            <w:pPr>
              <w:spacing w:before="0" w:after="0"/>
              <w:jc w:val="center"/>
              <w:rPr>
                <w:color w:val="000000"/>
                <w:sz w:val="14"/>
                <w:szCs w:val="14"/>
              </w:rPr>
            </w:pPr>
            <w:r w:rsidRPr="00880D29">
              <w:rPr>
                <w:color w:val="000000"/>
                <w:sz w:val="14"/>
                <w:szCs w:val="14"/>
              </w:rPr>
              <w:t>Burnett Mary</w:t>
            </w:r>
          </w:p>
          <w:p w:rsidR="00C02B42" w:rsidRPr="00880D29" w:rsidRDefault="00C02B42" w:rsidP="00C02B42">
            <w:pPr>
              <w:spacing w:before="0" w:after="0"/>
              <w:jc w:val="center"/>
              <w:rPr>
                <w:color w:val="000000"/>
                <w:sz w:val="14"/>
                <w:szCs w:val="14"/>
              </w:rPr>
            </w:pPr>
            <w:r w:rsidRPr="00880D29">
              <w:rPr>
                <w:color w:val="000000"/>
                <w:sz w:val="14"/>
                <w:szCs w:val="14"/>
              </w:rPr>
              <w:t>(</w:t>
            </w:r>
            <w:r w:rsidRPr="00880D29">
              <w:rPr>
                <w:i/>
                <w:color w:val="000000"/>
                <w:sz w:val="14"/>
                <w:szCs w:val="14"/>
              </w:rPr>
              <w:t>Burnett Mary Regional Group</w:t>
            </w:r>
            <w:r w:rsidRPr="00880D29">
              <w:rPr>
                <w:color w:val="000000"/>
                <w:sz w:val="14"/>
                <w:szCs w:val="14"/>
              </w:rPr>
              <w:t>)</w:t>
            </w:r>
          </w:p>
        </w:tc>
        <w:tc>
          <w:tcPr>
            <w:tcW w:w="1078" w:type="dxa"/>
            <w:vMerge w:val="restart"/>
            <w:shd w:val="clear" w:color="auto" w:fill="F3F9FA"/>
            <w:vAlign w:val="center"/>
          </w:tcPr>
          <w:p w:rsidR="00C02B42" w:rsidRPr="00880D29" w:rsidRDefault="00C02B42" w:rsidP="00C02B42">
            <w:pPr>
              <w:spacing w:before="0" w:after="0"/>
              <w:jc w:val="center"/>
              <w:rPr>
                <w:color w:val="000000"/>
                <w:sz w:val="14"/>
                <w:szCs w:val="14"/>
              </w:rPr>
            </w:pPr>
            <w:proofErr w:type="spellStart"/>
            <w:r>
              <w:rPr>
                <w:color w:val="000000"/>
                <w:sz w:val="14"/>
                <w:szCs w:val="14"/>
              </w:rPr>
              <w:t>Burrum</w:t>
            </w:r>
            <w:proofErr w:type="spellEnd"/>
          </w:p>
        </w:tc>
        <w:tc>
          <w:tcPr>
            <w:tcW w:w="1445" w:type="dxa"/>
            <w:vMerge w:val="restart"/>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Hervey Bay</w:t>
            </w:r>
          </w:p>
          <w:p w:rsidR="00C02B42" w:rsidRPr="00880D29" w:rsidRDefault="00C02B42" w:rsidP="00C02B42">
            <w:pPr>
              <w:spacing w:before="0" w:after="0"/>
              <w:jc w:val="center"/>
              <w:rPr>
                <w:color w:val="000000"/>
                <w:sz w:val="14"/>
                <w:szCs w:val="14"/>
              </w:rPr>
            </w:pPr>
            <w:r w:rsidRPr="00880D29">
              <w:rPr>
                <w:i/>
                <w:color w:val="000000"/>
                <w:sz w:val="14"/>
                <w:szCs w:val="14"/>
              </w:rPr>
              <w:t>estuarine</w:t>
            </w:r>
          </w:p>
        </w:tc>
        <w:tc>
          <w:tcPr>
            <w:tcW w:w="619" w:type="dxa"/>
            <w:shd w:val="clear" w:color="auto" w:fill="F3F9FA"/>
            <w:noWrap/>
            <w:vAlign w:val="center"/>
          </w:tcPr>
          <w:p w:rsidR="00C02B42" w:rsidRPr="00880D29" w:rsidRDefault="00C02B42" w:rsidP="00C02B42">
            <w:pPr>
              <w:spacing w:before="0" w:after="0"/>
              <w:jc w:val="center"/>
              <w:rPr>
                <w:color w:val="000000"/>
                <w:sz w:val="14"/>
                <w:szCs w:val="14"/>
              </w:rPr>
            </w:pPr>
            <w:r>
              <w:rPr>
                <w:color w:val="000000"/>
                <w:sz w:val="14"/>
                <w:szCs w:val="14"/>
              </w:rPr>
              <w:t>BH1*</w:t>
            </w:r>
          </w:p>
        </w:tc>
        <w:tc>
          <w:tcPr>
            <w:tcW w:w="1202" w:type="dxa"/>
            <w:shd w:val="clear" w:color="auto" w:fill="F3F9FA"/>
            <w:noWrap/>
            <w:vAlign w:val="center"/>
          </w:tcPr>
          <w:p w:rsidR="00C02B42" w:rsidRPr="00880D29" w:rsidRDefault="00C02B42" w:rsidP="00C02B42">
            <w:pPr>
              <w:spacing w:before="0" w:after="0"/>
              <w:jc w:val="center"/>
              <w:rPr>
                <w:color w:val="000000"/>
                <w:sz w:val="14"/>
                <w:szCs w:val="14"/>
              </w:rPr>
            </w:pPr>
            <w:proofErr w:type="spellStart"/>
            <w:r>
              <w:rPr>
                <w:color w:val="000000"/>
                <w:sz w:val="14"/>
                <w:szCs w:val="14"/>
              </w:rPr>
              <w:t>Burrum</w:t>
            </w:r>
            <w:proofErr w:type="spellEnd"/>
            <w:r>
              <w:rPr>
                <w:color w:val="000000"/>
                <w:sz w:val="14"/>
                <w:szCs w:val="14"/>
              </w:rPr>
              <w:t xml:space="preserve"> Heads</w:t>
            </w:r>
          </w:p>
        </w:tc>
        <w:tc>
          <w:tcPr>
            <w:tcW w:w="463" w:type="dxa"/>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25°</w:t>
            </w:r>
          </w:p>
        </w:tc>
        <w:tc>
          <w:tcPr>
            <w:tcW w:w="678" w:type="dxa"/>
            <w:shd w:val="clear" w:color="auto" w:fill="F3F9FA"/>
            <w:noWrap/>
            <w:vAlign w:val="center"/>
          </w:tcPr>
          <w:p w:rsidR="00C02B42" w:rsidRPr="00880D29" w:rsidRDefault="00064F1E" w:rsidP="00C02B42">
            <w:pPr>
              <w:spacing w:before="0" w:after="0"/>
              <w:jc w:val="center"/>
              <w:rPr>
                <w:color w:val="000000"/>
                <w:sz w:val="14"/>
                <w:szCs w:val="14"/>
              </w:rPr>
            </w:pPr>
            <w:r>
              <w:rPr>
                <w:color w:val="000000"/>
                <w:sz w:val="14"/>
                <w:szCs w:val="14"/>
              </w:rPr>
              <w:t>11.290</w:t>
            </w:r>
          </w:p>
        </w:tc>
        <w:tc>
          <w:tcPr>
            <w:tcW w:w="546" w:type="dxa"/>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152°</w:t>
            </w:r>
          </w:p>
        </w:tc>
        <w:tc>
          <w:tcPr>
            <w:tcW w:w="678" w:type="dxa"/>
            <w:shd w:val="clear" w:color="auto" w:fill="F3F9FA"/>
            <w:noWrap/>
            <w:vAlign w:val="center"/>
          </w:tcPr>
          <w:p w:rsidR="00C02B42" w:rsidRPr="00880D29" w:rsidRDefault="00064F1E" w:rsidP="00C02B42">
            <w:pPr>
              <w:spacing w:before="0" w:after="0"/>
              <w:jc w:val="center"/>
              <w:rPr>
                <w:color w:val="000000"/>
                <w:sz w:val="14"/>
                <w:szCs w:val="14"/>
              </w:rPr>
            </w:pPr>
            <w:r>
              <w:rPr>
                <w:color w:val="000000"/>
                <w:sz w:val="14"/>
                <w:szCs w:val="14"/>
              </w:rPr>
              <w:t>37.532</w:t>
            </w:r>
          </w:p>
        </w:tc>
        <w:tc>
          <w:tcPr>
            <w:tcW w:w="459" w:type="dxa"/>
            <w:vMerge w:val="restart"/>
            <w:shd w:val="clear" w:color="auto" w:fill="F3F9FA"/>
            <w:noWrap/>
            <w:vAlign w:val="center"/>
          </w:tcPr>
          <w:p w:rsidR="00C02B42" w:rsidRPr="00F45F13" w:rsidRDefault="00C02B42" w:rsidP="00C02B42">
            <w:pPr>
              <w:spacing w:before="0" w:after="0"/>
              <w:jc w:val="center"/>
              <w:rPr>
                <w:color w:val="000000"/>
                <w:sz w:val="14"/>
                <w:szCs w:val="14"/>
              </w:rPr>
            </w:pPr>
          </w:p>
        </w:tc>
        <w:tc>
          <w:tcPr>
            <w:tcW w:w="357" w:type="dxa"/>
            <w:vMerge w:val="restart"/>
            <w:shd w:val="clear" w:color="auto" w:fill="F3F9FA"/>
            <w:vAlign w:val="center"/>
          </w:tcPr>
          <w:p w:rsidR="00C02B42" w:rsidRPr="00F45F13" w:rsidRDefault="00C02B42" w:rsidP="00C02B42">
            <w:pPr>
              <w:spacing w:before="0" w:after="0"/>
              <w:jc w:val="center"/>
              <w:rPr>
                <w:color w:val="000000"/>
                <w:sz w:val="14"/>
                <w:szCs w:val="14"/>
              </w:rPr>
            </w:pPr>
          </w:p>
        </w:tc>
        <w:tc>
          <w:tcPr>
            <w:tcW w:w="370" w:type="dxa"/>
            <w:vMerge w:val="restart"/>
            <w:shd w:val="clear" w:color="auto" w:fill="F3F9FA"/>
            <w:vAlign w:val="center"/>
          </w:tcPr>
          <w:p w:rsidR="00C02B42" w:rsidRPr="00F45F13" w:rsidRDefault="00C02B42" w:rsidP="00C02B42">
            <w:pPr>
              <w:spacing w:before="0" w:after="0"/>
              <w:jc w:val="center"/>
              <w:rPr>
                <w:color w:val="000000"/>
                <w:sz w:val="14"/>
                <w:szCs w:val="14"/>
              </w:rPr>
            </w:pPr>
          </w:p>
        </w:tc>
        <w:tc>
          <w:tcPr>
            <w:tcW w:w="393" w:type="dxa"/>
            <w:vMerge w:val="restart"/>
            <w:shd w:val="clear" w:color="auto" w:fill="F3F9FA"/>
            <w:vAlign w:val="center"/>
          </w:tcPr>
          <w:p w:rsidR="00C02B42" w:rsidRPr="00F45F13" w:rsidRDefault="00C02B42" w:rsidP="00C02B42">
            <w:pPr>
              <w:spacing w:before="0" w:after="0"/>
              <w:jc w:val="center"/>
              <w:rPr>
                <w:color w:val="000000"/>
                <w:sz w:val="14"/>
                <w:szCs w:val="14"/>
              </w:rPr>
            </w:pPr>
          </w:p>
        </w:tc>
        <w:tc>
          <w:tcPr>
            <w:tcW w:w="399" w:type="dxa"/>
            <w:vMerge w:val="restart"/>
            <w:shd w:val="clear" w:color="auto" w:fill="F3F9FA"/>
            <w:vAlign w:val="center"/>
          </w:tcPr>
          <w:p w:rsidR="00C02B42" w:rsidRPr="00F45F13" w:rsidRDefault="00C02B42" w:rsidP="00C02B42">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F3F9FA"/>
            <w:vAlign w:val="center"/>
          </w:tcPr>
          <w:p w:rsidR="00C02B42" w:rsidRPr="00F45F13" w:rsidRDefault="00C02B42" w:rsidP="00C02B42">
            <w:pPr>
              <w:spacing w:before="0" w:after="0"/>
              <w:jc w:val="center"/>
              <w:rPr>
                <w:color w:val="000000"/>
                <w:sz w:val="14"/>
                <w:szCs w:val="14"/>
              </w:rPr>
            </w:pPr>
          </w:p>
        </w:tc>
        <w:tc>
          <w:tcPr>
            <w:tcW w:w="396" w:type="dxa"/>
            <w:vMerge w:val="restart"/>
            <w:shd w:val="clear" w:color="auto" w:fill="F3F9FA"/>
            <w:vAlign w:val="center"/>
          </w:tcPr>
          <w:p w:rsidR="00C02B42" w:rsidRPr="00F45F13" w:rsidRDefault="00977EC0" w:rsidP="00C02B42">
            <w:pPr>
              <w:spacing w:before="0" w:after="0"/>
              <w:jc w:val="center"/>
              <w:rPr>
                <w:color w:val="000000"/>
                <w:sz w:val="14"/>
                <w:szCs w:val="14"/>
              </w:rPr>
            </w:pPr>
            <w:r w:rsidRPr="00F45F13">
              <w:rPr>
                <w:color w:val="000000"/>
                <w:sz w:val="16"/>
                <w:szCs w:val="16"/>
              </w:rPr>
              <w:sym w:font="Wingdings" w:char="F06E"/>
            </w:r>
          </w:p>
        </w:tc>
        <w:tc>
          <w:tcPr>
            <w:tcW w:w="341" w:type="dxa"/>
            <w:vMerge w:val="restart"/>
            <w:shd w:val="clear" w:color="auto" w:fill="F3F9FA"/>
            <w:vAlign w:val="center"/>
          </w:tcPr>
          <w:p w:rsidR="00C02B42" w:rsidRPr="00F45F13" w:rsidRDefault="00C02B42" w:rsidP="00C02B42">
            <w:pPr>
              <w:spacing w:before="0" w:after="0"/>
              <w:jc w:val="center"/>
              <w:rPr>
                <w:color w:val="000000"/>
                <w:sz w:val="14"/>
                <w:szCs w:val="14"/>
              </w:rPr>
            </w:pPr>
          </w:p>
        </w:tc>
        <w:tc>
          <w:tcPr>
            <w:tcW w:w="374" w:type="dxa"/>
            <w:vMerge w:val="restart"/>
            <w:shd w:val="clear" w:color="auto" w:fill="F3F9FA"/>
            <w:vAlign w:val="center"/>
          </w:tcPr>
          <w:p w:rsidR="00C02B42" w:rsidRPr="00F45F13" w:rsidRDefault="00C02B42" w:rsidP="00C02B42">
            <w:pPr>
              <w:spacing w:before="0" w:after="0"/>
              <w:jc w:val="center"/>
              <w:rPr>
                <w:color w:val="000000"/>
                <w:sz w:val="14"/>
                <w:szCs w:val="14"/>
              </w:rPr>
            </w:pPr>
          </w:p>
        </w:tc>
        <w:tc>
          <w:tcPr>
            <w:tcW w:w="406" w:type="dxa"/>
            <w:vMerge w:val="restart"/>
            <w:shd w:val="clear" w:color="auto" w:fill="F3F9FA"/>
            <w:vAlign w:val="center"/>
          </w:tcPr>
          <w:p w:rsidR="00C02B42" w:rsidRPr="00F45F13" w:rsidRDefault="00C02B42" w:rsidP="00C02B42">
            <w:pPr>
              <w:spacing w:before="0" w:after="0"/>
              <w:jc w:val="center"/>
              <w:rPr>
                <w:color w:val="000000"/>
                <w:sz w:val="14"/>
                <w:szCs w:val="14"/>
              </w:rPr>
            </w:pPr>
            <w:r w:rsidRPr="00F45F13">
              <w:rPr>
                <w:color w:val="000000"/>
                <w:sz w:val="16"/>
                <w:szCs w:val="16"/>
              </w:rPr>
              <w:sym w:font="Wingdings" w:char="F06E"/>
            </w:r>
          </w:p>
        </w:tc>
      </w:tr>
      <w:tr w:rsidR="00C02B42" w:rsidRPr="00015190" w:rsidTr="00C02B42">
        <w:trPr>
          <w:trHeight w:val="170"/>
          <w:jc w:val="center"/>
        </w:trPr>
        <w:tc>
          <w:tcPr>
            <w:tcW w:w="937" w:type="dxa"/>
            <w:vMerge/>
            <w:shd w:val="clear" w:color="auto" w:fill="auto"/>
          </w:tcPr>
          <w:p w:rsidR="00C02B42" w:rsidRPr="00880D29" w:rsidRDefault="00C02B42" w:rsidP="00955497">
            <w:pPr>
              <w:spacing w:before="0" w:after="0"/>
              <w:jc w:val="center"/>
              <w:rPr>
                <w:color w:val="000000"/>
                <w:sz w:val="14"/>
                <w:szCs w:val="14"/>
              </w:rPr>
            </w:pPr>
          </w:p>
        </w:tc>
        <w:tc>
          <w:tcPr>
            <w:tcW w:w="2044" w:type="dxa"/>
            <w:vMerge/>
            <w:shd w:val="clear" w:color="auto" w:fill="F3F9FA"/>
          </w:tcPr>
          <w:p w:rsidR="00C02B42" w:rsidRPr="00880D29" w:rsidRDefault="00C02B42" w:rsidP="00955497">
            <w:pPr>
              <w:spacing w:before="0" w:after="0"/>
              <w:jc w:val="center"/>
              <w:rPr>
                <w:color w:val="000000"/>
                <w:sz w:val="14"/>
                <w:szCs w:val="14"/>
              </w:rPr>
            </w:pPr>
          </w:p>
        </w:tc>
        <w:tc>
          <w:tcPr>
            <w:tcW w:w="1078" w:type="dxa"/>
            <w:vMerge/>
            <w:shd w:val="clear" w:color="auto" w:fill="F3F9FA"/>
          </w:tcPr>
          <w:p w:rsidR="00C02B42" w:rsidRPr="00880D29" w:rsidRDefault="00C02B42" w:rsidP="00955497">
            <w:pPr>
              <w:spacing w:before="0" w:after="0"/>
              <w:jc w:val="center"/>
              <w:rPr>
                <w:color w:val="000000"/>
                <w:sz w:val="14"/>
                <w:szCs w:val="14"/>
              </w:rPr>
            </w:pPr>
          </w:p>
        </w:tc>
        <w:tc>
          <w:tcPr>
            <w:tcW w:w="1445" w:type="dxa"/>
            <w:vMerge/>
            <w:shd w:val="clear" w:color="auto" w:fill="F3F9FA"/>
            <w:noWrap/>
            <w:vAlign w:val="center"/>
          </w:tcPr>
          <w:p w:rsidR="00C02B42" w:rsidRPr="00880D29" w:rsidRDefault="00C02B42" w:rsidP="00955497">
            <w:pPr>
              <w:spacing w:before="0" w:after="0"/>
              <w:jc w:val="center"/>
              <w:rPr>
                <w:color w:val="000000"/>
                <w:sz w:val="14"/>
                <w:szCs w:val="14"/>
              </w:rPr>
            </w:pPr>
          </w:p>
        </w:tc>
        <w:tc>
          <w:tcPr>
            <w:tcW w:w="619" w:type="dxa"/>
            <w:shd w:val="clear" w:color="auto" w:fill="F3F9FA"/>
            <w:noWrap/>
            <w:vAlign w:val="center"/>
          </w:tcPr>
          <w:p w:rsidR="00C02B42" w:rsidRPr="00880D29" w:rsidRDefault="00C02B42" w:rsidP="00C02B42">
            <w:pPr>
              <w:spacing w:before="0" w:after="0"/>
              <w:jc w:val="center"/>
              <w:rPr>
                <w:color w:val="000000"/>
                <w:sz w:val="14"/>
                <w:szCs w:val="14"/>
              </w:rPr>
            </w:pPr>
            <w:r>
              <w:rPr>
                <w:color w:val="000000"/>
                <w:sz w:val="14"/>
                <w:szCs w:val="14"/>
              </w:rPr>
              <w:t>BH3</w:t>
            </w:r>
            <w:r w:rsidRPr="00880D29">
              <w:rPr>
                <w:color w:val="000000"/>
                <w:sz w:val="14"/>
                <w:szCs w:val="14"/>
              </w:rPr>
              <w:t>*</w:t>
            </w:r>
          </w:p>
        </w:tc>
        <w:tc>
          <w:tcPr>
            <w:tcW w:w="1202" w:type="dxa"/>
            <w:shd w:val="clear" w:color="auto" w:fill="F3F9FA"/>
            <w:noWrap/>
            <w:vAlign w:val="center"/>
          </w:tcPr>
          <w:p w:rsidR="00C02B42" w:rsidRPr="00880D29" w:rsidRDefault="00C02B42" w:rsidP="00C02B42">
            <w:pPr>
              <w:spacing w:before="0" w:after="0"/>
              <w:jc w:val="center"/>
              <w:rPr>
                <w:color w:val="000000"/>
                <w:sz w:val="14"/>
                <w:szCs w:val="14"/>
              </w:rPr>
            </w:pPr>
            <w:proofErr w:type="spellStart"/>
            <w:r>
              <w:rPr>
                <w:color w:val="000000"/>
                <w:sz w:val="14"/>
                <w:szCs w:val="14"/>
              </w:rPr>
              <w:t>Burrum</w:t>
            </w:r>
            <w:proofErr w:type="spellEnd"/>
            <w:r>
              <w:rPr>
                <w:color w:val="000000"/>
                <w:sz w:val="14"/>
                <w:szCs w:val="14"/>
              </w:rPr>
              <w:t xml:space="preserve"> Heads</w:t>
            </w:r>
          </w:p>
        </w:tc>
        <w:tc>
          <w:tcPr>
            <w:tcW w:w="463" w:type="dxa"/>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25°</w:t>
            </w:r>
          </w:p>
        </w:tc>
        <w:tc>
          <w:tcPr>
            <w:tcW w:w="678" w:type="dxa"/>
            <w:shd w:val="clear" w:color="auto" w:fill="F3F9FA"/>
            <w:noWrap/>
            <w:vAlign w:val="center"/>
          </w:tcPr>
          <w:p w:rsidR="00C02B42" w:rsidRPr="00880D29" w:rsidRDefault="00064F1E" w:rsidP="00C02B42">
            <w:pPr>
              <w:spacing w:before="0" w:after="0"/>
              <w:jc w:val="center"/>
              <w:rPr>
                <w:color w:val="000000"/>
                <w:sz w:val="14"/>
                <w:szCs w:val="14"/>
              </w:rPr>
            </w:pPr>
            <w:r>
              <w:rPr>
                <w:color w:val="000000"/>
                <w:sz w:val="14"/>
                <w:szCs w:val="14"/>
              </w:rPr>
              <w:t>12.620</w:t>
            </w:r>
          </w:p>
        </w:tc>
        <w:tc>
          <w:tcPr>
            <w:tcW w:w="546" w:type="dxa"/>
            <w:shd w:val="clear" w:color="auto" w:fill="F3F9FA"/>
            <w:noWrap/>
            <w:vAlign w:val="center"/>
          </w:tcPr>
          <w:p w:rsidR="00C02B42" w:rsidRPr="00880D29" w:rsidRDefault="00C02B42" w:rsidP="00C02B42">
            <w:pPr>
              <w:spacing w:before="0" w:after="0"/>
              <w:jc w:val="center"/>
              <w:rPr>
                <w:color w:val="000000"/>
                <w:sz w:val="14"/>
                <w:szCs w:val="14"/>
              </w:rPr>
            </w:pPr>
            <w:r w:rsidRPr="00880D29">
              <w:rPr>
                <w:color w:val="000000"/>
                <w:sz w:val="14"/>
                <w:szCs w:val="14"/>
              </w:rPr>
              <w:t>152°</w:t>
            </w:r>
          </w:p>
        </w:tc>
        <w:tc>
          <w:tcPr>
            <w:tcW w:w="678" w:type="dxa"/>
            <w:shd w:val="clear" w:color="auto" w:fill="F3F9FA"/>
            <w:noWrap/>
            <w:vAlign w:val="center"/>
          </w:tcPr>
          <w:p w:rsidR="00C02B42" w:rsidRPr="00880D29" w:rsidRDefault="00064F1E" w:rsidP="00C02B42">
            <w:pPr>
              <w:spacing w:before="0" w:after="0"/>
              <w:jc w:val="center"/>
              <w:rPr>
                <w:color w:val="000000"/>
                <w:sz w:val="14"/>
                <w:szCs w:val="14"/>
              </w:rPr>
            </w:pPr>
            <w:r>
              <w:rPr>
                <w:color w:val="000000"/>
                <w:sz w:val="14"/>
                <w:szCs w:val="14"/>
              </w:rPr>
              <w:t>38.359</w:t>
            </w:r>
          </w:p>
        </w:tc>
        <w:tc>
          <w:tcPr>
            <w:tcW w:w="459" w:type="dxa"/>
            <w:vMerge/>
            <w:shd w:val="clear" w:color="auto" w:fill="F3F9FA"/>
            <w:noWrap/>
            <w:vAlign w:val="center"/>
          </w:tcPr>
          <w:p w:rsidR="00C02B42" w:rsidRPr="00017A7E" w:rsidRDefault="00C02B42" w:rsidP="00955497">
            <w:pPr>
              <w:spacing w:before="0" w:after="0"/>
              <w:jc w:val="center"/>
              <w:rPr>
                <w:color w:val="000000"/>
                <w:sz w:val="14"/>
                <w:szCs w:val="14"/>
              </w:rPr>
            </w:pPr>
          </w:p>
        </w:tc>
        <w:tc>
          <w:tcPr>
            <w:tcW w:w="357" w:type="dxa"/>
            <w:vMerge/>
            <w:shd w:val="clear" w:color="auto" w:fill="F3F9FA"/>
          </w:tcPr>
          <w:p w:rsidR="00C02B42" w:rsidRPr="00017A7E" w:rsidRDefault="00C02B42" w:rsidP="00955497">
            <w:pPr>
              <w:spacing w:before="0" w:after="0"/>
              <w:jc w:val="center"/>
              <w:rPr>
                <w:color w:val="000000"/>
                <w:sz w:val="14"/>
                <w:szCs w:val="14"/>
              </w:rPr>
            </w:pPr>
          </w:p>
        </w:tc>
        <w:tc>
          <w:tcPr>
            <w:tcW w:w="370" w:type="dxa"/>
            <w:vMerge/>
            <w:shd w:val="clear" w:color="auto" w:fill="F3F9FA"/>
          </w:tcPr>
          <w:p w:rsidR="00C02B42" w:rsidRPr="00017A7E" w:rsidRDefault="00C02B42" w:rsidP="00955497">
            <w:pPr>
              <w:spacing w:before="0" w:after="0"/>
              <w:jc w:val="center"/>
              <w:rPr>
                <w:color w:val="000000"/>
                <w:sz w:val="14"/>
                <w:szCs w:val="14"/>
              </w:rPr>
            </w:pPr>
          </w:p>
        </w:tc>
        <w:tc>
          <w:tcPr>
            <w:tcW w:w="393" w:type="dxa"/>
            <w:vMerge/>
            <w:shd w:val="clear" w:color="auto" w:fill="F3F9FA"/>
          </w:tcPr>
          <w:p w:rsidR="00C02B42" w:rsidRPr="00017A7E" w:rsidRDefault="00C02B42" w:rsidP="00955497">
            <w:pPr>
              <w:spacing w:before="0" w:after="0"/>
              <w:jc w:val="center"/>
              <w:rPr>
                <w:color w:val="000000"/>
                <w:sz w:val="14"/>
                <w:szCs w:val="14"/>
              </w:rPr>
            </w:pPr>
          </w:p>
        </w:tc>
        <w:tc>
          <w:tcPr>
            <w:tcW w:w="399" w:type="dxa"/>
            <w:vMerge/>
            <w:shd w:val="clear" w:color="auto" w:fill="F3F9FA"/>
          </w:tcPr>
          <w:p w:rsidR="00C02B42" w:rsidRPr="00017A7E" w:rsidRDefault="00C02B42" w:rsidP="00955497">
            <w:pPr>
              <w:spacing w:before="0" w:after="0"/>
              <w:jc w:val="center"/>
              <w:rPr>
                <w:color w:val="000000"/>
                <w:sz w:val="14"/>
                <w:szCs w:val="14"/>
              </w:rPr>
            </w:pPr>
          </w:p>
        </w:tc>
        <w:tc>
          <w:tcPr>
            <w:tcW w:w="371" w:type="dxa"/>
            <w:vMerge/>
            <w:shd w:val="clear" w:color="auto" w:fill="F3F9FA"/>
          </w:tcPr>
          <w:p w:rsidR="00C02B42" w:rsidRPr="00017A7E" w:rsidRDefault="00C02B42" w:rsidP="00955497">
            <w:pPr>
              <w:spacing w:before="0" w:after="0"/>
              <w:jc w:val="center"/>
              <w:rPr>
                <w:color w:val="000000"/>
                <w:sz w:val="14"/>
                <w:szCs w:val="14"/>
              </w:rPr>
            </w:pPr>
          </w:p>
        </w:tc>
        <w:tc>
          <w:tcPr>
            <w:tcW w:w="396" w:type="dxa"/>
            <w:vMerge/>
            <w:shd w:val="clear" w:color="auto" w:fill="F3F9FA"/>
          </w:tcPr>
          <w:p w:rsidR="00C02B42" w:rsidRPr="00017A7E" w:rsidRDefault="00C02B42" w:rsidP="00955497">
            <w:pPr>
              <w:spacing w:before="0" w:after="0"/>
              <w:jc w:val="center"/>
              <w:rPr>
                <w:color w:val="000000"/>
                <w:sz w:val="14"/>
                <w:szCs w:val="14"/>
              </w:rPr>
            </w:pPr>
          </w:p>
        </w:tc>
        <w:tc>
          <w:tcPr>
            <w:tcW w:w="341" w:type="dxa"/>
            <w:vMerge/>
            <w:shd w:val="clear" w:color="auto" w:fill="F3F9FA"/>
          </w:tcPr>
          <w:p w:rsidR="00C02B42" w:rsidRPr="00017A7E" w:rsidRDefault="00C02B42" w:rsidP="00955497">
            <w:pPr>
              <w:spacing w:before="0" w:after="0"/>
              <w:jc w:val="center"/>
              <w:rPr>
                <w:color w:val="000000"/>
                <w:sz w:val="14"/>
                <w:szCs w:val="14"/>
              </w:rPr>
            </w:pPr>
          </w:p>
        </w:tc>
        <w:tc>
          <w:tcPr>
            <w:tcW w:w="374" w:type="dxa"/>
            <w:vMerge/>
            <w:shd w:val="clear" w:color="auto" w:fill="F3F9FA"/>
          </w:tcPr>
          <w:p w:rsidR="00C02B42" w:rsidRPr="00017A7E" w:rsidRDefault="00C02B42" w:rsidP="00955497">
            <w:pPr>
              <w:spacing w:before="0" w:after="0"/>
              <w:jc w:val="center"/>
              <w:rPr>
                <w:color w:val="000000"/>
                <w:sz w:val="14"/>
                <w:szCs w:val="14"/>
              </w:rPr>
            </w:pPr>
          </w:p>
        </w:tc>
        <w:tc>
          <w:tcPr>
            <w:tcW w:w="406" w:type="dxa"/>
            <w:vMerge/>
            <w:shd w:val="clear" w:color="auto" w:fill="F3F9FA"/>
          </w:tcPr>
          <w:p w:rsidR="00C02B42" w:rsidRPr="00017A7E" w:rsidRDefault="00C02B42" w:rsidP="00955497">
            <w:pPr>
              <w:spacing w:before="0" w:after="0"/>
              <w:jc w:val="center"/>
              <w:rPr>
                <w:color w:val="000000"/>
                <w:sz w:val="14"/>
                <w:szCs w:val="14"/>
              </w:rPr>
            </w:pPr>
          </w:p>
        </w:tc>
      </w:tr>
    </w:tbl>
    <w:p w:rsidR="00955497" w:rsidRPr="008B4845" w:rsidRDefault="00955497" w:rsidP="008B4845">
      <w:pPr>
        <w:rPr>
          <w:color w:val="000000"/>
          <w:szCs w:val="22"/>
        </w:rPr>
      </w:pPr>
    </w:p>
    <w:p w:rsidR="00955497" w:rsidRPr="00484F6F" w:rsidRDefault="00955497" w:rsidP="004902B0">
      <w:pPr>
        <w:spacing w:before="0" w:after="0"/>
        <w:rPr>
          <w:i/>
          <w:color w:val="000000"/>
          <w:sz w:val="16"/>
          <w:szCs w:val="16"/>
          <w:lang w:val="it-IT"/>
        </w:rPr>
      </w:pPr>
    </w:p>
    <w:p w:rsidR="004902B0" w:rsidRPr="00015190" w:rsidRDefault="004902B0" w:rsidP="004902B0">
      <w:pPr>
        <w:rPr>
          <w:color w:val="0000FF"/>
          <w:sz w:val="20"/>
          <w:szCs w:val="20"/>
        </w:rPr>
        <w:sectPr w:rsidR="004902B0" w:rsidRPr="00015190" w:rsidSect="00034AD4">
          <w:headerReference w:type="even" r:id="rId35"/>
          <w:headerReference w:type="default" r:id="rId36"/>
          <w:headerReference w:type="first" r:id="rId37"/>
          <w:pgSz w:w="16838" w:h="11906" w:orient="landscape"/>
          <w:pgMar w:top="719" w:right="1440" w:bottom="1079" w:left="1440" w:header="709" w:footer="709" w:gutter="0"/>
          <w:cols w:space="708"/>
          <w:docGrid w:linePitch="360"/>
        </w:sectPr>
      </w:pPr>
    </w:p>
    <w:p w:rsidR="003D1F7F" w:rsidRDefault="003D1F7F" w:rsidP="00926892">
      <w:pPr>
        <w:pStyle w:val="Heading2"/>
        <w:numPr>
          <w:ilvl w:val="1"/>
          <w:numId w:val="9"/>
        </w:numPr>
        <w:rPr>
          <w:rFonts w:ascii="Century Gothic" w:hAnsi="Century Gothic"/>
          <w:color w:val="000000"/>
        </w:rPr>
      </w:pPr>
      <w:bookmarkStart w:id="56" w:name="_Toc441474088"/>
      <w:bookmarkStart w:id="57" w:name="_Toc441474123"/>
      <w:bookmarkStart w:id="58" w:name="_Toc441474139"/>
      <w:bookmarkStart w:id="59" w:name="_Toc441474155"/>
      <w:bookmarkStart w:id="60" w:name="_Toc441474171"/>
      <w:bookmarkStart w:id="61" w:name="_Toc441474203"/>
      <w:bookmarkStart w:id="62" w:name="_Toc441474219"/>
      <w:bookmarkStart w:id="63" w:name="_Toc441474235"/>
      <w:bookmarkStart w:id="64" w:name="_Toc441474251"/>
      <w:bookmarkStart w:id="65" w:name="_Toc441474267"/>
      <w:bookmarkStart w:id="66" w:name="_Toc441474283"/>
      <w:bookmarkStart w:id="67" w:name="_Toc441474299"/>
      <w:bookmarkStart w:id="68" w:name="_Toc441474332"/>
      <w:bookmarkStart w:id="69" w:name="_Toc441474348"/>
      <w:bookmarkStart w:id="70" w:name="_Toc441474364"/>
      <w:bookmarkStart w:id="71" w:name="_Toc441474396"/>
      <w:bookmarkStart w:id="72" w:name="_Toc441474412"/>
      <w:bookmarkStart w:id="73" w:name="_Toc441474444"/>
      <w:bookmarkStart w:id="74" w:name="_Toc441474460"/>
      <w:bookmarkStart w:id="75" w:name="_Toc441474492"/>
      <w:bookmarkStart w:id="76" w:name="_Toc441474508"/>
      <w:bookmarkStart w:id="77" w:name="_Toc441474509"/>
      <w:bookmarkStart w:id="78" w:name="_Toc462047320"/>
      <w:bookmarkEnd w:id="45"/>
      <w:bookmarkEnd w:id="46"/>
      <w:bookmarkEnd w:id="47"/>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r>
        <w:rPr>
          <w:rFonts w:ascii="Century Gothic" w:hAnsi="Century Gothic"/>
          <w:color w:val="000000"/>
        </w:rPr>
        <w:lastRenderedPageBreak/>
        <w:t xml:space="preserve">Seagrass </w:t>
      </w:r>
      <w:r w:rsidR="00E9464A">
        <w:rPr>
          <w:rFonts w:ascii="Century Gothic" w:hAnsi="Century Gothic"/>
          <w:color w:val="000000"/>
        </w:rPr>
        <w:t xml:space="preserve">condition </w:t>
      </w:r>
      <w:r>
        <w:rPr>
          <w:rFonts w:ascii="Century Gothic" w:hAnsi="Century Gothic"/>
          <w:color w:val="000000"/>
        </w:rPr>
        <w:t>monitoring</w:t>
      </w:r>
      <w:bookmarkEnd w:id="78"/>
    </w:p>
    <w:p w:rsidR="003D1F7F" w:rsidRPr="00BA12BB" w:rsidRDefault="003D1F7F" w:rsidP="00926892">
      <w:pPr>
        <w:pStyle w:val="Heading3"/>
        <w:numPr>
          <w:ilvl w:val="2"/>
          <w:numId w:val="9"/>
        </w:numPr>
        <w:rPr>
          <w:rFonts w:ascii="Arial" w:hAnsi="Arial" w:cs="Arial"/>
          <w:szCs w:val="22"/>
        </w:rPr>
      </w:pPr>
      <w:bookmarkStart w:id="79" w:name="_Toc462047321"/>
      <w:r w:rsidRPr="00BA12BB">
        <w:rPr>
          <w:rFonts w:ascii="Arial" w:hAnsi="Arial" w:cs="Arial"/>
        </w:rPr>
        <w:t xml:space="preserve">Seagrass abundance, composition and </w:t>
      </w:r>
      <w:r w:rsidR="00BB52BF">
        <w:rPr>
          <w:rFonts w:ascii="Arial" w:hAnsi="Arial" w:cs="Arial"/>
        </w:rPr>
        <w:t>extent</w:t>
      </w:r>
      <w:bookmarkEnd w:id="79"/>
    </w:p>
    <w:p w:rsidR="008300F2" w:rsidRDefault="003D1F7F" w:rsidP="008300F2">
      <w:pPr>
        <w:spacing w:before="240"/>
        <w:rPr>
          <w:color w:val="000000"/>
          <w:szCs w:val="22"/>
        </w:rPr>
      </w:pPr>
      <w:r w:rsidRPr="0071577B">
        <w:rPr>
          <w:color w:val="000000"/>
          <w:szCs w:val="22"/>
        </w:rPr>
        <w:t>Field survey methodology followed standardised protocols (</w:t>
      </w:r>
      <w:r>
        <w:rPr>
          <w:color w:val="000000"/>
          <w:szCs w:val="22"/>
        </w:rPr>
        <w:t xml:space="preserve">detailed in </w:t>
      </w:r>
      <w:r w:rsidRPr="0071577B">
        <w:rPr>
          <w:color w:val="000000"/>
          <w:szCs w:val="22"/>
        </w:rPr>
        <w:t xml:space="preserve">McKenzie </w:t>
      </w:r>
      <w:r w:rsidRPr="0071577B">
        <w:rPr>
          <w:i/>
          <w:color w:val="000000"/>
          <w:szCs w:val="22"/>
        </w:rPr>
        <w:t>et al.</w:t>
      </w:r>
      <w:r w:rsidRPr="0071577B">
        <w:rPr>
          <w:color w:val="000000"/>
          <w:szCs w:val="22"/>
        </w:rPr>
        <w:t xml:space="preserve"> </w:t>
      </w:r>
      <w:r>
        <w:rPr>
          <w:color w:val="000000"/>
          <w:szCs w:val="22"/>
        </w:rPr>
        <w:t>(</w:t>
      </w:r>
      <w:hyperlink w:anchor="_ENREF_165" w:tooltip="McKenzie, 2003 #9457" w:history="1">
        <w:r w:rsidR="00E6043D">
          <w:rPr>
            <w:color w:val="000000"/>
            <w:szCs w:val="22"/>
          </w:rPr>
          <w:fldChar w:fldCharType="begin"/>
        </w:r>
        <w:r w:rsidR="00E6043D">
          <w:rPr>
            <w:color w:val="000000"/>
            <w:szCs w:val="22"/>
          </w:rPr>
          <w:instrText xml:space="preserve"> ADDIN EN.CITE &lt;EndNote&gt;&lt;Cite ExcludeAuth="1"&gt;&lt;Year&gt;2003&lt;/Year&gt;&lt;RecNum&gt;9457&lt;/RecNum&gt;&lt;DisplayText&gt;2003&lt;/DisplayText&gt;&lt;record&gt;&lt;rec-number&gt;9457&lt;/rec-number&gt;&lt;foreign-keys&gt;&lt;key app="EN" db-id="0eve55x9y5vfd6e9dacxtew4eatve2dzds9a"&gt;9457&lt;/key&gt;&lt;/foreign-keys&gt;&lt;ref-type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E6043D">
          <w:rPr>
            <w:color w:val="000000"/>
            <w:szCs w:val="22"/>
          </w:rPr>
          <w:fldChar w:fldCharType="separate"/>
        </w:r>
        <w:r w:rsidR="00E6043D">
          <w:rPr>
            <w:noProof/>
            <w:color w:val="000000"/>
            <w:szCs w:val="22"/>
          </w:rPr>
          <w:t>2003</w:t>
        </w:r>
        <w:r w:rsidR="00E6043D">
          <w:rPr>
            <w:color w:val="000000"/>
            <w:szCs w:val="22"/>
          </w:rPr>
          <w:fldChar w:fldCharType="end"/>
        </w:r>
      </w:hyperlink>
      <w:r w:rsidRPr="0071577B">
        <w:rPr>
          <w:color w:val="000000"/>
          <w:szCs w:val="22"/>
        </w:rPr>
        <w:t>)</w:t>
      </w:r>
      <w:r>
        <w:rPr>
          <w:color w:val="000000"/>
          <w:szCs w:val="22"/>
        </w:rPr>
        <w:t xml:space="preserve"> and Appendix 2)</w:t>
      </w:r>
      <w:r w:rsidRPr="0071577B">
        <w:rPr>
          <w:color w:val="000000"/>
          <w:szCs w:val="22"/>
        </w:rPr>
        <w:t>. At each location, with the exception of subtidal sites, sampling included two sites nested</w:t>
      </w:r>
      <w:r>
        <w:rPr>
          <w:color w:val="000000"/>
          <w:szCs w:val="22"/>
        </w:rPr>
        <w:t xml:space="preserve"> (within 500m of each other)</w:t>
      </w:r>
      <w:r w:rsidRPr="0071577B">
        <w:rPr>
          <w:color w:val="000000"/>
          <w:szCs w:val="22"/>
        </w:rPr>
        <w:t xml:space="preserve"> in a location. Subtidal sites were not replicated within locations. Intertidal sites were defined as a 50m x 50m area within a relatively homogenous section of a representative seagrass community/meadow (McKenzie </w:t>
      </w:r>
      <w:r w:rsidRPr="0071577B">
        <w:rPr>
          <w:i/>
          <w:color w:val="000000"/>
          <w:szCs w:val="22"/>
        </w:rPr>
        <w:t>et al.,</w:t>
      </w:r>
      <w:r w:rsidRPr="0071577B">
        <w:rPr>
          <w:color w:val="000000"/>
          <w:szCs w:val="22"/>
        </w:rPr>
        <w:t xml:space="preserve"> 2000). Monitoring at sites in the late dry (September/October 201</w:t>
      </w:r>
      <w:r w:rsidR="00C815FB">
        <w:rPr>
          <w:color w:val="000000"/>
          <w:szCs w:val="22"/>
        </w:rPr>
        <w:t>4</w:t>
      </w:r>
      <w:r w:rsidRPr="0071577B">
        <w:rPr>
          <w:color w:val="000000"/>
          <w:szCs w:val="22"/>
        </w:rPr>
        <w:t>) and late monsoon (March/April 201</w:t>
      </w:r>
      <w:r w:rsidR="00C815FB">
        <w:rPr>
          <w:color w:val="000000"/>
          <w:szCs w:val="22"/>
        </w:rPr>
        <w:t>5</w:t>
      </w:r>
      <w:r w:rsidRPr="0071577B">
        <w:rPr>
          <w:color w:val="000000"/>
          <w:szCs w:val="22"/>
        </w:rPr>
        <w:t xml:space="preserve">) </w:t>
      </w:r>
      <w:r w:rsidRPr="00357C17">
        <w:rPr>
          <w:color w:val="000000"/>
          <w:szCs w:val="22"/>
        </w:rPr>
        <w:t xml:space="preserve">of each year was conducted by a qualified and trained scientist. At each site, during each survey, observers recorded the percent seagrass cover within </w:t>
      </w:r>
      <w:r w:rsidR="009A51FB">
        <w:rPr>
          <w:color w:val="000000"/>
          <w:szCs w:val="22"/>
        </w:rPr>
        <w:t>33 quadrats (</w:t>
      </w:r>
      <w:r w:rsidRPr="00357C17">
        <w:rPr>
          <w:color w:val="000000"/>
          <w:szCs w:val="22"/>
        </w:rPr>
        <w:t>50 cm × 50 cm</w:t>
      </w:r>
      <w:r w:rsidR="009A51FB">
        <w:rPr>
          <w:color w:val="000000"/>
          <w:szCs w:val="22"/>
        </w:rPr>
        <w:t>, placed</w:t>
      </w:r>
      <w:r w:rsidRPr="00357C17">
        <w:rPr>
          <w:color w:val="000000"/>
          <w:szCs w:val="22"/>
        </w:rPr>
        <w:t xml:space="preserve"> every 5 m along three 50m transects, placed 25m apart</w:t>
      </w:r>
      <w:r w:rsidR="009A51FB">
        <w:rPr>
          <w:color w:val="000000"/>
          <w:szCs w:val="22"/>
        </w:rPr>
        <w:t>)</w:t>
      </w:r>
      <w:r w:rsidRPr="00357C17">
        <w:rPr>
          <w:color w:val="000000"/>
          <w:szCs w:val="22"/>
        </w:rPr>
        <w:t xml:space="preserve">. </w:t>
      </w:r>
      <w:r w:rsidR="009A51FB" w:rsidRPr="0071577B">
        <w:rPr>
          <w:color w:val="000000"/>
          <w:szCs w:val="22"/>
        </w:rPr>
        <w:t>The sampling strategy for subtidal sites was modified to sample along 50m transects 2</w:t>
      </w:r>
      <w:r w:rsidR="009A51FB">
        <w:rPr>
          <w:color w:val="000000"/>
          <w:szCs w:val="22"/>
        </w:rPr>
        <w:t xml:space="preserve"> – </w:t>
      </w:r>
      <w:r w:rsidR="009A51FB" w:rsidRPr="0071577B">
        <w:rPr>
          <w:color w:val="000000"/>
          <w:szCs w:val="22"/>
        </w:rPr>
        <w:t xml:space="preserve">3 m apart (aligned along the depth contour) due to logistics of SCUBA diving in waters of poor visibility. </w:t>
      </w:r>
      <w:r w:rsidR="00595A52">
        <w:rPr>
          <w:color w:val="000000"/>
          <w:szCs w:val="22"/>
        </w:rPr>
        <w:t xml:space="preserve">Mapping of the meadow landscape </w:t>
      </w:r>
      <w:r w:rsidR="0028494D">
        <w:rPr>
          <w:color w:val="000000"/>
          <w:szCs w:val="22"/>
        </w:rPr>
        <w:t xml:space="preserve">(including patches and scars) </w:t>
      </w:r>
      <w:r w:rsidR="00595A52">
        <w:rPr>
          <w:color w:val="000000"/>
          <w:szCs w:val="22"/>
        </w:rPr>
        <w:t xml:space="preserve">within 100m of each site (i.e. 5.5 hectares) </w:t>
      </w:r>
      <w:r w:rsidR="00C815FB">
        <w:rPr>
          <w:color w:val="000000"/>
          <w:szCs w:val="22"/>
        </w:rPr>
        <w:t xml:space="preserve">was also </w:t>
      </w:r>
      <w:r w:rsidR="00595A52">
        <w:rPr>
          <w:color w:val="000000"/>
          <w:szCs w:val="22"/>
        </w:rPr>
        <w:t>conducted</w:t>
      </w:r>
      <w:r w:rsidR="00C815FB">
        <w:rPr>
          <w:color w:val="000000"/>
          <w:szCs w:val="22"/>
        </w:rPr>
        <w:t xml:space="preserve"> as part of the monitoring</w:t>
      </w:r>
      <w:r w:rsidR="0028494D">
        <w:rPr>
          <w:color w:val="000000"/>
          <w:szCs w:val="22"/>
        </w:rPr>
        <w:t xml:space="preserve"> in both the late dry and late monsoon periods</w:t>
      </w:r>
      <w:r w:rsidR="00C815FB">
        <w:rPr>
          <w:color w:val="000000"/>
          <w:szCs w:val="22"/>
        </w:rPr>
        <w:t>.</w:t>
      </w:r>
      <w:r w:rsidR="005E74A3">
        <w:rPr>
          <w:color w:val="000000"/>
          <w:szCs w:val="22"/>
        </w:rPr>
        <w:t xml:space="preserve"> </w:t>
      </w:r>
      <w:r w:rsidR="0028494D" w:rsidRPr="00BC33E3">
        <w:rPr>
          <w:rFonts w:cs="Segoe UI"/>
        </w:rPr>
        <w:t>Mapping follow</w:t>
      </w:r>
      <w:r w:rsidR="0028494D">
        <w:rPr>
          <w:rFonts w:cs="Segoe UI"/>
        </w:rPr>
        <w:t>ed</w:t>
      </w:r>
      <w:r w:rsidR="0028494D" w:rsidRPr="00BC33E3">
        <w:rPr>
          <w:rFonts w:cs="Segoe UI"/>
        </w:rPr>
        <w:t xml:space="preserve"> standard methodolog</w:t>
      </w:r>
      <w:r w:rsidR="0028494D">
        <w:rPr>
          <w:rFonts w:cs="Segoe UI"/>
        </w:rPr>
        <w:t>ies (</w:t>
      </w:r>
      <w:hyperlink w:anchor="_ENREF_170" w:tooltip="McKenzie, 2001 #3703" w:history="1">
        <w:r w:rsidR="00E6043D">
          <w:rPr>
            <w:rFonts w:cs="Segoe UI"/>
          </w:rPr>
          <w:fldChar w:fldCharType="begin"/>
        </w:r>
        <w:r w:rsidR="00E6043D">
          <w:rPr>
            <w:rFonts w:cs="Segoe UI"/>
          </w:rPr>
          <w:instrText xml:space="preserve"> ADDIN EN.CITE &lt;EndNote&gt;&lt;Cite&gt;&lt;Author&gt;McKenzie&lt;/Author&gt;&lt;Year&gt;2001&lt;/Year&gt;&lt;RecNum&gt;3703&lt;/RecNum&gt;&lt;DisplayText&gt;McKenzie&lt;style face="italic"&gt; et al.&lt;/style&gt; 2001&lt;/DisplayText&gt;&lt;record&gt;&lt;rec-number&gt;3703&lt;/rec-number&gt;&lt;foreign-keys&gt;&lt;key app="EN" db-id="0eve55x9y5vfd6e9dacxtew4eatve2dzds9a"&gt;3703&lt;/key&gt;&lt;/foreign-keys&gt;&lt;ref-type name="Book Section"&gt;5&lt;/ref-type&gt;&lt;contributors&gt;&lt;authors&gt;&lt;author&gt;McKenzie, Len J&lt;/author&gt;&lt;author&gt;Finkbeiner, Mark A&lt;/author&gt;&lt;author&gt;Kirkman, Hugh&lt;/author&gt;&lt;/authors&gt;&lt;secondary-authors&gt;&lt;author&gt;Short, F.T.&lt;/author&gt;&lt;author&gt;Coles, R.G.&lt;/author&gt;&lt;/secondary-authors&gt;&lt;/contributors&gt;&lt;titles&gt;&lt;title&gt;Methods for mapping seagrass distribution&lt;/title&gt;&lt;secondary-title&gt;Global Seagrass Research Methods&lt;/secondary-title&gt;&lt;/titles&gt;&lt;periodical&gt;&lt;full-title&gt;Global Seagrass Research Methods&lt;/full-title&gt;&lt;/periodical&gt;&lt;pages&gt;101-121&lt;/pages&gt;&lt;section&gt;5&lt;/section&gt;&lt;dates&gt;&lt;year&gt;2001&lt;/year&gt;&lt;/dates&gt;&lt;pub-location&gt;Amsterdam&lt;/pub-location&gt;&lt;publisher&gt;Elsevier Science B.V.&lt;/publisher&gt;&lt;isbn&gt;0-404-50891-0&lt;/isbn&gt;&lt;urls&gt;&lt;/urls&gt;&lt;/record&gt;&lt;/Cite&gt;&lt;/EndNote&gt;</w:instrText>
        </w:r>
        <w:r w:rsidR="00E6043D">
          <w:rPr>
            <w:rFonts w:cs="Segoe UI"/>
          </w:rPr>
          <w:fldChar w:fldCharType="separate"/>
        </w:r>
        <w:r w:rsidR="00E6043D">
          <w:rPr>
            <w:rFonts w:cs="Segoe UI"/>
            <w:noProof/>
          </w:rPr>
          <w:t>McKenzie</w:t>
        </w:r>
        <w:r w:rsidR="00E6043D" w:rsidRPr="00644A84">
          <w:rPr>
            <w:rFonts w:cs="Segoe UI"/>
            <w:i/>
            <w:noProof/>
          </w:rPr>
          <w:t xml:space="preserve"> et al.</w:t>
        </w:r>
        <w:r w:rsidR="00E6043D">
          <w:rPr>
            <w:rFonts w:cs="Segoe UI"/>
            <w:noProof/>
          </w:rPr>
          <w:t xml:space="preserve"> 2001</w:t>
        </w:r>
        <w:r w:rsidR="00E6043D">
          <w:rPr>
            <w:rFonts w:cs="Segoe UI"/>
          </w:rPr>
          <w:fldChar w:fldCharType="end"/>
        </w:r>
      </w:hyperlink>
      <w:r w:rsidR="0028494D">
        <w:rPr>
          <w:rFonts w:cs="Segoe UI"/>
        </w:rPr>
        <w:t xml:space="preserve">) </w:t>
      </w:r>
      <w:r w:rsidR="005E74A3">
        <w:rPr>
          <w:color w:val="000000"/>
          <w:szCs w:val="22"/>
        </w:rPr>
        <w:t xml:space="preserve">using a </w:t>
      </w:r>
      <w:r w:rsidR="0028494D">
        <w:rPr>
          <w:color w:val="000000"/>
          <w:szCs w:val="22"/>
        </w:rPr>
        <w:t xml:space="preserve">handheld </w:t>
      </w:r>
      <w:r w:rsidR="005E74A3">
        <w:rPr>
          <w:color w:val="000000"/>
          <w:szCs w:val="22"/>
        </w:rPr>
        <w:t>GPS</w:t>
      </w:r>
      <w:r w:rsidR="008300F2">
        <w:rPr>
          <w:color w:val="000000"/>
          <w:szCs w:val="22"/>
        </w:rPr>
        <w:t xml:space="preserve"> on foot. </w:t>
      </w:r>
      <w:r w:rsidR="008300F2">
        <w:rPr>
          <w:rFonts w:cs="Segoe UI"/>
          <w:lang w:eastAsia="en-AU"/>
        </w:rPr>
        <w:t>Where the s</w:t>
      </w:r>
      <w:r w:rsidR="008300F2" w:rsidRPr="00BC33E3">
        <w:rPr>
          <w:rFonts w:cs="Segoe UI"/>
          <w:lang w:eastAsia="en-AU"/>
        </w:rPr>
        <w:t xml:space="preserve">eagrass </w:t>
      </w:r>
      <w:r w:rsidR="008300F2" w:rsidRPr="00BC33E3">
        <w:rPr>
          <w:rFonts w:cs="Arial"/>
          <w:lang w:eastAsia="en-AU"/>
        </w:rPr>
        <w:t xml:space="preserve">landscape </w:t>
      </w:r>
      <w:r w:rsidR="008300F2" w:rsidRPr="00BC33E3">
        <w:rPr>
          <w:rFonts w:cs="Segoe UI"/>
          <w:lang w:eastAsia="en-AU"/>
        </w:rPr>
        <w:t>tend</w:t>
      </w:r>
      <w:r w:rsidR="008300F2">
        <w:rPr>
          <w:rFonts w:cs="Segoe UI"/>
          <w:lang w:eastAsia="en-AU"/>
        </w:rPr>
        <w:t>ed</w:t>
      </w:r>
      <w:r w:rsidR="008300F2" w:rsidRPr="00BC33E3">
        <w:rPr>
          <w:rFonts w:cs="Segoe UI"/>
          <w:lang w:eastAsia="en-AU"/>
        </w:rPr>
        <w:t xml:space="preserve"> to grade from dense continuous cover to no cover over a continuum that include</w:t>
      </w:r>
      <w:r w:rsidR="008300F2">
        <w:rPr>
          <w:rFonts w:cs="Segoe UI"/>
          <w:lang w:eastAsia="en-AU"/>
        </w:rPr>
        <w:t>d</w:t>
      </w:r>
      <w:r w:rsidR="008300F2" w:rsidRPr="00BC33E3">
        <w:rPr>
          <w:rFonts w:cs="Segoe UI"/>
          <w:lang w:eastAsia="en-AU"/>
        </w:rPr>
        <w:t xml:space="preserve"> small patches and shoots of decreasing density</w:t>
      </w:r>
      <w:r w:rsidR="008300F2">
        <w:rPr>
          <w:rFonts w:cs="Segoe UI"/>
          <w:lang w:eastAsia="en-AU"/>
        </w:rPr>
        <w:t>, the edge wa</w:t>
      </w:r>
      <w:r w:rsidR="008300F2" w:rsidRPr="00BC33E3">
        <w:rPr>
          <w:rFonts w:cs="Segoe UI"/>
          <w:lang w:eastAsia="en-AU"/>
        </w:rPr>
        <w:t xml:space="preserve">s </w:t>
      </w:r>
      <w:r w:rsidR="008300F2">
        <w:rPr>
          <w:rFonts w:cs="Segoe UI"/>
          <w:lang w:eastAsia="en-AU"/>
        </w:rPr>
        <w:t>delineated where there wa</w:t>
      </w:r>
      <w:r w:rsidR="008300F2" w:rsidRPr="00BC33E3">
        <w:rPr>
          <w:rFonts w:cs="Segoe UI"/>
          <w:lang w:eastAsia="en-AU"/>
        </w:rPr>
        <w:t xml:space="preserve">s a gap with the distance of more than 3 metres </w:t>
      </w:r>
      <w:r w:rsidR="008300F2" w:rsidRPr="00BC33E3">
        <w:rPr>
          <w:rFonts w:cs="Arial"/>
          <w:lang w:eastAsia="en-AU"/>
        </w:rPr>
        <w:t>(i.e. accuracy of the GPS)</w:t>
      </w:r>
      <w:r w:rsidR="008300F2" w:rsidRPr="00BC33E3">
        <w:rPr>
          <w:rFonts w:cs="Segoe UI"/>
          <w:lang w:eastAsia="en-AU"/>
        </w:rPr>
        <w:t>.</w:t>
      </w:r>
    </w:p>
    <w:p w:rsidR="003D1F7F" w:rsidRPr="00517276" w:rsidRDefault="003D1F7F" w:rsidP="000168DB">
      <w:pPr>
        <w:rPr>
          <w:color w:val="000000"/>
          <w:szCs w:val="22"/>
        </w:rPr>
      </w:pPr>
      <w:r w:rsidRPr="00357C17">
        <w:rPr>
          <w:color w:val="000000"/>
          <w:szCs w:val="22"/>
        </w:rPr>
        <w:t xml:space="preserve">Seagrass species were identified as per </w:t>
      </w:r>
      <w:proofErr w:type="spellStart"/>
      <w:r w:rsidRPr="00357C17">
        <w:rPr>
          <w:color w:val="000000"/>
          <w:szCs w:val="22"/>
        </w:rPr>
        <w:t>Waycott</w:t>
      </w:r>
      <w:proofErr w:type="spellEnd"/>
      <w:r w:rsidRPr="00357C17">
        <w:rPr>
          <w:color w:val="000000"/>
          <w:szCs w:val="22"/>
        </w:rPr>
        <w:t xml:space="preserve"> </w:t>
      </w:r>
      <w:r w:rsidRPr="00357C17">
        <w:rPr>
          <w:i/>
          <w:color w:val="000000"/>
          <w:szCs w:val="22"/>
        </w:rPr>
        <w:t>et al.</w:t>
      </w:r>
      <w:r w:rsidRPr="00357C17">
        <w:rPr>
          <w:color w:val="000000"/>
          <w:szCs w:val="22"/>
        </w:rPr>
        <w:t xml:space="preserve"> (</w:t>
      </w:r>
      <w:hyperlink w:anchor="_ENREF_240" w:tooltip="Waycott, 2004 #8887" w:history="1">
        <w:r w:rsidR="00E6043D">
          <w:rPr>
            <w:color w:val="000000"/>
            <w:szCs w:val="22"/>
          </w:rPr>
          <w:fldChar w:fldCharType="begin"/>
        </w:r>
        <w:r w:rsidR="00E6043D">
          <w:rPr>
            <w:color w:val="000000"/>
            <w:szCs w:val="22"/>
          </w:rPr>
          <w:instrText xml:space="preserve"> ADDIN EN.CITE &lt;EndNote&gt;&lt;Cite ExcludeAuth="1"&gt;&lt;Year&gt;2004&lt;/Year&gt;&lt;RecNum&gt;8887&lt;/RecNum&gt;&lt;DisplayText&gt;2004&lt;/DisplayText&gt;&lt;record&gt;&lt;rec-number&gt;8887&lt;/rec-number&gt;&lt;foreign-keys&gt;&lt;key app="EN" db-id="0eve55x9y5vfd6e9dacxtew4eatve2dzds9a"&gt;8887&lt;/key&gt;&lt;/foreign-keys&gt;&lt;ref-type name="Book"&gt;6&lt;/ref-type&gt;&lt;contributors&gt;&lt;authors&gt;&lt;author&gt;Waycott, Michelle&lt;/author&gt;&lt;author&gt;McMahon, Kathryn Margaret&lt;/author&gt;&lt;author&gt;Mellors, Jane E.&lt;/author&gt;&lt;author&gt;Calladine, Ainsley&lt;/author&gt;&lt;author&gt;Kleine, Diana&lt;/author&gt;&lt;/authors&gt;&lt;/contributors&gt;&lt;titles&gt;&lt;title&gt;A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E6043D">
          <w:rPr>
            <w:color w:val="000000"/>
            <w:szCs w:val="22"/>
          </w:rPr>
          <w:fldChar w:fldCharType="separate"/>
        </w:r>
        <w:r w:rsidR="00E6043D">
          <w:rPr>
            <w:noProof/>
            <w:color w:val="000000"/>
            <w:szCs w:val="22"/>
          </w:rPr>
          <w:t>2004</w:t>
        </w:r>
        <w:r w:rsidR="00E6043D">
          <w:rPr>
            <w:color w:val="000000"/>
            <w:szCs w:val="22"/>
          </w:rPr>
          <w:fldChar w:fldCharType="end"/>
        </w:r>
      </w:hyperlink>
      <w:r w:rsidRPr="00357C17">
        <w:rPr>
          <w:color w:val="000000"/>
          <w:szCs w:val="22"/>
        </w:rPr>
        <w:t xml:space="preserve">). Species </w:t>
      </w:r>
      <w:r w:rsidR="001041C9">
        <w:rPr>
          <w:color w:val="000000"/>
          <w:szCs w:val="22"/>
        </w:rPr>
        <w:t>were</w:t>
      </w:r>
      <w:r w:rsidRPr="00357C17">
        <w:rPr>
          <w:color w:val="000000"/>
          <w:szCs w:val="22"/>
        </w:rPr>
        <w:t xml:space="preserve"> further categorised </w:t>
      </w:r>
      <w:r w:rsidR="001041C9">
        <w:rPr>
          <w:color w:val="000000"/>
          <w:szCs w:val="22"/>
        </w:rPr>
        <w:t>according to their</w:t>
      </w:r>
      <w:r w:rsidRPr="00357C17">
        <w:rPr>
          <w:color w:val="000000"/>
          <w:szCs w:val="22"/>
        </w:rPr>
        <w:t xml:space="preserve"> life history traits and strategies</w:t>
      </w:r>
      <w:r w:rsidR="001041C9">
        <w:rPr>
          <w:color w:val="000000"/>
          <w:szCs w:val="22"/>
        </w:rPr>
        <w:t xml:space="preserve"> and </w:t>
      </w:r>
      <w:r w:rsidR="00E01C76">
        <w:rPr>
          <w:color w:val="000000"/>
          <w:szCs w:val="22"/>
        </w:rPr>
        <w:t xml:space="preserve">classified into colonising, opportunistic or persistent </w:t>
      </w:r>
      <w:r w:rsidR="00E01C76" w:rsidRPr="005B62F4">
        <w:rPr>
          <w:rFonts w:asciiTheme="minorHAnsi" w:hAnsiTheme="minorHAnsi"/>
          <w:color w:val="000000"/>
          <w:szCs w:val="22"/>
        </w:rPr>
        <w:t xml:space="preserve">as </w:t>
      </w:r>
      <w:r w:rsidR="00E01C76">
        <w:rPr>
          <w:rFonts w:asciiTheme="minorHAnsi" w:hAnsiTheme="minorHAnsi"/>
          <w:color w:val="000000"/>
          <w:szCs w:val="22"/>
        </w:rPr>
        <w:t xml:space="preserve">broadly </w:t>
      </w:r>
      <w:r w:rsidR="00E01C76" w:rsidRPr="005B62F4">
        <w:rPr>
          <w:rFonts w:asciiTheme="minorHAnsi" w:hAnsiTheme="minorHAnsi"/>
          <w:color w:val="000000"/>
          <w:szCs w:val="22"/>
        </w:rPr>
        <w:t xml:space="preserve">defined by </w:t>
      </w:r>
      <w:proofErr w:type="spellStart"/>
      <w:r w:rsidR="00E01C76" w:rsidRPr="005B62F4">
        <w:rPr>
          <w:rFonts w:asciiTheme="minorHAnsi" w:hAnsiTheme="minorHAnsi"/>
          <w:color w:val="000000"/>
          <w:szCs w:val="22"/>
        </w:rPr>
        <w:t>Kilminister</w:t>
      </w:r>
      <w:proofErr w:type="spellEnd"/>
      <w:r w:rsidR="00A1555C">
        <w:rPr>
          <w:rFonts w:asciiTheme="minorHAnsi" w:hAnsiTheme="minorHAnsi"/>
          <w:color w:val="000000"/>
          <w:szCs w:val="22"/>
        </w:rPr>
        <w:t xml:space="preserve"> </w:t>
      </w:r>
      <w:r w:rsidR="00A1555C" w:rsidRPr="00A1555C">
        <w:rPr>
          <w:rFonts w:asciiTheme="minorHAnsi" w:hAnsiTheme="minorHAnsi"/>
          <w:i/>
          <w:color w:val="000000"/>
          <w:szCs w:val="22"/>
        </w:rPr>
        <w:t>et al.</w:t>
      </w:r>
      <w:r w:rsidR="00E01C76" w:rsidRPr="005B62F4">
        <w:rPr>
          <w:rFonts w:asciiTheme="minorHAnsi" w:hAnsiTheme="minorHAnsi"/>
          <w:color w:val="000000"/>
          <w:szCs w:val="22"/>
        </w:rPr>
        <w:t xml:space="preserve"> (</w:t>
      </w:r>
      <w:hyperlink w:anchor="_ENREF_133" w:tooltip="Kilminster, 2015 #10294" w:history="1">
        <w:r w:rsidR="00E6043D">
          <w:rPr>
            <w:rFonts w:asciiTheme="minorHAnsi" w:hAnsiTheme="minorHAnsi"/>
            <w:color w:val="000000"/>
            <w:szCs w:val="22"/>
          </w:rPr>
          <w:fldChar w:fldCharType="begin"/>
        </w:r>
        <w:r w:rsidR="00E6043D">
          <w:rPr>
            <w:rFonts w:asciiTheme="minorHAnsi" w:hAnsiTheme="minorHAnsi"/>
            <w:color w:val="000000"/>
            <w:szCs w:val="22"/>
          </w:rPr>
          <w:instrText xml:space="preserve"> ADDIN EN.CITE &lt;EndNote&gt;&lt;Cite ExcludeAuth="1"&gt;&lt;Author&gt;Kilminster&lt;/Author&gt;&lt;Year&gt;2015&lt;/Year&gt;&lt;RecNum&gt;10294&lt;/RecNum&gt;&lt;DisplayText&gt;2015&lt;/DisplayText&gt;&lt;record&gt;&lt;rec-number&gt;10294&lt;/rec-number&gt;&lt;foreign-keys&gt;&lt;key app="EN" db-id="0eve55x9y5vfd6e9dacxtew4eatve2dzds9a"&gt;10294&lt;/key&gt;&lt;/foreign-keys&gt;&lt;ref-type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E6043D">
          <w:rPr>
            <w:rFonts w:asciiTheme="minorHAnsi" w:hAnsiTheme="minorHAnsi"/>
            <w:color w:val="000000"/>
            <w:szCs w:val="22"/>
          </w:rPr>
          <w:fldChar w:fldCharType="separate"/>
        </w:r>
        <w:r w:rsidR="00E6043D">
          <w:rPr>
            <w:rFonts w:asciiTheme="minorHAnsi" w:hAnsiTheme="minorHAnsi"/>
            <w:noProof/>
            <w:color w:val="000000"/>
            <w:szCs w:val="22"/>
          </w:rPr>
          <w:t>2015</w:t>
        </w:r>
        <w:r w:rsidR="00E6043D">
          <w:rPr>
            <w:rFonts w:asciiTheme="minorHAnsi" w:hAnsiTheme="minorHAnsi"/>
            <w:color w:val="000000"/>
            <w:szCs w:val="22"/>
          </w:rPr>
          <w:fldChar w:fldCharType="end"/>
        </w:r>
      </w:hyperlink>
      <w:r w:rsidR="00E01C76" w:rsidRPr="005B62F4">
        <w:rPr>
          <w:rFonts w:asciiTheme="minorHAnsi" w:hAnsiTheme="minorHAnsi"/>
          <w:color w:val="000000"/>
          <w:szCs w:val="22"/>
        </w:rPr>
        <w:t>)</w:t>
      </w:r>
      <w:r w:rsidR="001041C9">
        <w:rPr>
          <w:rFonts w:asciiTheme="minorHAnsi" w:hAnsiTheme="minorHAnsi"/>
          <w:color w:val="000000"/>
          <w:szCs w:val="22"/>
        </w:rPr>
        <w:t xml:space="preserve"> (for detailed methods, see Appendix 2; also case study 1)</w:t>
      </w:r>
      <w:r w:rsidR="00E01C76">
        <w:rPr>
          <w:rFonts w:asciiTheme="minorHAnsi" w:hAnsiTheme="minorHAnsi"/>
          <w:color w:val="000000"/>
          <w:szCs w:val="22"/>
        </w:rPr>
        <w:t>.</w:t>
      </w:r>
    </w:p>
    <w:p w:rsidR="003D1F7F" w:rsidRDefault="003D1F7F" w:rsidP="003D1F7F">
      <w:pPr>
        <w:spacing w:before="0" w:after="0"/>
        <w:rPr>
          <w:color w:val="000000"/>
          <w:szCs w:val="22"/>
        </w:rPr>
      </w:pPr>
    </w:p>
    <w:p w:rsidR="000168DB" w:rsidRPr="00BA12BB" w:rsidRDefault="000168DB" w:rsidP="00926892">
      <w:pPr>
        <w:pStyle w:val="Heading3"/>
        <w:numPr>
          <w:ilvl w:val="2"/>
          <w:numId w:val="9"/>
        </w:numPr>
        <w:rPr>
          <w:rFonts w:ascii="Arial" w:hAnsi="Arial" w:cs="Arial"/>
        </w:rPr>
      </w:pPr>
      <w:bookmarkStart w:id="80" w:name="_Toc184101946"/>
      <w:bookmarkStart w:id="81" w:name="_Toc462047322"/>
      <w:bookmarkStart w:id="82" w:name="_Toc232845894"/>
      <w:r w:rsidRPr="00BA12BB">
        <w:rPr>
          <w:rFonts w:ascii="Arial" w:hAnsi="Arial" w:cs="Arial"/>
        </w:rPr>
        <w:t>Seagrass reproductive health</w:t>
      </w:r>
      <w:bookmarkEnd w:id="80"/>
      <w:bookmarkEnd w:id="81"/>
      <w:r w:rsidRPr="00BA12BB">
        <w:rPr>
          <w:rFonts w:ascii="Arial" w:hAnsi="Arial" w:cs="Arial"/>
        </w:rPr>
        <w:t xml:space="preserve"> </w:t>
      </w:r>
      <w:bookmarkEnd w:id="82"/>
    </w:p>
    <w:p w:rsidR="000168DB" w:rsidRPr="00517276" w:rsidRDefault="000168DB" w:rsidP="000168DB">
      <w:pPr>
        <w:spacing w:before="0" w:after="0"/>
        <w:rPr>
          <w:color w:val="000000"/>
          <w:szCs w:val="22"/>
        </w:rPr>
      </w:pPr>
      <w:bookmarkStart w:id="83" w:name="_Toc175991047"/>
      <w:bookmarkStart w:id="84" w:name="_Toc232845895"/>
      <w:bookmarkStart w:id="85" w:name="_Toc184101947"/>
      <w:r w:rsidRPr="00517276">
        <w:t>Seagrass reproductive health was assessed from samples collected in the late dry 201</w:t>
      </w:r>
      <w:r>
        <w:t>4</w:t>
      </w:r>
      <w:r w:rsidRPr="00517276">
        <w:t xml:space="preserve"> and late monsoon 201</w:t>
      </w:r>
      <w:r>
        <w:t>5</w:t>
      </w:r>
      <w:r w:rsidRPr="00517276">
        <w:t xml:space="preserve"> at locations identified in</w:t>
      </w:r>
      <w:r>
        <w:t xml:space="preserve"> </w:t>
      </w:r>
      <w:r w:rsidR="00EB19B4">
        <w:rPr>
          <w:highlight w:val="yellow"/>
        </w:rPr>
        <w:fldChar w:fldCharType="begin"/>
      </w:r>
      <w:r w:rsidR="00EB19B4">
        <w:instrText xml:space="preserve"> REF _Ref236539751 \h </w:instrText>
      </w:r>
      <w:r w:rsidR="00EB19B4">
        <w:rPr>
          <w:highlight w:val="yellow"/>
        </w:rPr>
      </w:r>
      <w:r w:rsidR="00EB19B4">
        <w:rPr>
          <w:highlight w:val="yellow"/>
        </w:rPr>
        <w:fldChar w:fldCharType="separate"/>
      </w:r>
      <w:r w:rsidR="009C068F" w:rsidRPr="00015190">
        <w:rPr>
          <w:color w:val="000000"/>
          <w:szCs w:val="22"/>
        </w:rPr>
        <w:t xml:space="preserve">Table </w:t>
      </w:r>
      <w:r w:rsidR="009C068F">
        <w:rPr>
          <w:noProof/>
          <w:color w:val="000000"/>
          <w:szCs w:val="22"/>
        </w:rPr>
        <w:t>3</w:t>
      </w:r>
      <w:r w:rsidR="00EB19B4">
        <w:rPr>
          <w:highlight w:val="yellow"/>
        </w:rPr>
        <w:fldChar w:fldCharType="end"/>
      </w:r>
      <w:r>
        <w:t xml:space="preserve">. </w:t>
      </w:r>
      <w:r w:rsidRPr="00517276">
        <w:t>Samples were processed according to standard methodologies</w:t>
      </w:r>
      <w:r>
        <w:t xml:space="preserve"> (see Appendix 2).</w:t>
      </w:r>
    </w:p>
    <w:p w:rsidR="000168DB" w:rsidRPr="00517276" w:rsidRDefault="000168DB" w:rsidP="000168DB">
      <w:pPr>
        <w:rPr>
          <w:color w:val="000000"/>
          <w:szCs w:val="22"/>
        </w:rPr>
      </w:pPr>
      <w:r w:rsidRPr="00517276">
        <w:rPr>
          <w:color w:val="000000"/>
          <w:szCs w:val="22"/>
        </w:rPr>
        <w:t xml:space="preserve">In the field, 15 haphazardly placed cores (100mm diameter x 100mm depth) of seagrass were collected from an area adjacent (of similar cover and species composition) to each monitoring site. </w:t>
      </w:r>
      <w:bookmarkStart w:id="86" w:name="_Toc175991046"/>
      <w:r w:rsidRPr="00517276">
        <w:rPr>
          <w:color w:val="000000"/>
          <w:szCs w:val="22"/>
        </w:rPr>
        <w:t xml:space="preserve">In the laboratory, reproductive structures (spathes, fruits, female and male flowers) of plants from each core were </w:t>
      </w:r>
      <w:bookmarkEnd w:id="86"/>
      <w:r w:rsidRPr="00517276">
        <w:rPr>
          <w:color w:val="000000"/>
          <w:szCs w:val="22"/>
        </w:rPr>
        <w:t>identified and counted for each samples and species. Reproductive effort was calculated as number of reproductive structures (fruits, flowers, spathes; species pooled) per core for analysis.</w:t>
      </w:r>
    </w:p>
    <w:p w:rsidR="000168DB" w:rsidRPr="00517276" w:rsidRDefault="000168DB" w:rsidP="000168DB">
      <w:pPr>
        <w:rPr>
          <w:color w:val="000000"/>
          <w:szCs w:val="22"/>
        </w:rPr>
      </w:pPr>
      <w:r w:rsidRPr="00517276">
        <w:rPr>
          <w:color w:val="000000"/>
          <w:szCs w:val="22"/>
        </w:rPr>
        <w:t>Seeds banks and abundance of germinated seeds were sampled according to standard methods (</w:t>
      </w:r>
      <w:hyperlink w:anchor="_ENREF_173" w:tooltip="McKenzie, 2010 #9606" w:history="1">
        <w:r w:rsidR="00E6043D">
          <w:rPr>
            <w:color w:val="000000"/>
            <w:szCs w:val="22"/>
          </w:rPr>
          <w:fldChar w:fldCharType="begin"/>
        </w:r>
        <w:r w:rsidR="00E6043D">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E6043D">
          <w:rPr>
            <w:color w:val="000000"/>
            <w:szCs w:val="22"/>
          </w:rPr>
          <w:fldChar w:fldCharType="separate"/>
        </w:r>
        <w:r w:rsidR="00E6043D">
          <w:rPr>
            <w:noProof/>
            <w:color w:val="000000"/>
            <w:szCs w:val="22"/>
          </w:rPr>
          <w:t>McKenzie</w:t>
        </w:r>
        <w:r w:rsidR="00E6043D" w:rsidRPr="00644A84">
          <w:rPr>
            <w:i/>
            <w:noProof/>
            <w:color w:val="000000"/>
            <w:szCs w:val="22"/>
          </w:rPr>
          <w:t xml:space="preserve"> et al.</w:t>
        </w:r>
        <w:r w:rsidR="00E6043D">
          <w:rPr>
            <w:noProof/>
            <w:color w:val="000000"/>
            <w:szCs w:val="22"/>
          </w:rPr>
          <w:t xml:space="preserve"> 2010a</w:t>
        </w:r>
        <w:r w:rsidR="00E6043D">
          <w:rPr>
            <w:color w:val="000000"/>
            <w:szCs w:val="22"/>
          </w:rPr>
          <w:fldChar w:fldCharType="end"/>
        </w:r>
      </w:hyperlink>
      <w:r w:rsidRPr="00517276">
        <w:rPr>
          <w:color w:val="000000"/>
          <w:szCs w:val="22"/>
        </w:rPr>
        <w:t xml:space="preserve">) by sieving (2mm mesh) 30 cores (50mm diameter, 100mm depth) of sediment collected across each site and counting the seeds retained in each. For </w:t>
      </w:r>
      <w:proofErr w:type="spellStart"/>
      <w:r w:rsidRPr="00517276">
        <w:rPr>
          <w:i/>
          <w:color w:val="000000"/>
          <w:szCs w:val="22"/>
        </w:rPr>
        <w:t>Zostera</w:t>
      </w:r>
      <w:proofErr w:type="spellEnd"/>
      <w:r w:rsidRPr="00517276">
        <w:rPr>
          <w:i/>
          <w:color w:val="000000"/>
          <w:szCs w:val="22"/>
        </w:rPr>
        <w:t xml:space="preserve"> </w:t>
      </w:r>
      <w:proofErr w:type="spellStart"/>
      <w:r w:rsidRPr="00517276">
        <w:rPr>
          <w:i/>
          <w:color w:val="000000"/>
          <w:szCs w:val="22"/>
        </w:rPr>
        <w:t>muelleri</w:t>
      </w:r>
      <w:proofErr w:type="spellEnd"/>
      <w:r w:rsidRPr="00517276">
        <w:rPr>
          <w:color w:val="000000"/>
          <w:szCs w:val="22"/>
        </w:rPr>
        <w:t>, where the seed are &lt;1mm diameter, intact cores (18) were collected and returned to the laboratory where they were washed through a 710µm sieve and seeds identified using a hand lens/microscope.</w:t>
      </w:r>
    </w:p>
    <w:bookmarkEnd w:id="83"/>
    <w:bookmarkEnd w:id="84"/>
    <w:bookmarkEnd w:id="85"/>
    <w:p w:rsidR="003D1F7F" w:rsidRDefault="003D1F7F" w:rsidP="003D1F7F">
      <w:pPr>
        <w:spacing w:before="0" w:after="0"/>
        <w:rPr>
          <w:color w:val="000000"/>
          <w:szCs w:val="22"/>
        </w:rPr>
      </w:pPr>
    </w:p>
    <w:p w:rsidR="004902B0" w:rsidRDefault="004902B0" w:rsidP="004902B0">
      <w:pPr>
        <w:pStyle w:val="Heading3"/>
        <w:numPr>
          <w:ilvl w:val="2"/>
          <w:numId w:val="9"/>
        </w:numPr>
        <w:rPr>
          <w:rFonts w:ascii="Arial" w:hAnsi="Arial" w:cs="Arial"/>
        </w:rPr>
      </w:pPr>
      <w:bookmarkStart w:id="87" w:name="_Toc462047323"/>
      <w:bookmarkStart w:id="88" w:name="_Toc184101949"/>
      <w:r w:rsidRPr="00BA12BB">
        <w:rPr>
          <w:rFonts w:ascii="Arial" w:hAnsi="Arial" w:cs="Arial"/>
        </w:rPr>
        <w:t>Seagrass tissue nutrients</w:t>
      </w:r>
      <w:bookmarkEnd w:id="87"/>
    </w:p>
    <w:p w:rsidR="003D1F7F" w:rsidRPr="00517276" w:rsidRDefault="003D1F7F" w:rsidP="003D1F7F">
      <w:pPr>
        <w:rPr>
          <w:color w:val="000000"/>
          <w:szCs w:val="22"/>
        </w:rPr>
      </w:pPr>
      <w:r w:rsidRPr="00517276">
        <w:rPr>
          <w:color w:val="000000"/>
          <w:szCs w:val="22"/>
        </w:rPr>
        <w:t xml:space="preserve">In </w:t>
      </w:r>
      <w:r>
        <w:rPr>
          <w:color w:val="000000"/>
          <w:szCs w:val="22"/>
        </w:rPr>
        <w:t>the late dry season (October) 2014</w:t>
      </w:r>
      <w:r w:rsidRPr="00517276">
        <w:rPr>
          <w:color w:val="000000"/>
          <w:szCs w:val="22"/>
        </w:rPr>
        <w:t xml:space="preserve">, </w:t>
      </w:r>
      <w:r w:rsidR="0042061B" w:rsidRPr="00517276">
        <w:rPr>
          <w:color w:val="000000"/>
          <w:szCs w:val="22"/>
        </w:rPr>
        <w:t xml:space="preserve">leaf tissue samples </w:t>
      </w:r>
      <w:r w:rsidR="0042061B">
        <w:rPr>
          <w:color w:val="000000"/>
          <w:szCs w:val="22"/>
        </w:rPr>
        <w:t xml:space="preserve">from the </w:t>
      </w:r>
      <w:r w:rsidRPr="00517276">
        <w:rPr>
          <w:color w:val="000000"/>
          <w:szCs w:val="22"/>
        </w:rPr>
        <w:t xml:space="preserve">foundational seagrass species </w:t>
      </w:r>
      <w:r w:rsidR="0042061B" w:rsidRPr="00517276">
        <w:rPr>
          <w:color w:val="000000"/>
          <w:szCs w:val="22"/>
        </w:rPr>
        <w:t xml:space="preserve">were collected from each monitoring site </w:t>
      </w:r>
      <w:r w:rsidR="0042061B">
        <w:rPr>
          <w:color w:val="000000"/>
          <w:szCs w:val="22"/>
        </w:rPr>
        <w:t xml:space="preserve">for </w:t>
      </w:r>
      <w:r w:rsidRPr="00517276">
        <w:rPr>
          <w:color w:val="000000"/>
          <w:szCs w:val="22"/>
        </w:rPr>
        <w:t>nutrient</w:t>
      </w:r>
      <w:r w:rsidR="0042061B">
        <w:rPr>
          <w:color w:val="000000"/>
          <w:szCs w:val="22"/>
        </w:rPr>
        <w:t xml:space="preserve"> content analysis</w:t>
      </w:r>
      <w:r w:rsidRPr="00517276">
        <w:rPr>
          <w:color w:val="000000"/>
          <w:szCs w:val="22"/>
        </w:rPr>
        <w:t xml:space="preserve"> (</w:t>
      </w:r>
      <w:r w:rsidR="00EB19B4">
        <w:rPr>
          <w:color w:val="0000FF"/>
          <w:szCs w:val="22"/>
        </w:rPr>
        <w:fldChar w:fldCharType="begin"/>
      </w:r>
      <w:r w:rsidR="00EB19B4">
        <w:rPr>
          <w:color w:val="000000"/>
          <w:szCs w:val="22"/>
        </w:rPr>
        <w:instrText xml:space="preserve"> REF _Ref236539751 \h </w:instrText>
      </w:r>
      <w:r w:rsidR="00EB19B4">
        <w:rPr>
          <w:color w:val="0000FF"/>
          <w:szCs w:val="22"/>
        </w:rPr>
      </w:r>
      <w:r w:rsidR="00EB19B4">
        <w:rPr>
          <w:color w:val="0000FF"/>
          <w:szCs w:val="22"/>
        </w:rPr>
        <w:fldChar w:fldCharType="separate"/>
      </w:r>
      <w:r w:rsidR="009C068F" w:rsidRPr="00015190">
        <w:rPr>
          <w:color w:val="000000"/>
          <w:szCs w:val="22"/>
        </w:rPr>
        <w:t xml:space="preserve">Table </w:t>
      </w:r>
      <w:r w:rsidR="009C068F">
        <w:rPr>
          <w:noProof/>
          <w:color w:val="000000"/>
          <w:szCs w:val="22"/>
        </w:rPr>
        <w:t>3</w:t>
      </w:r>
      <w:r w:rsidR="00EB19B4">
        <w:rPr>
          <w:color w:val="0000FF"/>
          <w:szCs w:val="22"/>
        </w:rPr>
        <w:fldChar w:fldCharType="end"/>
      </w:r>
      <w:r>
        <w:rPr>
          <w:color w:val="000000"/>
          <w:szCs w:val="22"/>
        </w:rPr>
        <w:t>).</w:t>
      </w:r>
      <w:r w:rsidR="00EB19B4">
        <w:rPr>
          <w:color w:val="000000"/>
          <w:szCs w:val="22"/>
        </w:rPr>
        <w:t xml:space="preserve"> </w:t>
      </w:r>
      <w:r w:rsidRPr="00517276">
        <w:rPr>
          <w:color w:val="000000"/>
          <w:szCs w:val="22"/>
        </w:rPr>
        <w:t>For nutrient status comparisons, collections were recommended during the growth season (e.g. late dry when nutrient contents are at a minimum) (</w:t>
      </w:r>
      <w:hyperlink w:anchor="_ENREF_185" w:tooltip="Mellors, 2005 #3739" w:history="1">
        <w:r w:rsidR="00E6043D">
          <w:rPr>
            <w:color w:val="000000"/>
            <w:szCs w:val="22"/>
          </w:rPr>
          <w:fldChar w:fldCharType="begin"/>
        </w:r>
        <w:r w:rsidR="00E6043D">
          <w:rPr>
            <w:color w:val="000000"/>
            <w:szCs w:val="22"/>
          </w:rPr>
          <w:instrText xml:space="preserve"> ADDIN EN.CITE &lt;EndNote&gt;&lt;Cite&gt;&lt;Author&gt;Mellors&lt;/Author&gt;&lt;Year&gt;2005&lt;/Year&gt;&lt;RecNum&gt;3739&lt;/RecNum&gt;&lt;DisplayText&gt;Mellors&lt;style face="italic"&gt;, et al.&lt;/style&gt; 2005&lt;/DisplayText&gt;&lt;record&gt;&lt;rec-number&gt;3739&lt;/rec-number&gt;&lt;foreign-keys&gt;&lt;key app="EN" db-id="0eve55x9y5vfd6e9dacxtew4eatve2dzds9a"&gt;3739&lt;/key&gt;&lt;/foreign-keys&gt;&lt;ref-type name="Journal Article"&gt;17&lt;/ref-type&gt;&lt;contributors&gt;&lt;authors&gt;&lt;author&gt;Mellors, J.&lt;/author&gt;&lt;author&gt;Waycott, M.&lt;/author&gt;&lt;author&gt;Marsh, H.&lt;/author&gt;&lt;/authors&gt;&lt;/contributors&gt;&lt;titles&gt;&lt;title&gt;Variation in biogeochemical parameters across intertidal seagrass meadows in the central Great Barrier Reef region&lt;/title&gt;&lt;secondary-title&gt;Marine Pollution Bulletin&lt;/secondary-title&gt;&lt;/titles&gt;&lt;periodical&gt;&lt;full-title&gt;Marine Pollution Bulletin&lt;/full-title&gt;&lt;/periodical&gt;&lt;pages&gt;335-342&lt;/pages&gt;&lt;volume&gt;51&lt;/volume&gt;&lt;number&gt;1-4&lt;/number&gt;&lt;dates&gt;&lt;year&gt;2005&lt;/year&gt;&lt;/dates&gt;&lt;isbn&gt;0025-326X&lt;/isbn&gt;&lt;accession-num&gt;WOS:000227981800031&lt;/accession-num&gt;&lt;urls&gt;&lt;related-urls&gt;&lt;url&gt;&amp;lt;Go to ISI&amp;gt;://WOS:000227981800031 &lt;/url&gt;&lt;/related-urls&gt;&lt;/urls&gt;&lt;electronic-resource-num&gt;10.1016/j.marpolbul.2004.10.046&lt;/electronic-resource-num&gt;&lt;/record&gt;&lt;/Cite&gt;&lt;/EndNote&gt;</w:instrText>
        </w:r>
        <w:r w:rsidR="00E6043D">
          <w:rPr>
            <w:color w:val="000000"/>
            <w:szCs w:val="22"/>
          </w:rPr>
          <w:fldChar w:fldCharType="separate"/>
        </w:r>
        <w:r w:rsidR="00E6043D">
          <w:rPr>
            <w:noProof/>
            <w:color w:val="000000"/>
            <w:szCs w:val="22"/>
          </w:rPr>
          <w:t>Mellors</w:t>
        </w:r>
        <w:r w:rsidR="00E6043D" w:rsidRPr="00644A84">
          <w:rPr>
            <w:i/>
            <w:noProof/>
            <w:color w:val="000000"/>
            <w:szCs w:val="22"/>
          </w:rPr>
          <w:t>, et al.</w:t>
        </w:r>
        <w:r w:rsidR="00E6043D">
          <w:rPr>
            <w:noProof/>
            <w:color w:val="000000"/>
            <w:szCs w:val="22"/>
          </w:rPr>
          <w:t xml:space="preserve"> 2005</w:t>
        </w:r>
        <w:r w:rsidR="00E6043D">
          <w:rPr>
            <w:color w:val="000000"/>
            <w:szCs w:val="22"/>
          </w:rPr>
          <w:fldChar w:fldCharType="end"/>
        </w:r>
      </w:hyperlink>
      <w:r w:rsidRPr="00517276">
        <w:rPr>
          <w:color w:val="000000"/>
          <w:szCs w:val="22"/>
        </w:rPr>
        <w:t xml:space="preserve">) and at the same time of the year and at the same </w:t>
      </w:r>
      <w:r w:rsidRPr="00517276">
        <w:rPr>
          <w:color w:val="000000"/>
          <w:szCs w:val="22"/>
        </w:rPr>
        <w:lastRenderedPageBreak/>
        <w:t>depth at the different localities (</w:t>
      </w:r>
      <w:hyperlink w:anchor="_ENREF_17" w:tooltip="Borum, 2004 #7829" w:history="1">
        <w:r w:rsidR="00E6043D">
          <w:rPr>
            <w:color w:val="000000"/>
            <w:szCs w:val="22"/>
          </w:rPr>
          <w:fldChar w:fldCharType="begin"/>
        </w:r>
        <w:r w:rsidR="00E6043D">
          <w:rPr>
            <w:color w:val="000000"/>
            <w:szCs w:val="22"/>
          </w:rPr>
          <w:instrText xml:space="preserve"> ADDIN EN.CITE &lt;EndNote&gt;&lt;Cite&gt;&lt;Author&gt;Borum&lt;/Author&gt;&lt;Year&gt;2004&lt;/Year&gt;&lt;RecNum&gt;7829&lt;/RecNum&gt;&lt;DisplayText&gt;Borum&lt;style face="italic"&gt; et al.&lt;/style&gt; 2004&lt;/DisplayText&gt;&lt;record&gt;&lt;rec-number&gt;7829&lt;/rec-number&gt;&lt;foreign-keys&gt;&lt;key app="EN" db-id="0eve55x9y5vfd6e9dacxtew4eatve2dzds9a"&gt;7829&lt;/key&gt;&lt;/foreign-keys&gt;&lt;ref-type name="Book"&gt;6&lt;/ref-type&gt;&lt;contributors&gt;&lt;authors&gt;&lt;author&gt;Borum, J&lt;/author&gt;&lt;author&gt;Duarte, C M&lt;/author&gt;&lt;author&gt;Krause-Jensen, D&lt;/author&gt;&lt;author&gt;Greve, T M&lt;/author&gt;&lt;/authors&gt;&lt;/contributors&gt;&lt;titles&gt;&lt;title&gt;European seagrasses: an introduction to monitoring and management&lt;/title&gt;&lt;/titles&gt;&lt;pages&gt;95&lt;/pages&gt;&lt;section&gt;1-95&lt;/section&gt;&lt;dates&gt;&lt;year&gt;2004&lt;/year&gt;&lt;/dates&gt;&lt;pub-location&gt;Copenhagen&lt;/pub-location&gt;&lt;publisher&gt;The M&amp;amp;MS project&lt;/publisher&gt;&lt;isbn&gt;ISBN: 87-89143-21-3&lt;/isbn&gt;&lt;urls&gt;&lt;/urls&gt;&lt;/record&gt;&lt;/Cite&gt;&lt;/EndNote&gt;</w:instrText>
        </w:r>
        <w:r w:rsidR="00E6043D">
          <w:rPr>
            <w:color w:val="000000"/>
            <w:szCs w:val="22"/>
          </w:rPr>
          <w:fldChar w:fldCharType="separate"/>
        </w:r>
        <w:r w:rsidR="00E6043D">
          <w:rPr>
            <w:noProof/>
            <w:color w:val="000000"/>
            <w:szCs w:val="22"/>
          </w:rPr>
          <w:t>Borum</w:t>
        </w:r>
        <w:r w:rsidR="00E6043D" w:rsidRPr="00644A84">
          <w:rPr>
            <w:i/>
            <w:noProof/>
            <w:color w:val="000000"/>
            <w:szCs w:val="22"/>
          </w:rPr>
          <w:t xml:space="preserve"> et al.</w:t>
        </w:r>
        <w:r w:rsidR="00E6043D">
          <w:rPr>
            <w:noProof/>
            <w:color w:val="000000"/>
            <w:szCs w:val="22"/>
          </w:rPr>
          <w:t xml:space="preserve"> 2004</w:t>
        </w:r>
        <w:r w:rsidR="00E6043D">
          <w:rPr>
            <w:color w:val="000000"/>
            <w:szCs w:val="22"/>
          </w:rPr>
          <w:fldChar w:fldCharType="end"/>
        </w:r>
      </w:hyperlink>
      <w:r w:rsidRPr="00517276">
        <w:rPr>
          <w:color w:val="000000"/>
          <w:szCs w:val="22"/>
        </w:rPr>
        <w:t>). Shoots from three haphazardly placed 0.25m</w:t>
      </w:r>
      <w:r w:rsidRPr="00517276">
        <w:rPr>
          <w:color w:val="000000"/>
          <w:szCs w:val="22"/>
          <w:vertAlign w:val="superscript"/>
        </w:rPr>
        <w:t>2</w:t>
      </w:r>
      <w:r w:rsidRPr="00517276">
        <w:rPr>
          <w:color w:val="000000"/>
          <w:szCs w:val="22"/>
        </w:rPr>
        <w:t xml:space="preserve"> quadrats were collected from an area adjacent (of similar cover and species composition) to each monitoring site. Leaves were separated from the below ground material in the laboratory and epiphytic algae removed by gently scraping. Dried and milled samples were analysed according to </w:t>
      </w:r>
      <w:hyperlink w:anchor="_ENREF_173" w:tooltip="McKenzie, 2010 #9606" w:history="1">
        <w:r w:rsidR="00E6043D">
          <w:rPr>
            <w:color w:val="000000"/>
            <w:szCs w:val="22"/>
          </w:rPr>
          <w:fldChar w:fldCharType="begin"/>
        </w:r>
        <w:r w:rsidR="00E6043D">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E6043D">
          <w:rPr>
            <w:color w:val="000000"/>
            <w:szCs w:val="22"/>
          </w:rPr>
          <w:fldChar w:fldCharType="separate"/>
        </w:r>
        <w:r w:rsidR="00E6043D">
          <w:rPr>
            <w:noProof/>
            <w:color w:val="000000"/>
            <w:szCs w:val="22"/>
          </w:rPr>
          <w:t>McKenzie</w:t>
        </w:r>
        <w:r w:rsidR="00E6043D" w:rsidRPr="00644A84">
          <w:rPr>
            <w:i/>
            <w:noProof/>
            <w:color w:val="000000"/>
            <w:szCs w:val="22"/>
          </w:rPr>
          <w:t>, et al.</w:t>
        </w:r>
        <w:r w:rsidR="00E6043D">
          <w:rPr>
            <w:noProof/>
            <w:color w:val="000000"/>
            <w:szCs w:val="22"/>
          </w:rPr>
          <w:t xml:space="preserve"> 2010a</w:t>
        </w:r>
        <w:r w:rsidR="00E6043D">
          <w:rPr>
            <w:color w:val="000000"/>
            <w:szCs w:val="22"/>
          </w:rPr>
          <w:fldChar w:fldCharType="end"/>
        </w:r>
      </w:hyperlink>
      <w:r w:rsidRPr="00517276">
        <w:rPr>
          <w:color w:val="000000"/>
          <w:szCs w:val="22"/>
          <w:lang w:val="en-US"/>
        </w:rPr>
        <w:t xml:space="preserve">. </w:t>
      </w:r>
      <w:r w:rsidRPr="00517276">
        <w:rPr>
          <w:color w:val="000000"/>
          <w:szCs w:val="22"/>
        </w:rPr>
        <w:t>Elemental ratios (C</w:t>
      </w:r>
      <w:proofErr w:type="gramStart"/>
      <w:r w:rsidRPr="00517276">
        <w:rPr>
          <w:color w:val="000000"/>
          <w:szCs w:val="22"/>
        </w:rPr>
        <w:t>:N:P</w:t>
      </w:r>
      <w:proofErr w:type="gramEnd"/>
      <w:r w:rsidRPr="00517276">
        <w:rPr>
          <w:color w:val="000000"/>
          <w:szCs w:val="22"/>
        </w:rPr>
        <w:t xml:space="preserve">) were calculated on a </w:t>
      </w:r>
      <w:proofErr w:type="spellStart"/>
      <w:r w:rsidRPr="00517276">
        <w:rPr>
          <w:color w:val="000000"/>
          <w:szCs w:val="22"/>
        </w:rPr>
        <w:t>mole:mole</w:t>
      </w:r>
      <w:proofErr w:type="spellEnd"/>
      <w:r w:rsidRPr="00517276">
        <w:rPr>
          <w:color w:val="000000"/>
          <w:szCs w:val="22"/>
        </w:rPr>
        <w:t xml:space="preserve"> basis using atomic weights (i.e., C=12, N=14, P=31). </w:t>
      </w:r>
    </w:p>
    <w:p w:rsidR="003D1F7F" w:rsidRDefault="003D1F7F" w:rsidP="003D1F7F">
      <w:pPr>
        <w:rPr>
          <w:color w:val="000000"/>
          <w:szCs w:val="22"/>
        </w:rPr>
      </w:pPr>
      <w:r w:rsidRPr="00517276">
        <w:rPr>
          <w:color w:val="000000"/>
          <w:szCs w:val="22"/>
        </w:rPr>
        <w:t>Analysis of tissue nutrient data was based upon the calculation of the atomic ratios</w:t>
      </w:r>
      <w:r>
        <w:rPr>
          <w:color w:val="000000"/>
          <w:szCs w:val="22"/>
        </w:rPr>
        <w:t xml:space="preserve"> and was pooled among foundational species. </w:t>
      </w:r>
      <w:bookmarkStart w:id="89" w:name="_Toc184101948"/>
      <w:r w:rsidRPr="00517276">
        <w:rPr>
          <w:color w:val="000000"/>
          <w:szCs w:val="22"/>
        </w:rPr>
        <w:t>Changing C:N ratios have been found in a number of experiments and field surveys to be related to light levels, as leaves with an atomic C:N ratio of less than 20, may suggest reduced light availability when N is not in surplus (</w:t>
      </w:r>
      <w:r w:rsidR="00644A84">
        <w:rPr>
          <w:color w:val="000000"/>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eHRldzRlYXR2ZTJkemRzOWEiPjc0MDU8L2tleT48L2ZvcmVpZ24ta2V5cz48cmVmLXR5cGUgbmFt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==
</w:fldData>
        </w:fldChar>
      </w:r>
      <w:r w:rsidR="00644A84">
        <w:rPr>
          <w:color w:val="000000"/>
          <w:szCs w:val="22"/>
        </w:rPr>
        <w:instrText xml:space="preserve"> ADDIN EN.CITE </w:instrText>
      </w:r>
      <w:r w:rsidR="00644A84">
        <w:rPr>
          <w:color w:val="000000"/>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eHRldzRlYXR2ZTJkemRzOWEiPjc0MDU8L2tleT48L2ZvcmVpZ24ta2V5cz48cmVmLXR5cGUgbmFt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==
</w:fldData>
        </w:fldChar>
      </w:r>
      <w:r w:rsidR="00644A84">
        <w:rPr>
          <w:color w:val="000000"/>
          <w:szCs w:val="22"/>
        </w:rPr>
        <w:instrText xml:space="preserve"> ADDIN EN.CITE.DATA </w:instrText>
      </w:r>
      <w:r w:rsidR="00644A84">
        <w:rPr>
          <w:color w:val="000000"/>
          <w:szCs w:val="22"/>
        </w:rPr>
      </w:r>
      <w:r w:rsidR="00644A84">
        <w:rPr>
          <w:color w:val="000000"/>
          <w:szCs w:val="22"/>
        </w:rPr>
        <w:fldChar w:fldCharType="end"/>
      </w:r>
      <w:r w:rsidR="00644A84">
        <w:rPr>
          <w:color w:val="000000"/>
          <w:szCs w:val="22"/>
        </w:rPr>
      </w:r>
      <w:r w:rsidR="00644A84">
        <w:rPr>
          <w:color w:val="000000"/>
          <w:szCs w:val="22"/>
        </w:rPr>
        <w:fldChar w:fldCharType="separate"/>
      </w:r>
      <w:hyperlink w:anchor="_ENREF_2" w:tooltip="Abal, 1994 #7405" w:history="1">
        <w:r w:rsidR="00E6043D">
          <w:rPr>
            <w:noProof/>
            <w:color w:val="000000"/>
            <w:szCs w:val="22"/>
          </w:rPr>
          <w:t>Abal</w:t>
        </w:r>
        <w:r w:rsidR="00E6043D" w:rsidRPr="00644A84">
          <w:rPr>
            <w:i/>
            <w:noProof/>
            <w:color w:val="000000"/>
            <w:szCs w:val="22"/>
          </w:rPr>
          <w:t xml:space="preserve"> et al.</w:t>
        </w:r>
        <w:r w:rsidR="00E6043D">
          <w:rPr>
            <w:noProof/>
            <w:color w:val="000000"/>
            <w:szCs w:val="22"/>
          </w:rPr>
          <w:t xml:space="preserve"> 1994</w:t>
        </w:r>
      </w:hyperlink>
      <w:r w:rsidR="00644A84">
        <w:rPr>
          <w:noProof/>
          <w:color w:val="000000"/>
          <w:szCs w:val="22"/>
        </w:rPr>
        <w:t xml:space="preserve">; </w:t>
      </w:r>
      <w:hyperlink w:anchor="_ENREF_118" w:tooltip="Grice, 1996 #1346" w:history="1">
        <w:r w:rsidR="00E6043D">
          <w:rPr>
            <w:noProof/>
            <w:color w:val="000000"/>
            <w:szCs w:val="22"/>
          </w:rPr>
          <w:t>Grice</w:t>
        </w:r>
        <w:r w:rsidR="00E6043D" w:rsidRPr="00644A84">
          <w:rPr>
            <w:i/>
            <w:noProof/>
            <w:color w:val="000000"/>
            <w:szCs w:val="22"/>
          </w:rPr>
          <w:t xml:space="preserve"> et al.</w:t>
        </w:r>
        <w:r w:rsidR="00E6043D">
          <w:rPr>
            <w:noProof/>
            <w:color w:val="000000"/>
            <w:szCs w:val="22"/>
          </w:rPr>
          <w:t xml:space="preserve"> 1996</w:t>
        </w:r>
      </w:hyperlink>
      <w:r w:rsidR="00644A84">
        <w:rPr>
          <w:color w:val="000000"/>
          <w:szCs w:val="22"/>
        </w:rPr>
        <w:fldChar w:fldCharType="end"/>
      </w:r>
      <w:r w:rsidRPr="00517276">
        <w:rPr>
          <w:color w:val="000000"/>
          <w:szCs w:val="22"/>
        </w:rPr>
        <w:t xml:space="preserve">; </w:t>
      </w:r>
      <w:hyperlink w:anchor="_ENREF_29" w:tooltip="Cabaço, 2007 #9489" w:history="1">
        <w:r w:rsidR="00E6043D">
          <w:rPr>
            <w:color w:val="000000"/>
            <w:szCs w:val="22"/>
          </w:rPr>
          <w:fldChar w:fldCharType="begin"/>
        </w:r>
        <w:r w:rsidR="00E6043D">
          <w:rPr>
            <w:color w:val="000000"/>
            <w:szCs w:val="22"/>
          </w:rPr>
          <w:instrText xml:space="preserve"> ADDIN EN.CITE &lt;EndNote&gt;&lt;Cite&gt;&lt;Author&gt;Cabaço&lt;/Author&gt;&lt;Year&gt;2007&lt;/Year&gt;&lt;RecNum&gt;9489&lt;/RecNum&gt;&lt;DisplayText&gt;Cabaço and Santos 2007&lt;/DisplayText&gt;&lt;record&gt;&lt;rec-number&gt;9489&lt;/rec-number&gt;&lt;foreign-keys&gt;&lt;key app="EN" db-id="0eve55x9y5vfd6e9dacxtew4eatve2dzds9a"&gt;9489&lt;/key&gt;&lt;/foreign-keys&gt;&lt;ref-type name="Journal Article"&gt;17&lt;/ref-type&gt;&lt;contributors&gt;&lt;authors&gt;&lt;author&gt;Cabaço, S&lt;/author&gt;&lt;author&gt;Santos, R&lt;/author&gt;&lt;/authors&gt;&lt;/contributors&gt;&lt;titles&gt;&lt;title&gt;Effects of burial and erosion on the seagrass Zostera noltii&lt;/title&gt;&lt;secondary-title&gt;Journal of Experimental Marine Biology and Ecology&lt;/secondary-title&gt;&lt;/titles&gt;&lt;periodical&gt;&lt;full-title&gt;Journal of Experimental Marine Biology and Ecology&lt;/full-title&gt;&lt;/periodical&gt;&lt;pages&gt;204-212&lt;/pages&gt;&lt;volume&gt;340&lt;/volume&gt;&lt;dates&gt;&lt;year&gt;2007&lt;/year&gt;&lt;/dates&gt;&lt;urls&gt;&lt;/urls&gt;&lt;/record&gt;&lt;/Cite&gt;&lt;/EndNote&gt;</w:instrText>
        </w:r>
        <w:r w:rsidR="00E6043D">
          <w:rPr>
            <w:color w:val="000000"/>
            <w:szCs w:val="22"/>
          </w:rPr>
          <w:fldChar w:fldCharType="separate"/>
        </w:r>
        <w:r w:rsidR="00E6043D">
          <w:rPr>
            <w:noProof/>
            <w:color w:val="000000"/>
            <w:szCs w:val="22"/>
          </w:rPr>
          <w:t>Cabaço and Santos 2007</w:t>
        </w:r>
        <w:r w:rsidR="00E6043D">
          <w:rPr>
            <w:color w:val="000000"/>
            <w:szCs w:val="22"/>
          </w:rPr>
          <w:fldChar w:fldCharType="end"/>
        </w:r>
      </w:hyperlink>
      <w:r w:rsidRPr="00517276">
        <w:rPr>
          <w:color w:val="000000"/>
          <w:szCs w:val="22"/>
        </w:rPr>
        <w:t xml:space="preserve">; </w:t>
      </w:r>
      <w:hyperlink w:anchor="_ENREF_64" w:tooltip="Collier, 2009 #9490" w:history="1">
        <w:r w:rsidR="00E6043D">
          <w:rPr>
            <w:color w:val="000000"/>
            <w:szCs w:val="22"/>
          </w:rPr>
          <w:fldChar w:fldCharType="begin"/>
        </w:r>
        <w:r w:rsidR="00E6043D">
          <w:rPr>
            <w:color w:val="000000"/>
            <w:szCs w:val="22"/>
          </w:rPr>
          <w:instrText xml:space="preserve"> ADDIN EN.CITE &lt;EndNote&gt;&lt;Cite&gt;&lt;Author&gt;Collier&lt;/Author&gt;&lt;Year&gt;2009&lt;/Year&gt;&lt;RecNum&gt;9490&lt;/RecNum&gt;&lt;DisplayText&gt;Collier&lt;style face="italic"&gt; et al.&lt;/style&gt; 2009&lt;/DisplayText&gt;&lt;record&gt;&lt;rec-number&gt;9490&lt;/rec-number&gt;&lt;foreign-keys&gt;&lt;key app="EN" db-id="0eve55x9y5vfd6e9dacxtew4eatve2dzds9a"&gt;9490&lt;/key&gt;&lt;/foreign-keys&gt;&lt;ref-type name="Journal Article"&gt;17&lt;/ref-type&gt;&lt;contributors&gt;&lt;authors&gt;&lt;author&gt;Collier, Catherine J.&lt;/author&gt;&lt;author&gt;Lavery, Paul S.&lt;/author&gt;&lt;author&gt;Ralph, Peter J.&lt;/author&gt;&lt;author&gt;Masini, Raymond J.&lt;/author&gt;&lt;/authors&gt;&lt;/contributors&gt;&lt;titles&gt;&lt;title&gt;&lt;style face="normal" font="default" size="100%"&gt;Shade-induced response and recovery of the seagrass &lt;/style&gt;&lt;style face="italic" font="default" size="100%"&gt;Posidonia sinuosa&lt;/style&gt;&lt;/title&gt;&lt;secondary-title&gt;Journal of Experimental Marine Biology and Ecology&lt;/secondary-title&gt;&lt;/titles&gt;&lt;periodical&gt;&lt;full-title&gt;Journal of Experimental Marine Biology and Ecology&lt;/full-title&gt;&lt;/periodical&gt;&lt;pages&gt;89-103&lt;/pages&gt;&lt;volume&gt;370&lt;/volume&gt;&lt;number&gt;1–2&lt;/number&gt;&lt;keywords&gt;&lt;keyword&gt;Depth&lt;/keyword&gt;&lt;keyword&gt;Monitoring&lt;/keyword&gt;&lt;keyword&gt;Recovery&lt;/keyword&gt;&lt;keyword&gt;Self-shading&lt;/keyword&gt;&lt;keyword&gt;Shading&lt;/keyword&gt;&lt;keyword&gt;Western Australia&lt;/keyword&gt;&lt;/keywords&gt;&lt;dates&gt;&lt;year&gt;2009&lt;/year&gt;&lt;/dates&gt;&lt;isbn&gt;0022-0981&lt;/isbn&gt;&lt;urls&gt;&lt;related-urls&gt;&lt;url&gt;http://www.sciencedirect.com/science/article/pii/S0022098108005935&lt;/url&gt;&lt;/related-urls&gt;&lt;/urls&gt;&lt;electronic-resource-num&gt;http://dx.doi.org/10.1016/j.jembe.2008.12.003&lt;/electronic-resource-num&gt;&lt;/record&gt;&lt;/Cite&gt;&lt;/EndNote&gt;</w:instrText>
        </w:r>
        <w:r w:rsidR="00E6043D">
          <w:rPr>
            <w:color w:val="000000"/>
            <w:szCs w:val="22"/>
          </w:rPr>
          <w:fldChar w:fldCharType="separate"/>
        </w:r>
        <w:r w:rsidR="00E6043D">
          <w:rPr>
            <w:noProof/>
            <w:color w:val="000000"/>
            <w:szCs w:val="22"/>
          </w:rPr>
          <w:t>Collier</w:t>
        </w:r>
        <w:r w:rsidR="00E6043D" w:rsidRPr="00644A84">
          <w:rPr>
            <w:i/>
            <w:noProof/>
            <w:color w:val="000000"/>
            <w:szCs w:val="22"/>
          </w:rPr>
          <w:t xml:space="preserve"> et al.</w:t>
        </w:r>
        <w:r w:rsidR="00E6043D">
          <w:rPr>
            <w:noProof/>
            <w:color w:val="000000"/>
            <w:szCs w:val="22"/>
          </w:rPr>
          <w:t xml:space="preserve"> 2009</w:t>
        </w:r>
        <w:r w:rsidR="00E6043D">
          <w:rPr>
            <w:color w:val="000000"/>
            <w:szCs w:val="22"/>
          </w:rPr>
          <w:fldChar w:fldCharType="end"/>
        </w:r>
      </w:hyperlink>
      <w:r w:rsidRPr="00517276">
        <w:rPr>
          <w:color w:val="000000"/>
          <w:szCs w:val="22"/>
        </w:rPr>
        <w:t xml:space="preserve">). The ratio of N:P is also a useful indicator as it is a reflection of the </w:t>
      </w:r>
      <w:r w:rsidRPr="00517276">
        <w:rPr>
          <w:i/>
          <w:color w:val="000000"/>
          <w:szCs w:val="22"/>
        </w:rPr>
        <w:t xml:space="preserve">“Redfield” </w:t>
      </w:r>
      <w:r w:rsidRPr="00517276">
        <w:rPr>
          <w:color w:val="000000"/>
          <w:szCs w:val="22"/>
        </w:rPr>
        <w:t>ratios (</w:t>
      </w:r>
      <w:hyperlink w:anchor="_ENREF_207" w:tooltip="Redfield, 1963 #9486" w:history="1">
        <w:r w:rsidR="00E6043D">
          <w:rPr>
            <w:color w:val="000000"/>
            <w:szCs w:val="22"/>
          </w:rPr>
          <w:fldChar w:fldCharType="begin"/>
        </w:r>
        <w:r w:rsidR="00E6043D">
          <w:rPr>
            <w:color w:val="000000"/>
            <w:szCs w:val="22"/>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E6043D">
          <w:rPr>
            <w:color w:val="000000"/>
            <w:szCs w:val="22"/>
          </w:rPr>
          <w:fldChar w:fldCharType="separate"/>
        </w:r>
        <w:r w:rsidR="00E6043D">
          <w:rPr>
            <w:noProof/>
            <w:color w:val="000000"/>
            <w:szCs w:val="22"/>
          </w:rPr>
          <w:t>Redfield</w:t>
        </w:r>
        <w:r w:rsidR="00E6043D" w:rsidRPr="00644A84">
          <w:rPr>
            <w:i/>
            <w:noProof/>
            <w:color w:val="000000"/>
            <w:szCs w:val="22"/>
          </w:rPr>
          <w:t xml:space="preserve"> et al.</w:t>
        </w:r>
        <w:r w:rsidR="00E6043D">
          <w:rPr>
            <w:noProof/>
            <w:color w:val="000000"/>
            <w:szCs w:val="22"/>
          </w:rPr>
          <w:t xml:space="preserve"> 1963</w:t>
        </w:r>
        <w:r w:rsidR="00E6043D">
          <w:rPr>
            <w:color w:val="000000"/>
            <w:szCs w:val="22"/>
          </w:rPr>
          <w:fldChar w:fldCharType="end"/>
        </w:r>
      </w:hyperlink>
      <w:r w:rsidRPr="00517276">
        <w:rPr>
          <w:color w:val="000000"/>
          <w:szCs w:val="22"/>
        </w:rPr>
        <w:t xml:space="preserve">), and seagrass with an atomic N:P ratio of 25 to 30 can be determined to be ‘replete’ </w:t>
      </w:r>
      <w:r w:rsidRPr="00517276">
        <w:rPr>
          <w:rFonts w:cs="TimesNewRoman,Italic"/>
          <w:iCs/>
          <w:color w:val="000000"/>
          <w:szCs w:val="22"/>
        </w:rPr>
        <w:t>(well supplied and balanced macronutrients for growth)</w:t>
      </w:r>
      <w:r w:rsidRPr="00517276">
        <w:rPr>
          <w:color w:val="000000"/>
          <w:szCs w:val="22"/>
        </w:rPr>
        <w:t xml:space="preserve"> (</w:t>
      </w:r>
      <w:hyperlink w:anchor="_ENREF_9" w:tooltip="Atkinson, 1983 #6292" w:history="1">
        <w:r w:rsidR="00E6043D">
          <w:rPr>
            <w:color w:val="000000"/>
            <w:szCs w:val="22"/>
          </w:rPr>
          <w:fldChar w:fldCharType="begin"/>
        </w:r>
        <w:r w:rsidR="00E6043D">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E6043D">
          <w:rPr>
            <w:color w:val="000000"/>
            <w:szCs w:val="22"/>
          </w:rPr>
          <w:fldChar w:fldCharType="separate"/>
        </w:r>
        <w:r w:rsidR="00E6043D">
          <w:rPr>
            <w:noProof/>
            <w:color w:val="000000"/>
            <w:szCs w:val="22"/>
          </w:rPr>
          <w:t>Atkinson and Smith 1983</w:t>
        </w:r>
        <w:r w:rsidR="00E6043D">
          <w:rPr>
            <w:color w:val="000000"/>
            <w:szCs w:val="22"/>
          </w:rPr>
          <w:fldChar w:fldCharType="end"/>
        </w:r>
      </w:hyperlink>
      <w:r w:rsidRPr="00517276">
        <w:rPr>
          <w:color w:val="000000"/>
          <w:szCs w:val="22"/>
        </w:rPr>
        <w:t xml:space="preserve">; </w:t>
      </w:r>
      <w:hyperlink w:anchor="_ENREF_110" w:tooltip="Fourqurean, 1997 #9491" w:history="1">
        <w:r w:rsidR="00E6043D">
          <w:rPr>
            <w:color w:val="000000"/>
            <w:szCs w:val="22"/>
          </w:rPr>
          <w:fldChar w:fldCharType="begin"/>
        </w:r>
        <w:r w:rsidR="00E6043D">
          <w:rPr>
            <w:color w:val="000000"/>
            <w:szCs w:val="22"/>
          </w:rPr>
          <w:instrText xml:space="preserve"> ADDIN EN.CITE &lt;EndNote&gt;&lt;Cite&gt;&lt;Author&gt;Fourqurean&lt;/Author&gt;&lt;Year&gt;1997&lt;/Year&gt;&lt;RecNum&gt;9491&lt;/RecNum&gt;&lt;DisplayText&gt;Fourqurean&lt;style face="italic"&gt; et al.&lt;/style&gt; 1997b&lt;/DisplayText&gt;&lt;record&gt;&lt;rec-number&gt;9491&lt;/rec-number&gt;&lt;foreign-keys&gt;&lt;key app="EN" db-id="0eve55x9y5vfd6e9dacxtew4eatve2dzds9a"&gt;9491&lt;/key&gt;&lt;/foreign-keys&gt;&lt;ref-type name="Journal Article"&gt;17&lt;/ref-type&gt;&lt;contributors&gt;&lt;authors&gt;&lt;author&gt;James W. Fourqurean&lt;/author&gt;&lt;author&gt;Thomas O. Moore&lt;/author&gt;&lt;author&gt;Brian Fry&lt;/author&gt;&lt;author&gt;James T. Hollibaugh&lt;/author&gt;&lt;/authors&gt;&lt;/contributors&gt;&lt;titles&gt;&lt;title&gt;Spatial and temporal variation in C:N:P ratios, Î´15N, and Î´13C of eelgrass Zostera marina as indicators of ecosystem processes, Tomales Bay, California, USA&lt;/title&gt;&lt;secondary-title&gt;Marine Ecology Progress Series&lt;/secondary-title&gt;&lt;/titles&gt;&lt;periodical&gt;&lt;full-title&gt;Marine Ecology Progress Series&lt;/full-title&gt;&lt;/periodical&gt;&lt;pages&gt;147-157&lt;/pages&gt;&lt;volume&gt;157&lt;/volume&gt;&lt;dates&gt;&lt;year&gt;1997&lt;/year&gt;&lt;pub-dates&gt;&lt;date&gt;October 16, 1997&lt;/date&gt;&lt;/pub-dates&gt;&lt;/dates&gt;&lt;urls&gt;&lt;related-urls&gt;&lt;url&gt;http://www.int-res.com/abstracts/meps/v157/p147-157/&lt;/url&gt;&lt;/related-urls&gt;&lt;/urls&gt;&lt;electronic-resource-num&gt;10.3354/meps157147&lt;/electronic-resource-num&gt;&lt;/record&gt;&lt;/Cite&gt;&lt;/EndNote&gt;</w:instrText>
        </w:r>
        <w:r w:rsidR="00E6043D">
          <w:rPr>
            <w:color w:val="000000"/>
            <w:szCs w:val="22"/>
          </w:rPr>
          <w:fldChar w:fldCharType="separate"/>
        </w:r>
        <w:r w:rsidR="00E6043D">
          <w:rPr>
            <w:noProof/>
            <w:color w:val="000000"/>
            <w:szCs w:val="22"/>
          </w:rPr>
          <w:t>Fourqurean</w:t>
        </w:r>
        <w:r w:rsidR="00E6043D" w:rsidRPr="008D6EF3">
          <w:rPr>
            <w:i/>
            <w:noProof/>
            <w:color w:val="000000"/>
            <w:szCs w:val="22"/>
          </w:rPr>
          <w:t xml:space="preserve"> et al.</w:t>
        </w:r>
        <w:r w:rsidR="00E6043D">
          <w:rPr>
            <w:noProof/>
            <w:color w:val="000000"/>
            <w:szCs w:val="22"/>
          </w:rPr>
          <w:t xml:space="preserve"> 1997b</w:t>
        </w:r>
        <w:r w:rsidR="00E6043D">
          <w:rPr>
            <w:color w:val="000000"/>
            <w:szCs w:val="22"/>
          </w:rPr>
          <w:fldChar w:fldCharType="end"/>
        </w:r>
      </w:hyperlink>
      <w:r w:rsidRPr="00517276">
        <w:rPr>
          <w:color w:val="000000"/>
          <w:szCs w:val="22"/>
        </w:rPr>
        <w:t xml:space="preserve">; </w:t>
      </w:r>
      <w:hyperlink w:anchor="_ENREF_106" w:tooltip="Fourqurean, 2001 #9492" w:history="1">
        <w:r w:rsidR="00E6043D">
          <w:rPr>
            <w:color w:val="000000"/>
            <w:szCs w:val="22"/>
          </w:rPr>
          <w:fldChar w:fldCharType="begin"/>
        </w:r>
        <w:r w:rsidR="00E6043D">
          <w:rPr>
            <w:color w:val="000000"/>
            <w:szCs w:val="22"/>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E6043D">
          <w:rPr>
            <w:color w:val="000000"/>
            <w:szCs w:val="22"/>
          </w:rPr>
          <w:fldChar w:fldCharType="separate"/>
        </w:r>
        <w:r w:rsidR="00E6043D">
          <w:rPr>
            <w:noProof/>
            <w:color w:val="000000"/>
            <w:szCs w:val="22"/>
          </w:rPr>
          <w:t>Fourqurean and Cai 2001</w:t>
        </w:r>
        <w:r w:rsidR="00E6043D">
          <w:rPr>
            <w:color w:val="000000"/>
            <w:szCs w:val="22"/>
          </w:rPr>
          <w:fldChar w:fldCharType="end"/>
        </w:r>
      </w:hyperlink>
      <w:r w:rsidRPr="00517276">
        <w:rPr>
          <w:color w:val="000000"/>
          <w:szCs w:val="22"/>
        </w:rPr>
        <w:t>).</w:t>
      </w:r>
      <w:r>
        <w:rPr>
          <w:color w:val="000000"/>
          <w:szCs w:val="22"/>
        </w:rPr>
        <w:t xml:space="preserve"> When</w:t>
      </w:r>
      <w:r w:rsidRPr="00517276">
        <w:rPr>
          <w:color w:val="000000"/>
          <w:szCs w:val="22"/>
        </w:rPr>
        <w:t xml:space="preserve"> N:P values</w:t>
      </w:r>
      <w:r>
        <w:rPr>
          <w:color w:val="000000"/>
          <w:szCs w:val="22"/>
        </w:rPr>
        <w:t xml:space="preserve"> are</w:t>
      </w:r>
      <w:r w:rsidRPr="00517276">
        <w:rPr>
          <w:color w:val="000000"/>
          <w:szCs w:val="22"/>
        </w:rPr>
        <w:t xml:space="preserve"> in excess of 30</w:t>
      </w:r>
      <w:r>
        <w:rPr>
          <w:color w:val="000000"/>
          <w:szCs w:val="22"/>
        </w:rPr>
        <w:t>, this</w:t>
      </w:r>
      <w:r w:rsidRPr="00517276">
        <w:rPr>
          <w:color w:val="000000"/>
          <w:szCs w:val="22"/>
        </w:rPr>
        <w:t xml:space="preserve"> may indicate P-limitation and</w:t>
      </w:r>
      <w:r>
        <w:rPr>
          <w:color w:val="000000"/>
          <w:szCs w:val="22"/>
        </w:rPr>
        <w:t xml:space="preserve"> a ratio of</w:t>
      </w:r>
      <w:r w:rsidRPr="00517276">
        <w:rPr>
          <w:color w:val="000000"/>
          <w:szCs w:val="22"/>
        </w:rPr>
        <w:t xml:space="preserve"> less than 25 </w:t>
      </w:r>
      <w:r>
        <w:rPr>
          <w:color w:val="000000"/>
          <w:szCs w:val="22"/>
        </w:rPr>
        <w:t>is</w:t>
      </w:r>
      <w:r w:rsidRPr="00517276">
        <w:rPr>
          <w:color w:val="000000"/>
          <w:szCs w:val="22"/>
        </w:rPr>
        <w:t xml:space="preserve"> considered to show N limitation </w:t>
      </w:r>
      <w:r w:rsidRPr="00517276">
        <w:rPr>
          <w:noProof/>
          <w:color w:val="000000"/>
          <w:szCs w:val="22"/>
        </w:rPr>
        <w:t>(</w:t>
      </w:r>
      <w:hyperlink w:anchor="_ENREF_9" w:tooltip="Atkinson, 1983 #6292" w:history="1">
        <w:r w:rsidR="00E6043D">
          <w:rPr>
            <w:color w:val="000000"/>
            <w:szCs w:val="22"/>
          </w:rPr>
          <w:fldChar w:fldCharType="begin"/>
        </w:r>
        <w:r w:rsidR="00E6043D">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E6043D">
          <w:rPr>
            <w:color w:val="000000"/>
            <w:szCs w:val="22"/>
          </w:rPr>
          <w:fldChar w:fldCharType="separate"/>
        </w:r>
        <w:r w:rsidR="00E6043D">
          <w:rPr>
            <w:noProof/>
            <w:color w:val="000000"/>
            <w:szCs w:val="22"/>
          </w:rPr>
          <w:t>Atkinson and Smith 1983</w:t>
        </w:r>
        <w:r w:rsidR="00E6043D">
          <w:rPr>
            <w:color w:val="000000"/>
            <w:szCs w:val="22"/>
          </w:rPr>
          <w:fldChar w:fldCharType="end"/>
        </w:r>
      </w:hyperlink>
      <w:r w:rsidRPr="00517276">
        <w:rPr>
          <w:noProof/>
          <w:color w:val="000000"/>
          <w:szCs w:val="22"/>
        </w:rPr>
        <w:t>;</w:t>
      </w:r>
      <w:hyperlink w:anchor="_ENREF_96" w:tooltip="Duarte, 1990 #1954" w:history="1">
        <w:r w:rsidR="00E6043D">
          <w:rPr>
            <w:noProof/>
            <w:color w:val="000000"/>
            <w:szCs w:val="22"/>
          </w:rPr>
          <w:fldChar w:fldCharType="begin"/>
        </w:r>
        <w:r w:rsidR="00E6043D">
          <w:rPr>
            <w:noProof/>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E6043D">
          <w:rPr>
            <w:noProof/>
            <w:color w:val="000000"/>
            <w:szCs w:val="22"/>
          </w:rPr>
          <w:fldChar w:fldCharType="separate"/>
        </w:r>
        <w:r w:rsidR="00E6043D">
          <w:rPr>
            <w:noProof/>
            <w:color w:val="000000"/>
            <w:szCs w:val="22"/>
          </w:rPr>
          <w:t>Duarte 1990</w:t>
        </w:r>
        <w:r w:rsidR="00E6043D">
          <w:rPr>
            <w:noProof/>
            <w:color w:val="000000"/>
            <w:szCs w:val="22"/>
          </w:rPr>
          <w:fldChar w:fldCharType="end"/>
        </w:r>
      </w:hyperlink>
      <w:r w:rsidRPr="00517276">
        <w:rPr>
          <w:noProof/>
          <w:color w:val="000000"/>
          <w:szCs w:val="22"/>
        </w:rPr>
        <w:t xml:space="preserve">; </w:t>
      </w:r>
      <w:hyperlink w:anchor="_ENREF_112" w:tooltip="Fourqurean, 1992 #9493" w:history="1">
        <w:r w:rsidR="00E6043D">
          <w:rPr>
            <w:noProof/>
            <w:color w:val="000000"/>
            <w:szCs w:val="22"/>
          </w:rPr>
          <w:fldChar w:fldCharType="begin"/>
        </w:r>
        <w:r w:rsidR="00E6043D">
          <w:rPr>
            <w:noProof/>
            <w:color w:val="000000"/>
            <w:szCs w:val="22"/>
          </w:rPr>
          <w:instrText xml:space="preserve"> ADDIN EN.CITE &lt;EndNote&gt;&lt;Cite&gt;&lt;Author&gt;Fourqurean&lt;/Author&gt;&lt;Year&gt;1992&lt;/Year&gt;&lt;RecNum&gt;9493&lt;/RecNum&gt;&lt;DisplayText&gt;Fourqurean&lt;style face="italic"&gt; et al.&lt;/style&gt; 1992b&lt;/DisplayText&gt;&lt;record&gt;&lt;rec-number&gt;9493&lt;/rec-number&gt;&lt;foreign-keys&gt;&lt;key app="EN" db-id="0eve55x9y5vfd6e9dacxtew4eatve2dzds9a"&gt;9493&lt;/key&gt;&lt;/foreign-keys&gt;&lt;ref-type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EndNote&gt;</w:instrText>
        </w:r>
        <w:r w:rsidR="00E6043D">
          <w:rPr>
            <w:noProof/>
            <w:color w:val="000000"/>
            <w:szCs w:val="22"/>
          </w:rPr>
          <w:fldChar w:fldCharType="separate"/>
        </w:r>
        <w:r w:rsidR="00E6043D">
          <w:rPr>
            <w:noProof/>
            <w:color w:val="000000"/>
            <w:szCs w:val="22"/>
          </w:rPr>
          <w:t>Fourqurean</w:t>
        </w:r>
        <w:r w:rsidR="00E6043D" w:rsidRPr="00644A84">
          <w:rPr>
            <w:i/>
            <w:noProof/>
            <w:color w:val="000000"/>
            <w:szCs w:val="22"/>
          </w:rPr>
          <w:t xml:space="preserve"> et al.</w:t>
        </w:r>
        <w:r w:rsidR="00E6043D">
          <w:rPr>
            <w:noProof/>
            <w:color w:val="000000"/>
            <w:szCs w:val="22"/>
          </w:rPr>
          <w:t xml:space="preserve"> 1992b</w:t>
        </w:r>
        <w:r w:rsidR="00E6043D">
          <w:rPr>
            <w:noProof/>
            <w:color w:val="000000"/>
            <w:szCs w:val="22"/>
          </w:rPr>
          <w:fldChar w:fldCharType="end"/>
        </w:r>
      </w:hyperlink>
      <w:r w:rsidRPr="00517276">
        <w:rPr>
          <w:noProof/>
          <w:color w:val="000000"/>
          <w:szCs w:val="22"/>
        </w:rPr>
        <w:t xml:space="preserve">; </w:t>
      </w:r>
      <w:hyperlink w:anchor="_ENREF_106" w:tooltip="Fourqurean, 2001 #9492" w:history="1">
        <w:r w:rsidR="00E6043D">
          <w:rPr>
            <w:color w:val="000000"/>
            <w:szCs w:val="22"/>
          </w:rPr>
          <w:fldChar w:fldCharType="begin"/>
        </w:r>
        <w:r w:rsidR="00E6043D">
          <w:rPr>
            <w:color w:val="000000"/>
            <w:szCs w:val="22"/>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E6043D">
          <w:rPr>
            <w:color w:val="000000"/>
            <w:szCs w:val="22"/>
          </w:rPr>
          <w:fldChar w:fldCharType="separate"/>
        </w:r>
        <w:r w:rsidR="00E6043D">
          <w:rPr>
            <w:noProof/>
            <w:color w:val="000000"/>
            <w:szCs w:val="22"/>
          </w:rPr>
          <w:t>Fourqurean and Cai 2001</w:t>
        </w:r>
        <w:r w:rsidR="00E6043D">
          <w:rPr>
            <w:color w:val="000000"/>
            <w:szCs w:val="22"/>
          </w:rPr>
          <w:fldChar w:fldCharType="end"/>
        </w:r>
      </w:hyperlink>
      <w:r w:rsidRPr="00517276">
        <w:rPr>
          <w:noProof/>
          <w:color w:val="000000"/>
          <w:szCs w:val="22"/>
        </w:rPr>
        <w:t>)</w:t>
      </w:r>
      <w:r w:rsidRPr="00517276">
        <w:rPr>
          <w:color w:val="000000"/>
          <w:szCs w:val="22"/>
        </w:rPr>
        <w:t>. The median seagrass tissue ratios of C:P is approximately 500 (</w:t>
      </w:r>
      <w:hyperlink w:anchor="_ENREF_9" w:tooltip="Atkinson, 1983 #6292" w:history="1">
        <w:r w:rsidR="00E6043D">
          <w:rPr>
            <w:color w:val="000000"/>
            <w:szCs w:val="22"/>
          </w:rPr>
          <w:fldChar w:fldCharType="begin"/>
        </w:r>
        <w:r w:rsidR="00E6043D">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E6043D">
          <w:rPr>
            <w:color w:val="000000"/>
            <w:szCs w:val="22"/>
          </w:rPr>
          <w:fldChar w:fldCharType="separate"/>
        </w:r>
        <w:r w:rsidR="00E6043D">
          <w:rPr>
            <w:noProof/>
            <w:color w:val="000000"/>
            <w:szCs w:val="22"/>
          </w:rPr>
          <w:t>Atkinson and Smith 1983</w:t>
        </w:r>
        <w:r w:rsidR="00E6043D">
          <w:rPr>
            <w:color w:val="000000"/>
            <w:szCs w:val="22"/>
          </w:rPr>
          <w:fldChar w:fldCharType="end"/>
        </w:r>
      </w:hyperlink>
      <w:r w:rsidRPr="00517276">
        <w:rPr>
          <w:color w:val="000000"/>
          <w:szCs w:val="22"/>
        </w:rPr>
        <w:t xml:space="preserve">), therefore deviation from this value is also likely to be indicative of some level of nutrient enriched or nutrient limited conditions. A combination of these ratios can indicate seagrass environments which are impacted by nutrient enrichment. Plant tissue which has </w:t>
      </w:r>
      <w:r w:rsidR="008E5C2F">
        <w:rPr>
          <w:color w:val="000000"/>
          <w:szCs w:val="22"/>
        </w:rPr>
        <w:t xml:space="preserve">both </w:t>
      </w:r>
      <w:r w:rsidRPr="00517276">
        <w:rPr>
          <w:color w:val="000000"/>
          <w:szCs w:val="22"/>
        </w:rPr>
        <w:t>a high N</w:t>
      </w:r>
      <w:proofErr w:type="gramStart"/>
      <w:r w:rsidRPr="00517276">
        <w:rPr>
          <w:color w:val="000000"/>
          <w:szCs w:val="22"/>
        </w:rPr>
        <w:t>:P</w:t>
      </w:r>
      <w:proofErr w:type="gramEnd"/>
      <w:r w:rsidRPr="00517276">
        <w:rPr>
          <w:color w:val="000000"/>
          <w:szCs w:val="22"/>
        </w:rPr>
        <w:t xml:space="preserve"> and low C:P indicates an environment of elevated (saturated) nitrogen.</w:t>
      </w:r>
      <w:r w:rsidR="009817B8">
        <w:rPr>
          <w:color w:val="000000"/>
          <w:szCs w:val="22"/>
        </w:rPr>
        <w:t xml:space="preserve"> </w:t>
      </w:r>
    </w:p>
    <w:p w:rsidR="003D1F7F" w:rsidRPr="00517276" w:rsidRDefault="003D1F7F" w:rsidP="003D1F7F">
      <w:pPr>
        <w:rPr>
          <w:color w:val="000000"/>
          <w:szCs w:val="22"/>
        </w:rPr>
      </w:pPr>
      <w:r>
        <w:rPr>
          <w:color w:val="000000"/>
          <w:szCs w:val="22"/>
        </w:rPr>
        <w:t xml:space="preserve">Further detail on methodology for nutrient sampling can be found in appendix 2. </w:t>
      </w:r>
    </w:p>
    <w:p w:rsidR="003D1F7F" w:rsidRPr="00015190" w:rsidRDefault="003D1F7F" w:rsidP="00926892">
      <w:pPr>
        <w:pStyle w:val="Heading2"/>
        <w:numPr>
          <w:ilvl w:val="1"/>
          <w:numId w:val="9"/>
        </w:numPr>
        <w:ind w:left="709" w:hanging="709"/>
        <w:rPr>
          <w:rFonts w:ascii="Century Gothic" w:hAnsi="Century Gothic"/>
          <w:color w:val="000000"/>
          <w:szCs w:val="26"/>
          <w:lang w:val="en-US"/>
        </w:rPr>
      </w:pPr>
      <w:bookmarkStart w:id="90" w:name="_Toc462047324"/>
      <w:bookmarkEnd w:id="89"/>
      <w:r w:rsidRPr="00015190">
        <w:rPr>
          <w:rFonts w:ascii="Century Gothic" w:hAnsi="Century Gothic"/>
          <w:color w:val="000000"/>
          <w:szCs w:val="26"/>
          <w:lang w:val="en-US"/>
        </w:rPr>
        <w:t>Data analyses</w:t>
      </w:r>
      <w:bookmarkEnd w:id="90"/>
    </w:p>
    <w:p w:rsidR="003D1F7F" w:rsidRPr="00357C17" w:rsidRDefault="003D1F7F" w:rsidP="003D1F7F">
      <w:pPr>
        <w:rPr>
          <w:color w:val="000000"/>
          <w:szCs w:val="22"/>
        </w:rPr>
      </w:pPr>
      <w:r w:rsidRPr="00357C17">
        <w:rPr>
          <w:color w:val="000000"/>
          <w:szCs w:val="22"/>
        </w:rPr>
        <w:t>In this report</w:t>
      </w:r>
      <w:r>
        <w:rPr>
          <w:color w:val="000000"/>
          <w:szCs w:val="22"/>
        </w:rPr>
        <w:t>,</w:t>
      </w:r>
      <w:r w:rsidRPr="00357C17">
        <w:rPr>
          <w:color w:val="000000"/>
          <w:szCs w:val="22"/>
        </w:rPr>
        <w:t xml:space="preserve"> results are presented to reveal temporal changes in </w:t>
      </w:r>
      <w:r>
        <w:rPr>
          <w:color w:val="000000"/>
          <w:szCs w:val="22"/>
        </w:rPr>
        <w:t>seagrass</w:t>
      </w:r>
      <w:r w:rsidRPr="00357C17">
        <w:rPr>
          <w:color w:val="000000"/>
          <w:szCs w:val="22"/>
        </w:rPr>
        <w:t xml:space="preserve"> community attributes and key environmental variables. Generali</w:t>
      </w:r>
      <w:r>
        <w:rPr>
          <w:color w:val="000000"/>
          <w:szCs w:val="22"/>
        </w:rPr>
        <w:t>s</w:t>
      </w:r>
      <w:r w:rsidRPr="00357C17">
        <w:rPr>
          <w:color w:val="000000"/>
          <w:szCs w:val="22"/>
        </w:rPr>
        <w:t xml:space="preserve">ed additive models </w:t>
      </w:r>
      <w:r>
        <w:rPr>
          <w:color w:val="000000"/>
          <w:szCs w:val="22"/>
        </w:rPr>
        <w:t>(GAMs) and g</w:t>
      </w:r>
      <w:r w:rsidRPr="00357C17">
        <w:rPr>
          <w:color w:val="000000"/>
          <w:szCs w:val="22"/>
        </w:rPr>
        <w:t>enerali</w:t>
      </w:r>
      <w:r>
        <w:rPr>
          <w:color w:val="000000"/>
          <w:szCs w:val="22"/>
        </w:rPr>
        <w:t>s</w:t>
      </w:r>
      <w:r w:rsidRPr="00357C17">
        <w:rPr>
          <w:color w:val="000000"/>
          <w:szCs w:val="22"/>
        </w:rPr>
        <w:t>ed additive mixed effects</w:t>
      </w:r>
      <w:r>
        <w:rPr>
          <w:color w:val="000000"/>
          <w:szCs w:val="22"/>
        </w:rPr>
        <w:t xml:space="preserve"> models (GAMMs)</w:t>
      </w:r>
      <w:r w:rsidRPr="00357C17">
        <w:rPr>
          <w:color w:val="000000"/>
          <w:szCs w:val="22"/>
        </w:rPr>
        <w:t xml:space="preserve"> were </w:t>
      </w:r>
      <w:r>
        <w:rPr>
          <w:color w:val="000000"/>
          <w:szCs w:val="22"/>
        </w:rPr>
        <w:t xml:space="preserve">also </w:t>
      </w:r>
      <w:r w:rsidRPr="00357C17">
        <w:rPr>
          <w:color w:val="000000"/>
          <w:szCs w:val="22"/>
        </w:rPr>
        <w:t>fitted to seagrass attributes for each habitat, to identify the presence and consis</w:t>
      </w:r>
      <w:r>
        <w:rPr>
          <w:color w:val="000000"/>
          <w:szCs w:val="22"/>
        </w:rPr>
        <w:t xml:space="preserve">tency of trends, using the </w:t>
      </w:r>
      <w:proofErr w:type="spellStart"/>
      <w:r>
        <w:rPr>
          <w:color w:val="000000"/>
          <w:szCs w:val="22"/>
        </w:rPr>
        <w:t>mgcv</w:t>
      </w:r>
      <w:proofErr w:type="spellEnd"/>
      <w:r w:rsidRPr="00357C17">
        <w:rPr>
          <w:color w:val="000000"/>
          <w:szCs w:val="22"/>
        </w:rPr>
        <w:t xml:space="preserve"> (</w:t>
      </w:r>
      <w:hyperlink w:anchor="_ENREF_245" w:tooltip="Wood, 2006 #10039" w:history="1">
        <w:r w:rsidR="00E6043D">
          <w:rPr>
            <w:color w:val="000000"/>
            <w:szCs w:val="22"/>
          </w:rPr>
          <w:fldChar w:fldCharType="begin"/>
        </w:r>
        <w:r w:rsidR="00E6043D">
          <w:rPr>
            <w:color w:val="000000"/>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E6043D">
          <w:rPr>
            <w:color w:val="000000"/>
            <w:szCs w:val="22"/>
          </w:rPr>
          <w:fldChar w:fldCharType="separate"/>
        </w:r>
        <w:r w:rsidR="00E6043D">
          <w:rPr>
            <w:noProof/>
            <w:color w:val="000000"/>
            <w:szCs w:val="22"/>
          </w:rPr>
          <w:t>Wood 2006</w:t>
        </w:r>
        <w:r w:rsidR="00E6043D">
          <w:rPr>
            <w:color w:val="000000"/>
            <w:szCs w:val="22"/>
          </w:rPr>
          <w:fldChar w:fldCharType="end"/>
        </w:r>
      </w:hyperlink>
      <w:r w:rsidRPr="00357C17">
        <w:rPr>
          <w:color w:val="000000"/>
          <w:szCs w:val="22"/>
        </w:rPr>
        <w:t>;</w:t>
      </w:r>
      <w:hyperlink w:anchor="_ENREF_244" w:tooltip="Wood, 2014 #10474" w:history="1">
        <w:r w:rsidR="00E6043D">
          <w:rPr>
            <w:color w:val="000000"/>
            <w:szCs w:val="22"/>
          </w:rPr>
          <w:fldChar w:fldCharType="begin"/>
        </w:r>
        <w:r w:rsidR="00E6043D">
          <w:rPr>
            <w:color w:val="000000"/>
            <w:szCs w:val="22"/>
          </w:rPr>
          <w:instrText xml:space="preserve"> ADDIN EN.CITE &lt;EndNote&gt;&lt;Cite&gt;&lt;Author&gt;Wood&lt;/Author&gt;&lt;Year&gt;2014&lt;/Year&gt;&lt;RecNum&gt;10474&lt;/RecNum&gt;&lt;DisplayText&gt;Wood 2014&lt;/DisplayText&gt;&lt;record&gt;&lt;rec-number&gt;10474&lt;/rec-number&gt;&lt;foreign-keys&gt;&lt;key app="EN" db-id="0eve55x9y5vfd6e9dacxtew4eatve2dzds9a"&gt;10474&lt;/key&gt;&lt;/foreign-keys&gt;&lt;ref-type name="Journal Article"&gt;17&lt;/ref-type&gt;&lt;contributors&gt;&lt;authors&gt;&lt;author&gt;Wood, S&lt;/author&gt;&lt;/authors&gt;&lt;/contributors&gt;&lt;titles&gt;&lt;title&gt;Mixed GAM Computation Vehicle with GCV/AIC/REML Smoothness Estimation, version 1.8-9&lt;/title&gt;&lt;secondary-title&gt;Comprehensive R Archive Network&lt;/secondary-title&gt;&lt;/titles&gt;&lt;periodical&gt;&lt;full-title&gt;Comprehensive R Archive Network&lt;/full-title&gt;&lt;/periodical&gt;&lt;pages&gt;10&lt;/pages&gt;&lt;number&gt;cran.r-project.org&lt;/number&gt;&lt;dates&gt;&lt;year&gt;2014&lt;/year&gt;&lt;/dates&gt;&lt;urls&gt;&lt;/urls&gt;&lt;/record&gt;&lt;/Cite&gt;&lt;/EndNote&gt;</w:instrText>
        </w:r>
        <w:r w:rsidR="00E6043D">
          <w:rPr>
            <w:color w:val="000000"/>
            <w:szCs w:val="22"/>
          </w:rPr>
          <w:fldChar w:fldCharType="separate"/>
        </w:r>
        <w:r w:rsidR="00E6043D">
          <w:rPr>
            <w:noProof/>
            <w:color w:val="000000"/>
            <w:szCs w:val="22"/>
          </w:rPr>
          <w:t>Wood 2014</w:t>
        </w:r>
        <w:r w:rsidR="00E6043D">
          <w:rPr>
            <w:color w:val="000000"/>
            <w:szCs w:val="22"/>
          </w:rPr>
          <w:fldChar w:fldCharType="end"/>
        </w:r>
      </w:hyperlink>
      <w:r w:rsidRPr="00357C17">
        <w:rPr>
          <w:color w:val="000000"/>
          <w:szCs w:val="22"/>
        </w:rPr>
        <w:t>)</w:t>
      </w:r>
      <w:r>
        <w:rPr>
          <w:color w:val="000000"/>
          <w:szCs w:val="22"/>
        </w:rPr>
        <w:t xml:space="preserve"> package in R 3.2.1</w:t>
      </w:r>
      <w:r w:rsidRPr="00357C17">
        <w:rPr>
          <w:color w:val="000000"/>
          <w:szCs w:val="22"/>
        </w:rPr>
        <w:t xml:space="preserve"> (</w:t>
      </w:r>
      <w:hyperlink w:anchor="_ENREF_201" w:tooltip="R Core Team, 2014 #10041" w:history="1">
        <w:r w:rsidR="00E6043D">
          <w:rPr>
            <w:color w:val="000000"/>
            <w:szCs w:val="22"/>
          </w:rPr>
          <w:fldChar w:fldCharType="begin"/>
        </w:r>
        <w:r w:rsidR="00E6043D">
          <w:rPr>
            <w:color w:val="000000"/>
            <w:szCs w:val="22"/>
          </w:rPr>
          <w:instrText xml:space="preserve"> ADDIN EN.CITE &lt;EndNote&gt;&lt;Cite&gt;&lt;Author&gt;R Core Team&lt;/Author&gt;&lt;Year&gt;2014&lt;/Year&gt;&lt;RecNum&gt;10041&lt;/RecNum&gt;&lt;DisplayText&gt;R Core Team 2014&lt;/DisplayText&gt;&lt;record&gt;&lt;rec-number&gt;10041&lt;/rec-number&gt;&lt;foreign-keys&gt;&lt;key app="EN" db-id="0eve55x9y5vfd6e9dacxtew4eatve2dzds9a"&gt;10041&lt;/key&gt;&lt;/foreign-keys&gt;&lt;ref-type name="Electronic Book"&gt;44&lt;/ref-type&gt;&lt;contributors&gt;&lt;authors&gt;&lt;author&gt;R Core Team,&lt;/author&gt;&lt;/authors&gt;&lt;/contributors&gt;&lt;titles&gt;&lt;title&gt;R: A language and environment for statistical computing.&lt;/title&gt;&lt;/titles&gt;&lt;dates&gt;&lt;year&gt;2014&lt;/year&gt;&lt;/dates&gt;&lt;pub-location&gt;Vienna, Austria&lt;/pub-location&gt;&lt;publisher&gt;R Foundation for Statistical Computing&lt;/publisher&gt;&lt;urls&gt;&lt;related-urls&gt;&lt;url&gt;http://www.R-project.org/.&lt;/url&gt;&lt;/related-urls&gt;&lt;/urls&gt;&lt;/record&gt;&lt;/Cite&gt;&lt;/EndNote&gt;</w:instrText>
        </w:r>
        <w:r w:rsidR="00E6043D">
          <w:rPr>
            <w:color w:val="000000"/>
            <w:szCs w:val="22"/>
          </w:rPr>
          <w:fldChar w:fldCharType="separate"/>
        </w:r>
        <w:r w:rsidR="00E6043D">
          <w:rPr>
            <w:noProof/>
            <w:color w:val="000000"/>
            <w:szCs w:val="22"/>
          </w:rPr>
          <w:t>R Core Team 2014</w:t>
        </w:r>
        <w:r w:rsidR="00E6043D">
          <w:rPr>
            <w:color w:val="000000"/>
            <w:szCs w:val="22"/>
          </w:rPr>
          <w:fldChar w:fldCharType="end"/>
        </w:r>
      </w:hyperlink>
      <w:r w:rsidRPr="00357C17">
        <w:rPr>
          <w:color w:val="000000"/>
          <w:szCs w:val="22"/>
        </w:rPr>
        <w:t xml:space="preserve">).  </w:t>
      </w:r>
      <w:r>
        <w:rPr>
          <w:color w:val="000000"/>
          <w:szCs w:val="22"/>
        </w:rPr>
        <w:t>GAMs and GAMMs</w:t>
      </w:r>
      <w:r w:rsidRPr="00357C17">
        <w:rPr>
          <w:color w:val="000000"/>
          <w:szCs w:val="22"/>
        </w:rPr>
        <w:t xml:space="preserve"> (</w:t>
      </w:r>
      <w:hyperlink w:anchor="_ENREF_245" w:tooltip="Wood, 2006 #10039" w:history="1">
        <w:r w:rsidR="00E6043D">
          <w:rPr>
            <w:color w:val="000000"/>
            <w:szCs w:val="22"/>
          </w:rPr>
          <w:fldChar w:fldCharType="begin"/>
        </w:r>
        <w:r w:rsidR="00E6043D">
          <w:rPr>
            <w:color w:val="000000"/>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E6043D">
          <w:rPr>
            <w:color w:val="000000"/>
            <w:szCs w:val="22"/>
          </w:rPr>
          <w:fldChar w:fldCharType="separate"/>
        </w:r>
        <w:r w:rsidR="00E6043D">
          <w:rPr>
            <w:noProof/>
            <w:color w:val="000000"/>
            <w:szCs w:val="22"/>
          </w:rPr>
          <w:t>Wood 2006</w:t>
        </w:r>
        <w:r w:rsidR="00E6043D">
          <w:rPr>
            <w:color w:val="000000"/>
            <w:szCs w:val="22"/>
          </w:rPr>
          <w:fldChar w:fldCharType="end"/>
        </w:r>
      </w:hyperlink>
      <w:r w:rsidRPr="00357C17">
        <w:rPr>
          <w:color w:val="000000"/>
          <w:szCs w:val="22"/>
        </w:rPr>
        <w:t xml:space="preserve">) were used to decompose the irregularly spaced time series into its trend cycles (long-term) and periodic (seasonal) components. </w:t>
      </w:r>
    </w:p>
    <w:p w:rsidR="003D1F7F" w:rsidRDefault="003D1F7F" w:rsidP="003D1F7F">
      <w:pPr>
        <w:rPr>
          <w:color w:val="000000"/>
          <w:szCs w:val="22"/>
        </w:rPr>
      </w:pPr>
      <w:r w:rsidRPr="00357C17">
        <w:rPr>
          <w:color w:val="000000"/>
          <w:szCs w:val="22"/>
        </w:rPr>
        <w:t>GAMMs are an extension of additive models (which allow flexible modelling of non-linear relationships by incorporating penalized regression spline types of smoothing functions into the estimation process), in which the degree of smoothing of each smooth term (and by extension, the estimated degrees of freedom of each smoother) is treated as a random effect and thus estimable via its variance as with other effects in a mixed modelling structure (</w:t>
      </w:r>
      <w:hyperlink w:anchor="_ENREF_245" w:tooltip="Wood, 2006 #10039" w:history="1">
        <w:r w:rsidR="00E6043D">
          <w:rPr>
            <w:color w:val="000000"/>
            <w:szCs w:val="22"/>
          </w:rPr>
          <w:fldChar w:fldCharType="begin"/>
        </w:r>
        <w:r w:rsidR="00E6043D">
          <w:rPr>
            <w:color w:val="000000"/>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E6043D">
          <w:rPr>
            <w:color w:val="000000"/>
            <w:szCs w:val="22"/>
          </w:rPr>
          <w:fldChar w:fldCharType="separate"/>
        </w:r>
        <w:r w:rsidR="00E6043D">
          <w:rPr>
            <w:noProof/>
            <w:color w:val="000000"/>
            <w:szCs w:val="22"/>
          </w:rPr>
          <w:t>Wood 2006</w:t>
        </w:r>
        <w:r w:rsidR="00E6043D">
          <w:rPr>
            <w:color w:val="000000"/>
            <w:szCs w:val="22"/>
          </w:rPr>
          <w:fldChar w:fldCharType="end"/>
        </w:r>
      </w:hyperlink>
      <w:r w:rsidRPr="00357C17">
        <w:rPr>
          <w:color w:val="000000"/>
          <w:szCs w:val="22"/>
        </w:rPr>
        <w:t xml:space="preserve">).The results of these analyses are graphically presented in a consistent format: Predicted </w:t>
      </w:r>
      <w:r>
        <w:rPr>
          <w:color w:val="000000"/>
          <w:szCs w:val="22"/>
        </w:rPr>
        <w:t>values from the model were plotted as bold black</w:t>
      </w:r>
      <w:r w:rsidRPr="00357C17">
        <w:rPr>
          <w:color w:val="000000"/>
          <w:szCs w:val="22"/>
        </w:rPr>
        <w:t xml:space="preserve"> lines, the </w:t>
      </w:r>
      <w:r>
        <w:rPr>
          <w:color w:val="000000"/>
          <w:szCs w:val="22"/>
        </w:rPr>
        <w:t xml:space="preserve">95% </w:t>
      </w:r>
      <w:r w:rsidRPr="00357C17">
        <w:rPr>
          <w:color w:val="000000"/>
          <w:szCs w:val="22"/>
        </w:rPr>
        <w:t xml:space="preserve">confidence intervals of these trends delimited by </w:t>
      </w:r>
      <w:r>
        <w:rPr>
          <w:color w:val="000000"/>
          <w:szCs w:val="22"/>
        </w:rPr>
        <w:t>grey</w:t>
      </w:r>
      <w:r w:rsidRPr="00357C17">
        <w:rPr>
          <w:color w:val="000000"/>
          <w:szCs w:val="22"/>
        </w:rPr>
        <w:t xml:space="preserve"> shading</w:t>
      </w:r>
      <w:r>
        <w:rPr>
          <w:color w:val="000000"/>
          <w:szCs w:val="22"/>
        </w:rPr>
        <w:t>.</w:t>
      </w:r>
    </w:p>
    <w:p w:rsidR="003D1F7F" w:rsidRDefault="003D1F7F" w:rsidP="003D1F7F">
      <w:pPr>
        <w:rPr>
          <w:color w:val="000000"/>
          <w:szCs w:val="22"/>
        </w:rPr>
      </w:pPr>
      <w:r>
        <w:rPr>
          <w:color w:val="000000"/>
          <w:szCs w:val="22"/>
        </w:rPr>
        <w:t xml:space="preserve">Several GAMs and GAMMs were used on seagrass cover, light, epiphyte cover and </w:t>
      </w:r>
      <w:proofErr w:type="spellStart"/>
      <w:r>
        <w:rPr>
          <w:color w:val="000000"/>
          <w:szCs w:val="22"/>
        </w:rPr>
        <w:t>macroalgae</w:t>
      </w:r>
      <w:proofErr w:type="spellEnd"/>
      <w:r>
        <w:rPr>
          <w:color w:val="000000"/>
          <w:szCs w:val="22"/>
        </w:rPr>
        <w:t xml:space="preserve"> cover to tease out trends at the habitat, regional and location scale over time. When dealing with data where there are two replicate sites at a given location (e.g. YP1 and YP2 for Yule Point), site was incorporated as a random factor in the models to account for spatial correlation. However, as part of our regular model validation process, if the boxplot with </w:t>
      </w:r>
      <w:proofErr w:type="spellStart"/>
      <w:proofErr w:type="gramStart"/>
      <w:r>
        <w:rPr>
          <w:color w:val="000000"/>
          <w:szCs w:val="22"/>
        </w:rPr>
        <w:t>Pearsons</w:t>
      </w:r>
      <w:proofErr w:type="spellEnd"/>
      <w:proofErr w:type="gramEnd"/>
      <w:r>
        <w:rPr>
          <w:color w:val="000000"/>
          <w:szCs w:val="22"/>
        </w:rPr>
        <w:t xml:space="preserve"> residuals plotted against Site showed very similar values for each site within each location then a GAM was used instead of a GAMM. </w:t>
      </w:r>
    </w:p>
    <w:p w:rsidR="003D1F7F" w:rsidRPr="00357C17" w:rsidRDefault="003D1F7F" w:rsidP="003D1F7F">
      <w:pPr>
        <w:rPr>
          <w:color w:val="000000"/>
          <w:szCs w:val="22"/>
        </w:rPr>
      </w:pPr>
      <w:r>
        <w:rPr>
          <w:color w:val="000000"/>
          <w:szCs w:val="22"/>
        </w:rPr>
        <w:t xml:space="preserve">Percent cover data models were fitted using a </w:t>
      </w:r>
      <w:proofErr w:type="spellStart"/>
      <w:r>
        <w:rPr>
          <w:color w:val="000000"/>
          <w:szCs w:val="22"/>
        </w:rPr>
        <w:t>quasibinomial</w:t>
      </w:r>
      <w:proofErr w:type="spellEnd"/>
      <w:r>
        <w:rPr>
          <w:color w:val="000000"/>
          <w:szCs w:val="22"/>
        </w:rPr>
        <w:t xml:space="preserve"> distribution due to the proportional (bound between 0 and 1) nature of the data. Raw data at the quadrat level was used to provide the maximum resolution for modelling. However, this led to a very large proportion of 0 in some data sets causing high heterogeneity of variance for some models. For this reason, GAMMs for epiphyte and </w:t>
      </w:r>
      <w:proofErr w:type="spellStart"/>
      <w:r>
        <w:rPr>
          <w:color w:val="000000"/>
          <w:szCs w:val="22"/>
        </w:rPr>
        <w:t>macroalgae</w:t>
      </w:r>
      <w:proofErr w:type="spellEnd"/>
      <w:r>
        <w:rPr>
          <w:color w:val="000000"/>
          <w:szCs w:val="22"/>
        </w:rPr>
        <w:t xml:space="preserve"> cover are not presented and the inclusion in future reports of Zero inflated GAMMs </w:t>
      </w:r>
      <w:r>
        <w:rPr>
          <w:color w:val="000000"/>
          <w:szCs w:val="22"/>
        </w:rPr>
        <w:lastRenderedPageBreak/>
        <w:t>is being investigated. Light data models were fitted using a gamma distribution due to the strictly positive continuous nature of the data. GAM were used in this instance as PAR loggers are deployed at one site per location and therefore site do not act as a random factor.</w:t>
      </w:r>
    </w:p>
    <w:p w:rsidR="003D1F7F" w:rsidRDefault="003D1F7F" w:rsidP="003D1F7F">
      <w:pPr>
        <w:rPr>
          <w:color w:val="000000"/>
          <w:szCs w:val="22"/>
        </w:rPr>
      </w:pPr>
      <w:r>
        <w:rPr>
          <w:color w:val="000000"/>
          <w:szCs w:val="22"/>
        </w:rPr>
        <w:t xml:space="preserve">In addition of the GAMMs, non-linear regressions and polynomials were used (at the request of past reviewers) to show trends in seagrass abundance (% cover) over time; 95% confidence intervals and </w:t>
      </w:r>
      <w:r w:rsidRPr="00237EA6">
        <w:rPr>
          <w:color w:val="000000"/>
          <w:szCs w:val="22"/>
        </w:rPr>
        <w:t xml:space="preserve">R-squared </w:t>
      </w:r>
      <w:r>
        <w:rPr>
          <w:color w:val="000000"/>
          <w:szCs w:val="22"/>
        </w:rPr>
        <w:t xml:space="preserve">were used to </w:t>
      </w:r>
      <w:r w:rsidRPr="00237EA6">
        <w:rPr>
          <w:color w:val="000000"/>
          <w:szCs w:val="22"/>
        </w:rPr>
        <w:t>indicate</w:t>
      </w:r>
      <w:r>
        <w:rPr>
          <w:color w:val="000000"/>
          <w:szCs w:val="22"/>
        </w:rPr>
        <w:t xml:space="preserve"> to level of variance is explained by </w:t>
      </w:r>
      <w:r w:rsidRPr="00237EA6">
        <w:rPr>
          <w:color w:val="000000"/>
          <w:szCs w:val="22"/>
        </w:rPr>
        <w:t>the model.</w:t>
      </w:r>
    </w:p>
    <w:p w:rsidR="003D1F7F" w:rsidRPr="00517276" w:rsidRDefault="003D1F7F" w:rsidP="00F16C11">
      <w:pPr>
        <w:rPr>
          <w:color w:val="000000"/>
          <w:szCs w:val="22"/>
        </w:rPr>
      </w:pPr>
      <w:r>
        <w:rPr>
          <w:color w:val="000000"/>
          <w:szCs w:val="22"/>
        </w:rPr>
        <w:t xml:space="preserve">The majority of meadows have been in a "recovery mode" since the losses, which has restricted multivariate analysis. Analysis is currently underway to </w:t>
      </w:r>
      <w:r w:rsidRPr="00357C17">
        <w:rPr>
          <w:color w:val="000000"/>
          <w:szCs w:val="22"/>
        </w:rPr>
        <w:t>more fully interrogate the temporal and covariate components of the data as the time series of observations lengthen.</w:t>
      </w:r>
      <w:r>
        <w:rPr>
          <w:color w:val="000000"/>
          <w:szCs w:val="22"/>
        </w:rPr>
        <w:t xml:space="preserve"> As this is continuing, results are not completed</w:t>
      </w:r>
      <w:r w:rsidRPr="001E27EA">
        <w:rPr>
          <w:color w:val="000000"/>
          <w:szCs w:val="22"/>
        </w:rPr>
        <w:t xml:space="preserve"> </w:t>
      </w:r>
      <w:r>
        <w:rPr>
          <w:color w:val="000000"/>
          <w:szCs w:val="22"/>
        </w:rPr>
        <w:t>and are planned for inclusion in future reports.</w:t>
      </w:r>
    </w:p>
    <w:p w:rsidR="003D1F7F" w:rsidRPr="00015190" w:rsidRDefault="003D1F7F" w:rsidP="00926892">
      <w:pPr>
        <w:pStyle w:val="Heading2"/>
        <w:numPr>
          <w:ilvl w:val="1"/>
          <w:numId w:val="9"/>
        </w:numPr>
        <w:ind w:left="709" w:hanging="709"/>
        <w:rPr>
          <w:rFonts w:ascii="Century Gothic" w:hAnsi="Century Gothic"/>
          <w:color w:val="000000"/>
        </w:rPr>
      </w:pPr>
      <w:bookmarkStart w:id="91" w:name="_Toc170191607"/>
      <w:bookmarkStart w:id="92" w:name="_Toc175991054"/>
      <w:bookmarkStart w:id="93" w:name="_Toc232845902"/>
      <w:bookmarkStart w:id="94" w:name="_Toc184101953"/>
      <w:bookmarkStart w:id="95" w:name="_Toc462047325"/>
      <w:bookmarkEnd w:id="88"/>
      <w:r w:rsidRPr="00015190">
        <w:rPr>
          <w:rFonts w:ascii="Century Gothic" w:hAnsi="Century Gothic"/>
          <w:color w:val="000000"/>
        </w:rPr>
        <w:t>Reporting Approach</w:t>
      </w:r>
      <w:bookmarkEnd w:id="91"/>
      <w:bookmarkEnd w:id="92"/>
      <w:bookmarkEnd w:id="93"/>
      <w:bookmarkEnd w:id="94"/>
      <w:bookmarkEnd w:id="95"/>
    </w:p>
    <w:p w:rsidR="003D1F7F" w:rsidRDefault="003D1F7F" w:rsidP="003D1F7F">
      <w:pPr>
        <w:spacing w:before="240"/>
        <w:rPr>
          <w:color w:val="000000"/>
          <w:szCs w:val="22"/>
        </w:rPr>
      </w:pPr>
      <w:r>
        <w:rPr>
          <w:color w:val="000000"/>
          <w:szCs w:val="22"/>
        </w:rPr>
        <w:t>The data is presented in a number of ways depending on the indicator and section of the report:</w:t>
      </w:r>
    </w:p>
    <w:p w:rsidR="003D1F7F" w:rsidRDefault="003D1F7F" w:rsidP="00926892">
      <w:pPr>
        <w:numPr>
          <w:ilvl w:val="0"/>
          <w:numId w:val="7"/>
        </w:numPr>
        <w:spacing w:before="0" w:after="0"/>
        <w:ind w:left="714" w:hanging="357"/>
        <w:rPr>
          <w:color w:val="000000"/>
          <w:szCs w:val="22"/>
        </w:rPr>
      </w:pPr>
      <w:r>
        <w:rPr>
          <w:color w:val="000000"/>
          <w:szCs w:val="22"/>
        </w:rPr>
        <w:t xml:space="preserve">Report card scores </w:t>
      </w:r>
      <w:r w:rsidR="008E5C2F">
        <w:rPr>
          <w:color w:val="000000"/>
          <w:szCs w:val="22"/>
        </w:rPr>
        <w:t xml:space="preserve">for seagrass condition </w:t>
      </w:r>
      <w:r>
        <w:rPr>
          <w:color w:val="000000"/>
          <w:szCs w:val="22"/>
        </w:rPr>
        <w:t xml:space="preserve">are presented at the start of each section. These are a numerical summary of the </w:t>
      </w:r>
      <w:r w:rsidR="00306CAE">
        <w:rPr>
          <w:color w:val="000000"/>
          <w:szCs w:val="22"/>
        </w:rPr>
        <w:t>condition</w:t>
      </w:r>
      <w:r>
        <w:rPr>
          <w:color w:val="000000"/>
          <w:szCs w:val="22"/>
        </w:rPr>
        <w:t xml:space="preserve"> within the region relative to a regional basel</w:t>
      </w:r>
      <w:r w:rsidR="00CD53D5">
        <w:rPr>
          <w:color w:val="000000"/>
          <w:szCs w:val="22"/>
        </w:rPr>
        <w:t>ine (described further below)</w:t>
      </w:r>
      <w:r w:rsidR="00395A22">
        <w:rPr>
          <w:color w:val="000000"/>
          <w:szCs w:val="22"/>
        </w:rPr>
        <w:t>,</w:t>
      </w:r>
    </w:p>
    <w:p w:rsidR="00423FEC" w:rsidRDefault="00423FEC" w:rsidP="00926892">
      <w:pPr>
        <w:numPr>
          <w:ilvl w:val="0"/>
          <w:numId w:val="7"/>
        </w:numPr>
        <w:spacing w:before="0" w:after="0"/>
        <w:ind w:left="714" w:hanging="357"/>
        <w:rPr>
          <w:color w:val="000000"/>
          <w:szCs w:val="22"/>
        </w:rPr>
      </w:pPr>
      <w:r>
        <w:rPr>
          <w:color w:val="000000"/>
          <w:szCs w:val="22"/>
        </w:rPr>
        <w:t>Climate and environmental pressures are presented as averages (daily, monthly or a</w:t>
      </w:r>
      <w:r w:rsidR="00CD53D5">
        <w:rPr>
          <w:color w:val="000000"/>
          <w:szCs w:val="22"/>
        </w:rPr>
        <w:t>nnual) and threshold exceedance</w:t>
      </w:r>
      <w:r w:rsidR="00395A22">
        <w:rPr>
          <w:color w:val="000000"/>
          <w:szCs w:val="22"/>
        </w:rPr>
        <w:t>,</w:t>
      </w:r>
    </w:p>
    <w:p w:rsidR="003D1F7F" w:rsidRDefault="00423FEC" w:rsidP="00926892">
      <w:pPr>
        <w:numPr>
          <w:ilvl w:val="0"/>
          <w:numId w:val="7"/>
        </w:numPr>
        <w:spacing w:before="0" w:after="0"/>
        <w:ind w:left="714" w:hanging="357"/>
        <w:rPr>
          <w:color w:val="000000"/>
          <w:szCs w:val="22"/>
        </w:rPr>
      </w:pPr>
      <w:r>
        <w:rPr>
          <w:color w:val="000000"/>
          <w:szCs w:val="22"/>
        </w:rPr>
        <w:t xml:space="preserve">Seagrass community data </w:t>
      </w:r>
      <w:r w:rsidR="00395A22">
        <w:rPr>
          <w:color w:val="000000"/>
          <w:szCs w:val="22"/>
        </w:rPr>
        <w:t xml:space="preserve">such as seagrass abundance, leaf tissue nutrients </w:t>
      </w:r>
      <w:r>
        <w:rPr>
          <w:color w:val="000000"/>
          <w:szCs w:val="22"/>
        </w:rPr>
        <w:t xml:space="preserve">are presented as averages </w:t>
      </w:r>
      <w:r w:rsidR="00395A22">
        <w:rPr>
          <w:color w:val="000000"/>
          <w:szCs w:val="22"/>
        </w:rPr>
        <w:t>(</w:t>
      </w:r>
      <w:r>
        <w:rPr>
          <w:color w:val="000000"/>
          <w:szCs w:val="22"/>
        </w:rPr>
        <w:t>sampling event</w:t>
      </w:r>
      <w:r w:rsidR="00395A22">
        <w:rPr>
          <w:color w:val="000000"/>
          <w:szCs w:val="22"/>
        </w:rPr>
        <w:t>, season or monitoring period)</w:t>
      </w:r>
      <w:r>
        <w:rPr>
          <w:color w:val="000000"/>
          <w:szCs w:val="22"/>
        </w:rPr>
        <w:t xml:space="preserve"> and threshold exceedance </w:t>
      </w:r>
      <w:r w:rsidR="00395A22">
        <w:rPr>
          <w:color w:val="000000"/>
          <w:szCs w:val="22"/>
        </w:rPr>
        <w:t>data,</w:t>
      </w:r>
    </w:p>
    <w:p w:rsidR="00395A22" w:rsidRDefault="00395A22" w:rsidP="00926892">
      <w:pPr>
        <w:numPr>
          <w:ilvl w:val="0"/>
          <w:numId w:val="7"/>
        </w:numPr>
        <w:spacing w:before="0" w:after="0"/>
        <w:ind w:left="714" w:hanging="357"/>
        <w:rPr>
          <w:color w:val="000000"/>
          <w:szCs w:val="22"/>
        </w:rPr>
      </w:pPr>
      <w:r>
        <w:rPr>
          <w:color w:val="000000"/>
          <w:szCs w:val="22"/>
        </w:rPr>
        <w:t xml:space="preserve">Seagrass ecosystem data such as sediment composition, epiphyte and </w:t>
      </w:r>
      <w:proofErr w:type="spellStart"/>
      <w:r>
        <w:rPr>
          <w:color w:val="000000"/>
          <w:szCs w:val="22"/>
        </w:rPr>
        <w:t>macroalgae</w:t>
      </w:r>
      <w:proofErr w:type="spellEnd"/>
      <w:r>
        <w:rPr>
          <w:color w:val="000000"/>
          <w:szCs w:val="22"/>
        </w:rPr>
        <w:t xml:space="preserve"> are presented as averages (sampling event, season or monitoring period) and relative to the long-term,</w:t>
      </w:r>
    </w:p>
    <w:p w:rsidR="003D1F7F" w:rsidRDefault="003D1F7F" w:rsidP="00926892">
      <w:pPr>
        <w:numPr>
          <w:ilvl w:val="0"/>
          <w:numId w:val="7"/>
        </w:numPr>
        <w:spacing w:before="0" w:after="0"/>
        <w:ind w:left="714" w:hanging="357"/>
        <w:rPr>
          <w:color w:val="000000"/>
          <w:szCs w:val="22"/>
        </w:rPr>
      </w:pPr>
      <w:r>
        <w:rPr>
          <w:color w:val="000000"/>
          <w:szCs w:val="22"/>
        </w:rPr>
        <w:t xml:space="preserve">Trend analysis (GAMM plots) are also used to explore the long-term temporal trends in biological and environmental indicators. </w:t>
      </w:r>
    </w:p>
    <w:p w:rsidR="003D1F7F" w:rsidRPr="00517276" w:rsidRDefault="003D1F7F" w:rsidP="003D1F7F">
      <w:pPr>
        <w:spacing w:before="240"/>
        <w:rPr>
          <w:color w:val="000000"/>
          <w:szCs w:val="22"/>
        </w:rPr>
      </w:pPr>
      <w:r w:rsidRPr="00517276">
        <w:rPr>
          <w:color w:val="000000"/>
          <w:szCs w:val="22"/>
        </w:rPr>
        <w:t xml:space="preserve">Within each region, estuarine and coastal habitat boundaries were delineated based on the Queensland coastal waterways geomorphic habitat mapping, Version 2 (1:100 000 </w:t>
      </w:r>
      <w:bookmarkStart w:id="96" w:name="OLE_LINK17"/>
      <w:bookmarkStart w:id="97" w:name="OLE_LINK18"/>
      <w:r w:rsidRPr="00517276">
        <w:rPr>
          <w:color w:val="000000"/>
          <w:szCs w:val="22"/>
        </w:rPr>
        <w:t>scale digital data)</w:t>
      </w:r>
      <w:bookmarkEnd w:id="96"/>
      <w:bookmarkEnd w:id="97"/>
      <w:r w:rsidRPr="00517276">
        <w:rPr>
          <w:color w:val="000000"/>
          <w:szCs w:val="22"/>
        </w:rPr>
        <w:t xml:space="preserve"> (Heap </w:t>
      </w:r>
      <w:r w:rsidRPr="00517276">
        <w:rPr>
          <w:i/>
          <w:color w:val="000000"/>
          <w:szCs w:val="22"/>
        </w:rPr>
        <w:t>et al</w:t>
      </w:r>
      <w:r w:rsidRPr="00517276">
        <w:rPr>
          <w:color w:val="000000"/>
          <w:szCs w:val="22"/>
        </w:rPr>
        <w:t xml:space="preserve"> 2001). Reef habitat boundaries were determined using the AUSLIG (now the National Mapping Division of Geosciences Australia) </w:t>
      </w:r>
      <w:proofErr w:type="spellStart"/>
      <w:r w:rsidRPr="00517276">
        <w:rPr>
          <w:color w:val="000000"/>
          <w:szCs w:val="22"/>
        </w:rPr>
        <w:t>geodata</w:t>
      </w:r>
      <w:proofErr w:type="spellEnd"/>
      <w:r w:rsidRPr="00517276">
        <w:rPr>
          <w:color w:val="000000"/>
          <w:szCs w:val="22"/>
        </w:rPr>
        <w:t xml:space="preserve"> topographic </w:t>
      </w:r>
      <w:proofErr w:type="spellStart"/>
      <w:r w:rsidRPr="00517276">
        <w:rPr>
          <w:color w:val="000000"/>
          <w:szCs w:val="22"/>
        </w:rPr>
        <w:t>basemap</w:t>
      </w:r>
      <w:proofErr w:type="spellEnd"/>
      <w:r w:rsidRPr="00517276">
        <w:rPr>
          <w:color w:val="000000"/>
          <w:szCs w:val="22"/>
        </w:rPr>
        <w:t xml:space="preserve"> (1:100 000 scale digital data).</w:t>
      </w:r>
      <w:r w:rsidR="009817B8">
        <w:rPr>
          <w:color w:val="000000"/>
          <w:szCs w:val="22"/>
        </w:rPr>
        <w:t xml:space="preserve"> </w:t>
      </w:r>
      <w:r w:rsidRPr="00517276">
        <w:rPr>
          <w:color w:val="000000"/>
          <w:szCs w:val="22"/>
        </w:rPr>
        <w:t>Conceptual diagrams have been used to illustrate the general seagrass habitats type in each region</w:t>
      </w:r>
      <w:r w:rsidR="00EB19B4">
        <w:rPr>
          <w:color w:val="000000"/>
          <w:szCs w:val="22"/>
        </w:rPr>
        <w:t xml:space="preserve"> and can be found in Appendix 1 with the background description of each NRM region</w:t>
      </w:r>
      <w:r w:rsidRPr="00517276">
        <w:rPr>
          <w:color w:val="000000"/>
          <w:szCs w:val="22"/>
        </w:rPr>
        <w:t xml:space="preserve">. Symbols/icons have been used in the conceptual diagrams to illustrate major controls, processes </w:t>
      </w:r>
      <w:r w:rsidR="00EB19B4">
        <w:rPr>
          <w:color w:val="000000"/>
          <w:szCs w:val="22"/>
        </w:rPr>
        <w:t>and threats/impacts</w:t>
      </w:r>
      <w:r w:rsidRPr="00517276">
        <w:rPr>
          <w:color w:val="000000"/>
          <w:szCs w:val="22"/>
        </w:rPr>
        <w:t>.</w:t>
      </w:r>
    </w:p>
    <w:p w:rsidR="003D1F7F" w:rsidRPr="00015190" w:rsidRDefault="003D1F7F" w:rsidP="00926892">
      <w:pPr>
        <w:pStyle w:val="Heading2"/>
        <w:numPr>
          <w:ilvl w:val="1"/>
          <w:numId w:val="9"/>
        </w:numPr>
        <w:ind w:left="709" w:hanging="709"/>
        <w:rPr>
          <w:rFonts w:ascii="Century Gothic" w:hAnsi="Century Gothic"/>
          <w:color w:val="000000"/>
        </w:rPr>
      </w:pPr>
      <w:bookmarkStart w:id="98" w:name="_Toc462047326"/>
      <w:r w:rsidRPr="00015190">
        <w:rPr>
          <w:rFonts w:ascii="Century Gothic" w:hAnsi="Century Gothic"/>
          <w:color w:val="000000"/>
        </w:rPr>
        <w:t>Report card</w:t>
      </w:r>
      <w:bookmarkEnd w:id="98"/>
    </w:p>
    <w:p w:rsidR="003D1F7F" w:rsidRPr="00517276" w:rsidRDefault="003D1F7F" w:rsidP="003D1F7F">
      <w:pPr>
        <w:rPr>
          <w:color w:val="000000"/>
          <w:szCs w:val="22"/>
        </w:rPr>
      </w:pPr>
      <w:r w:rsidRPr="00517276">
        <w:rPr>
          <w:color w:val="000000"/>
          <w:szCs w:val="22"/>
        </w:rPr>
        <w:t xml:space="preserve">Three indicators (presented as </w:t>
      </w:r>
      <w:proofErr w:type="spellStart"/>
      <w:r>
        <w:rPr>
          <w:color w:val="000000"/>
          <w:szCs w:val="22"/>
        </w:rPr>
        <w:t>unitless</w:t>
      </w:r>
      <w:proofErr w:type="spellEnd"/>
      <w:r>
        <w:rPr>
          <w:color w:val="000000"/>
          <w:szCs w:val="22"/>
        </w:rPr>
        <w:t xml:space="preserve"> </w:t>
      </w:r>
      <w:r w:rsidRPr="00517276">
        <w:rPr>
          <w:color w:val="000000"/>
          <w:szCs w:val="22"/>
        </w:rPr>
        <w:t xml:space="preserve">scores) were </w:t>
      </w:r>
      <w:r w:rsidRPr="00517276">
        <w:rPr>
          <w:color w:val="000000"/>
          <w:szCs w:val="22"/>
          <w:lang w:val="en-US"/>
        </w:rPr>
        <w:t>selected by the GBRMPA, using advice from expert working groups and the Paddock to Reef Integration Team,</w:t>
      </w:r>
      <w:r w:rsidRPr="00517276">
        <w:rPr>
          <w:color w:val="000000"/>
          <w:szCs w:val="22"/>
        </w:rPr>
        <w:t xml:space="preserve"> for the seagrass report card: </w:t>
      </w:r>
    </w:p>
    <w:p w:rsidR="003D1F7F" w:rsidRPr="00517276" w:rsidRDefault="003D1F7F" w:rsidP="003D1F7F">
      <w:pPr>
        <w:numPr>
          <w:ilvl w:val="0"/>
          <w:numId w:val="3"/>
        </w:numPr>
        <w:spacing w:before="0" w:after="0"/>
        <w:rPr>
          <w:color w:val="000000"/>
          <w:szCs w:val="22"/>
        </w:rPr>
      </w:pPr>
      <w:r w:rsidRPr="00517276">
        <w:rPr>
          <w:color w:val="000000"/>
          <w:szCs w:val="22"/>
        </w:rPr>
        <w:t>seagrass abundance</w:t>
      </w:r>
      <w:r>
        <w:rPr>
          <w:color w:val="000000"/>
          <w:szCs w:val="22"/>
        </w:rPr>
        <w:t xml:space="preserve"> (cover)</w:t>
      </w:r>
    </w:p>
    <w:p w:rsidR="003D1F7F" w:rsidRPr="00517276" w:rsidRDefault="003D1F7F" w:rsidP="003D1F7F">
      <w:pPr>
        <w:numPr>
          <w:ilvl w:val="0"/>
          <w:numId w:val="3"/>
        </w:numPr>
        <w:spacing w:before="0" w:after="0"/>
        <w:rPr>
          <w:color w:val="000000"/>
          <w:szCs w:val="22"/>
        </w:rPr>
      </w:pPr>
      <w:r w:rsidRPr="00517276">
        <w:rPr>
          <w:color w:val="000000"/>
          <w:szCs w:val="22"/>
        </w:rPr>
        <w:t>reproductive effort</w:t>
      </w:r>
    </w:p>
    <w:p w:rsidR="003D1F7F" w:rsidRPr="00517276" w:rsidRDefault="003D1F7F" w:rsidP="003D1F7F">
      <w:pPr>
        <w:numPr>
          <w:ilvl w:val="0"/>
          <w:numId w:val="3"/>
        </w:numPr>
        <w:spacing w:before="0"/>
        <w:rPr>
          <w:color w:val="000000"/>
          <w:szCs w:val="22"/>
        </w:rPr>
      </w:pPr>
      <w:r w:rsidRPr="00517276">
        <w:rPr>
          <w:color w:val="000000"/>
          <w:szCs w:val="22"/>
        </w:rPr>
        <w:t>nutrient status (</w:t>
      </w:r>
      <w:r w:rsidR="00EB19B4">
        <w:rPr>
          <w:color w:val="000000"/>
          <w:szCs w:val="22"/>
        </w:rPr>
        <w:t>leaf</w:t>
      </w:r>
      <w:r w:rsidRPr="00517276">
        <w:rPr>
          <w:color w:val="000000"/>
          <w:szCs w:val="22"/>
        </w:rPr>
        <w:t xml:space="preserve"> tissue C:N ratio)</w:t>
      </w:r>
    </w:p>
    <w:p w:rsidR="003D1F7F" w:rsidRPr="00517276" w:rsidRDefault="003D1F7F" w:rsidP="003D1F7F">
      <w:pPr>
        <w:rPr>
          <w:color w:val="000000"/>
        </w:rPr>
      </w:pPr>
      <w:r>
        <w:rPr>
          <w:color w:val="000000"/>
          <w:szCs w:val="22"/>
        </w:rPr>
        <w:t xml:space="preserve">The methods for calculation of scores was chosen by </w:t>
      </w:r>
      <w:r w:rsidRPr="00517276">
        <w:rPr>
          <w:color w:val="000000"/>
          <w:szCs w:val="22"/>
          <w:lang w:val="en-US"/>
        </w:rPr>
        <w:t>the Paddock to Reef Integration Team</w:t>
      </w:r>
      <w:r>
        <w:rPr>
          <w:color w:val="000000"/>
          <w:szCs w:val="22"/>
          <w:lang w:val="en-US"/>
        </w:rPr>
        <w:t xml:space="preserve"> (i.e. not the authors of this report) and </w:t>
      </w:r>
      <w:r>
        <w:rPr>
          <w:color w:val="000000"/>
          <w:szCs w:val="22"/>
        </w:rPr>
        <w:t>all report card scores are transformed</w:t>
      </w:r>
      <w:r w:rsidRPr="00517276">
        <w:rPr>
          <w:color w:val="000000"/>
          <w:szCs w:val="22"/>
        </w:rPr>
        <w:t xml:space="preserve"> to a five point scale from 0 to 100 to allow integration with other components of the Paddock to Reef report card </w:t>
      </w:r>
      <w:r w:rsidRPr="00217CD8">
        <w:rPr>
          <w:color w:val="000000"/>
          <w:szCs w:val="22"/>
        </w:rPr>
        <w:t>(</w:t>
      </w:r>
      <w:hyperlink w:anchor="_ENREF_91" w:tooltip="Department of the Premier and Cabinet, 2014 #10062" w:history="1">
        <w:r w:rsidR="00E6043D">
          <w:rPr>
            <w:color w:val="000000"/>
            <w:szCs w:val="22"/>
          </w:rPr>
          <w:fldChar w:fldCharType="begin"/>
        </w:r>
        <w:r w:rsidR="00E6043D">
          <w:rPr>
            <w:color w:val="000000"/>
            <w:szCs w:val="22"/>
          </w:rPr>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E6043D">
          <w:rPr>
            <w:color w:val="000000"/>
            <w:szCs w:val="22"/>
          </w:rPr>
          <w:fldChar w:fldCharType="separate"/>
        </w:r>
        <w:r w:rsidR="00E6043D">
          <w:rPr>
            <w:noProof/>
            <w:color w:val="000000"/>
            <w:szCs w:val="22"/>
          </w:rPr>
          <w:t>Department of the Premier and Cabinet 2014</w:t>
        </w:r>
        <w:r w:rsidR="00E6043D">
          <w:rPr>
            <w:color w:val="000000"/>
            <w:szCs w:val="22"/>
          </w:rPr>
          <w:fldChar w:fldCharType="end"/>
        </w:r>
      </w:hyperlink>
      <w:r w:rsidRPr="00217CD8">
        <w:rPr>
          <w:color w:val="000000"/>
          <w:szCs w:val="22"/>
        </w:rPr>
        <w:t xml:space="preserve">). </w:t>
      </w:r>
      <w:r>
        <w:rPr>
          <w:color w:val="000000"/>
          <w:szCs w:val="22"/>
        </w:rPr>
        <w:t xml:space="preserve">The methods are scoring system for the report card scores are detailed in Appendix 3. </w:t>
      </w:r>
      <w:r w:rsidRPr="00217CD8">
        <w:rPr>
          <w:i/>
          <w:color w:val="000000"/>
          <w:szCs w:val="22"/>
        </w:rPr>
        <w:t xml:space="preserve">Please note that the scale from 0 to 100 is </w:t>
      </w:r>
      <w:proofErr w:type="spellStart"/>
      <w:r w:rsidRPr="00217CD8">
        <w:rPr>
          <w:i/>
          <w:color w:val="000000"/>
          <w:szCs w:val="22"/>
        </w:rPr>
        <w:t>unitless</w:t>
      </w:r>
      <w:proofErr w:type="spellEnd"/>
      <w:r w:rsidRPr="00A96521">
        <w:rPr>
          <w:i/>
          <w:color w:val="000000"/>
          <w:szCs w:val="22"/>
        </w:rPr>
        <w:t xml:space="preserve"> and should not be interpreted as a proportion or ratio.</w:t>
      </w:r>
    </w:p>
    <w:p w:rsidR="003D1F7F" w:rsidRPr="00BA12BB" w:rsidRDefault="003D1F7F" w:rsidP="00926892">
      <w:pPr>
        <w:pStyle w:val="Heading3"/>
        <w:numPr>
          <w:ilvl w:val="2"/>
          <w:numId w:val="9"/>
        </w:numPr>
        <w:rPr>
          <w:rFonts w:ascii="Arial" w:hAnsi="Arial" w:cs="Arial"/>
        </w:rPr>
      </w:pPr>
      <w:bookmarkStart w:id="99" w:name="_Toc381027991"/>
      <w:bookmarkStart w:id="100" w:name="_Toc462047327"/>
      <w:r w:rsidRPr="00BA12BB">
        <w:rPr>
          <w:rFonts w:ascii="Arial" w:hAnsi="Arial" w:cs="Arial"/>
        </w:rPr>
        <w:lastRenderedPageBreak/>
        <w:t>Seagrass abundance</w:t>
      </w:r>
      <w:bookmarkEnd w:id="99"/>
      <w:bookmarkEnd w:id="100"/>
    </w:p>
    <w:p w:rsidR="003D1F7F" w:rsidRPr="00517276" w:rsidRDefault="003D1F7F" w:rsidP="003D1F7F">
      <w:pPr>
        <w:spacing w:before="240"/>
        <w:rPr>
          <w:color w:val="000000"/>
          <w:szCs w:val="22"/>
        </w:rPr>
      </w:pPr>
      <w:r w:rsidRPr="00517276">
        <w:rPr>
          <w:color w:val="000000"/>
          <w:szCs w:val="22"/>
        </w:rPr>
        <w:t xml:space="preserve">The status of seagrass abundance </w:t>
      </w:r>
      <w:r>
        <w:rPr>
          <w:color w:val="000000"/>
          <w:szCs w:val="22"/>
        </w:rPr>
        <w:t xml:space="preserve">(% cover) </w:t>
      </w:r>
      <w:r w:rsidRPr="00517276">
        <w:rPr>
          <w:color w:val="000000"/>
          <w:szCs w:val="22"/>
        </w:rPr>
        <w:t xml:space="preserve">was determined using the seagrass abundance guidelines developed by McKenzie (2009). </w:t>
      </w:r>
      <w:r>
        <w:rPr>
          <w:color w:val="000000"/>
          <w:szCs w:val="22"/>
        </w:rPr>
        <w:t xml:space="preserve">The seagrass abundance measure in the MMP is the average % cover of seagrass per monitoring site. </w:t>
      </w:r>
      <w:r w:rsidRPr="00517276">
        <w:rPr>
          <w:color w:val="000000"/>
          <w:szCs w:val="22"/>
        </w:rPr>
        <w:t xml:space="preserve">Individual site and subregional (habitat type within each NRM region) seagrass abundance guidelines were developed based on </w:t>
      </w:r>
      <w:r>
        <w:rPr>
          <w:color w:val="000000"/>
          <w:szCs w:val="22"/>
        </w:rPr>
        <w:t>% cover</w:t>
      </w:r>
      <w:r w:rsidRPr="00517276">
        <w:rPr>
          <w:color w:val="000000"/>
          <w:szCs w:val="22"/>
        </w:rPr>
        <w:t xml:space="preserve"> data collected from individual sites and/or reference sites (</w:t>
      </w:r>
      <w:hyperlink w:anchor="_ENREF_164" w:tooltip="McKenzie, 2009 #9756" w:history="1">
        <w:r w:rsidR="00E6043D">
          <w:rPr>
            <w:color w:val="000000"/>
            <w:szCs w:val="22"/>
          </w:rPr>
          <w:fldChar w:fldCharType="begin"/>
        </w:r>
        <w:r w:rsidR="00E6043D">
          <w:rPr>
            <w:color w:val="000000"/>
            <w:szCs w:val="22"/>
          </w:rPr>
          <w:instrText xml:space="preserve"> ADDIN EN.CITE &lt;EndNote&gt;&lt;Cite&gt;&lt;Author&gt;McKenzie&lt;/Author&gt;&lt;Year&gt;2009&lt;/Year&gt;&lt;RecNum&gt;9756&lt;/RecNum&gt;&lt;DisplayText&gt;McKenzie 2009&lt;/DisplayText&gt;&lt;record&gt;&lt;rec-number&gt;9756&lt;/rec-number&gt;&lt;foreign-keys&gt;&lt;key app="EN" db-id="0eve55x9y5vfd6e9dacxtew4eatve2dzds9a"&gt;9756&lt;/key&gt;&lt;/foreign-keys&gt;&lt;ref-type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 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http://www.rrrc.org.au/publications/downloads/113-QDPIF-McKenzie-L-2009-June-Milestone-Report.pdf  accessed 27 August 2010.&lt;/secondary-title&gt;&lt;/titles&gt;&lt;pages&gt;7-1&lt;/pages&gt;&lt;dates&gt;&lt;year&gt;2009&lt;/year&gt;&lt;/dates&gt;&lt;pub-location&gt;Cairns&lt;/pub-location&gt;&lt;publisher&gt;RRRC&lt;/publisher&gt;&lt;urls&gt;&lt;/urls&gt;&lt;/record&gt;&lt;/Cite&gt;&lt;/EndNote&gt;</w:instrText>
        </w:r>
        <w:r w:rsidR="00E6043D">
          <w:rPr>
            <w:color w:val="000000"/>
            <w:szCs w:val="22"/>
          </w:rPr>
          <w:fldChar w:fldCharType="separate"/>
        </w:r>
        <w:r w:rsidR="00E6043D">
          <w:rPr>
            <w:noProof/>
            <w:color w:val="000000"/>
            <w:szCs w:val="22"/>
          </w:rPr>
          <w:t>McKenzie 2009</w:t>
        </w:r>
        <w:r w:rsidR="00E6043D">
          <w:rPr>
            <w:color w:val="000000"/>
            <w:szCs w:val="22"/>
          </w:rPr>
          <w:fldChar w:fldCharType="end"/>
        </w:r>
      </w:hyperlink>
      <w:r w:rsidRPr="00517276">
        <w:rPr>
          <w:color w:val="000000"/>
          <w:szCs w:val="22"/>
        </w:rPr>
        <w:t>). Guidelines for individual sites were only applied if the conditions of the site aligned with reference site conditions.</w:t>
      </w:r>
    </w:p>
    <w:p w:rsidR="003D1F7F" w:rsidRDefault="003D1F7F" w:rsidP="003D1F7F">
      <w:pPr>
        <w:spacing w:before="240"/>
        <w:rPr>
          <w:color w:val="000000"/>
          <w:szCs w:val="22"/>
        </w:rPr>
      </w:pPr>
      <w:bookmarkStart w:id="101" w:name="_Ref271182817"/>
      <w:bookmarkStart w:id="102" w:name="_Ref271182809"/>
      <w:r w:rsidRPr="00517276">
        <w:rPr>
          <w:color w:val="000000"/>
          <w:szCs w:val="22"/>
        </w:rPr>
        <w:t>After discussions with GBRMPA scientists and the Paddock to Reef integration team, the seagrass guidelines were further refined by allocating the additional categories of very good (median abundance at or above 75</w:t>
      </w:r>
      <w:r w:rsidRPr="00517276">
        <w:rPr>
          <w:color w:val="000000"/>
          <w:szCs w:val="22"/>
          <w:vertAlign w:val="superscript"/>
        </w:rPr>
        <w:t>th</w:t>
      </w:r>
      <w:r w:rsidRPr="00517276">
        <w:rPr>
          <w:color w:val="000000"/>
          <w:szCs w:val="22"/>
        </w:rPr>
        <w:t xml:space="preserve"> percentile), and very poor (median abundance below 20</w:t>
      </w:r>
      <w:r w:rsidRPr="00517276">
        <w:rPr>
          <w:color w:val="000000"/>
          <w:szCs w:val="22"/>
          <w:vertAlign w:val="superscript"/>
        </w:rPr>
        <w:t>th</w:t>
      </w:r>
      <w:r w:rsidRPr="00517276">
        <w:rPr>
          <w:color w:val="000000"/>
          <w:szCs w:val="22"/>
        </w:rPr>
        <w:t xml:space="preserve"> or 10</w:t>
      </w:r>
      <w:r w:rsidRPr="00517276">
        <w:rPr>
          <w:color w:val="000000"/>
          <w:szCs w:val="22"/>
          <w:vertAlign w:val="superscript"/>
        </w:rPr>
        <w:t>th</w:t>
      </w:r>
      <w:r w:rsidRPr="00517276">
        <w:rPr>
          <w:color w:val="000000"/>
          <w:szCs w:val="22"/>
        </w:rPr>
        <w:t xml:space="preserve"> percentile and declined by &gt;20% since previous sampling event). Seagrass state was then rescaled to a five point scale from 0 to 100 to allow integration with other components of the Paddock to Reef report card (</w:t>
      </w:r>
      <w:hyperlink w:anchor="_ENREF_91" w:tooltip="Department of the Premier and Cabinet, 2014 #10062" w:history="1">
        <w:r w:rsidR="00E6043D">
          <w:rPr>
            <w:color w:val="000000"/>
            <w:szCs w:val="22"/>
          </w:rPr>
          <w:fldChar w:fldCharType="begin"/>
        </w:r>
        <w:r w:rsidR="00E6043D">
          <w:rPr>
            <w:color w:val="000000"/>
            <w:szCs w:val="22"/>
          </w:rPr>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E6043D">
          <w:rPr>
            <w:color w:val="000000"/>
            <w:szCs w:val="22"/>
          </w:rPr>
          <w:fldChar w:fldCharType="separate"/>
        </w:r>
        <w:r w:rsidR="00E6043D">
          <w:rPr>
            <w:noProof/>
            <w:color w:val="000000"/>
            <w:szCs w:val="22"/>
          </w:rPr>
          <w:t>Department of the Premier and Cabinet 2014</w:t>
        </w:r>
        <w:r w:rsidR="00E6043D">
          <w:rPr>
            <w:color w:val="000000"/>
            <w:szCs w:val="22"/>
          </w:rPr>
          <w:fldChar w:fldCharType="end"/>
        </w:r>
      </w:hyperlink>
      <w:r w:rsidRPr="00517276">
        <w:rPr>
          <w:color w:val="000000"/>
          <w:szCs w:val="22"/>
        </w:rPr>
        <w:t xml:space="preserve">). </w:t>
      </w:r>
      <w:r>
        <w:rPr>
          <w:color w:val="000000"/>
          <w:szCs w:val="22"/>
        </w:rPr>
        <w:t xml:space="preserve">The percentage cover guidelines can be found in Appendix 3. </w:t>
      </w:r>
      <w:r w:rsidRPr="00517276">
        <w:rPr>
          <w:color w:val="000000"/>
          <w:szCs w:val="22"/>
        </w:rPr>
        <w:t xml:space="preserve">Please note that the scale from 0 to 100 </w:t>
      </w:r>
      <w:r>
        <w:rPr>
          <w:color w:val="000000"/>
          <w:szCs w:val="22"/>
        </w:rPr>
        <w:t xml:space="preserve">is </w:t>
      </w:r>
      <w:proofErr w:type="spellStart"/>
      <w:r>
        <w:rPr>
          <w:color w:val="000000"/>
          <w:szCs w:val="22"/>
        </w:rPr>
        <w:t>unitless</w:t>
      </w:r>
      <w:proofErr w:type="spellEnd"/>
      <w:r>
        <w:rPr>
          <w:color w:val="000000"/>
          <w:szCs w:val="22"/>
        </w:rPr>
        <w:t xml:space="preserve"> and should not be interpreted as a proportion or ratio</w:t>
      </w:r>
      <w:r w:rsidRPr="00517276">
        <w:rPr>
          <w:color w:val="000000"/>
          <w:szCs w:val="22"/>
        </w:rPr>
        <w:t>.</w:t>
      </w:r>
    </w:p>
    <w:p w:rsidR="003D1F7F" w:rsidRPr="00015190" w:rsidRDefault="003D1F7F" w:rsidP="003D1F7F">
      <w:pPr>
        <w:jc w:val="center"/>
        <w:rPr>
          <w:i/>
          <w:vanish/>
          <w:color w:val="000000"/>
          <w:specVanish/>
        </w:rPr>
      </w:pPr>
      <w:bookmarkStart w:id="103" w:name="_Ref316227159"/>
      <w:bookmarkStart w:id="104" w:name="_Ref410131826"/>
      <w:bookmarkStart w:id="105" w:name="_Toc462685074"/>
      <w:r w:rsidRPr="00015190">
        <w:rPr>
          <w:color w:val="000000"/>
        </w:rPr>
        <w:t xml:space="preserve">Table </w:t>
      </w:r>
      <w:r w:rsidRPr="00015190">
        <w:rPr>
          <w:color w:val="000000"/>
        </w:rPr>
        <w:fldChar w:fldCharType="begin"/>
      </w:r>
      <w:r w:rsidRPr="00015190">
        <w:rPr>
          <w:color w:val="000000"/>
        </w:rPr>
        <w:instrText xml:space="preserve"> SEQ Table \* ARABIC </w:instrText>
      </w:r>
      <w:r w:rsidRPr="00015190">
        <w:rPr>
          <w:color w:val="000000"/>
        </w:rPr>
        <w:fldChar w:fldCharType="separate"/>
      </w:r>
      <w:r w:rsidR="009C068F">
        <w:rPr>
          <w:noProof/>
          <w:color w:val="000000"/>
        </w:rPr>
        <w:t>5</w:t>
      </w:r>
      <w:r w:rsidRPr="00015190">
        <w:rPr>
          <w:color w:val="000000"/>
        </w:rPr>
        <w:fldChar w:fldCharType="end"/>
      </w:r>
      <w:bookmarkEnd w:id="101"/>
      <w:bookmarkEnd w:id="103"/>
      <w:bookmarkEnd w:id="104"/>
      <w:r w:rsidRPr="00015190">
        <w:rPr>
          <w:color w:val="000000"/>
        </w:rPr>
        <w:t xml:space="preserve">. </w:t>
      </w:r>
      <w:r w:rsidRPr="00015190">
        <w:rPr>
          <w:rFonts w:cs="Arial"/>
          <w:i/>
          <w:color w:val="000000"/>
        </w:rPr>
        <w:t>Scoring threshold table to determine seagrass abundance status.</w:t>
      </w:r>
      <w:bookmarkEnd w:id="102"/>
      <w:bookmarkEnd w:id="105"/>
      <w:r w:rsidRPr="00015190">
        <w:rPr>
          <w:i/>
          <w:color w:val="000000"/>
        </w:rPr>
        <w:t xml:space="preserve"> </w:t>
      </w:r>
    </w:p>
    <w:p w:rsidR="003D1F7F" w:rsidRPr="00015190" w:rsidRDefault="003D1F7F" w:rsidP="003D1F7F">
      <w:pPr>
        <w:jc w:val="center"/>
        <w:rPr>
          <w:color w:val="000000"/>
        </w:rPr>
      </w:pPr>
      <w:proofErr w:type="gramStart"/>
      <w:r w:rsidRPr="00015190">
        <w:rPr>
          <w:i/>
          <w:color w:val="000000"/>
        </w:rPr>
        <w:t>low</w:t>
      </w:r>
      <w:proofErr w:type="gramEnd"/>
      <w:r w:rsidRPr="00015190">
        <w:rPr>
          <w:i/>
          <w:color w:val="000000"/>
        </w:rPr>
        <w:t xml:space="preserve"> = 10</w:t>
      </w:r>
      <w:r w:rsidRPr="00015190">
        <w:rPr>
          <w:i/>
          <w:color w:val="000000"/>
          <w:vertAlign w:val="superscript"/>
        </w:rPr>
        <w:t>th</w:t>
      </w:r>
      <w:r w:rsidRPr="00015190">
        <w:rPr>
          <w:i/>
          <w:color w:val="000000"/>
        </w:rPr>
        <w:t xml:space="preserve"> or 20</w:t>
      </w:r>
      <w:r w:rsidRPr="00015190">
        <w:rPr>
          <w:i/>
          <w:color w:val="000000"/>
          <w:vertAlign w:val="superscript"/>
        </w:rPr>
        <w:t>th</w:t>
      </w:r>
      <w:r w:rsidRPr="00015190">
        <w:rPr>
          <w:i/>
          <w:color w:val="000000"/>
        </w:rPr>
        <w:t xml:space="preserve"> percentile </w:t>
      </w:r>
      <w:r w:rsidRPr="002B4B54">
        <w:rPr>
          <w:i/>
          <w:color w:val="000000"/>
        </w:rPr>
        <w:t>guideline (</w:t>
      </w:r>
      <w:r w:rsidRPr="002B4B54">
        <w:rPr>
          <w:i/>
          <w:color w:val="000000"/>
        </w:rPr>
        <w:fldChar w:fldCharType="begin"/>
      </w:r>
      <w:r w:rsidRPr="002B4B54">
        <w:rPr>
          <w:i/>
          <w:color w:val="000000"/>
        </w:rPr>
        <w:instrText xml:space="preserve"> REF _Ref340344284 \h  \* MERGEFORMAT </w:instrText>
      </w:r>
      <w:r w:rsidRPr="002B4B54">
        <w:rPr>
          <w:i/>
          <w:color w:val="000000"/>
        </w:rPr>
      </w:r>
      <w:r w:rsidRPr="002B4B54">
        <w:rPr>
          <w:i/>
          <w:color w:val="000000"/>
        </w:rPr>
        <w:fldChar w:fldCharType="separate"/>
      </w:r>
      <w:r w:rsidR="009C068F" w:rsidRPr="009C068F">
        <w:rPr>
          <w:i/>
          <w:color w:val="000000"/>
        </w:rPr>
        <w:t>Table 33</w:t>
      </w:r>
      <w:r w:rsidRPr="002B4B54">
        <w:rPr>
          <w:i/>
          <w:color w:val="000000"/>
        </w:rPr>
        <w:fldChar w:fldCharType="end"/>
      </w:r>
      <w:r w:rsidRPr="002B4B54">
        <w:rPr>
          <w:i/>
          <w:color w:val="000000"/>
        </w:rPr>
        <w:t>).</w:t>
      </w:r>
      <w:r w:rsidRPr="00015190">
        <w:rPr>
          <w:i/>
          <w:color w:val="000000"/>
        </w:rPr>
        <w:t xml:space="preserve"> </w:t>
      </w:r>
      <w:r>
        <w:rPr>
          <w:i/>
          <w:color w:val="000000"/>
        </w:rPr>
        <w:t xml:space="preserve">NB: scores are </w:t>
      </w:r>
      <w:proofErr w:type="spellStart"/>
      <w:r>
        <w:rPr>
          <w:i/>
          <w:color w:val="000000"/>
        </w:rPr>
        <w:t>unitless</w:t>
      </w:r>
      <w:proofErr w:type="spellEnd"/>
      <w:r>
        <w:rPr>
          <w:i/>
          <w:color w:val="000000"/>
        </w:rPr>
        <w:t>.</w:t>
      </w:r>
    </w:p>
    <w:tbl>
      <w:tblPr>
        <w:tblW w:w="6200" w:type="dxa"/>
        <w:jc w:val="center"/>
        <w:tblLook w:val="0000" w:firstRow="0" w:lastRow="0" w:firstColumn="0" w:lastColumn="0" w:noHBand="0" w:noVBand="0"/>
      </w:tblPr>
      <w:tblGrid>
        <w:gridCol w:w="1370"/>
        <w:gridCol w:w="1650"/>
        <w:gridCol w:w="1560"/>
        <w:gridCol w:w="1620"/>
      </w:tblGrid>
      <w:tr w:rsidR="003D1F7F" w:rsidRPr="00015190" w:rsidTr="001368E7">
        <w:trPr>
          <w:trHeight w:val="290"/>
          <w:jc w:val="center"/>
        </w:trPr>
        <w:tc>
          <w:tcPr>
            <w:tcW w:w="1370" w:type="dxa"/>
            <w:tcBorders>
              <w:top w:val="single" w:sz="4" w:space="0" w:color="auto"/>
              <w:left w:val="nil"/>
              <w:bottom w:val="single" w:sz="4" w:space="0" w:color="auto"/>
              <w:right w:val="nil"/>
            </w:tcBorders>
            <w:noWrap/>
            <w:vAlign w:val="bottom"/>
          </w:tcPr>
          <w:p w:rsidR="003D1F7F" w:rsidRPr="00015190" w:rsidRDefault="003D1F7F" w:rsidP="001368E7">
            <w:pPr>
              <w:spacing w:before="0" w:after="0"/>
              <w:jc w:val="center"/>
              <w:rPr>
                <w:b/>
                <w:color w:val="000000"/>
                <w:lang w:val="en-US"/>
              </w:rPr>
            </w:pPr>
            <w:r w:rsidRPr="00015190">
              <w:rPr>
                <w:b/>
                <w:color w:val="000000"/>
                <w:szCs w:val="22"/>
                <w:lang w:val="en-US"/>
              </w:rPr>
              <w:t>description</w:t>
            </w:r>
          </w:p>
        </w:tc>
        <w:tc>
          <w:tcPr>
            <w:tcW w:w="1650" w:type="dxa"/>
            <w:tcBorders>
              <w:top w:val="single" w:sz="4" w:space="0" w:color="auto"/>
              <w:left w:val="nil"/>
              <w:bottom w:val="single" w:sz="4" w:space="0" w:color="auto"/>
              <w:right w:val="nil"/>
            </w:tcBorders>
            <w:noWrap/>
            <w:vAlign w:val="bottom"/>
          </w:tcPr>
          <w:p w:rsidR="003D1F7F" w:rsidRPr="00015190" w:rsidRDefault="003D1F7F" w:rsidP="001368E7">
            <w:pPr>
              <w:spacing w:before="0" w:after="0"/>
              <w:jc w:val="center"/>
              <w:rPr>
                <w:b/>
                <w:color w:val="000000"/>
                <w:lang w:val="en-US"/>
              </w:rPr>
            </w:pPr>
            <w:r w:rsidRPr="00015190">
              <w:rPr>
                <w:b/>
                <w:color w:val="000000"/>
                <w:szCs w:val="22"/>
                <w:lang w:val="en-US"/>
              </w:rPr>
              <w:t>category</w:t>
            </w:r>
          </w:p>
        </w:tc>
        <w:tc>
          <w:tcPr>
            <w:tcW w:w="1560" w:type="dxa"/>
            <w:tcBorders>
              <w:top w:val="single" w:sz="4" w:space="0" w:color="auto"/>
              <w:left w:val="nil"/>
              <w:bottom w:val="single" w:sz="4" w:space="0" w:color="auto"/>
              <w:right w:val="nil"/>
            </w:tcBorders>
            <w:noWrap/>
            <w:vAlign w:val="bottom"/>
          </w:tcPr>
          <w:p w:rsidR="003D1F7F" w:rsidRPr="00015190" w:rsidRDefault="003D1F7F" w:rsidP="001368E7">
            <w:pPr>
              <w:spacing w:before="0" w:after="0"/>
              <w:jc w:val="center"/>
              <w:rPr>
                <w:b/>
                <w:color w:val="000000"/>
                <w:lang w:val="en-US"/>
              </w:rPr>
            </w:pPr>
            <w:r w:rsidRPr="00015190">
              <w:rPr>
                <w:b/>
                <w:color w:val="000000"/>
                <w:szCs w:val="22"/>
                <w:lang w:val="en-US"/>
              </w:rPr>
              <w:t>score</w:t>
            </w:r>
          </w:p>
        </w:tc>
        <w:tc>
          <w:tcPr>
            <w:tcW w:w="1620" w:type="dxa"/>
            <w:tcBorders>
              <w:top w:val="single" w:sz="4" w:space="0" w:color="auto"/>
              <w:left w:val="nil"/>
              <w:bottom w:val="single" w:sz="4" w:space="0" w:color="auto"/>
              <w:right w:val="nil"/>
            </w:tcBorders>
            <w:noWrap/>
            <w:vAlign w:val="bottom"/>
          </w:tcPr>
          <w:p w:rsidR="003D1F7F" w:rsidRPr="00015190" w:rsidRDefault="003D1F7F" w:rsidP="001368E7">
            <w:pPr>
              <w:spacing w:before="0" w:after="0"/>
              <w:jc w:val="center"/>
              <w:rPr>
                <w:b/>
                <w:color w:val="000000"/>
                <w:lang w:val="en-US"/>
              </w:rPr>
            </w:pPr>
            <w:r w:rsidRPr="00015190">
              <w:rPr>
                <w:b/>
                <w:color w:val="000000"/>
                <w:szCs w:val="22"/>
                <w:lang w:val="en-US"/>
              </w:rPr>
              <w:t>status</w:t>
            </w:r>
          </w:p>
        </w:tc>
      </w:tr>
      <w:tr w:rsidR="003D1F7F" w:rsidRPr="00015190" w:rsidTr="001368E7">
        <w:trPr>
          <w:trHeight w:val="290"/>
          <w:jc w:val="center"/>
        </w:trPr>
        <w:tc>
          <w:tcPr>
            <w:tcW w:w="1370" w:type="dxa"/>
            <w:tcBorders>
              <w:top w:val="nil"/>
              <w:left w:val="nil"/>
              <w:bottom w:val="nil"/>
              <w:right w:val="nil"/>
            </w:tcBorders>
            <w:noWrap/>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very good</w:t>
            </w:r>
          </w:p>
        </w:tc>
        <w:tc>
          <w:tcPr>
            <w:tcW w:w="1650"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75-100</w:t>
            </w:r>
          </w:p>
        </w:tc>
        <w:tc>
          <w:tcPr>
            <w:tcW w:w="1560"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100</w:t>
            </w:r>
          </w:p>
        </w:tc>
        <w:tc>
          <w:tcPr>
            <w:tcW w:w="1620" w:type="dxa"/>
            <w:tcBorders>
              <w:top w:val="nil"/>
              <w:left w:val="nil"/>
              <w:bottom w:val="nil"/>
              <w:right w:val="nil"/>
            </w:tcBorders>
            <w:shd w:val="clear" w:color="auto" w:fill="008000"/>
            <w:noWrap/>
            <w:vAlign w:val="bottom"/>
          </w:tcPr>
          <w:p w:rsidR="003D1F7F" w:rsidRPr="00015190" w:rsidRDefault="003D1F7F" w:rsidP="002605DA">
            <w:pPr>
              <w:spacing w:before="0" w:after="0"/>
              <w:jc w:val="center"/>
              <w:rPr>
                <w:color w:val="000000"/>
                <w:lang w:eastAsia="en-AU"/>
              </w:rPr>
            </w:pPr>
            <w:r w:rsidRPr="00015190">
              <w:rPr>
                <w:color w:val="000000"/>
                <w:szCs w:val="22"/>
                <w:lang w:eastAsia="en-AU"/>
              </w:rPr>
              <w:t>8</w:t>
            </w:r>
            <w:r w:rsidR="002605DA">
              <w:rPr>
                <w:color w:val="000000"/>
                <w:szCs w:val="22"/>
                <w:lang w:eastAsia="en-AU"/>
              </w:rPr>
              <w:t>1</w:t>
            </w:r>
            <w:r w:rsidRPr="00015190">
              <w:rPr>
                <w:color w:val="000000"/>
                <w:szCs w:val="22"/>
                <w:lang w:eastAsia="en-AU"/>
              </w:rPr>
              <w:t xml:space="preserve"> - 100</w:t>
            </w:r>
          </w:p>
        </w:tc>
      </w:tr>
      <w:tr w:rsidR="003D1F7F" w:rsidRPr="00015190" w:rsidTr="001368E7">
        <w:trPr>
          <w:trHeight w:val="290"/>
          <w:jc w:val="center"/>
        </w:trPr>
        <w:tc>
          <w:tcPr>
            <w:tcW w:w="1370" w:type="dxa"/>
            <w:tcBorders>
              <w:top w:val="nil"/>
              <w:left w:val="nil"/>
              <w:bottom w:val="nil"/>
              <w:right w:val="nil"/>
            </w:tcBorders>
            <w:noWrap/>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good</w:t>
            </w:r>
          </w:p>
        </w:tc>
        <w:tc>
          <w:tcPr>
            <w:tcW w:w="1650"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50-75</w:t>
            </w:r>
          </w:p>
        </w:tc>
        <w:tc>
          <w:tcPr>
            <w:tcW w:w="1560"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75</w:t>
            </w:r>
          </w:p>
        </w:tc>
        <w:tc>
          <w:tcPr>
            <w:tcW w:w="1620" w:type="dxa"/>
            <w:tcBorders>
              <w:top w:val="nil"/>
              <w:left w:val="nil"/>
              <w:bottom w:val="nil"/>
              <w:right w:val="nil"/>
            </w:tcBorders>
            <w:shd w:val="clear" w:color="auto" w:fill="92D050"/>
            <w:noWrap/>
            <w:vAlign w:val="bottom"/>
          </w:tcPr>
          <w:p w:rsidR="003D1F7F" w:rsidRPr="00015190" w:rsidRDefault="003D1F7F" w:rsidP="002605DA">
            <w:pPr>
              <w:spacing w:before="0" w:after="0"/>
              <w:jc w:val="center"/>
              <w:rPr>
                <w:color w:val="000000"/>
                <w:lang w:eastAsia="en-AU"/>
              </w:rPr>
            </w:pPr>
            <w:r w:rsidRPr="00015190">
              <w:rPr>
                <w:color w:val="000000"/>
                <w:szCs w:val="22"/>
                <w:lang w:eastAsia="en-AU"/>
              </w:rPr>
              <w:t>6</w:t>
            </w:r>
            <w:r w:rsidR="002605DA">
              <w:rPr>
                <w:color w:val="000000"/>
                <w:szCs w:val="22"/>
                <w:lang w:eastAsia="en-AU"/>
              </w:rPr>
              <w:t>1</w:t>
            </w:r>
            <w:r w:rsidRPr="00015190">
              <w:rPr>
                <w:color w:val="000000"/>
                <w:szCs w:val="22"/>
                <w:lang w:eastAsia="en-AU"/>
              </w:rPr>
              <w:t xml:space="preserve"> - 80</w:t>
            </w:r>
          </w:p>
        </w:tc>
      </w:tr>
      <w:tr w:rsidR="003D1F7F" w:rsidRPr="00015190" w:rsidTr="001368E7">
        <w:trPr>
          <w:trHeight w:val="290"/>
          <w:jc w:val="center"/>
        </w:trPr>
        <w:tc>
          <w:tcPr>
            <w:tcW w:w="1370" w:type="dxa"/>
            <w:tcBorders>
              <w:top w:val="nil"/>
              <w:left w:val="nil"/>
              <w:bottom w:val="nil"/>
              <w:right w:val="nil"/>
            </w:tcBorders>
            <w:noWrap/>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moderate</w:t>
            </w:r>
          </w:p>
        </w:tc>
        <w:tc>
          <w:tcPr>
            <w:tcW w:w="1650"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low-50</w:t>
            </w:r>
          </w:p>
        </w:tc>
        <w:tc>
          <w:tcPr>
            <w:tcW w:w="1560"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50</w:t>
            </w:r>
          </w:p>
        </w:tc>
        <w:tc>
          <w:tcPr>
            <w:tcW w:w="1620" w:type="dxa"/>
            <w:tcBorders>
              <w:top w:val="nil"/>
              <w:left w:val="nil"/>
              <w:bottom w:val="nil"/>
              <w:right w:val="nil"/>
            </w:tcBorders>
            <w:shd w:val="clear" w:color="auto" w:fill="FFFF00"/>
            <w:noWrap/>
            <w:vAlign w:val="bottom"/>
          </w:tcPr>
          <w:p w:rsidR="003D1F7F" w:rsidRPr="00015190" w:rsidRDefault="002605DA" w:rsidP="002605DA">
            <w:pPr>
              <w:spacing w:before="0" w:after="0"/>
              <w:jc w:val="center"/>
              <w:rPr>
                <w:color w:val="000000"/>
                <w:lang w:eastAsia="en-AU"/>
              </w:rPr>
            </w:pPr>
            <w:r>
              <w:rPr>
                <w:color w:val="000000"/>
                <w:szCs w:val="22"/>
                <w:lang w:eastAsia="en-AU"/>
              </w:rPr>
              <w:t xml:space="preserve">41 - </w:t>
            </w:r>
            <w:r w:rsidR="003D1F7F" w:rsidRPr="00015190">
              <w:rPr>
                <w:color w:val="000000"/>
                <w:szCs w:val="22"/>
                <w:lang w:eastAsia="en-AU"/>
              </w:rPr>
              <w:t>60</w:t>
            </w:r>
          </w:p>
        </w:tc>
      </w:tr>
      <w:tr w:rsidR="003D1F7F" w:rsidRPr="00015190" w:rsidTr="001368E7">
        <w:trPr>
          <w:trHeight w:val="290"/>
          <w:jc w:val="center"/>
        </w:trPr>
        <w:tc>
          <w:tcPr>
            <w:tcW w:w="1370" w:type="dxa"/>
            <w:tcBorders>
              <w:top w:val="nil"/>
              <w:left w:val="nil"/>
              <w:right w:val="nil"/>
            </w:tcBorders>
            <w:noWrap/>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poor</w:t>
            </w:r>
          </w:p>
        </w:tc>
        <w:tc>
          <w:tcPr>
            <w:tcW w:w="1650" w:type="dxa"/>
            <w:tcBorders>
              <w:top w:val="nil"/>
              <w:left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&lt;low</w:t>
            </w:r>
          </w:p>
        </w:tc>
        <w:tc>
          <w:tcPr>
            <w:tcW w:w="1560" w:type="dxa"/>
            <w:tcBorders>
              <w:top w:val="nil"/>
              <w:left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25</w:t>
            </w:r>
          </w:p>
        </w:tc>
        <w:tc>
          <w:tcPr>
            <w:tcW w:w="1620" w:type="dxa"/>
            <w:tcBorders>
              <w:top w:val="nil"/>
              <w:left w:val="nil"/>
              <w:right w:val="nil"/>
            </w:tcBorders>
            <w:shd w:val="clear" w:color="auto" w:fill="FFC000"/>
            <w:noWrap/>
            <w:vAlign w:val="bottom"/>
          </w:tcPr>
          <w:p w:rsidR="003D1F7F" w:rsidRPr="00015190" w:rsidRDefault="002605DA" w:rsidP="002605DA">
            <w:pPr>
              <w:spacing w:before="0" w:after="0"/>
              <w:jc w:val="center"/>
              <w:rPr>
                <w:color w:val="000000"/>
                <w:lang w:eastAsia="en-AU"/>
              </w:rPr>
            </w:pPr>
            <w:r>
              <w:rPr>
                <w:color w:val="000000"/>
                <w:szCs w:val="22"/>
                <w:lang w:eastAsia="en-AU"/>
              </w:rPr>
              <w:t xml:space="preserve">21 - </w:t>
            </w:r>
            <w:r w:rsidR="003D1F7F" w:rsidRPr="00015190">
              <w:rPr>
                <w:color w:val="000000"/>
                <w:szCs w:val="22"/>
                <w:lang w:eastAsia="en-AU"/>
              </w:rPr>
              <w:t>40</w:t>
            </w:r>
          </w:p>
        </w:tc>
      </w:tr>
      <w:tr w:rsidR="003D1F7F" w:rsidRPr="00015190" w:rsidTr="001368E7">
        <w:trPr>
          <w:trHeight w:val="290"/>
          <w:jc w:val="center"/>
        </w:trPr>
        <w:tc>
          <w:tcPr>
            <w:tcW w:w="1370" w:type="dxa"/>
            <w:tcBorders>
              <w:top w:val="nil"/>
              <w:left w:val="nil"/>
              <w:bottom w:val="single" w:sz="4" w:space="0" w:color="auto"/>
              <w:right w:val="nil"/>
            </w:tcBorders>
            <w:noWrap/>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very poor</w:t>
            </w:r>
          </w:p>
        </w:tc>
        <w:tc>
          <w:tcPr>
            <w:tcW w:w="1650" w:type="dxa"/>
            <w:tcBorders>
              <w:top w:val="nil"/>
              <w:left w:val="nil"/>
              <w:bottom w:val="single" w:sz="4" w:space="0" w:color="auto"/>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&lt;low by &gt;20%</w:t>
            </w:r>
          </w:p>
        </w:tc>
        <w:tc>
          <w:tcPr>
            <w:tcW w:w="1560" w:type="dxa"/>
            <w:tcBorders>
              <w:top w:val="nil"/>
              <w:left w:val="nil"/>
              <w:bottom w:val="single" w:sz="4" w:space="0" w:color="auto"/>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w:t>
            </w:r>
          </w:p>
        </w:tc>
        <w:tc>
          <w:tcPr>
            <w:tcW w:w="1620" w:type="dxa"/>
            <w:tcBorders>
              <w:top w:val="nil"/>
              <w:left w:val="nil"/>
              <w:bottom w:val="single" w:sz="4" w:space="0" w:color="auto"/>
              <w:right w:val="nil"/>
            </w:tcBorders>
            <w:shd w:val="clear" w:color="auto" w:fill="FF0000"/>
            <w:noWrap/>
            <w:vAlign w:val="bottom"/>
          </w:tcPr>
          <w:p w:rsidR="003D1F7F" w:rsidRPr="00015190" w:rsidRDefault="002605DA" w:rsidP="001368E7">
            <w:pPr>
              <w:spacing w:before="0" w:after="0"/>
              <w:jc w:val="center"/>
              <w:rPr>
                <w:color w:val="000000"/>
                <w:lang w:eastAsia="en-AU"/>
              </w:rPr>
            </w:pPr>
            <w:r>
              <w:rPr>
                <w:color w:val="000000"/>
                <w:szCs w:val="22"/>
                <w:lang w:eastAsia="en-AU"/>
              </w:rPr>
              <w:t xml:space="preserve">0 - </w:t>
            </w:r>
            <w:r w:rsidR="003D1F7F" w:rsidRPr="00015190">
              <w:rPr>
                <w:color w:val="000000"/>
                <w:szCs w:val="22"/>
                <w:lang w:eastAsia="en-AU"/>
              </w:rPr>
              <w:t>20</w:t>
            </w:r>
          </w:p>
        </w:tc>
      </w:tr>
    </w:tbl>
    <w:p w:rsidR="003D1F7F" w:rsidRPr="00BA12BB" w:rsidRDefault="003D1F7F" w:rsidP="00926892">
      <w:pPr>
        <w:pStyle w:val="Heading3"/>
        <w:numPr>
          <w:ilvl w:val="2"/>
          <w:numId w:val="9"/>
        </w:numPr>
        <w:rPr>
          <w:rFonts w:ascii="Arial" w:hAnsi="Arial" w:cs="Arial"/>
        </w:rPr>
      </w:pPr>
      <w:bookmarkStart w:id="106" w:name="_Toc184101956"/>
      <w:bookmarkStart w:id="107" w:name="_Toc381027992"/>
      <w:bookmarkStart w:id="108" w:name="_Toc462047328"/>
      <w:r w:rsidRPr="00BA12BB">
        <w:rPr>
          <w:rFonts w:ascii="Arial" w:hAnsi="Arial" w:cs="Arial"/>
        </w:rPr>
        <w:t>Seagrass reproductive effort</w:t>
      </w:r>
      <w:bookmarkEnd w:id="106"/>
      <w:bookmarkEnd w:id="107"/>
      <w:bookmarkEnd w:id="108"/>
    </w:p>
    <w:p w:rsidR="003D1F7F" w:rsidRPr="00591DF9" w:rsidRDefault="003D1F7F" w:rsidP="003D1F7F">
      <w:pPr>
        <w:rPr>
          <w:color w:val="000000"/>
          <w:szCs w:val="22"/>
        </w:rPr>
      </w:pPr>
      <w:r w:rsidRPr="00591DF9">
        <w:rPr>
          <w:color w:val="000000"/>
          <w:szCs w:val="22"/>
        </w:rPr>
        <w:t xml:space="preserve">Given the high diversity of seagrass species that occur in the GBR coastal zone </w:t>
      </w:r>
      <w:r w:rsidRPr="00591DF9">
        <w:rPr>
          <w:noProof/>
          <w:color w:val="000000"/>
          <w:szCs w:val="22"/>
        </w:rPr>
        <w:t>(</w:t>
      </w:r>
      <w:hyperlink w:anchor="_ENREF_238" w:tooltip="Waycott, 2007 #9133" w:history="1">
        <w:r w:rsidR="00E6043D">
          <w:rPr>
            <w:noProof/>
            <w:color w:val="000000"/>
            <w:szCs w:val="22"/>
          </w:rPr>
          <w:fldChar w:fldCharType="begin"/>
        </w:r>
        <w:r w:rsidR="00E6043D">
          <w:rPr>
            <w:noProof/>
            <w:color w:val="000000"/>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E6043D">
          <w:rPr>
            <w:noProof/>
            <w:color w:val="000000"/>
            <w:szCs w:val="22"/>
          </w:rPr>
          <w:fldChar w:fldCharType="separate"/>
        </w:r>
        <w:r w:rsidR="00E6043D">
          <w:rPr>
            <w:noProof/>
            <w:color w:val="000000"/>
            <w:szCs w:val="22"/>
          </w:rPr>
          <w:t>Waycott</w:t>
        </w:r>
        <w:r w:rsidR="00E6043D" w:rsidRPr="00644A84">
          <w:rPr>
            <w:i/>
            <w:noProof/>
            <w:color w:val="000000"/>
            <w:szCs w:val="22"/>
          </w:rPr>
          <w:t>, et al.</w:t>
        </w:r>
        <w:r w:rsidR="00E6043D">
          <w:rPr>
            <w:noProof/>
            <w:color w:val="000000"/>
            <w:szCs w:val="22"/>
          </w:rPr>
          <w:t xml:space="preserve"> 2007</w:t>
        </w:r>
        <w:r w:rsidR="00E6043D">
          <w:rPr>
            <w:noProof/>
            <w:color w:val="000000"/>
            <w:szCs w:val="22"/>
          </w:rPr>
          <w:fldChar w:fldCharType="end"/>
        </w:r>
      </w:hyperlink>
      <w:r w:rsidRPr="00591DF9">
        <w:rPr>
          <w:noProof/>
          <w:color w:val="000000"/>
          <w:szCs w:val="22"/>
        </w:rPr>
        <w:t>)</w:t>
      </w:r>
      <w:r w:rsidRPr="00591DF9">
        <w:rPr>
          <w:color w:val="000000"/>
          <w:szCs w:val="22"/>
        </w:rPr>
        <w:t xml:space="preserve">, their variability in production of reproductive structures </w:t>
      </w:r>
      <w:r w:rsidRPr="00591DF9">
        <w:rPr>
          <w:noProof/>
          <w:color w:val="000000"/>
          <w:szCs w:val="22"/>
        </w:rPr>
        <w:t xml:space="preserve">(e.g. </w:t>
      </w:r>
      <w:hyperlink w:anchor="_ENREF_192" w:tooltip="Orth, 2006 #7350" w:history="1">
        <w:r w:rsidR="00E6043D">
          <w:rPr>
            <w:noProof/>
            <w:color w:val="000000"/>
            <w:szCs w:val="22"/>
          </w:rPr>
          <w:fldChar w:fldCharType="begin"/>
        </w:r>
        <w:r w:rsidR="00E6043D">
          <w:rPr>
            <w:noProof/>
            <w:color w:val="000000"/>
            <w:szCs w:val="22"/>
          </w:rPr>
          <w:instrText xml:space="preserve"> ADDIN EN.CITE &lt;EndNote&gt;&lt;Cite&gt;&lt;Author&gt;Orth&lt;/Author&gt;&lt;Year&gt;2006&lt;/Year&gt;&lt;RecNum&gt;7350&lt;/RecNum&gt;&lt;DisplayText&gt;Orth&lt;style face="italic"&gt; et al.&lt;/style&gt; 2006&lt;/DisplayText&gt;&lt;record&gt;&lt;rec-number&gt;7350&lt;/rec-number&gt;&lt;foreign-keys&gt;&lt;key app="EN" db-id="0eve55x9y5vfd6e9dacxtew4eatve2dzds9a"&gt;7350&lt;/key&gt;&lt;/foreign-keys&gt;&lt;ref-type name="Book Section"&gt;5&lt;/ref-type&gt;&lt;contributors&gt;&lt;authors&gt;&lt;author&gt;Orth, Robert J.&lt;/author&gt;&lt;author&gt;Harwell, Matthew C.&lt;/author&gt;&lt;author&gt;Inglis, Graeme J.&lt;/author&gt;&lt;/authors&gt;&lt;secondary-authors&gt;&lt;author&gt;Larkum, Anthony W. D.&lt;/author&gt;&lt;author&gt;Orth, Robert J.&lt;/author&gt;&lt;author&gt;Duarte, Carlos M.&lt;/author&gt;&lt;/secondary-authors&gt;&lt;/contributors&gt;&lt;titles&gt;&lt;title&gt;Ecology of seagrass seeds and dispersal strategies&lt;/title&gt;&lt;secondary-title&gt;Seagrasses: biology, ecology and conservation&lt;/secondary-title&gt;&lt;/titles&gt;&lt;periodical&gt;&lt;full-title&gt;Seagrasses: Biology, Ecology and Conservation&lt;/full-title&gt;&lt;/periodical&gt;&lt;pages&gt;113-133&lt;/pages&gt;&lt;section&gt;5&lt;/section&gt;&lt;dates&gt;&lt;year&gt;2006&lt;/year&gt;&lt;/dates&gt;&lt;pub-location&gt;Dordrecht&lt;/pub-location&gt;&lt;publisher&gt;Springer&lt;/publisher&gt;&lt;isbn&gt;10 1-4020-2942-X&lt;/isbn&gt;&lt;urls&gt;&lt;/urls&gt;&lt;/record&gt;&lt;/Cite&gt;&lt;/EndNote&gt;</w:instrText>
        </w:r>
        <w:r w:rsidR="00E6043D">
          <w:rPr>
            <w:noProof/>
            <w:color w:val="000000"/>
            <w:szCs w:val="22"/>
          </w:rPr>
          <w:fldChar w:fldCharType="separate"/>
        </w:r>
        <w:r w:rsidR="00E6043D">
          <w:rPr>
            <w:noProof/>
            <w:color w:val="000000"/>
            <w:szCs w:val="22"/>
          </w:rPr>
          <w:t>Orth</w:t>
        </w:r>
        <w:r w:rsidR="00E6043D" w:rsidRPr="00644A84">
          <w:rPr>
            <w:i/>
            <w:noProof/>
            <w:color w:val="000000"/>
            <w:szCs w:val="22"/>
          </w:rPr>
          <w:t xml:space="preserve"> et al.</w:t>
        </w:r>
        <w:r w:rsidR="00E6043D">
          <w:rPr>
            <w:noProof/>
            <w:color w:val="000000"/>
            <w:szCs w:val="22"/>
          </w:rPr>
          <w:t xml:space="preserve"> 2006</w:t>
        </w:r>
        <w:r w:rsidR="00E6043D">
          <w:rPr>
            <w:noProof/>
            <w:color w:val="000000"/>
            <w:szCs w:val="22"/>
          </w:rPr>
          <w:fldChar w:fldCharType="end"/>
        </w:r>
      </w:hyperlink>
      <w:r w:rsidRPr="00591DF9">
        <w:rPr>
          <w:noProof/>
          <w:color w:val="000000"/>
          <w:szCs w:val="22"/>
        </w:rPr>
        <w:t>)</w:t>
      </w:r>
      <w:r w:rsidRPr="00591DF9">
        <w:rPr>
          <w:color w:val="000000"/>
          <w:szCs w:val="22"/>
        </w:rPr>
        <w:t xml:space="preserve">, a metric that incorporates all available information on the production of flowers and fruits per unit area is the most useful. </w:t>
      </w:r>
    </w:p>
    <w:p w:rsidR="003D1F7F" w:rsidRDefault="003D1F7F" w:rsidP="003D1F7F">
      <w:pPr>
        <w:spacing w:before="240"/>
        <w:rPr>
          <w:color w:val="000000"/>
          <w:szCs w:val="22"/>
        </w:rPr>
      </w:pPr>
      <w:r w:rsidRPr="00591DF9">
        <w:rPr>
          <w:color w:val="000000"/>
          <w:szCs w:val="22"/>
        </w:rPr>
        <w:t>Using the annual mean of all species pooled in the late dry and comparing with the long-term (2005-2010) average for GBR habitat (coastal intertidal = 8.22±0.71, estuarine intertidal = 5.07±0.41, reef intertidal = 1.32±0.14), the reproductive effort was scored as the number of reproductive structures per core and the overall status determined (</w:t>
      </w:r>
      <w:r w:rsidRPr="00591DF9">
        <w:rPr>
          <w:color w:val="000000"/>
        </w:rPr>
        <w:fldChar w:fldCharType="begin"/>
      </w:r>
      <w:r w:rsidRPr="00591DF9">
        <w:rPr>
          <w:color w:val="000000"/>
        </w:rPr>
        <w:instrText xml:space="preserve"> REF _Ref271192830 \h  \* MERGEFORMAT </w:instrText>
      </w:r>
      <w:r w:rsidRPr="00591DF9">
        <w:rPr>
          <w:color w:val="000000"/>
        </w:rPr>
      </w:r>
      <w:r w:rsidRPr="00591DF9">
        <w:rPr>
          <w:color w:val="000000"/>
        </w:rPr>
        <w:fldChar w:fldCharType="separate"/>
      </w:r>
      <w:r w:rsidR="009C068F" w:rsidRPr="00015190">
        <w:rPr>
          <w:color w:val="000000"/>
          <w:szCs w:val="22"/>
        </w:rPr>
        <w:t xml:space="preserve">Table </w:t>
      </w:r>
      <w:r w:rsidR="009C068F">
        <w:rPr>
          <w:noProof/>
          <w:color w:val="000000"/>
          <w:szCs w:val="22"/>
        </w:rPr>
        <w:t>6</w:t>
      </w:r>
      <w:r w:rsidRPr="00591DF9">
        <w:rPr>
          <w:color w:val="000000"/>
        </w:rPr>
        <w:fldChar w:fldCharType="end"/>
      </w:r>
      <w:r w:rsidRPr="00591DF9">
        <w:rPr>
          <w:color w:val="000000"/>
          <w:szCs w:val="22"/>
        </w:rPr>
        <w:t xml:space="preserve">) as the ratio of the average number observed </w:t>
      </w:r>
      <w:r w:rsidR="00081490">
        <w:rPr>
          <w:color w:val="000000"/>
          <w:szCs w:val="22"/>
        </w:rPr>
        <w:t>relative to</w:t>
      </w:r>
      <w:r w:rsidRPr="00591DF9">
        <w:rPr>
          <w:color w:val="000000"/>
          <w:szCs w:val="22"/>
        </w:rPr>
        <w:t xml:space="preserve"> the long term average.</w:t>
      </w:r>
    </w:p>
    <w:p w:rsidR="003D1F7F" w:rsidRPr="00015190" w:rsidRDefault="003D1F7F" w:rsidP="003D1F7F">
      <w:pPr>
        <w:keepNext/>
        <w:jc w:val="center"/>
        <w:rPr>
          <w:color w:val="000000"/>
          <w:szCs w:val="22"/>
        </w:rPr>
      </w:pPr>
      <w:bookmarkStart w:id="109" w:name="_Ref271192830"/>
      <w:bookmarkStart w:id="110" w:name="_Toc462685075"/>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9C068F">
        <w:rPr>
          <w:noProof/>
          <w:color w:val="000000"/>
          <w:szCs w:val="22"/>
        </w:rPr>
        <w:t>6</w:t>
      </w:r>
      <w:r w:rsidRPr="00015190">
        <w:rPr>
          <w:color w:val="000000"/>
          <w:szCs w:val="22"/>
        </w:rPr>
        <w:fldChar w:fldCharType="end"/>
      </w:r>
      <w:bookmarkEnd w:id="109"/>
      <w:r w:rsidRPr="00015190">
        <w:rPr>
          <w:color w:val="000000"/>
          <w:szCs w:val="22"/>
        </w:rPr>
        <w:t xml:space="preserve">. </w:t>
      </w:r>
      <w:r w:rsidRPr="00015190">
        <w:rPr>
          <w:rFonts w:cs="Arial"/>
          <w:i/>
          <w:color w:val="000000"/>
          <w:szCs w:val="22"/>
        </w:rPr>
        <w:t xml:space="preserve">Scores for </w:t>
      </w:r>
      <w:r w:rsidRPr="00015190">
        <w:rPr>
          <w:i/>
          <w:iCs/>
          <w:color w:val="000000"/>
          <w:szCs w:val="22"/>
          <w:lang w:eastAsia="en-AU"/>
        </w:rPr>
        <w:t xml:space="preserve">late dry </w:t>
      </w:r>
      <w:r w:rsidRPr="00015190">
        <w:rPr>
          <w:rFonts w:cs="Arial"/>
          <w:i/>
          <w:color w:val="000000"/>
          <w:szCs w:val="22"/>
        </w:rPr>
        <w:t>monitoring period reproductive effort average against long-term (2005-20</w:t>
      </w:r>
      <w:r>
        <w:rPr>
          <w:rFonts w:cs="Arial"/>
          <w:i/>
          <w:color w:val="000000"/>
          <w:szCs w:val="22"/>
        </w:rPr>
        <w:t>10</w:t>
      </w:r>
      <w:r w:rsidRPr="00015190">
        <w:rPr>
          <w:rFonts w:cs="Arial"/>
          <w:i/>
          <w:color w:val="000000"/>
          <w:szCs w:val="22"/>
        </w:rPr>
        <w:t>) GBR habitat average.</w:t>
      </w:r>
      <w:r>
        <w:rPr>
          <w:rFonts w:cs="Arial"/>
          <w:i/>
          <w:color w:val="000000"/>
          <w:szCs w:val="22"/>
        </w:rPr>
        <w:t xml:space="preserve"> </w:t>
      </w:r>
      <w:r>
        <w:rPr>
          <w:i/>
          <w:color w:val="000000"/>
        </w:rPr>
        <w:t xml:space="preserve">NB: scores are </w:t>
      </w:r>
      <w:proofErr w:type="spellStart"/>
      <w:r>
        <w:rPr>
          <w:i/>
          <w:color w:val="000000"/>
        </w:rPr>
        <w:t>unitless</w:t>
      </w:r>
      <w:proofErr w:type="spellEnd"/>
      <w:r>
        <w:rPr>
          <w:i/>
          <w:color w:val="000000"/>
        </w:rPr>
        <w:t>.</w:t>
      </w:r>
      <w:bookmarkEnd w:id="110"/>
    </w:p>
    <w:tbl>
      <w:tblPr>
        <w:tblW w:w="8279" w:type="dxa"/>
        <w:jc w:val="center"/>
        <w:tblLook w:val="0000" w:firstRow="0" w:lastRow="0" w:firstColumn="0" w:lastColumn="0" w:noHBand="0" w:noVBand="0"/>
      </w:tblPr>
      <w:tblGrid>
        <w:gridCol w:w="1337"/>
        <w:gridCol w:w="2953"/>
        <w:gridCol w:w="766"/>
        <w:gridCol w:w="805"/>
        <w:gridCol w:w="1368"/>
        <w:gridCol w:w="1050"/>
      </w:tblGrid>
      <w:tr w:rsidR="003D1F7F" w:rsidRPr="00015190" w:rsidTr="001368E7">
        <w:trPr>
          <w:trHeight w:val="290"/>
          <w:jc w:val="center"/>
        </w:trPr>
        <w:tc>
          <w:tcPr>
            <w:tcW w:w="1337" w:type="dxa"/>
            <w:tcBorders>
              <w:top w:val="single" w:sz="4" w:space="0" w:color="auto"/>
              <w:left w:val="nil"/>
              <w:bottom w:val="single" w:sz="4" w:space="0" w:color="auto"/>
              <w:right w:val="nil"/>
            </w:tcBorders>
            <w:vAlign w:val="center"/>
          </w:tcPr>
          <w:p w:rsidR="003D1F7F" w:rsidRPr="00015190" w:rsidRDefault="003D1F7F" w:rsidP="001368E7">
            <w:pPr>
              <w:keepNext/>
              <w:spacing w:before="0" w:after="0"/>
              <w:jc w:val="center"/>
              <w:rPr>
                <w:b/>
                <w:i/>
                <w:iCs/>
                <w:color w:val="000000"/>
                <w:lang w:val="en-US"/>
              </w:rPr>
            </w:pPr>
            <w:r w:rsidRPr="00015190">
              <w:rPr>
                <w:b/>
                <w:i/>
                <w:iCs/>
                <w:color w:val="000000"/>
                <w:szCs w:val="22"/>
                <w:lang w:val="en-US"/>
              </w:rPr>
              <w:t>description</w:t>
            </w:r>
          </w:p>
        </w:tc>
        <w:tc>
          <w:tcPr>
            <w:tcW w:w="2953" w:type="dxa"/>
            <w:tcBorders>
              <w:top w:val="single" w:sz="4" w:space="0" w:color="auto"/>
              <w:left w:val="nil"/>
              <w:bottom w:val="single" w:sz="4" w:space="0" w:color="auto"/>
              <w:right w:val="nil"/>
            </w:tcBorders>
            <w:noWrap/>
            <w:vAlign w:val="center"/>
          </w:tcPr>
          <w:p w:rsidR="003D1F7F" w:rsidRPr="00015190" w:rsidRDefault="003D1F7F" w:rsidP="001368E7">
            <w:pPr>
              <w:keepNext/>
              <w:spacing w:before="0" w:after="0"/>
              <w:jc w:val="center"/>
              <w:rPr>
                <w:b/>
                <w:i/>
                <w:iCs/>
                <w:color w:val="000000"/>
                <w:lang w:val="en-US"/>
              </w:rPr>
            </w:pPr>
            <w:r w:rsidRPr="00015190">
              <w:rPr>
                <w:b/>
                <w:i/>
                <w:iCs/>
                <w:color w:val="000000"/>
                <w:szCs w:val="22"/>
                <w:lang w:val="en-US"/>
              </w:rPr>
              <w:t>Reproductive Effort</w:t>
            </w:r>
          </w:p>
          <w:p w:rsidR="003D1F7F" w:rsidRPr="00015190" w:rsidRDefault="003D1F7F" w:rsidP="001368E7">
            <w:pPr>
              <w:keepNext/>
              <w:spacing w:before="0" w:after="0"/>
              <w:jc w:val="center"/>
              <w:rPr>
                <w:b/>
                <w:i/>
                <w:iCs/>
                <w:color w:val="000000"/>
                <w:lang w:val="en-US"/>
              </w:rPr>
            </w:pPr>
            <w:r w:rsidRPr="00015190">
              <w:rPr>
                <w:b/>
                <w:i/>
                <w:iCs/>
                <w:color w:val="000000"/>
                <w:szCs w:val="22"/>
                <w:lang w:val="en-US"/>
              </w:rPr>
              <w:t>monitoring period / long-term</w:t>
            </w:r>
          </w:p>
        </w:tc>
        <w:tc>
          <w:tcPr>
            <w:tcW w:w="766" w:type="dxa"/>
            <w:tcBorders>
              <w:top w:val="single" w:sz="4" w:space="0" w:color="auto"/>
              <w:left w:val="nil"/>
              <w:bottom w:val="single" w:sz="4" w:space="0" w:color="auto"/>
              <w:right w:val="nil"/>
            </w:tcBorders>
            <w:vAlign w:val="center"/>
          </w:tcPr>
          <w:p w:rsidR="003D1F7F" w:rsidRPr="00015190" w:rsidRDefault="003D1F7F" w:rsidP="001368E7">
            <w:pPr>
              <w:keepNext/>
              <w:spacing w:before="0" w:after="0"/>
              <w:jc w:val="center"/>
              <w:rPr>
                <w:b/>
                <w:i/>
                <w:iCs/>
                <w:color w:val="000000"/>
                <w:lang w:val="en-US"/>
              </w:rPr>
            </w:pPr>
            <w:r w:rsidRPr="00015190">
              <w:rPr>
                <w:b/>
                <w:i/>
                <w:iCs/>
                <w:color w:val="000000"/>
                <w:szCs w:val="22"/>
                <w:lang w:val="en-US"/>
              </w:rPr>
              <w:t>ratio</w:t>
            </w:r>
          </w:p>
        </w:tc>
        <w:tc>
          <w:tcPr>
            <w:tcW w:w="805" w:type="dxa"/>
            <w:tcBorders>
              <w:top w:val="single" w:sz="4" w:space="0" w:color="auto"/>
              <w:left w:val="nil"/>
              <w:bottom w:val="single" w:sz="4" w:space="0" w:color="auto"/>
              <w:right w:val="nil"/>
            </w:tcBorders>
            <w:noWrap/>
            <w:vAlign w:val="center"/>
          </w:tcPr>
          <w:p w:rsidR="003D1F7F" w:rsidRPr="00015190" w:rsidRDefault="003D1F7F" w:rsidP="001368E7">
            <w:pPr>
              <w:keepNext/>
              <w:spacing w:before="0" w:after="0"/>
              <w:jc w:val="center"/>
              <w:rPr>
                <w:b/>
                <w:i/>
                <w:iCs/>
                <w:color w:val="000000"/>
                <w:lang w:val="en-US"/>
              </w:rPr>
            </w:pPr>
            <w:r w:rsidRPr="00015190">
              <w:rPr>
                <w:b/>
                <w:i/>
                <w:iCs/>
                <w:color w:val="000000"/>
                <w:szCs w:val="22"/>
                <w:lang w:val="en-US"/>
              </w:rPr>
              <w:t>score</w:t>
            </w:r>
          </w:p>
        </w:tc>
        <w:tc>
          <w:tcPr>
            <w:tcW w:w="1368" w:type="dxa"/>
            <w:tcBorders>
              <w:top w:val="single" w:sz="4" w:space="0" w:color="auto"/>
              <w:left w:val="nil"/>
              <w:bottom w:val="single" w:sz="4" w:space="0" w:color="auto"/>
              <w:right w:val="nil"/>
            </w:tcBorders>
            <w:noWrap/>
            <w:vAlign w:val="center"/>
          </w:tcPr>
          <w:p w:rsidR="003D1F7F" w:rsidRPr="00015190" w:rsidRDefault="003D1F7F" w:rsidP="001368E7">
            <w:pPr>
              <w:keepNext/>
              <w:spacing w:before="0" w:after="0"/>
              <w:jc w:val="center"/>
              <w:rPr>
                <w:b/>
                <w:i/>
                <w:iCs/>
                <w:color w:val="000000"/>
                <w:lang w:val="en-US"/>
              </w:rPr>
            </w:pPr>
            <w:r w:rsidRPr="00015190">
              <w:rPr>
                <w:b/>
                <w:i/>
                <w:iCs/>
                <w:color w:val="000000"/>
                <w:szCs w:val="22"/>
                <w:lang w:val="en-US"/>
              </w:rPr>
              <w:t>0-100 score</w:t>
            </w:r>
          </w:p>
        </w:tc>
        <w:tc>
          <w:tcPr>
            <w:tcW w:w="1050" w:type="dxa"/>
            <w:tcBorders>
              <w:top w:val="single" w:sz="4" w:space="0" w:color="auto"/>
              <w:left w:val="nil"/>
              <w:bottom w:val="single" w:sz="4" w:space="0" w:color="auto"/>
              <w:right w:val="nil"/>
            </w:tcBorders>
            <w:noWrap/>
            <w:vAlign w:val="center"/>
          </w:tcPr>
          <w:p w:rsidR="003D1F7F" w:rsidRPr="00015190" w:rsidRDefault="003D1F7F" w:rsidP="001368E7">
            <w:pPr>
              <w:keepNext/>
              <w:spacing w:before="0" w:after="0"/>
              <w:jc w:val="center"/>
              <w:rPr>
                <w:b/>
                <w:i/>
                <w:iCs/>
                <w:color w:val="000000"/>
                <w:lang w:val="en-US"/>
              </w:rPr>
            </w:pPr>
            <w:r w:rsidRPr="00015190">
              <w:rPr>
                <w:b/>
                <w:i/>
                <w:iCs/>
                <w:color w:val="000000"/>
                <w:szCs w:val="22"/>
                <w:lang w:val="en-US"/>
              </w:rPr>
              <w:t>status</w:t>
            </w:r>
          </w:p>
        </w:tc>
      </w:tr>
      <w:tr w:rsidR="003D1F7F" w:rsidRPr="00015190" w:rsidTr="001368E7">
        <w:trPr>
          <w:trHeight w:val="290"/>
          <w:jc w:val="center"/>
        </w:trPr>
        <w:tc>
          <w:tcPr>
            <w:tcW w:w="1337" w:type="dxa"/>
            <w:tcBorders>
              <w:top w:val="nil"/>
              <w:left w:val="nil"/>
              <w:bottom w:val="nil"/>
              <w:right w:val="nil"/>
            </w:tcBorders>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very good</w:t>
            </w:r>
          </w:p>
        </w:tc>
        <w:tc>
          <w:tcPr>
            <w:tcW w:w="2953"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≥4</w:t>
            </w:r>
          </w:p>
        </w:tc>
        <w:tc>
          <w:tcPr>
            <w:tcW w:w="766" w:type="dxa"/>
            <w:tcBorders>
              <w:top w:val="nil"/>
              <w:left w:val="nil"/>
              <w:bottom w:val="nil"/>
              <w:right w:val="nil"/>
            </w:tcBorders>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4.0</w:t>
            </w:r>
          </w:p>
        </w:tc>
        <w:tc>
          <w:tcPr>
            <w:tcW w:w="805"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4</w:t>
            </w:r>
          </w:p>
        </w:tc>
        <w:tc>
          <w:tcPr>
            <w:tcW w:w="1368"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100</w:t>
            </w:r>
          </w:p>
        </w:tc>
        <w:tc>
          <w:tcPr>
            <w:tcW w:w="1050" w:type="dxa"/>
            <w:tcBorders>
              <w:top w:val="nil"/>
              <w:left w:val="nil"/>
              <w:bottom w:val="nil"/>
              <w:right w:val="nil"/>
            </w:tcBorders>
            <w:shd w:val="clear" w:color="auto" w:fill="008000"/>
            <w:noWrap/>
            <w:vAlign w:val="bottom"/>
          </w:tcPr>
          <w:p w:rsidR="003D1F7F" w:rsidRPr="00015190" w:rsidRDefault="002605DA" w:rsidP="001368E7">
            <w:pPr>
              <w:spacing w:before="0" w:after="0"/>
              <w:jc w:val="center"/>
              <w:rPr>
                <w:color w:val="000000"/>
                <w:lang w:eastAsia="en-AU"/>
              </w:rPr>
            </w:pPr>
            <w:r>
              <w:rPr>
                <w:color w:val="000000"/>
                <w:szCs w:val="22"/>
                <w:lang w:eastAsia="en-AU"/>
              </w:rPr>
              <w:t>81</w:t>
            </w:r>
            <w:r w:rsidR="003D1F7F" w:rsidRPr="00015190">
              <w:rPr>
                <w:color w:val="000000"/>
                <w:szCs w:val="22"/>
                <w:lang w:eastAsia="en-AU"/>
              </w:rPr>
              <w:t xml:space="preserve"> - 100</w:t>
            </w:r>
          </w:p>
        </w:tc>
      </w:tr>
      <w:tr w:rsidR="003D1F7F" w:rsidRPr="00015190" w:rsidTr="001368E7">
        <w:trPr>
          <w:trHeight w:val="290"/>
          <w:jc w:val="center"/>
        </w:trPr>
        <w:tc>
          <w:tcPr>
            <w:tcW w:w="1337" w:type="dxa"/>
            <w:tcBorders>
              <w:top w:val="nil"/>
              <w:left w:val="nil"/>
              <w:bottom w:val="nil"/>
              <w:right w:val="nil"/>
            </w:tcBorders>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good</w:t>
            </w:r>
          </w:p>
        </w:tc>
        <w:tc>
          <w:tcPr>
            <w:tcW w:w="2953"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2 to &lt;4</w:t>
            </w:r>
          </w:p>
        </w:tc>
        <w:tc>
          <w:tcPr>
            <w:tcW w:w="766" w:type="dxa"/>
            <w:tcBorders>
              <w:top w:val="nil"/>
              <w:left w:val="nil"/>
              <w:bottom w:val="nil"/>
              <w:right w:val="nil"/>
            </w:tcBorders>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2.0</w:t>
            </w:r>
          </w:p>
        </w:tc>
        <w:tc>
          <w:tcPr>
            <w:tcW w:w="805"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3</w:t>
            </w:r>
          </w:p>
        </w:tc>
        <w:tc>
          <w:tcPr>
            <w:tcW w:w="1368"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75</w:t>
            </w:r>
          </w:p>
        </w:tc>
        <w:tc>
          <w:tcPr>
            <w:tcW w:w="1050" w:type="dxa"/>
            <w:tcBorders>
              <w:top w:val="nil"/>
              <w:left w:val="nil"/>
              <w:bottom w:val="nil"/>
              <w:right w:val="nil"/>
            </w:tcBorders>
            <w:shd w:val="clear" w:color="auto" w:fill="92D050"/>
            <w:noWrap/>
            <w:vAlign w:val="bottom"/>
          </w:tcPr>
          <w:p w:rsidR="003D1F7F" w:rsidRPr="00015190" w:rsidRDefault="003D1F7F" w:rsidP="002605DA">
            <w:pPr>
              <w:spacing w:before="0" w:after="0"/>
              <w:jc w:val="center"/>
              <w:rPr>
                <w:color w:val="000000"/>
                <w:lang w:eastAsia="en-AU"/>
              </w:rPr>
            </w:pPr>
            <w:r w:rsidRPr="00015190">
              <w:rPr>
                <w:color w:val="000000"/>
                <w:szCs w:val="22"/>
                <w:lang w:eastAsia="en-AU"/>
              </w:rPr>
              <w:t>6</w:t>
            </w:r>
            <w:r w:rsidR="002605DA">
              <w:rPr>
                <w:color w:val="000000"/>
                <w:szCs w:val="22"/>
                <w:lang w:eastAsia="en-AU"/>
              </w:rPr>
              <w:t xml:space="preserve">1 - </w:t>
            </w:r>
            <w:r w:rsidRPr="00015190">
              <w:rPr>
                <w:color w:val="000000"/>
                <w:szCs w:val="22"/>
                <w:lang w:eastAsia="en-AU"/>
              </w:rPr>
              <w:t>80</w:t>
            </w:r>
          </w:p>
        </w:tc>
      </w:tr>
      <w:tr w:rsidR="003D1F7F" w:rsidRPr="00015190" w:rsidTr="001368E7">
        <w:trPr>
          <w:trHeight w:val="290"/>
          <w:jc w:val="center"/>
        </w:trPr>
        <w:tc>
          <w:tcPr>
            <w:tcW w:w="1337" w:type="dxa"/>
            <w:tcBorders>
              <w:top w:val="nil"/>
              <w:left w:val="nil"/>
              <w:bottom w:val="nil"/>
              <w:right w:val="nil"/>
            </w:tcBorders>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moderate</w:t>
            </w:r>
          </w:p>
        </w:tc>
        <w:tc>
          <w:tcPr>
            <w:tcW w:w="2953"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1 to &lt;2</w:t>
            </w:r>
          </w:p>
        </w:tc>
        <w:tc>
          <w:tcPr>
            <w:tcW w:w="766" w:type="dxa"/>
            <w:tcBorders>
              <w:top w:val="nil"/>
              <w:left w:val="nil"/>
              <w:bottom w:val="nil"/>
              <w:right w:val="nil"/>
            </w:tcBorders>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1.0</w:t>
            </w:r>
          </w:p>
        </w:tc>
        <w:tc>
          <w:tcPr>
            <w:tcW w:w="805"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2</w:t>
            </w:r>
          </w:p>
        </w:tc>
        <w:tc>
          <w:tcPr>
            <w:tcW w:w="1368" w:type="dxa"/>
            <w:tcBorders>
              <w:top w:val="nil"/>
              <w:left w:val="nil"/>
              <w:bottom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50</w:t>
            </w:r>
          </w:p>
        </w:tc>
        <w:tc>
          <w:tcPr>
            <w:tcW w:w="1050" w:type="dxa"/>
            <w:tcBorders>
              <w:top w:val="nil"/>
              <w:left w:val="nil"/>
              <w:bottom w:val="nil"/>
              <w:right w:val="nil"/>
            </w:tcBorders>
            <w:shd w:val="clear" w:color="auto" w:fill="FFFF00"/>
            <w:noWrap/>
            <w:vAlign w:val="bottom"/>
          </w:tcPr>
          <w:p w:rsidR="003D1F7F" w:rsidRPr="00015190" w:rsidRDefault="002605DA" w:rsidP="002605DA">
            <w:pPr>
              <w:spacing w:before="0" w:after="0"/>
              <w:jc w:val="center"/>
              <w:rPr>
                <w:color w:val="000000"/>
                <w:lang w:eastAsia="en-AU"/>
              </w:rPr>
            </w:pPr>
            <w:r>
              <w:rPr>
                <w:color w:val="000000"/>
                <w:szCs w:val="22"/>
                <w:lang w:eastAsia="en-AU"/>
              </w:rPr>
              <w:t>41</w:t>
            </w:r>
            <w:r w:rsidR="003D1F7F" w:rsidRPr="00015190">
              <w:rPr>
                <w:color w:val="000000"/>
                <w:szCs w:val="22"/>
                <w:lang w:eastAsia="en-AU"/>
              </w:rPr>
              <w:t xml:space="preserve"> - 60</w:t>
            </w:r>
          </w:p>
        </w:tc>
      </w:tr>
      <w:tr w:rsidR="003D1F7F" w:rsidRPr="00015190" w:rsidTr="001368E7">
        <w:trPr>
          <w:trHeight w:val="290"/>
          <w:jc w:val="center"/>
        </w:trPr>
        <w:tc>
          <w:tcPr>
            <w:tcW w:w="1337" w:type="dxa"/>
            <w:tcBorders>
              <w:top w:val="nil"/>
              <w:left w:val="nil"/>
              <w:right w:val="nil"/>
            </w:tcBorders>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poor</w:t>
            </w:r>
          </w:p>
        </w:tc>
        <w:tc>
          <w:tcPr>
            <w:tcW w:w="2953" w:type="dxa"/>
            <w:tcBorders>
              <w:top w:val="nil"/>
              <w:left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0.5 to &lt;1</w:t>
            </w:r>
          </w:p>
        </w:tc>
        <w:tc>
          <w:tcPr>
            <w:tcW w:w="766" w:type="dxa"/>
            <w:tcBorders>
              <w:top w:val="nil"/>
              <w:left w:val="nil"/>
              <w:right w:val="nil"/>
            </w:tcBorders>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0.5</w:t>
            </w:r>
          </w:p>
        </w:tc>
        <w:tc>
          <w:tcPr>
            <w:tcW w:w="805" w:type="dxa"/>
            <w:tcBorders>
              <w:top w:val="nil"/>
              <w:left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1</w:t>
            </w:r>
          </w:p>
        </w:tc>
        <w:tc>
          <w:tcPr>
            <w:tcW w:w="1368" w:type="dxa"/>
            <w:tcBorders>
              <w:top w:val="nil"/>
              <w:left w:val="nil"/>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25</w:t>
            </w:r>
          </w:p>
        </w:tc>
        <w:tc>
          <w:tcPr>
            <w:tcW w:w="1050" w:type="dxa"/>
            <w:tcBorders>
              <w:top w:val="nil"/>
              <w:left w:val="nil"/>
              <w:right w:val="nil"/>
            </w:tcBorders>
            <w:shd w:val="clear" w:color="auto" w:fill="FFC000"/>
            <w:noWrap/>
            <w:vAlign w:val="bottom"/>
          </w:tcPr>
          <w:p w:rsidR="003D1F7F" w:rsidRPr="00015190" w:rsidRDefault="002605DA" w:rsidP="002605DA">
            <w:pPr>
              <w:spacing w:before="0" w:after="0"/>
              <w:jc w:val="center"/>
              <w:rPr>
                <w:color w:val="000000"/>
                <w:lang w:eastAsia="en-AU"/>
              </w:rPr>
            </w:pPr>
            <w:r>
              <w:rPr>
                <w:color w:val="000000"/>
                <w:szCs w:val="22"/>
                <w:lang w:eastAsia="en-AU"/>
              </w:rPr>
              <w:t>21</w:t>
            </w:r>
            <w:r w:rsidR="003D1F7F" w:rsidRPr="00015190">
              <w:rPr>
                <w:color w:val="000000"/>
                <w:szCs w:val="22"/>
                <w:lang w:eastAsia="en-AU"/>
              </w:rPr>
              <w:t xml:space="preserve"> - 40</w:t>
            </w:r>
          </w:p>
        </w:tc>
      </w:tr>
      <w:tr w:rsidR="003D1F7F" w:rsidRPr="00015190" w:rsidTr="001368E7">
        <w:trPr>
          <w:trHeight w:val="290"/>
          <w:jc w:val="center"/>
        </w:trPr>
        <w:tc>
          <w:tcPr>
            <w:tcW w:w="1337" w:type="dxa"/>
            <w:tcBorders>
              <w:top w:val="nil"/>
              <w:left w:val="nil"/>
              <w:bottom w:val="single" w:sz="4" w:space="0" w:color="auto"/>
              <w:right w:val="nil"/>
            </w:tcBorders>
            <w:vAlign w:val="bottom"/>
          </w:tcPr>
          <w:p w:rsidR="003D1F7F" w:rsidRPr="00015190" w:rsidRDefault="003D1F7F" w:rsidP="001368E7">
            <w:pPr>
              <w:spacing w:before="0" w:after="0"/>
              <w:rPr>
                <w:i/>
                <w:iCs/>
                <w:color w:val="000000"/>
                <w:lang w:eastAsia="en-AU"/>
              </w:rPr>
            </w:pPr>
            <w:r w:rsidRPr="00015190">
              <w:rPr>
                <w:i/>
                <w:iCs/>
                <w:color w:val="000000"/>
                <w:szCs w:val="22"/>
                <w:lang w:eastAsia="en-AU"/>
              </w:rPr>
              <w:t>very poor</w:t>
            </w:r>
          </w:p>
        </w:tc>
        <w:tc>
          <w:tcPr>
            <w:tcW w:w="2953" w:type="dxa"/>
            <w:tcBorders>
              <w:top w:val="nil"/>
              <w:left w:val="nil"/>
              <w:bottom w:val="single" w:sz="4" w:space="0" w:color="auto"/>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&lt;0.5</w:t>
            </w:r>
          </w:p>
        </w:tc>
        <w:tc>
          <w:tcPr>
            <w:tcW w:w="766" w:type="dxa"/>
            <w:tcBorders>
              <w:top w:val="nil"/>
              <w:left w:val="nil"/>
              <w:bottom w:val="single" w:sz="4" w:space="0" w:color="auto"/>
              <w:right w:val="nil"/>
            </w:tcBorders>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0.0</w:t>
            </w:r>
          </w:p>
        </w:tc>
        <w:tc>
          <w:tcPr>
            <w:tcW w:w="805" w:type="dxa"/>
            <w:tcBorders>
              <w:top w:val="nil"/>
              <w:left w:val="nil"/>
              <w:bottom w:val="single" w:sz="4" w:space="0" w:color="auto"/>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w:t>
            </w:r>
          </w:p>
        </w:tc>
        <w:tc>
          <w:tcPr>
            <w:tcW w:w="1368" w:type="dxa"/>
            <w:tcBorders>
              <w:top w:val="nil"/>
              <w:left w:val="nil"/>
              <w:bottom w:val="single" w:sz="4" w:space="0" w:color="auto"/>
              <w:right w:val="nil"/>
            </w:tcBorders>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w:t>
            </w:r>
          </w:p>
        </w:tc>
        <w:tc>
          <w:tcPr>
            <w:tcW w:w="1050" w:type="dxa"/>
            <w:tcBorders>
              <w:top w:val="nil"/>
              <w:left w:val="nil"/>
              <w:bottom w:val="single" w:sz="4" w:space="0" w:color="auto"/>
              <w:right w:val="nil"/>
            </w:tcBorders>
            <w:shd w:val="clear" w:color="auto" w:fill="FF0000"/>
            <w:noWrap/>
            <w:vAlign w:val="bottom"/>
          </w:tcPr>
          <w:p w:rsidR="003D1F7F" w:rsidRPr="00015190" w:rsidRDefault="002605DA" w:rsidP="001368E7">
            <w:pPr>
              <w:spacing w:before="0" w:after="0"/>
              <w:jc w:val="center"/>
              <w:rPr>
                <w:color w:val="000000"/>
                <w:lang w:eastAsia="en-AU"/>
              </w:rPr>
            </w:pPr>
            <w:r>
              <w:rPr>
                <w:color w:val="000000"/>
                <w:szCs w:val="22"/>
                <w:lang w:eastAsia="en-AU"/>
              </w:rPr>
              <w:t xml:space="preserve">0 - </w:t>
            </w:r>
            <w:r w:rsidR="003D1F7F" w:rsidRPr="00015190">
              <w:rPr>
                <w:color w:val="000000"/>
                <w:szCs w:val="22"/>
                <w:lang w:eastAsia="en-AU"/>
              </w:rPr>
              <w:t>20</w:t>
            </w:r>
          </w:p>
        </w:tc>
      </w:tr>
    </w:tbl>
    <w:p w:rsidR="003D1F7F" w:rsidRPr="00BA12BB" w:rsidRDefault="003D1F7F" w:rsidP="00926892">
      <w:pPr>
        <w:pStyle w:val="Heading3"/>
        <w:numPr>
          <w:ilvl w:val="2"/>
          <w:numId w:val="9"/>
        </w:numPr>
        <w:rPr>
          <w:rFonts w:ascii="Arial" w:hAnsi="Arial" w:cs="Arial"/>
        </w:rPr>
      </w:pPr>
      <w:bookmarkStart w:id="111" w:name="_Toc184101957"/>
      <w:bookmarkStart w:id="112" w:name="_Toc381027993"/>
      <w:bookmarkStart w:id="113" w:name="_Toc462047329"/>
      <w:r w:rsidRPr="00BA12BB">
        <w:rPr>
          <w:rFonts w:ascii="Arial" w:hAnsi="Arial" w:cs="Arial"/>
        </w:rPr>
        <w:lastRenderedPageBreak/>
        <w:t>Seagrass nutrient status.</w:t>
      </w:r>
      <w:bookmarkEnd w:id="111"/>
      <w:bookmarkEnd w:id="112"/>
      <w:bookmarkEnd w:id="113"/>
    </w:p>
    <w:p w:rsidR="003D1F7F" w:rsidRPr="00591DF9" w:rsidRDefault="003D1F7F" w:rsidP="003D1F7F">
      <w:pPr>
        <w:rPr>
          <w:color w:val="000000"/>
          <w:szCs w:val="22"/>
        </w:rPr>
      </w:pPr>
      <w:r>
        <w:t>A</w:t>
      </w:r>
      <w:r w:rsidRPr="00591DF9">
        <w:t>n atomic C:N ratio of less than 20, may suggest reduced light availability relative to nitrogen availability</w:t>
      </w:r>
      <w:r>
        <w:t xml:space="preserve"> for Queensland seagrasses</w:t>
      </w:r>
      <w:r w:rsidRPr="00591DF9">
        <w:t xml:space="preserve"> (</w:t>
      </w:r>
      <w:hyperlink w:anchor="_ENREF_2" w:tooltip="Abal, 1994 #7405" w:history="1">
        <w:r w:rsidR="00E6043D">
          <w:fldChar w:fldCharType="begin"/>
        </w:r>
        <w:r w:rsidR="00E6043D">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E6043D">
          <w:fldChar w:fldCharType="separate"/>
        </w:r>
        <w:r w:rsidR="00E6043D">
          <w:rPr>
            <w:noProof/>
          </w:rPr>
          <w:t>Abal</w:t>
        </w:r>
        <w:r w:rsidR="00E6043D" w:rsidRPr="00644A84">
          <w:rPr>
            <w:i/>
            <w:noProof/>
          </w:rPr>
          <w:t>, et al.</w:t>
        </w:r>
        <w:r w:rsidR="00E6043D">
          <w:rPr>
            <w:noProof/>
          </w:rPr>
          <w:t xml:space="preserve"> 1994</w:t>
        </w:r>
        <w:r w:rsidR="00E6043D">
          <w:fldChar w:fldCharType="end"/>
        </w:r>
      </w:hyperlink>
      <w:r w:rsidRPr="00591DF9">
        <w:t xml:space="preserve">; </w:t>
      </w:r>
      <w:hyperlink w:anchor="_ENREF_101" w:tooltip="Grice, 1996 #1346" w:history="1">
        <w:r w:rsidRPr="00591DF9">
          <w:rPr>
            <w:noProof/>
          </w:rPr>
          <w:t>AM Grice</w:t>
        </w:r>
        <w:r w:rsidRPr="00591DF9">
          <w:rPr>
            <w:i/>
            <w:noProof/>
          </w:rPr>
          <w:t>, et al.</w:t>
        </w:r>
        <w:r w:rsidRPr="00591DF9">
          <w:rPr>
            <w:noProof/>
          </w:rPr>
          <w:t>, 1996</w:t>
        </w:r>
      </w:hyperlink>
      <w:r w:rsidRPr="00591DF9">
        <w:rPr>
          <w:noProof/>
        </w:rPr>
        <w:t>;</w:t>
      </w:r>
      <w:r w:rsidRPr="00591DF9">
        <w:t xml:space="preserve">). However, C:N must be interpreted with caution as the </w:t>
      </w:r>
      <w:r w:rsidR="00081490">
        <w:t>concentration</w:t>
      </w:r>
      <w:r w:rsidRPr="00591DF9">
        <w:t xml:space="preserve"> of N can also influence the ratio in oligotrophic environments (</w:t>
      </w:r>
      <w:r w:rsidR="00644A84">
        <w:fldChar w:fldCharType="begin"/>
      </w:r>
      <w:r w:rsidR="00644A84">
        <w:instrText xml:space="preserve"> ADDIN EN.CITE &lt;EndNote&gt;&lt;Cite&gt;&lt;Author&gt;Fourqurean&lt;/Author&gt;&lt;Year&gt;1992&lt;/Year&gt;&lt;RecNum&gt;9493&lt;/RecNum&gt;&lt;DisplayText&gt;Atkinson and Smith 1983; Fourqurean&lt;style face="italic"&gt;, et al.&lt;/style&gt; 1992b&lt;/DisplayText&gt;&lt;record&gt;&lt;rec-number&gt;9493&lt;/rec-number&gt;&lt;foreign-keys&gt;&lt;key app="EN" db-id="0eve55x9y5vfd6e9dacxtew4eatve2dzds9a"&gt;9493&lt;/key&gt;&lt;/foreign-keys&gt;&lt;ref-type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644A84">
        <w:fldChar w:fldCharType="separate"/>
      </w:r>
      <w:hyperlink w:anchor="_ENREF_9" w:tooltip="Atkinson, 1983 #6292" w:history="1">
        <w:r w:rsidR="00E6043D">
          <w:rPr>
            <w:noProof/>
          </w:rPr>
          <w:t>Atkinson and Smith 1983</w:t>
        </w:r>
      </w:hyperlink>
      <w:r w:rsidR="00644A84">
        <w:rPr>
          <w:noProof/>
        </w:rPr>
        <w:t xml:space="preserve">; </w:t>
      </w:r>
      <w:hyperlink w:anchor="_ENREF_112" w:tooltip="Fourqurean, 1992 #9493" w:history="1">
        <w:r w:rsidR="00E6043D">
          <w:rPr>
            <w:noProof/>
          </w:rPr>
          <w:t>Fourqurean</w:t>
        </w:r>
        <w:r w:rsidR="00E6043D" w:rsidRPr="00644A84">
          <w:rPr>
            <w:i/>
            <w:noProof/>
          </w:rPr>
          <w:t>, et al.</w:t>
        </w:r>
        <w:r w:rsidR="00E6043D">
          <w:rPr>
            <w:noProof/>
          </w:rPr>
          <w:t xml:space="preserve"> 1992b</w:t>
        </w:r>
      </w:hyperlink>
      <w:r w:rsidR="00644A84">
        <w:fldChar w:fldCharType="end"/>
      </w:r>
      <w:r w:rsidRPr="00591DF9">
        <w:t>).</w:t>
      </w:r>
      <w:r>
        <w:t xml:space="preserve"> </w:t>
      </w:r>
      <w:r w:rsidRPr="00591DF9">
        <w:rPr>
          <w:lang w:val="en-US"/>
        </w:rPr>
        <w:t>Support for choosing the elemental C:N ratio as the indicator also comes from preliminary analysis of MMP data in 2009 which found that the C:N ratio was the only nutrient ratio that showed a significant relationship (positive) with seagrass cover at coastal and estuarine sites. Seagrass tissue C:N ratios explained 58% of the variance of the inter-site seagrass cover data (</w:t>
      </w:r>
      <w:hyperlink w:anchor="_ENREF_176" w:tooltip="McKenzie, 2009 #9494" w:history="1">
        <w:r w:rsidR="00E6043D">
          <w:rPr>
            <w:lang w:val="en-US"/>
          </w:rPr>
          <w:fldChar w:fldCharType="begin"/>
        </w:r>
        <w:r w:rsidR="00E6043D">
          <w:rPr>
            <w:lang w:val="en-US"/>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E6043D">
          <w:rPr>
            <w:lang w:val="en-US"/>
          </w:rPr>
          <w:fldChar w:fldCharType="separate"/>
        </w:r>
        <w:r w:rsidR="00E6043D">
          <w:rPr>
            <w:noProof/>
            <w:lang w:val="en-US"/>
          </w:rPr>
          <w:t>McKenzie and Unsworth 2009</w:t>
        </w:r>
        <w:r w:rsidR="00E6043D">
          <w:rPr>
            <w:lang w:val="en-US"/>
          </w:rPr>
          <w:fldChar w:fldCharType="end"/>
        </w:r>
      </w:hyperlink>
      <w:r w:rsidRPr="00591DF9">
        <w:rPr>
          <w:lang w:val="en-US"/>
        </w:rPr>
        <w:t>).</w:t>
      </w:r>
      <w:r>
        <w:rPr>
          <w:lang w:val="en-US"/>
        </w:rPr>
        <w:t xml:space="preserve"> </w:t>
      </w:r>
      <w:r w:rsidRPr="00591DF9">
        <w:t>Using the guideline ratio of 20:1 for the foundation seagrass species, C</w:t>
      </w:r>
      <w:proofErr w:type="gramStart"/>
      <w:r w:rsidRPr="00591DF9">
        <w:t>:N</w:t>
      </w:r>
      <w:proofErr w:type="gramEnd"/>
      <w:r w:rsidRPr="00591DF9">
        <w:t xml:space="preserve"> ratios were categorised on their departure from the guideline and transformed to a 0 to 100 score</w:t>
      </w:r>
      <w:r>
        <w:t>.</w:t>
      </w:r>
    </w:p>
    <w:p w:rsidR="003D1F7F" w:rsidRPr="00015190" w:rsidRDefault="003D1F7F" w:rsidP="003D1F7F">
      <w:pPr>
        <w:jc w:val="center"/>
        <w:rPr>
          <w:rFonts w:cs="Arial"/>
          <w:i/>
          <w:color w:val="000000"/>
          <w:szCs w:val="22"/>
        </w:rPr>
      </w:pPr>
      <w:bookmarkStart w:id="114" w:name="_Ref273446285"/>
      <w:bookmarkStart w:id="115" w:name="_Toc462685076"/>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9C068F">
        <w:rPr>
          <w:noProof/>
          <w:color w:val="000000"/>
          <w:szCs w:val="22"/>
        </w:rPr>
        <w:t>7</w:t>
      </w:r>
      <w:r w:rsidRPr="00015190">
        <w:rPr>
          <w:color w:val="000000"/>
          <w:szCs w:val="22"/>
        </w:rPr>
        <w:fldChar w:fldCharType="end"/>
      </w:r>
      <w:bookmarkEnd w:id="114"/>
      <w:r w:rsidRPr="00015190">
        <w:rPr>
          <w:color w:val="000000"/>
          <w:szCs w:val="22"/>
        </w:rPr>
        <w:t xml:space="preserve">. </w:t>
      </w:r>
      <w:r w:rsidRPr="00015190">
        <w:rPr>
          <w:rFonts w:cs="Arial"/>
          <w:i/>
          <w:color w:val="000000"/>
          <w:szCs w:val="22"/>
        </w:rPr>
        <w:t>Scores for leaf tissue C</w:t>
      </w:r>
      <w:proofErr w:type="gramStart"/>
      <w:r w:rsidRPr="00015190">
        <w:rPr>
          <w:rFonts w:cs="Arial"/>
          <w:i/>
          <w:color w:val="000000"/>
          <w:szCs w:val="22"/>
        </w:rPr>
        <w:t>:N</w:t>
      </w:r>
      <w:proofErr w:type="gramEnd"/>
      <w:r w:rsidRPr="00015190">
        <w:rPr>
          <w:rFonts w:cs="Arial"/>
          <w:i/>
          <w:color w:val="000000"/>
          <w:szCs w:val="22"/>
        </w:rPr>
        <w:t xml:space="preserve"> against guideline to determine light and nutrient availability.</w:t>
      </w:r>
      <w:r w:rsidRPr="00531CCB">
        <w:rPr>
          <w:i/>
          <w:color w:val="000000"/>
        </w:rPr>
        <w:t xml:space="preserve"> </w:t>
      </w:r>
      <w:r>
        <w:rPr>
          <w:i/>
          <w:color w:val="000000"/>
        </w:rPr>
        <w:t xml:space="preserve">NB: scores are </w:t>
      </w:r>
      <w:proofErr w:type="spellStart"/>
      <w:r>
        <w:rPr>
          <w:i/>
          <w:color w:val="000000"/>
        </w:rPr>
        <w:t>unitless</w:t>
      </w:r>
      <w:proofErr w:type="spellEnd"/>
      <w:r>
        <w:rPr>
          <w:i/>
          <w:color w:val="000000"/>
        </w:rPr>
        <w:t>.</w:t>
      </w:r>
      <w:bookmarkEnd w:id="115"/>
    </w:p>
    <w:tbl>
      <w:tblPr>
        <w:tblW w:w="7066" w:type="dxa"/>
        <w:jc w:val="center"/>
        <w:tblLook w:val="0000" w:firstRow="0" w:lastRow="0" w:firstColumn="0" w:lastColumn="0" w:noHBand="0" w:noVBand="0"/>
      </w:tblPr>
      <w:tblGrid>
        <w:gridCol w:w="1543"/>
        <w:gridCol w:w="2127"/>
        <w:gridCol w:w="916"/>
        <w:gridCol w:w="1382"/>
        <w:gridCol w:w="1098"/>
      </w:tblGrid>
      <w:tr w:rsidR="003D1F7F" w:rsidRPr="00015190" w:rsidTr="001368E7">
        <w:trPr>
          <w:trHeight w:val="290"/>
          <w:jc w:val="center"/>
        </w:trPr>
        <w:tc>
          <w:tcPr>
            <w:tcW w:w="1543" w:type="dxa"/>
            <w:tcBorders>
              <w:top w:val="single" w:sz="4" w:space="0" w:color="auto"/>
              <w:left w:val="nil"/>
              <w:bottom w:val="single" w:sz="4" w:space="0" w:color="auto"/>
              <w:right w:val="nil"/>
            </w:tcBorders>
            <w:vAlign w:val="center"/>
          </w:tcPr>
          <w:p w:rsidR="003D1F7F" w:rsidRPr="00015190" w:rsidRDefault="003D1F7F" w:rsidP="001368E7">
            <w:pPr>
              <w:spacing w:before="0" w:after="0"/>
              <w:jc w:val="center"/>
              <w:rPr>
                <w:b/>
                <w:color w:val="000000"/>
                <w:lang w:val="en-US"/>
              </w:rPr>
            </w:pPr>
            <w:r w:rsidRPr="00015190">
              <w:rPr>
                <w:b/>
                <w:color w:val="000000"/>
                <w:szCs w:val="22"/>
                <w:lang w:val="en-US"/>
              </w:rPr>
              <w:t>description</w:t>
            </w:r>
          </w:p>
        </w:tc>
        <w:tc>
          <w:tcPr>
            <w:tcW w:w="2127" w:type="dxa"/>
            <w:tcBorders>
              <w:top w:val="single" w:sz="4" w:space="0" w:color="auto"/>
              <w:left w:val="nil"/>
              <w:bottom w:val="single" w:sz="4" w:space="0" w:color="auto"/>
              <w:right w:val="nil"/>
            </w:tcBorders>
            <w:noWrap/>
            <w:vAlign w:val="center"/>
          </w:tcPr>
          <w:p w:rsidR="003D1F7F" w:rsidRPr="00015190" w:rsidRDefault="003D1F7F" w:rsidP="001368E7">
            <w:pPr>
              <w:spacing w:before="0" w:after="0"/>
              <w:jc w:val="center"/>
              <w:rPr>
                <w:b/>
                <w:color w:val="000000"/>
                <w:lang w:val="en-US"/>
              </w:rPr>
            </w:pPr>
            <w:r w:rsidRPr="00015190">
              <w:rPr>
                <w:b/>
                <w:color w:val="000000"/>
                <w:szCs w:val="22"/>
                <w:lang w:val="en-US"/>
              </w:rPr>
              <w:t>C:N ratio range</w:t>
            </w:r>
          </w:p>
        </w:tc>
        <w:tc>
          <w:tcPr>
            <w:tcW w:w="916" w:type="dxa"/>
            <w:tcBorders>
              <w:top w:val="single" w:sz="4" w:space="0" w:color="auto"/>
              <w:left w:val="nil"/>
              <w:bottom w:val="single" w:sz="4" w:space="0" w:color="auto"/>
              <w:right w:val="nil"/>
            </w:tcBorders>
            <w:noWrap/>
            <w:vAlign w:val="center"/>
          </w:tcPr>
          <w:p w:rsidR="003D1F7F" w:rsidRPr="00015190" w:rsidRDefault="003D1F7F" w:rsidP="001368E7">
            <w:pPr>
              <w:spacing w:before="0" w:after="0"/>
              <w:jc w:val="center"/>
              <w:rPr>
                <w:b/>
                <w:color w:val="000000"/>
                <w:lang w:val="en-US"/>
              </w:rPr>
            </w:pPr>
            <w:r w:rsidRPr="00015190">
              <w:rPr>
                <w:b/>
                <w:color w:val="000000"/>
                <w:szCs w:val="22"/>
                <w:lang w:val="en-US"/>
              </w:rPr>
              <w:t>value</w:t>
            </w:r>
          </w:p>
        </w:tc>
        <w:tc>
          <w:tcPr>
            <w:tcW w:w="1382" w:type="dxa"/>
            <w:tcBorders>
              <w:top w:val="single" w:sz="4" w:space="0" w:color="auto"/>
              <w:left w:val="nil"/>
              <w:bottom w:val="single" w:sz="4" w:space="0" w:color="auto"/>
              <w:right w:val="nil"/>
            </w:tcBorders>
            <w:noWrap/>
            <w:vAlign w:val="center"/>
          </w:tcPr>
          <w:p w:rsidR="003D1F7F" w:rsidRPr="00015190" w:rsidRDefault="003D1F7F" w:rsidP="001368E7">
            <w:pPr>
              <w:spacing w:before="0" w:after="0"/>
              <w:jc w:val="center"/>
              <w:rPr>
                <w:b/>
                <w:color w:val="000000"/>
                <w:lang w:val="en-US"/>
              </w:rPr>
            </w:pPr>
            <w:r w:rsidRPr="00015190">
              <w:rPr>
                <w:b/>
                <w:color w:val="000000"/>
                <w:szCs w:val="22"/>
                <w:lang w:val="en-US"/>
              </w:rPr>
              <w:t xml:space="preserve">Score </w:t>
            </w:r>
            <w:r w:rsidRPr="00015190">
              <w:rPr>
                <w:color w:val="000000"/>
                <w:szCs w:val="22"/>
                <w:lang w:val="en-US"/>
              </w:rPr>
              <w:t>(</w:t>
            </w:r>
            <w:r>
              <w:rPr>
                <w:noProof/>
                <w:color w:val="000000"/>
                <w:position w:val="-10"/>
                <w:lang w:eastAsia="en-AU"/>
              </w:rPr>
              <w:drawing>
                <wp:inline distT="0" distB="0" distL="0" distR="0" wp14:anchorId="34B687AD" wp14:editId="597FD2F6">
                  <wp:extent cx="178435" cy="229870"/>
                  <wp:effectExtent l="0" t="0" r="0" b="0"/>
                  <wp:docPr id="288" name="Picture 1" descr="R 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8435" cy="229870"/>
                          </a:xfrm>
                          <a:prstGeom prst="rect">
                            <a:avLst/>
                          </a:prstGeom>
                          <a:noFill/>
                          <a:ln>
                            <a:noFill/>
                          </a:ln>
                        </pic:spPr>
                      </pic:pic>
                    </a:graphicData>
                  </a:graphic>
                </wp:inline>
              </w:drawing>
            </w:r>
            <w:r w:rsidRPr="00015190">
              <w:rPr>
                <w:color w:val="000000"/>
              </w:rPr>
              <w:t>)</w:t>
            </w:r>
          </w:p>
        </w:tc>
        <w:tc>
          <w:tcPr>
            <w:tcW w:w="1098" w:type="dxa"/>
            <w:tcBorders>
              <w:top w:val="single" w:sz="4" w:space="0" w:color="auto"/>
              <w:left w:val="nil"/>
              <w:bottom w:val="single" w:sz="4" w:space="0" w:color="auto"/>
              <w:right w:val="nil"/>
            </w:tcBorders>
            <w:noWrap/>
            <w:vAlign w:val="center"/>
          </w:tcPr>
          <w:p w:rsidR="003D1F7F" w:rsidRPr="00015190" w:rsidRDefault="003D1F7F" w:rsidP="001368E7">
            <w:pPr>
              <w:spacing w:before="0" w:after="0"/>
              <w:jc w:val="center"/>
              <w:rPr>
                <w:b/>
                <w:color w:val="000000"/>
                <w:lang w:val="en-US"/>
              </w:rPr>
            </w:pPr>
            <w:r w:rsidRPr="00015190">
              <w:rPr>
                <w:b/>
                <w:color w:val="000000"/>
                <w:szCs w:val="22"/>
                <w:lang w:val="en-US"/>
              </w:rPr>
              <w:t>status</w:t>
            </w:r>
          </w:p>
        </w:tc>
      </w:tr>
      <w:tr w:rsidR="003D1F7F" w:rsidRPr="00015190" w:rsidTr="001368E7">
        <w:trPr>
          <w:trHeight w:val="290"/>
          <w:jc w:val="center"/>
        </w:trPr>
        <w:tc>
          <w:tcPr>
            <w:tcW w:w="1543" w:type="dxa"/>
            <w:tcBorders>
              <w:top w:val="nil"/>
              <w:left w:val="nil"/>
              <w:bottom w:val="nil"/>
              <w:right w:val="nil"/>
            </w:tcBorders>
            <w:vAlign w:val="bottom"/>
          </w:tcPr>
          <w:p w:rsidR="003D1F7F" w:rsidRPr="00015190" w:rsidRDefault="003D1F7F" w:rsidP="001368E7">
            <w:pPr>
              <w:spacing w:before="0" w:after="0"/>
              <w:rPr>
                <w:color w:val="000000"/>
                <w:lang w:eastAsia="en-AU"/>
              </w:rPr>
            </w:pPr>
            <w:r w:rsidRPr="00015190">
              <w:rPr>
                <w:color w:val="000000"/>
                <w:szCs w:val="22"/>
                <w:lang w:eastAsia="en-AU"/>
              </w:rPr>
              <w:t>very good</w:t>
            </w:r>
          </w:p>
        </w:tc>
        <w:tc>
          <w:tcPr>
            <w:tcW w:w="2127" w:type="dxa"/>
            <w:tcBorders>
              <w:top w:val="nil"/>
              <w:left w:val="nil"/>
              <w:bottom w:val="nil"/>
              <w:right w:val="nil"/>
            </w:tcBorders>
            <w:noWrap/>
            <w:vAlign w:val="bottom"/>
          </w:tcPr>
          <w:p w:rsidR="003D1F7F" w:rsidRPr="00015190" w:rsidRDefault="003D1F7F" w:rsidP="001368E7">
            <w:pPr>
              <w:spacing w:before="0" w:after="0"/>
              <w:rPr>
                <w:color w:val="000000"/>
                <w:lang w:val="en-US"/>
              </w:rPr>
            </w:pPr>
            <w:bookmarkStart w:id="116" w:name="_Hlk304381412"/>
            <w:r w:rsidRPr="00015190">
              <w:rPr>
                <w:color w:val="000000"/>
                <w:szCs w:val="22"/>
                <w:lang w:val="en-US"/>
              </w:rPr>
              <w:t>C:N ratio &gt;30*</w:t>
            </w:r>
          </w:p>
        </w:tc>
        <w:tc>
          <w:tcPr>
            <w:tcW w:w="916" w:type="dxa"/>
            <w:tcBorders>
              <w:top w:val="nil"/>
              <w:left w:val="nil"/>
              <w:bottom w:val="nil"/>
              <w:right w:val="nil"/>
            </w:tcBorders>
            <w:noWrap/>
            <w:vAlign w:val="bottom"/>
          </w:tcPr>
          <w:p w:rsidR="003D1F7F" w:rsidRPr="00015190" w:rsidRDefault="003D1F7F" w:rsidP="001368E7">
            <w:pPr>
              <w:spacing w:before="0" w:after="0"/>
              <w:jc w:val="center"/>
              <w:rPr>
                <w:color w:val="000000"/>
                <w:lang w:val="en-US"/>
              </w:rPr>
            </w:pPr>
            <w:r w:rsidRPr="00015190">
              <w:rPr>
                <w:color w:val="000000"/>
                <w:szCs w:val="22"/>
                <w:lang w:val="en-US"/>
              </w:rPr>
              <w:t>30</w:t>
            </w:r>
          </w:p>
        </w:tc>
        <w:tc>
          <w:tcPr>
            <w:tcW w:w="1382" w:type="dxa"/>
            <w:tcBorders>
              <w:top w:val="nil"/>
              <w:left w:val="nil"/>
              <w:bottom w:val="nil"/>
              <w:right w:val="nil"/>
            </w:tcBorders>
            <w:noWrap/>
            <w:vAlign w:val="bottom"/>
          </w:tcPr>
          <w:p w:rsidR="003D1F7F" w:rsidRPr="00015190" w:rsidRDefault="003D1F7F" w:rsidP="001368E7">
            <w:pPr>
              <w:spacing w:before="0" w:after="0"/>
              <w:jc w:val="center"/>
              <w:rPr>
                <w:color w:val="000000"/>
                <w:lang w:val="en-US"/>
              </w:rPr>
            </w:pPr>
            <w:r w:rsidRPr="00015190">
              <w:rPr>
                <w:color w:val="000000"/>
                <w:szCs w:val="22"/>
                <w:lang w:val="en-US"/>
              </w:rPr>
              <w:t>100</w:t>
            </w:r>
          </w:p>
        </w:tc>
        <w:tc>
          <w:tcPr>
            <w:tcW w:w="1098" w:type="dxa"/>
            <w:tcBorders>
              <w:top w:val="nil"/>
              <w:left w:val="nil"/>
              <w:bottom w:val="nil"/>
              <w:right w:val="nil"/>
            </w:tcBorders>
            <w:shd w:val="clear" w:color="auto" w:fill="008000"/>
            <w:noWrap/>
            <w:vAlign w:val="bottom"/>
          </w:tcPr>
          <w:p w:rsidR="003D1F7F" w:rsidRPr="00015190" w:rsidRDefault="003D1F7F" w:rsidP="002605DA">
            <w:pPr>
              <w:spacing w:before="0" w:after="0"/>
              <w:jc w:val="center"/>
              <w:rPr>
                <w:color w:val="000000"/>
                <w:lang w:eastAsia="en-AU"/>
              </w:rPr>
            </w:pPr>
            <w:r w:rsidRPr="00015190">
              <w:rPr>
                <w:color w:val="000000"/>
                <w:szCs w:val="22"/>
                <w:lang w:eastAsia="en-AU"/>
              </w:rPr>
              <w:t>8</w:t>
            </w:r>
            <w:r w:rsidR="002605DA">
              <w:rPr>
                <w:color w:val="000000"/>
                <w:szCs w:val="22"/>
                <w:lang w:eastAsia="en-AU"/>
              </w:rPr>
              <w:t>1</w:t>
            </w:r>
            <w:r w:rsidRPr="00015190">
              <w:rPr>
                <w:color w:val="000000"/>
                <w:szCs w:val="22"/>
                <w:lang w:eastAsia="en-AU"/>
              </w:rPr>
              <w:t xml:space="preserve"> - 100</w:t>
            </w:r>
          </w:p>
        </w:tc>
      </w:tr>
      <w:tr w:rsidR="003D1F7F" w:rsidRPr="00015190" w:rsidTr="001368E7">
        <w:trPr>
          <w:trHeight w:val="290"/>
          <w:jc w:val="center"/>
        </w:trPr>
        <w:tc>
          <w:tcPr>
            <w:tcW w:w="1543" w:type="dxa"/>
            <w:tcBorders>
              <w:top w:val="nil"/>
              <w:left w:val="nil"/>
              <w:bottom w:val="nil"/>
              <w:right w:val="nil"/>
            </w:tcBorders>
            <w:vAlign w:val="bottom"/>
          </w:tcPr>
          <w:p w:rsidR="003D1F7F" w:rsidRPr="00015190" w:rsidRDefault="003D1F7F" w:rsidP="001368E7">
            <w:pPr>
              <w:spacing w:before="0" w:after="0"/>
              <w:rPr>
                <w:color w:val="000000"/>
                <w:lang w:eastAsia="en-AU"/>
              </w:rPr>
            </w:pPr>
            <w:r w:rsidRPr="00015190">
              <w:rPr>
                <w:color w:val="000000"/>
                <w:szCs w:val="22"/>
                <w:lang w:eastAsia="en-AU"/>
              </w:rPr>
              <w:t>good</w:t>
            </w:r>
          </w:p>
        </w:tc>
        <w:tc>
          <w:tcPr>
            <w:tcW w:w="2127" w:type="dxa"/>
            <w:tcBorders>
              <w:top w:val="nil"/>
              <w:left w:val="nil"/>
              <w:bottom w:val="nil"/>
              <w:right w:val="nil"/>
            </w:tcBorders>
            <w:noWrap/>
            <w:vAlign w:val="bottom"/>
          </w:tcPr>
          <w:p w:rsidR="003D1F7F" w:rsidRPr="00015190" w:rsidRDefault="003D1F7F" w:rsidP="001368E7">
            <w:pPr>
              <w:spacing w:before="0" w:after="0"/>
              <w:rPr>
                <w:color w:val="000000"/>
                <w:lang w:val="en-US"/>
              </w:rPr>
            </w:pPr>
            <w:r w:rsidRPr="00015190">
              <w:rPr>
                <w:color w:val="000000"/>
                <w:szCs w:val="22"/>
                <w:lang w:val="en-US"/>
              </w:rPr>
              <w:t>C:N ratio 25-30</w:t>
            </w:r>
          </w:p>
        </w:tc>
        <w:tc>
          <w:tcPr>
            <w:tcW w:w="916" w:type="dxa"/>
            <w:tcBorders>
              <w:top w:val="nil"/>
              <w:left w:val="nil"/>
              <w:bottom w:val="nil"/>
              <w:right w:val="nil"/>
            </w:tcBorders>
            <w:noWrap/>
            <w:vAlign w:val="bottom"/>
          </w:tcPr>
          <w:p w:rsidR="003D1F7F" w:rsidRPr="00015190" w:rsidRDefault="003D1F7F" w:rsidP="001368E7">
            <w:pPr>
              <w:spacing w:before="0" w:after="0"/>
              <w:jc w:val="center"/>
              <w:rPr>
                <w:color w:val="000000"/>
                <w:lang w:val="en-US"/>
              </w:rPr>
            </w:pPr>
            <w:r w:rsidRPr="00015190">
              <w:rPr>
                <w:color w:val="000000"/>
                <w:szCs w:val="22"/>
                <w:lang w:val="en-US"/>
              </w:rPr>
              <w:t>25</w:t>
            </w:r>
          </w:p>
        </w:tc>
        <w:tc>
          <w:tcPr>
            <w:tcW w:w="1382" w:type="dxa"/>
            <w:tcBorders>
              <w:top w:val="nil"/>
              <w:left w:val="nil"/>
              <w:bottom w:val="nil"/>
              <w:right w:val="nil"/>
            </w:tcBorders>
            <w:noWrap/>
            <w:vAlign w:val="bottom"/>
          </w:tcPr>
          <w:p w:rsidR="003D1F7F" w:rsidRPr="00015190" w:rsidRDefault="003D1F7F" w:rsidP="001368E7">
            <w:pPr>
              <w:spacing w:before="0" w:after="0"/>
              <w:jc w:val="center"/>
              <w:rPr>
                <w:color w:val="000000"/>
                <w:lang w:val="en-US"/>
              </w:rPr>
            </w:pPr>
            <w:r w:rsidRPr="00015190">
              <w:rPr>
                <w:color w:val="000000"/>
                <w:szCs w:val="22"/>
                <w:lang w:val="en-US"/>
              </w:rPr>
              <w:t>75</w:t>
            </w:r>
          </w:p>
        </w:tc>
        <w:tc>
          <w:tcPr>
            <w:tcW w:w="1098" w:type="dxa"/>
            <w:tcBorders>
              <w:top w:val="nil"/>
              <w:left w:val="nil"/>
              <w:bottom w:val="nil"/>
              <w:right w:val="nil"/>
            </w:tcBorders>
            <w:shd w:val="clear" w:color="auto" w:fill="92D050"/>
            <w:noWrap/>
            <w:vAlign w:val="bottom"/>
          </w:tcPr>
          <w:p w:rsidR="003D1F7F" w:rsidRPr="00015190" w:rsidRDefault="003D1F7F" w:rsidP="002605DA">
            <w:pPr>
              <w:spacing w:before="0" w:after="0"/>
              <w:jc w:val="center"/>
              <w:rPr>
                <w:color w:val="000000"/>
                <w:lang w:eastAsia="en-AU"/>
              </w:rPr>
            </w:pPr>
            <w:r w:rsidRPr="00015190">
              <w:rPr>
                <w:color w:val="000000"/>
                <w:szCs w:val="22"/>
                <w:lang w:eastAsia="en-AU"/>
              </w:rPr>
              <w:t>6</w:t>
            </w:r>
            <w:r w:rsidR="002605DA">
              <w:rPr>
                <w:color w:val="000000"/>
                <w:szCs w:val="22"/>
                <w:lang w:eastAsia="en-AU"/>
              </w:rPr>
              <w:t>1</w:t>
            </w:r>
            <w:r w:rsidRPr="00015190">
              <w:rPr>
                <w:color w:val="000000"/>
                <w:szCs w:val="22"/>
                <w:lang w:eastAsia="en-AU"/>
              </w:rPr>
              <w:t xml:space="preserve"> - 80</w:t>
            </w:r>
          </w:p>
        </w:tc>
      </w:tr>
      <w:tr w:rsidR="003D1F7F" w:rsidRPr="00015190" w:rsidTr="001368E7">
        <w:trPr>
          <w:trHeight w:val="300"/>
          <w:jc w:val="center"/>
        </w:trPr>
        <w:tc>
          <w:tcPr>
            <w:tcW w:w="1543" w:type="dxa"/>
            <w:tcBorders>
              <w:top w:val="nil"/>
              <w:left w:val="nil"/>
              <w:bottom w:val="nil"/>
              <w:right w:val="nil"/>
            </w:tcBorders>
            <w:vAlign w:val="bottom"/>
          </w:tcPr>
          <w:p w:rsidR="003D1F7F" w:rsidRPr="00015190" w:rsidRDefault="003D1F7F" w:rsidP="001368E7">
            <w:pPr>
              <w:spacing w:before="0" w:after="0"/>
              <w:rPr>
                <w:color w:val="000000"/>
                <w:lang w:eastAsia="en-AU"/>
              </w:rPr>
            </w:pPr>
            <w:r w:rsidRPr="00015190">
              <w:rPr>
                <w:color w:val="000000"/>
                <w:szCs w:val="22"/>
                <w:lang w:eastAsia="en-AU"/>
              </w:rPr>
              <w:t>moderate</w:t>
            </w:r>
          </w:p>
        </w:tc>
        <w:tc>
          <w:tcPr>
            <w:tcW w:w="2127" w:type="dxa"/>
            <w:tcBorders>
              <w:top w:val="nil"/>
              <w:left w:val="nil"/>
              <w:bottom w:val="nil"/>
              <w:right w:val="nil"/>
            </w:tcBorders>
            <w:noWrap/>
            <w:vAlign w:val="bottom"/>
          </w:tcPr>
          <w:p w:rsidR="003D1F7F" w:rsidRPr="00015190" w:rsidRDefault="003D1F7F" w:rsidP="001368E7">
            <w:pPr>
              <w:spacing w:before="0" w:after="0"/>
              <w:rPr>
                <w:color w:val="000000"/>
                <w:lang w:val="en-US"/>
              </w:rPr>
            </w:pPr>
            <w:r w:rsidRPr="00015190">
              <w:rPr>
                <w:color w:val="000000"/>
                <w:szCs w:val="22"/>
                <w:lang w:val="en-US"/>
              </w:rPr>
              <w:t xml:space="preserve">C:N ratio 20-25 </w:t>
            </w:r>
          </w:p>
        </w:tc>
        <w:tc>
          <w:tcPr>
            <w:tcW w:w="916" w:type="dxa"/>
            <w:tcBorders>
              <w:top w:val="nil"/>
              <w:left w:val="nil"/>
              <w:bottom w:val="nil"/>
              <w:right w:val="nil"/>
            </w:tcBorders>
            <w:noWrap/>
            <w:vAlign w:val="bottom"/>
          </w:tcPr>
          <w:p w:rsidR="003D1F7F" w:rsidRPr="00015190" w:rsidRDefault="003D1F7F" w:rsidP="001368E7">
            <w:pPr>
              <w:spacing w:before="0" w:after="0"/>
              <w:jc w:val="center"/>
              <w:rPr>
                <w:color w:val="000000"/>
                <w:lang w:val="en-US"/>
              </w:rPr>
            </w:pPr>
            <w:r w:rsidRPr="00015190">
              <w:rPr>
                <w:color w:val="000000"/>
                <w:szCs w:val="22"/>
                <w:lang w:val="en-US"/>
              </w:rPr>
              <w:t>20</w:t>
            </w:r>
          </w:p>
        </w:tc>
        <w:tc>
          <w:tcPr>
            <w:tcW w:w="1382" w:type="dxa"/>
            <w:tcBorders>
              <w:top w:val="nil"/>
              <w:left w:val="nil"/>
              <w:bottom w:val="nil"/>
              <w:right w:val="nil"/>
            </w:tcBorders>
            <w:noWrap/>
            <w:vAlign w:val="bottom"/>
          </w:tcPr>
          <w:p w:rsidR="003D1F7F" w:rsidRPr="00015190" w:rsidRDefault="003D1F7F" w:rsidP="001368E7">
            <w:pPr>
              <w:spacing w:before="0" w:after="0"/>
              <w:jc w:val="center"/>
              <w:rPr>
                <w:color w:val="000000"/>
                <w:lang w:val="en-US"/>
              </w:rPr>
            </w:pPr>
            <w:r w:rsidRPr="00015190">
              <w:rPr>
                <w:color w:val="000000"/>
                <w:szCs w:val="22"/>
                <w:lang w:val="en-US"/>
              </w:rPr>
              <w:t>50</w:t>
            </w:r>
          </w:p>
        </w:tc>
        <w:tc>
          <w:tcPr>
            <w:tcW w:w="1098" w:type="dxa"/>
            <w:tcBorders>
              <w:top w:val="nil"/>
              <w:left w:val="nil"/>
              <w:bottom w:val="nil"/>
              <w:right w:val="nil"/>
            </w:tcBorders>
            <w:shd w:val="clear" w:color="auto" w:fill="FFFF00"/>
            <w:noWrap/>
            <w:vAlign w:val="bottom"/>
          </w:tcPr>
          <w:p w:rsidR="003D1F7F" w:rsidRPr="00015190" w:rsidRDefault="003D1F7F" w:rsidP="002605DA">
            <w:pPr>
              <w:spacing w:before="0" w:after="0"/>
              <w:jc w:val="center"/>
              <w:rPr>
                <w:color w:val="000000"/>
                <w:lang w:eastAsia="en-AU"/>
              </w:rPr>
            </w:pPr>
            <w:r w:rsidRPr="00015190">
              <w:rPr>
                <w:color w:val="000000"/>
                <w:szCs w:val="22"/>
                <w:lang w:eastAsia="en-AU"/>
              </w:rPr>
              <w:t>4</w:t>
            </w:r>
            <w:r w:rsidR="002605DA">
              <w:rPr>
                <w:color w:val="000000"/>
                <w:szCs w:val="22"/>
                <w:lang w:eastAsia="en-AU"/>
              </w:rPr>
              <w:t>1</w:t>
            </w:r>
            <w:r w:rsidRPr="00015190">
              <w:rPr>
                <w:color w:val="000000"/>
                <w:szCs w:val="22"/>
                <w:lang w:eastAsia="en-AU"/>
              </w:rPr>
              <w:t xml:space="preserve"> </w:t>
            </w:r>
            <w:r w:rsidR="002605DA">
              <w:rPr>
                <w:color w:val="000000"/>
                <w:szCs w:val="22"/>
                <w:lang w:eastAsia="en-AU"/>
              </w:rPr>
              <w:t xml:space="preserve">- </w:t>
            </w:r>
            <w:r w:rsidRPr="00015190">
              <w:rPr>
                <w:color w:val="000000"/>
                <w:szCs w:val="22"/>
                <w:lang w:eastAsia="en-AU"/>
              </w:rPr>
              <w:t>60</w:t>
            </w:r>
          </w:p>
        </w:tc>
      </w:tr>
      <w:tr w:rsidR="003D1F7F" w:rsidRPr="00015190" w:rsidTr="001368E7">
        <w:trPr>
          <w:trHeight w:val="290"/>
          <w:jc w:val="center"/>
        </w:trPr>
        <w:tc>
          <w:tcPr>
            <w:tcW w:w="1543" w:type="dxa"/>
            <w:tcBorders>
              <w:top w:val="nil"/>
              <w:left w:val="nil"/>
              <w:right w:val="nil"/>
            </w:tcBorders>
            <w:vAlign w:val="bottom"/>
          </w:tcPr>
          <w:p w:rsidR="003D1F7F" w:rsidRPr="00015190" w:rsidRDefault="003D1F7F" w:rsidP="001368E7">
            <w:pPr>
              <w:spacing w:before="0" w:after="0"/>
              <w:rPr>
                <w:color w:val="000000"/>
                <w:lang w:eastAsia="en-AU"/>
              </w:rPr>
            </w:pPr>
            <w:r w:rsidRPr="00015190">
              <w:rPr>
                <w:color w:val="000000"/>
                <w:szCs w:val="22"/>
                <w:lang w:eastAsia="en-AU"/>
              </w:rPr>
              <w:t>poor</w:t>
            </w:r>
          </w:p>
        </w:tc>
        <w:tc>
          <w:tcPr>
            <w:tcW w:w="2127" w:type="dxa"/>
            <w:tcBorders>
              <w:top w:val="nil"/>
              <w:left w:val="nil"/>
              <w:right w:val="nil"/>
            </w:tcBorders>
            <w:noWrap/>
            <w:vAlign w:val="bottom"/>
          </w:tcPr>
          <w:p w:rsidR="003D1F7F" w:rsidRPr="00015190" w:rsidRDefault="003D1F7F" w:rsidP="001368E7">
            <w:pPr>
              <w:spacing w:before="0" w:after="0"/>
              <w:rPr>
                <w:color w:val="000000"/>
                <w:lang w:val="en-US"/>
              </w:rPr>
            </w:pPr>
            <w:r w:rsidRPr="00015190">
              <w:rPr>
                <w:color w:val="000000"/>
                <w:szCs w:val="22"/>
                <w:lang w:val="en-US"/>
              </w:rPr>
              <w:t>C:N ratio 15-20</w:t>
            </w:r>
          </w:p>
        </w:tc>
        <w:tc>
          <w:tcPr>
            <w:tcW w:w="916" w:type="dxa"/>
            <w:tcBorders>
              <w:top w:val="nil"/>
              <w:left w:val="nil"/>
              <w:right w:val="nil"/>
            </w:tcBorders>
            <w:noWrap/>
            <w:vAlign w:val="bottom"/>
          </w:tcPr>
          <w:p w:rsidR="003D1F7F" w:rsidRPr="00015190" w:rsidRDefault="003D1F7F" w:rsidP="001368E7">
            <w:pPr>
              <w:spacing w:before="0" w:after="0"/>
              <w:jc w:val="center"/>
              <w:rPr>
                <w:color w:val="000000"/>
                <w:lang w:val="en-US"/>
              </w:rPr>
            </w:pPr>
            <w:r w:rsidRPr="00015190">
              <w:rPr>
                <w:color w:val="000000"/>
                <w:szCs w:val="22"/>
                <w:lang w:val="en-US"/>
              </w:rPr>
              <w:t>15</w:t>
            </w:r>
          </w:p>
        </w:tc>
        <w:tc>
          <w:tcPr>
            <w:tcW w:w="1382" w:type="dxa"/>
            <w:tcBorders>
              <w:top w:val="nil"/>
              <w:left w:val="nil"/>
              <w:right w:val="nil"/>
            </w:tcBorders>
            <w:noWrap/>
            <w:vAlign w:val="bottom"/>
          </w:tcPr>
          <w:p w:rsidR="003D1F7F" w:rsidRPr="00015190" w:rsidRDefault="003D1F7F" w:rsidP="001368E7">
            <w:pPr>
              <w:spacing w:before="0" w:after="0"/>
              <w:jc w:val="center"/>
              <w:rPr>
                <w:color w:val="000000"/>
                <w:lang w:val="en-US"/>
              </w:rPr>
            </w:pPr>
            <w:r w:rsidRPr="00015190">
              <w:rPr>
                <w:color w:val="000000"/>
                <w:szCs w:val="22"/>
                <w:lang w:val="en-US"/>
              </w:rPr>
              <w:t>25</w:t>
            </w:r>
          </w:p>
        </w:tc>
        <w:tc>
          <w:tcPr>
            <w:tcW w:w="1098" w:type="dxa"/>
            <w:tcBorders>
              <w:top w:val="nil"/>
              <w:left w:val="nil"/>
              <w:right w:val="nil"/>
            </w:tcBorders>
            <w:shd w:val="clear" w:color="auto" w:fill="FFC000"/>
            <w:noWrap/>
            <w:vAlign w:val="bottom"/>
          </w:tcPr>
          <w:p w:rsidR="003D1F7F" w:rsidRPr="00015190" w:rsidRDefault="002605DA" w:rsidP="002605DA">
            <w:pPr>
              <w:spacing w:before="0" w:after="0"/>
              <w:jc w:val="center"/>
              <w:rPr>
                <w:color w:val="000000"/>
                <w:lang w:eastAsia="en-AU"/>
              </w:rPr>
            </w:pPr>
            <w:r>
              <w:rPr>
                <w:color w:val="000000"/>
                <w:szCs w:val="22"/>
                <w:lang w:eastAsia="en-AU"/>
              </w:rPr>
              <w:t xml:space="preserve">21 - </w:t>
            </w:r>
            <w:r w:rsidR="003D1F7F" w:rsidRPr="00015190">
              <w:rPr>
                <w:color w:val="000000"/>
                <w:szCs w:val="22"/>
                <w:lang w:eastAsia="en-AU"/>
              </w:rPr>
              <w:t>40</w:t>
            </w:r>
          </w:p>
        </w:tc>
      </w:tr>
      <w:tr w:rsidR="003D1F7F" w:rsidRPr="00015190" w:rsidTr="001368E7">
        <w:trPr>
          <w:trHeight w:val="290"/>
          <w:jc w:val="center"/>
        </w:trPr>
        <w:tc>
          <w:tcPr>
            <w:tcW w:w="1543" w:type="dxa"/>
            <w:tcBorders>
              <w:top w:val="nil"/>
              <w:left w:val="nil"/>
              <w:bottom w:val="single" w:sz="4" w:space="0" w:color="auto"/>
              <w:right w:val="nil"/>
            </w:tcBorders>
            <w:vAlign w:val="bottom"/>
          </w:tcPr>
          <w:p w:rsidR="003D1F7F" w:rsidRPr="00015190" w:rsidRDefault="003D1F7F" w:rsidP="001368E7">
            <w:pPr>
              <w:spacing w:before="0" w:after="0"/>
              <w:rPr>
                <w:color w:val="000000"/>
                <w:lang w:eastAsia="en-AU"/>
              </w:rPr>
            </w:pPr>
            <w:r w:rsidRPr="00015190">
              <w:rPr>
                <w:color w:val="000000"/>
                <w:szCs w:val="22"/>
                <w:lang w:eastAsia="en-AU"/>
              </w:rPr>
              <w:t>very poor</w:t>
            </w:r>
          </w:p>
        </w:tc>
        <w:tc>
          <w:tcPr>
            <w:tcW w:w="2127" w:type="dxa"/>
            <w:tcBorders>
              <w:top w:val="nil"/>
              <w:left w:val="nil"/>
              <w:bottom w:val="single" w:sz="4" w:space="0" w:color="auto"/>
              <w:right w:val="nil"/>
            </w:tcBorders>
            <w:noWrap/>
            <w:vAlign w:val="bottom"/>
          </w:tcPr>
          <w:p w:rsidR="003D1F7F" w:rsidRPr="00015190" w:rsidRDefault="003D1F7F" w:rsidP="001368E7">
            <w:pPr>
              <w:spacing w:before="0" w:after="0"/>
              <w:rPr>
                <w:color w:val="000000"/>
                <w:lang w:val="en-US"/>
              </w:rPr>
            </w:pPr>
            <w:r w:rsidRPr="00015190">
              <w:rPr>
                <w:color w:val="000000"/>
                <w:szCs w:val="22"/>
                <w:lang w:val="en-US"/>
              </w:rPr>
              <w:t>C:N ratio &lt;15*</w:t>
            </w:r>
          </w:p>
        </w:tc>
        <w:tc>
          <w:tcPr>
            <w:tcW w:w="916" w:type="dxa"/>
            <w:tcBorders>
              <w:top w:val="nil"/>
              <w:left w:val="nil"/>
              <w:bottom w:val="single" w:sz="4" w:space="0" w:color="auto"/>
              <w:right w:val="nil"/>
            </w:tcBorders>
            <w:noWrap/>
            <w:vAlign w:val="bottom"/>
          </w:tcPr>
          <w:p w:rsidR="003D1F7F" w:rsidRPr="00015190" w:rsidRDefault="003D1F7F" w:rsidP="001368E7">
            <w:pPr>
              <w:spacing w:before="0" w:after="0"/>
              <w:jc w:val="center"/>
              <w:rPr>
                <w:color w:val="000000"/>
                <w:lang w:val="en-US"/>
              </w:rPr>
            </w:pPr>
          </w:p>
        </w:tc>
        <w:tc>
          <w:tcPr>
            <w:tcW w:w="1382" w:type="dxa"/>
            <w:tcBorders>
              <w:top w:val="nil"/>
              <w:left w:val="nil"/>
              <w:bottom w:val="single" w:sz="4" w:space="0" w:color="auto"/>
              <w:right w:val="nil"/>
            </w:tcBorders>
            <w:noWrap/>
            <w:vAlign w:val="bottom"/>
          </w:tcPr>
          <w:p w:rsidR="003D1F7F" w:rsidRPr="00015190" w:rsidRDefault="003D1F7F" w:rsidP="001368E7">
            <w:pPr>
              <w:spacing w:before="0" w:after="0"/>
              <w:jc w:val="center"/>
              <w:rPr>
                <w:color w:val="000000"/>
                <w:lang w:val="en-US"/>
              </w:rPr>
            </w:pPr>
            <w:r w:rsidRPr="00015190">
              <w:rPr>
                <w:color w:val="000000"/>
                <w:szCs w:val="22"/>
                <w:lang w:val="en-US"/>
              </w:rPr>
              <w:t>0</w:t>
            </w:r>
          </w:p>
        </w:tc>
        <w:tc>
          <w:tcPr>
            <w:tcW w:w="1098" w:type="dxa"/>
            <w:tcBorders>
              <w:top w:val="nil"/>
              <w:left w:val="nil"/>
              <w:bottom w:val="single" w:sz="4" w:space="0" w:color="auto"/>
              <w:right w:val="nil"/>
            </w:tcBorders>
            <w:shd w:val="clear" w:color="auto" w:fill="FF0000"/>
            <w:noWrap/>
            <w:vAlign w:val="bottom"/>
          </w:tcPr>
          <w:p w:rsidR="003D1F7F" w:rsidRPr="00015190" w:rsidRDefault="002605DA" w:rsidP="001368E7">
            <w:pPr>
              <w:spacing w:before="0" w:after="0"/>
              <w:jc w:val="center"/>
              <w:rPr>
                <w:color w:val="000000"/>
                <w:lang w:eastAsia="en-AU"/>
              </w:rPr>
            </w:pPr>
            <w:r>
              <w:rPr>
                <w:color w:val="000000"/>
                <w:szCs w:val="22"/>
                <w:lang w:eastAsia="en-AU"/>
              </w:rPr>
              <w:t xml:space="preserve">0 - </w:t>
            </w:r>
            <w:r w:rsidR="003D1F7F" w:rsidRPr="00015190">
              <w:rPr>
                <w:color w:val="000000"/>
                <w:szCs w:val="22"/>
                <w:lang w:eastAsia="en-AU"/>
              </w:rPr>
              <w:t>20</w:t>
            </w:r>
          </w:p>
        </w:tc>
      </w:tr>
    </w:tbl>
    <w:p w:rsidR="003D1F7F" w:rsidRPr="00BA12BB" w:rsidRDefault="003D1F7F" w:rsidP="00926892">
      <w:pPr>
        <w:pStyle w:val="Heading3"/>
        <w:numPr>
          <w:ilvl w:val="2"/>
          <w:numId w:val="9"/>
        </w:numPr>
        <w:rPr>
          <w:rFonts w:ascii="Arial" w:hAnsi="Arial" w:cs="Arial"/>
        </w:rPr>
      </w:pPr>
      <w:bookmarkStart w:id="117" w:name="_Toc184101958"/>
      <w:bookmarkStart w:id="118" w:name="_Toc381027994"/>
      <w:bookmarkStart w:id="119" w:name="_Toc462047330"/>
      <w:bookmarkEnd w:id="116"/>
      <w:r w:rsidRPr="00BA12BB">
        <w:rPr>
          <w:rFonts w:ascii="Arial" w:hAnsi="Arial" w:cs="Arial"/>
        </w:rPr>
        <w:t>Seagrass index</w:t>
      </w:r>
      <w:bookmarkEnd w:id="117"/>
      <w:bookmarkEnd w:id="118"/>
      <w:bookmarkEnd w:id="119"/>
    </w:p>
    <w:p w:rsidR="003D1F7F" w:rsidRDefault="003D1F7F" w:rsidP="003D1F7F">
      <w:pPr>
        <w:spacing w:before="240"/>
        <w:rPr>
          <w:color w:val="000000"/>
          <w:szCs w:val="22"/>
        </w:rPr>
      </w:pPr>
      <w:r w:rsidRPr="00015190">
        <w:rPr>
          <w:color w:val="000000"/>
          <w:szCs w:val="22"/>
        </w:rPr>
        <w:t xml:space="preserve">The seagrass index is </w:t>
      </w:r>
      <w:r w:rsidR="00F16C11">
        <w:rPr>
          <w:color w:val="000000"/>
          <w:szCs w:val="22"/>
        </w:rPr>
        <w:t xml:space="preserve">an </w:t>
      </w:r>
      <w:r w:rsidRPr="00015190">
        <w:rPr>
          <w:color w:val="000000"/>
          <w:szCs w:val="22"/>
        </w:rPr>
        <w:t>average score (0-100) of the three seagrass status indicators chosen for the MMP. Each indicator is equally weighted as we have no preconception that it should be otherwise. To calculate the overall score for seagrass of the Great Barrier Reef (GBR), the regional scores were weighted on the percentage of GBRWHA seagrass (shallower than 15m) within that region</w:t>
      </w:r>
      <w:r>
        <w:rPr>
          <w:color w:val="000000"/>
          <w:szCs w:val="22"/>
        </w:rPr>
        <w:t xml:space="preserve"> (</w:t>
      </w:r>
      <w:r w:rsidR="00F16C11">
        <w:rPr>
          <w:color w:val="000000"/>
          <w:szCs w:val="22"/>
          <w:highlight w:val="yellow"/>
        </w:rPr>
        <w:fldChar w:fldCharType="begin"/>
      </w:r>
      <w:r w:rsidR="00F16C11">
        <w:rPr>
          <w:color w:val="000000"/>
          <w:szCs w:val="22"/>
        </w:rPr>
        <w:instrText xml:space="preserve"> REF _Ref442523609 \h </w:instrText>
      </w:r>
      <w:r w:rsidR="00F16C11">
        <w:rPr>
          <w:color w:val="000000"/>
          <w:szCs w:val="22"/>
          <w:highlight w:val="yellow"/>
        </w:rPr>
      </w:r>
      <w:r w:rsidR="00F16C11">
        <w:rPr>
          <w:color w:val="000000"/>
          <w:szCs w:val="22"/>
          <w:highlight w:val="yellow"/>
        </w:rPr>
        <w:fldChar w:fldCharType="separate"/>
      </w:r>
      <w:r w:rsidR="009C068F" w:rsidRPr="00015190">
        <w:rPr>
          <w:color w:val="000000"/>
          <w:szCs w:val="22"/>
        </w:rPr>
        <w:t xml:space="preserve">Table </w:t>
      </w:r>
      <w:r w:rsidR="009C068F">
        <w:rPr>
          <w:noProof/>
          <w:color w:val="000000"/>
          <w:szCs w:val="22"/>
        </w:rPr>
        <w:t>8</w:t>
      </w:r>
      <w:r w:rsidR="00F16C11">
        <w:rPr>
          <w:color w:val="000000"/>
          <w:szCs w:val="22"/>
          <w:highlight w:val="yellow"/>
        </w:rPr>
        <w:fldChar w:fldCharType="end"/>
      </w:r>
      <w:r>
        <w:rPr>
          <w:color w:val="000000"/>
          <w:szCs w:val="22"/>
        </w:rPr>
        <w:t>)</w:t>
      </w:r>
      <w:r w:rsidRPr="00015190">
        <w:rPr>
          <w:color w:val="000000"/>
          <w:szCs w:val="22"/>
        </w:rPr>
        <w:t xml:space="preserve">. </w:t>
      </w:r>
      <w:r w:rsidRPr="00015190">
        <w:rPr>
          <w:i/>
          <w:color w:val="000000"/>
          <w:szCs w:val="22"/>
        </w:rPr>
        <w:t>Please note: Cape York omitted from the GBR score in P2R reporting prior to 2012 due to poor representation of inshore monitoring sites throughout region</w:t>
      </w:r>
      <w:r w:rsidRPr="00015190">
        <w:rPr>
          <w:color w:val="000000"/>
          <w:szCs w:val="22"/>
        </w:rPr>
        <w:t>.</w:t>
      </w:r>
    </w:p>
    <w:p w:rsidR="003D1F7F" w:rsidRPr="00015190" w:rsidRDefault="003D1F7F" w:rsidP="003D1F7F">
      <w:pPr>
        <w:ind w:left="360"/>
        <w:jc w:val="center"/>
        <w:rPr>
          <w:i/>
          <w:color w:val="000000"/>
          <w:szCs w:val="22"/>
        </w:rPr>
      </w:pPr>
      <w:bookmarkStart w:id="120" w:name="_Ref442523609"/>
      <w:bookmarkStart w:id="121" w:name="_Toc462685077"/>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9C068F">
        <w:rPr>
          <w:noProof/>
          <w:color w:val="000000"/>
          <w:szCs w:val="22"/>
        </w:rPr>
        <w:t>8</w:t>
      </w:r>
      <w:r w:rsidRPr="00015190">
        <w:rPr>
          <w:color w:val="000000"/>
          <w:szCs w:val="22"/>
        </w:rPr>
        <w:fldChar w:fldCharType="end"/>
      </w:r>
      <w:bookmarkEnd w:id="120"/>
      <w:r w:rsidRPr="00015190">
        <w:rPr>
          <w:color w:val="000000"/>
          <w:szCs w:val="22"/>
        </w:rPr>
        <w:t xml:space="preserve">. </w:t>
      </w:r>
      <w:r w:rsidRPr="00015190">
        <w:rPr>
          <w:i/>
          <w:color w:val="000000"/>
          <w:szCs w:val="22"/>
        </w:rPr>
        <w:t xml:space="preserve">Area of seagrass shallower than 15m in each NRM region (from </w:t>
      </w:r>
      <w:hyperlink w:anchor="_ENREF_180" w:tooltip="McKenzie, 2010 #9646" w:history="1">
        <w:r w:rsidR="00E6043D">
          <w:rPr>
            <w:i/>
            <w:color w:val="000000"/>
            <w:szCs w:val="22"/>
          </w:rPr>
          <w:fldChar w:fldCharType="begin"/>
        </w:r>
        <w:r w:rsidR="00E6043D">
          <w:rPr>
            <w:i/>
            <w:color w:val="000000"/>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Pr>
            <w:i/>
            <w:color w:val="000000"/>
            <w:szCs w:val="22"/>
          </w:rPr>
          <w:fldChar w:fldCharType="separate"/>
        </w:r>
        <w:r w:rsidR="00E6043D">
          <w:rPr>
            <w:i/>
            <w:noProof/>
            <w:color w:val="000000"/>
            <w:szCs w:val="22"/>
          </w:rPr>
          <w:t>McKenzie, et al. 2010c</w:t>
        </w:r>
        <w:r w:rsidR="00E6043D">
          <w:rPr>
            <w:i/>
            <w:color w:val="000000"/>
            <w:szCs w:val="22"/>
          </w:rPr>
          <w:fldChar w:fldCharType="end"/>
        </w:r>
      </w:hyperlink>
      <w:r w:rsidRPr="00015190">
        <w:rPr>
          <w:i/>
          <w:color w:val="000000"/>
          <w:szCs w:val="22"/>
        </w:rPr>
        <w:t>) within the boundaries of the Great Barrier Reef World Heritage Area.</w:t>
      </w:r>
      <w:bookmarkEnd w:id="121"/>
    </w:p>
    <w:tbl>
      <w:tblPr>
        <w:tblW w:w="7362" w:type="dxa"/>
        <w:jc w:val="center"/>
        <w:tblLook w:val="0000" w:firstRow="0" w:lastRow="0" w:firstColumn="0" w:lastColumn="0" w:noHBand="0" w:noVBand="0"/>
      </w:tblPr>
      <w:tblGrid>
        <w:gridCol w:w="2660"/>
        <w:gridCol w:w="2360"/>
        <w:gridCol w:w="2342"/>
      </w:tblGrid>
      <w:tr w:rsidR="003D1F7F" w:rsidRPr="00015190" w:rsidTr="001368E7">
        <w:trPr>
          <w:trHeight w:val="290"/>
          <w:jc w:val="center"/>
        </w:trPr>
        <w:tc>
          <w:tcPr>
            <w:tcW w:w="2660" w:type="dxa"/>
            <w:tcBorders>
              <w:top w:val="single" w:sz="4" w:space="0" w:color="auto"/>
              <w:left w:val="nil"/>
              <w:bottom w:val="single" w:sz="4" w:space="0" w:color="auto"/>
              <w:right w:val="nil"/>
            </w:tcBorders>
            <w:shd w:val="clear" w:color="auto" w:fill="BBE0E3"/>
            <w:noWrap/>
            <w:vAlign w:val="bottom"/>
          </w:tcPr>
          <w:p w:rsidR="003D1F7F" w:rsidRPr="00015190" w:rsidRDefault="003D1F7F" w:rsidP="001368E7">
            <w:pPr>
              <w:spacing w:before="0" w:after="0"/>
              <w:jc w:val="center"/>
              <w:rPr>
                <w:b/>
                <w:color w:val="000000"/>
                <w:lang w:val="en-US"/>
              </w:rPr>
            </w:pPr>
            <w:r w:rsidRPr="00015190">
              <w:rPr>
                <w:b/>
                <w:color w:val="000000"/>
                <w:szCs w:val="22"/>
                <w:lang w:val="en-US"/>
              </w:rPr>
              <w:t>NRM</w:t>
            </w:r>
          </w:p>
        </w:tc>
        <w:tc>
          <w:tcPr>
            <w:tcW w:w="2360" w:type="dxa"/>
            <w:tcBorders>
              <w:top w:val="single" w:sz="4" w:space="0" w:color="auto"/>
              <w:left w:val="nil"/>
              <w:bottom w:val="single" w:sz="4" w:space="0" w:color="auto"/>
              <w:right w:val="nil"/>
            </w:tcBorders>
            <w:shd w:val="clear" w:color="auto" w:fill="BBE0E3"/>
            <w:noWrap/>
            <w:vAlign w:val="bottom"/>
          </w:tcPr>
          <w:p w:rsidR="003D1F7F" w:rsidRPr="00015190" w:rsidRDefault="003D1F7F" w:rsidP="001368E7">
            <w:pPr>
              <w:spacing w:before="0" w:after="0"/>
              <w:jc w:val="center"/>
              <w:rPr>
                <w:b/>
                <w:color w:val="000000"/>
                <w:lang w:val="en-US"/>
              </w:rPr>
            </w:pPr>
            <w:r w:rsidRPr="00015190">
              <w:rPr>
                <w:b/>
                <w:color w:val="000000"/>
                <w:szCs w:val="22"/>
                <w:lang w:val="en-US"/>
              </w:rPr>
              <w:t xml:space="preserve">Area of seagrass </w:t>
            </w:r>
            <w:r w:rsidRPr="00015190">
              <w:rPr>
                <w:color w:val="000000"/>
                <w:szCs w:val="22"/>
                <w:lang w:val="en-US"/>
              </w:rPr>
              <w:t>(km</w:t>
            </w:r>
            <w:r w:rsidRPr="00015190">
              <w:rPr>
                <w:color w:val="000000"/>
                <w:szCs w:val="22"/>
                <w:vertAlign w:val="superscript"/>
                <w:lang w:val="en-US"/>
              </w:rPr>
              <w:t>2</w:t>
            </w:r>
            <w:r w:rsidRPr="00015190">
              <w:rPr>
                <w:color w:val="000000"/>
                <w:szCs w:val="22"/>
                <w:lang w:val="en-US"/>
              </w:rPr>
              <w:t>)</w:t>
            </w:r>
          </w:p>
        </w:tc>
        <w:tc>
          <w:tcPr>
            <w:tcW w:w="2342" w:type="dxa"/>
            <w:tcBorders>
              <w:top w:val="single" w:sz="4" w:space="0" w:color="auto"/>
              <w:left w:val="nil"/>
              <w:bottom w:val="single" w:sz="4" w:space="0" w:color="auto"/>
              <w:right w:val="nil"/>
            </w:tcBorders>
            <w:shd w:val="clear" w:color="auto" w:fill="BBE0E3"/>
            <w:noWrap/>
            <w:vAlign w:val="bottom"/>
          </w:tcPr>
          <w:p w:rsidR="003D1F7F" w:rsidRPr="00015190" w:rsidRDefault="003D1F7F" w:rsidP="001368E7">
            <w:pPr>
              <w:spacing w:before="0" w:after="0"/>
              <w:jc w:val="center"/>
              <w:rPr>
                <w:b/>
                <w:color w:val="000000"/>
                <w:lang w:val="en-US"/>
              </w:rPr>
            </w:pPr>
            <w:r w:rsidRPr="00015190">
              <w:rPr>
                <w:b/>
                <w:color w:val="000000"/>
                <w:szCs w:val="22"/>
                <w:lang w:val="en-US"/>
              </w:rPr>
              <w:t>% of GBRWHA</w:t>
            </w:r>
          </w:p>
        </w:tc>
      </w:tr>
      <w:tr w:rsidR="003D1F7F" w:rsidRPr="00015190" w:rsidTr="001368E7">
        <w:trPr>
          <w:trHeight w:val="290"/>
          <w:jc w:val="center"/>
        </w:trPr>
        <w:tc>
          <w:tcPr>
            <w:tcW w:w="2660" w:type="dxa"/>
            <w:tcBorders>
              <w:top w:val="nil"/>
              <w:left w:val="nil"/>
              <w:bottom w:val="nil"/>
              <w:right w:val="nil"/>
            </w:tcBorders>
            <w:shd w:val="clear" w:color="auto" w:fill="F3F9FA"/>
            <w:noWrap/>
            <w:vAlign w:val="bottom"/>
          </w:tcPr>
          <w:p w:rsidR="003D1F7F" w:rsidRPr="00015190" w:rsidRDefault="003D1F7F" w:rsidP="001368E7">
            <w:pPr>
              <w:spacing w:before="0" w:after="0"/>
              <w:rPr>
                <w:color w:val="000000"/>
                <w:lang w:eastAsia="en-AU"/>
              </w:rPr>
            </w:pPr>
            <w:r w:rsidRPr="00015190">
              <w:rPr>
                <w:color w:val="000000"/>
                <w:szCs w:val="22"/>
                <w:lang w:eastAsia="en-AU"/>
              </w:rPr>
              <w:t xml:space="preserve">Cape York </w:t>
            </w:r>
          </w:p>
        </w:tc>
        <w:tc>
          <w:tcPr>
            <w:tcW w:w="2360"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szCs w:val="22"/>
                <w:lang w:eastAsia="en-AU"/>
              </w:rPr>
            </w:pPr>
            <w:r w:rsidRPr="00015190">
              <w:rPr>
                <w:color w:val="000000"/>
                <w:szCs w:val="22"/>
                <w:lang w:eastAsia="en-AU"/>
              </w:rPr>
              <w:t>1,843</w:t>
            </w:r>
          </w:p>
        </w:tc>
        <w:tc>
          <w:tcPr>
            <w:tcW w:w="2342"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lang w:eastAsia="en-AU"/>
              </w:rPr>
              <w:t>0.60</w:t>
            </w:r>
          </w:p>
        </w:tc>
      </w:tr>
      <w:tr w:rsidR="003D1F7F" w:rsidRPr="00015190" w:rsidTr="001368E7">
        <w:trPr>
          <w:trHeight w:val="290"/>
          <w:jc w:val="center"/>
        </w:trPr>
        <w:tc>
          <w:tcPr>
            <w:tcW w:w="2660" w:type="dxa"/>
            <w:tcBorders>
              <w:top w:val="nil"/>
              <w:left w:val="nil"/>
              <w:bottom w:val="nil"/>
              <w:right w:val="nil"/>
            </w:tcBorders>
            <w:shd w:val="clear" w:color="auto" w:fill="F3F9FA"/>
            <w:noWrap/>
            <w:vAlign w:val="bottom"/>
          </w:tcPr>
          <w:p w:rsidR="003D1F7F" w:rsidRPr="00015190" w:rsidRDefault="003D1F7F" w:rsidP="001368E7">
            <w:pPr>
              <w:spacing w:before="0" w:after="0"/>
              <w:rPr>
                <w:color w:val="000000"/>
                <w:lang w:eastAsia="en-AU"/>
              </w:rPr>
            </w:pPr>
            <w:r w:rsidRPr="00015190">
              <w:rPr>
                <w:color w:val="000000"/>
                <w:szCs w:val="22"/>
                <w:lang w:eastAsia="en-AU"/>
              </w:rPr>
              <w:t xml:space="preserve">Wet Tropics </w:t>
            </w:r>
          </w:p>
        </w:tc>
        <w:tc>
          <w:tcPr>
            <w:tcW w:w="2360"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201</w:t>
            </w:r>
          </w:p>
        </w:tc>
        <w:tc>
          <w:tcPr>
            <w:tcW w:w="2342"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0.07</w:t>
            </w:r>
          </w:p>
        </w:tc>
      </w:tr>
      <w:tr w:rsidR="003D1F7F" w:rsidRPr="00015190" w:rsidTr="001368E7">
        <w:trPr>
          <w:trHeight w:val="290"/>
          <w:jc w:val="center"/>
        </w:trPr>
        <w:tc>
          <w:tcPr>
            <w:tcW w:w="2660" w:type="dxa"/>
            <w:tcBorders>
              <w:top w:val="nil"/>
              <w:left w:val="nil"/>
              <w:bottom w:val="nil"/>
              <w:right w:val="nil"/>
            </w:tcBorders>
            <w:shd w:val="clear" w:color="auto" w:fill="F3F9FA"/>
            <w:noWrap/>
            <w:vAlign w:val="bottom"/>
          </w:tcPr>
          <w:p w:rsidR="003D1F7F" w:rsidRPr="00015190" w:rsidRDefault="003D1F7F" w:rsidP="001368E7">
            <w:pPr>
              <w:spacing w:before="0" w:after="0"/>
              <w:rPr>
                <w:color w:val="000000"/>
                <w:lang w:eastAsia="en-AU"/>
              </w:rPr>
            </w:pPr>
            <w:r w:rsidRPr="00015190">
              <w:rPr>
                <w:color w:val="000000"/>
                <w:szCs w:val="22"/>
                <w:lang w:eastAsia="en-AU"/>
              </w:rPr>
              <w:t xml:space="preserve">Burdekin </w:t>
            </w:r>
          </w:p>
        </w:tc>
        <w:tc>
          <w:tcPr>
            <w:tcW w:w="2360"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551</w:t>
            </w:r>
          </w:p>
        </w:tc>
        <w:tc>
          <w:tcPr>
            <w:tcW w:w="2342"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0.18</w:t>
            </w:r>
          </w:p>
        </w:tc>
      </w:tr>
      <w:tr w:rsidR="003D1F7F" w:rsidRPr="00015190" w:rsidTr="001368E7">
        <w:trPr>
          <w:trHeight w:val="290"/>
          <w:jc w:val="center"/>
        </w:trPr>
        <w:tc>
          <w:tcPr>
            <w:tcW w:w="2660" w:type="dxa"/>
            <w:tcBorders>
              <w:top w:val="nil"/>
              <w:left w:val="nil"/>
              <w:bottom w:val="nil"/>
              <w:right w:val="nil"/>
            </w:tcBorders>
            <w:shd w:val="clear" w:color="auto" w:fill="F3F9FA"/>
            <w:noWrap/>
            <w:vAlign w:val="bottom"/>
          </w:tcPr>
          <w:p w:rsidR="003D1F7F" w:rsidRPr="00015190" w:rsidRDefault="003D1F7F" w:rsidP="001368E7">
            <w:pPr>
              <w:spacing w:before="0" w:after="0"/>
              <w:rPr>
                <w:color w:val="000000"/>
                <w:lang w:eastAsia="en-AU"/>
              </w:rPr>
            </w:pPr>
            <w:r w:rsidRPr="00015190">
              <w:rPr>
                <w:color w:val="000000"/>
                <w:szCs w:val="22"/>
                <w:lang w:eastAsia="en-AU"/>
              </w:rPr>
              <w:t xml:space="preserve">Mackay Whitsunday </w:t>
            </w:r>
          </w:p>
        </w:tc>
        <w:tc>
          <w:tcPr>
            <w:tcW w:w="2360"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154</w:t>
            </w:r>
          </w:p>
        </w:tc>
        <w:tc>
          <w:tcPr>
            <w:tcW w:w="2342"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0.05</w:t>
            </w:r>
          </w:p>
        </w:tc>
      </w:tr>
      <w:tr w:rsidR="003D1F7F" w:rsidRPr="00015190" w:rsidTr="001368E7">
        <w:trPr>
          <w:trHeight w:val="290"/>
          <w:jc w:val="center"/>
        </w:trPr>
        <w:tc>
          <w:tcPr>
            <w:tcW w:w="2660" w:type="dxa"/>
            <w:tcBorders>
              <w:top w:val="nil"/>
              <w:left w:val="nil"/>
              <w:bottom w:val="nil"/>
              <w:right w:val="nil"/>
            </w:tcBorders>
            <w:shd w:val="clear" w:color="auto" w:fill="F3F9FA"/>
            <w:noWrap/>
            <w:vAlign w:val="bottom"/>
          </w:tcPr>
          <w:p w:rsidR="003D1F7F" w:rsidRPr="00015190" w:rsidRDefault="003D1F7F" w:rsidP="001368E7">
            <w:pPr>
              <w:spacing w:before="0" w:after="0"/>
              <w:rPr>
                <w:color w:val="000000"/>
                <w:lang w:eastAsia="en-AU"/>
              </w:rPr>
            </w:pPr>
            <w:r w:rsidRPr="00015190">
              <w:rPr>
                <w:color w:val="000000"/>
                <w:szCs w:val="22"/>
                <w:lang w:eastAsia="en-AU"/>
              </w:rPr>
              <w:t xml:space="preserve">Fitzroy </w:t>
            </w:r>
          </w:p>
        </w:tc>
        <w:tc>
          <w:tcPr>
            <w:tcW w:w="2360"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241</w:t>
            </w:r>
          </w:p>
        </w:tc>
        <w:tc>
          <w:tcPr>
            <w:tcW w:w="2342" w:type="dxa"/>
            <w:tcBorders>
              <w:top w:val="nil"/>
              <w:left w:val="nil"/>
              <w:bottom w:val="nil"/>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0.08</w:t>
            </w:r>
          </w:p>
        </w:tc>
      </w:tr>
      <w:tr w:rsidR="003D1F7F" w:rsidRPr="00015190" w:rsidTr="001368E7">
        <w:trPr>
          <w:trHeight w:val="290"/>
          <w:jc w:val="center"/>
        </w:trPr>
        <w:tc>
          <w:tcPr>
            <w:tcW w:w="2660" w:type="dxa"/>
            <w:tcBorders>
              <w:top w:val="nil"/>
              <w:left w:val="nil"/>
              <w:bottom w:val="single" w:sz="4" w:space="0" w:color="auto"/>
              <w:right w:val="nil"/>
            </w:tcBorders>
            <w:shd w:val="clear" w:color="auto" w:fill="F3F9FA"/>
            <w:noWrap/>
            <w:vAlign w:val="bottom"/>
          </w:tcPr>
          <w:p w:rsidR="003D1F7F" w:rsidRPr="00015190" w:rsidRDefault="003D1F7F" w:rsidP="001368E7">
            <w:pPr>
              <w:spacing w:before="0" w:after="0"/>
              <w:rPr>
                <w:color w:val="000000"/>
                <w:lang w:eastAsia="en-AU"/>
              </w:rPr>
            </w:pPr>
            <w:r w:rsidRPr="00015190">
              <w:rPr>
                <w:color w:val="000000"/>
                <w:szCs w:val="22"/>
                <w:lang w:eastAsia="en-AU"/>
              </w:rPr>
              <w:t xml:space="preserve">Burnett Mary </w:t>
            </w:r>
          </w:p>
        </w:tc>
        <w:tc>
          <w:tcPr>
            <w:tcW w:w="2360" w:type="dxa"/>
            <w:tcBorders>
              <w:top w:val="nil"/>
              <w:left w:val="nil"/>
              <w:bottom w:val="single" w:sz="4" w:space="0" w:color="auto"/>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73</w:t>
            </w:r>
          </w:p>
        </w:tc>
        <w:tc>
          <w:tcPr>
            <w:tcW w:w="2342" w:type="dxa"/>
            <w:tcBorders>
              <w:top w:val="nil"/>
              <w:left w:val="nil"/>
              <w:bottom w:val="single" w:sz="4" w:space="0" w:color="auto"/>
              <w:right w:val="nil"/>
            </w:tcBorders>
            <w:shd w:val="clear" w:color="auto" w:fill="F3F9FA"/>
            <w:noWrap/>
            <w:vAlign w:val="bottom"/>
          </w:tcPr>
          <w:p w:rsidR="003D1F7F" w:rsidRPr="00015190" w:rsidRDefault="003D1F7F" w:rsidP="001368E7">
            <w:pPr>
              <w:spacing w:before="0" w:after="0"/>
              <w:jc w:val="center"/>
              <w:rPr>
                <w:color w:val="000000"/>
                <w:lang w:eastAsia="en-AU"/>
              </w:rPr>
            </w:pPr>
            <w:r w:rsidRPr="00015190">
              <w:rPr>
                <w:color w:val="000000"/>
                <w:szCs w:val="22"/>
                <w:lang w:eastAsia="en-AU"/>
              </w:rPr>
              <w:t>0.02</w:t>
            </w:r>
          </w:p>
        </w:tc>
      </w:tr>
      <w:tr w:rsidR="003D1F7F" w:rsidRPr="00015190" w:rsidTr="001368E7">
        <w:trPr>
          <w:trHeight w:val="290"/>
          <w:jc w:val="center"/>
        </w:trPr>
        <w:tc>
          <w:tcPr>
            <w:tcW w:w="2660" w:type="dxa"/>
            <w:tcBorders>
              <w:top w:val="single" w:sz="4" w:space="0" w:color="auto"/>
              <w:left w:val="nil"/>
              <w:bottom w:val="single" w:sz="4" w:space="0" w:color="auto"/>
              <w:right w:val="nil"/>
            </w:tcBorders>
            <w:shd w:val="clear" w:color="auto" w:fill="E7F3F4"/>
            <w:noWrap/>
            <w:vAlign w:val="bottom"/>
          </w:tcPr>
          <w:p w:rsidR="003D1F7F" w:rsidRPr="00015190" w:rsidRDefault="003D1F7F" w:rsidP="001368E7">
            <w:pPr>
              <w:spacing w:before="0" w:after="0"/>
              <w:rPr>
                <w:b/>
                <w:color w:val="000000"/>
                <w:lang w:eastAsia="en-AU"/>
              </w:rPr>
            </w:pPr>
            <w:r w:rsidRPr="00015190">
              <w:rPr>
                <w:b/>
                <w:color w:val="000000"/>
                <w:szCs w:val="22"/>
                <w:lang w:eastAsia="en-AU"/>
              </w:rPr>
              <w:t>GBRWHA</w:t>
            </w:r>
          </w:p>
        </w:tc>
        <w:tc>
          <w:tcPr>
            <w:tcW w:w="2360" w:type="dxa"/>
            <w:tcBorders>
              <w:top w:val="single" w:sz="4" w:space="0" w:color="auto"/>
              <w:left w:val="nil"/>
              <w:bottom w:val="single" w:sz="4" w:space="0" w:color="auto"/>
              <w:right w:val="nil"/>
            </w:tcBorders>
            <w:shd w:val="clear" w:color="auto" w:fill="E7F3F4"/>
            <w:noWrap/>
            <w:vAlign w:val="bottom"/>
          </w:tcPr>
          <w:p w:rsidR="003D1F7F" w:rsidRPr="00015190" w:rsidRDefault="00081490" w:rsidP="001368E7">
            <w:pPr>
              <w:spacing w:before="0" w:after="0"/>
              <w:jc w:val="center"/>
              <w:rPr>
                <w:b/>
                <w:color w:val="000000"/>
                <w:lang w:eastAsia="en-AU"/>
              </w:rPr>
            </w:pPr>
            <w:r>
              <w:rPr>
                <w:b/>
                <w:color w:val="000000"/>
                <w:szCs w:val="22"/>
                <w:lang w:eastAsia="en-AU"/>
              </w:rPr>
              <w:t>3,063</w:t>
            </w:r>
          </w:p>
        </w:tc>
        <w:tc>
          <w:tcPr>
            <w:tcW w:w="2342" w:type="dxa"/>
            <w:tcBorders>
              <w:top w:val="single" w:sz="4" w:space="0" w:color="auto"/>
              <w:left w:val="nil"/>
              <w:bottom w:val="single" w:sz="4" w:space="0" w:color="auto"/>
              <w:right w:val="nil"/>
            </w:tcBorders>
            <w:shd w:val="clear" w:color="auto" w:fill="E7F3F4"/>
            <w:noWrap/>
            <w:vAlign w:val="bottom"/>
          </w:tcPr>
          <w:p w:rsidR="003D1F7F" w:rsidRPr="00015190" w:rsidRDefault="003D1F7F" w:rsidP="001368E7">
            <w:pPr>
              <w:spacing w:before="0" w:after="0"/>
              <w:jc w:val="center"/>
              <w:rPr>
                <w:b/>
                <w:color w:val="000000"/>
                <w:lang w:eastAsia="en-AU"/>
              </w:rPr>
            </w:pPr>
            <w:r w:rsidRPr="00015190">
              <w:rPr>
                <w:b/>
                <w:color w:val="000000"/>
                <w:szCs w:val="22"/>
                <w:lang w:eastAsia="en-AU"/>
              </w:rPr>
              <w:t>1.00</w:t>
            </w:r>
          </w:p>
        </w:tc>
      </w:tr>
    </w:tbl>
    <w:p w:rsidR="003D1F7F" w:rsidRDefault="003D1F7F" w:rsidP="003D1F7F">
      <w:pPr>
        <w:spacing w:before="240"/>
        <w:rPr>
          <w:color w:val="000000"/>
          <w:szCs w:val="22"/>
        </w:rPr>
      </w:pPr>
    </w:p>
    <w:p w:rsidR="000535CA" w:rsidRPr="00015190" w:rsidRDefault="000535CA" w:rsidP="00926892">
      <w:pPr>
        <w:pStyle w:val="Heading1"/>
        <w:numPr>
          <w:ilvl w:val="0"/>
          <w:numId w:val="9"/>
        </w:numPr>
        <w:rPr>
          <w:rFonts w:ascii="Century Gothic" w:hAnsi="Century Gothic"/>
          <w:color w:val="000000"/>
          <w:sz w:val="36"/>
          <w:szCs w:val="36"/>
        </w:rPr>
      </w:pPr>
      <w:bookmarkStart w:id="122" w:name="_Toc462047331"/>
      <w:r w:rsidRPr="00015190">
        <w:rPr>
          <w:rFonts w:ascii="Century Gothic" w:hAnsi="Century Gothic"/>
          <w:color w:val="000000"/>
          <w:sz w:val="36"/>
          <w:szCs w:val="36"/>
        </w:rPr>
        <w:lastRenderedPageBreak/>
        <w:t>Results &amp; Discussion</w:t>
      </w:r>
      <w:bookmarkEnd w:id="32"/>
      <w:bookmarkEnd w:id="122"/>
    </w:p>
    <w:p w:rsidR="00DC12FC" w:rsidRDefault="00DC12FC" w:rsidP="00DC12FC">
      <w:bookmarkStart w:id="123" w:name="_Toc184101961"/>
      <w:bookmarkStart w:id="124" w:name="_Toc431493756"/>
      <w:bookmarkStart w:id="125" w:name="_Ref271279443"/>
      <w:bookmarkEnd w:id="33"/>
      <w:bookmarkEnd w:id="34"/>
      <w:bookmarkEnd w:id="35"/>
      <w:r>
        <w:t>Th</w:t>
      </w:r>
      <w:r w:rsidR="00BB52BF">
        <w:t>e following</w:t>
      </w:r>
      <w:r>
        <w:t xml:space="preserve"> results and discussion section provides detail on </w:t>
      </w:r>
      <w:r w:rsidR="00BB52BF">
        <w:t xml:space="preserve">the </w:t>
      </w:r>
      <w:r>
        <w:t xml:space="preserve">overall climate, environmental pressures and seagrass responses for the </w:t>
      </w:r>
      <w:r w:rsidR="00BB52BF">
        <w:t>2014-15</w:t>
      </w:r>
      <w:r w:rsidR="006131FB">
        <w:t xml:space="preserve"> </w:t>
      </w:r>
      <w:r w:rsidR="00BB52BF">
        <w:t>monitoring period</w:t>
      </w:r>
      <w:r>
        <w:t>, in context of longer-term trends. It is structured as:</w:t>
      </w:r>
    </w:p>
    <w:p w:rsidR="00DC12FC" w:rsidRDefault="00DC12FC" w:rsidP="001A5B75">
      <w:pPr>
        <w:numPr>
          <w:ilvl w:val="0"/>
          <w:numId w:val="11"/>
        </w:numPr>
      </w:pPr>
      <w:r>
        <w:t>GBR-wide summary</w:t>
      </w:r>
      <w:r w:rsidR="00BB52BF">
        <w:t>:</w:t>
      </w:r>
      <w:r>
        <w:t xml:space="preserve"> overall GBR-wide trend</w:t>
      </w:r>
      <w:r w:rsidR="00BB52BF">
        <w:t>s</w:t>
      </w:r>
      <w:r>
        <w:t xml:space="preserve"> and </w:t>
      </w:r>
      <w:r w:rsidR="006131FB">
        <w:t xml:space="preserve">trends for </w:t>
      </w:r>
      <w:r>
        <w:t>each habitat type represented separately</w:t>
      </w:r>
    </w:p>
    <w:p w:rsidR="00DC12FC" w:rsidRDefault="00DC12FC" w:rsidP="001A5B75">
      <w:pPr>
        <w:numPr>
          <w:ilvl w:val="0"/>
          <w:numId w:val="11"/>
        </w:numPr>
      </w:pPr>
      <w:r>
        <w:t xml:space="preserve">A chapter on each NRM </w:t>
      </w:r>
      <w:r w:rsidR="00F16C11">
        <w:t xml:space="preserve">region </w:t>
      </w:r>
      <w:r>
        <w:t xml:space="preserve">starting with the </w:t>
      </w:r>
      <w:r w:rsidR="00F16C11">
        <w:t xml:space="preserve">most </w:t>
      </w:r>
      <w:r>
        <w:t>northern</w:t>
      </w:r>
      <w:r w:rsidR="00F16C11">
        <w:t>,</w:t>
      </w:r>
      <w:r>
        <w:t xml:space="preserve"> Cape York. </w:t>
      </w:r>
    </w:p>
    <w:p w:rsidR="00DC12FC" w:rsidRDefault="00E27F75" w:rsidP="001A5B75">
      <w:pPr>
        <w:numPr>
          <w:ilvl w:val="0"/>
          <w:numId w:val="11"/>
        </w:numPr>
      </w:pPr>
      <w:r>
        <w:t>C</w:t>
      </w:r>
      <w:r w:rsidR="00F16C11">
        <w:t>ase stud</w:t>
      </w:r>
      <w:r>
        <w:t xml:space="preserve">ies: 1. </w:t>
      </w:r>
      <w:r w:rsidR="00F16C11">
        <w:t>u</w:t>
      </w:r>
      <w:r w:rsidR="00F16C11" w:rsidRPr="00F16C11">
        <w:t>sing life history trai</w:t>
      </w:r>
      <w:r w:rsidR="00F16C11">
        <w:t>ts to classify seagrass species</w:t>
      </w:r>
      <w:r>
        <w:t xml:space="preserve">, and; 2. </w:t>
      </w:r>
      <w:r w:rsidR="00DC12FC">
        <w:t xml:space="preserve">highlighting the integration between the </w:t>
      </w:r>
      <w:r w:rsidR="00F16C11">
        <w:t xml:space="preserve">inshore </w:t>
      </w:r>
      <w:r w:rsidR="00DC12FC">
        <w:t>water quality (</w:t>
      </w:r>
      <w:hyperlink w:anchor="_ENREF_151" w:tooltip="Lønborg, 2015 #10475" w:history="1">
        <w:r w:rsidR="00E6043D">
          <w:fldChar w:fldCharType="begin"/>
        </w:r>
        <w:r w:rsidR="00E6043D">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fldChar w:fldCharType="separate"/>
        </w:r>
        <w:r w:rsidR="00E6043D">
          <w:rPr>
            <w:noProof/>
          </w:rPr>
          <w:t>Lønborg</w:t>
        </w:r>
        <w:r w:rsidR="00E6043D" w:rsidRPr="00D821F1">
          <w:rPr>
            <w:i/>
            <w:noProof/>
          </w:rPr>
          <w:t>, et al.</w:t>
        </w:r>
        <w:r w:rsidR="00E6043D">
          <w:rPr>
            <w:noProof/>
          </w:rPr>
          <w:t xml:space="preserve"> 2015</w:t>
        </w:r>
        <w:r w:rsidR="00E6043D">
          <w:fldChar w:fldCharType="end"/>
        </w:r>
      </w:hyperlink>
      <w:r w:rsidR="00DC12FC">
        <w:t xml:space="preserve">) and </w:t>
      </w:r>
      <w:r w:rsidR="00F16C11">
        <w:t xml:space="preserve">inshore </w:t>
      </w:r>
      <w:r w:rsidR="00DC12FC">
        <w:t xml:space="preserve">seagrass subprograms. </w:t>
      </w:r>
    </w:p>
    <w:p w:rsidR="00DC12FC" w:rsidRDefault="00DC12FC" w:rsidP="00DC12FC">
      <w:r>
        <w:t>Each section (aside from the case stud</w:t>
      </w:r>
      <w:r w:rsidR="00644A84">
        <w:t>ies</w:t>
      </w:r>
      <w:r>
        <w:t>) contains data on environment</w:t>
      </w:r>
      <w:r w:rsidR="00BB52BF">
        <w:t>al pressures</w:t>
      </w:r>
      <w:r>
        <w:t xml:space="preserve"> as well as the indicators that are used for calculating the report card score, or data that may be included in the report card in the future:</w:t>
      </w:r>
    </w:p>
    <w:p w:rsidR="00DC12FC" w:rsidRDefault="00DC12FC" w:rsidP="001A5B75">
      <w:pPr>
        <w:numPr>
          <w:ilvl w:val="0"/>
          <w:numId w:val="12"/>
        </w:numPr>
        <w:spacing w:before="60" w:after="60"/>
        <w:ind w:left="714" w:hanging="357"/>
      </w:pPr>
      <w:r>
        <w:t xml:space="preserve">A summary of the </w:t>
      </w:r>
      <w:r w:rsidR="00F16C11">
        <w:t>key findings from the overall section</w:t>
      </w:r>
    </w:p>
    <w:p w:rsidR="00DC12FC" w:rsidRDefault="00DC12FC" w:rsidP="001A5B75">
      <w:pPr>
        <w:numPr>
          <w:ilvl w:val="0"/>
          <w:numId w:val="12"/>
        </w:numPr>
        <w:spacing w:before="60" w:after="60"/>
        <w:ind w:left="714" w:hanging="357"/>
      </w:pPr>
      <w:r>
        <w:t>Climate, river discharge and flood plume exposure</w:t>
      </w:r>
    </w:p>
    <w:p w:rsidR="00F16C11" w:rsidRDefault="00F16C11" w:rsidP="001A5B75">
      <w:pPr>
        <w:numPr>
          <w:ilvl w:val="0"/>
          <w:numId w:val="12"/>
        </w:numPr>
        <w:spacing w:before="60" w:after="60"/>
        <w:ind w:left="714" w:hanging="357"/>
      </w:pPr>
      <w:r>
        <w:t>Within-canopy light</w:t>
      </w:r>
      <w:r w:rsidR="006131FB">
        <w:t xml:space="preserve"> threshold exceedance</w:t>
      </w:r>
    </w:p>
    <w:p w:rsidR="00DC12FC" w:rsidRDefault="00DC12FC" w:rsidP="001A5B75">
      <w:pPr>
        <w:numPr>
          <w:ilvl w:val="0"/>
          <w:numId w:val="12"/>
        </w:numPr>
        <w:spacing w:before="60" w:after="60"/>
        <w:ind w:left="714" w:hanging="357"/>
      </w:pPr>
      <w:r>
        <w:t>Within-canopy temperature</w:t>
      </w:r>
      <w:r w:rsidR="006131FB">
        <w:t xml:space="preserve"> threshold exceedance</w:t>
      </w:r>
    </w:p>
    <w:p w:rsidR="00DC12FC" w:rsidRDefault="00DC12FC" w:rsidP="001A5B75">
      <w:pPr>
        <w:numPr>
          <w:ilvl w:val="0"/>
          <w:numId w:val="12"/>
        </w:numPr>
        <w:spacing w:before="60" w:after="60"/>
        <w:ind w:left="714" w:hanging="357"/>
      </w:pPr>
      <w:r>
        <w:t>Report card score</w:t>
      </w:r>
    </w:p>
    <w:p w:rsidR="00DC12FC" w:rsidRDefault="00F16C11" w:rsidP="001A5B75">
      <w:pPr>
        <w:numPr>
          <w:ilvl w:val="0"/>
          <w:numId w:val="12"/>
        </w:numPr>
        <w:spacing w:before="60" w:after="60"/>
        <w:ind w:left="714" w:hanging="357"/>
      </w:pPr>
      <w:r>
        <w:t>Seagrass a</w:t>
      </w:r>
      <w:r w:rsidR="00DC12FC">
        <w:t>bundance</w:t>
      </w:r>
      <w:r>
        <w:t xml:space="preserve"> and extent</w:t>
      </w:r>
    </w:p>
    <w:p w:rsidR="00DC12FC" w:rsidRDefault="00DC12FC" w:rsidP="001A5B75">
      <w:pPr>
        <w:numPr>
          <w:ilvl w:val="0"/>
          <w:numId w:val="12"/>
        </w:numPr>
        <w:spacing w:before="60" w:after="60"/>
        <w:ind w:left="714" w:hanging="357"/>
      </w:pPr>
      <w:r>
        <w:t>S</w:t>
      </w:r>
      <w:r w:rsidR="00F16C11">
        <w:t>eagrass s</w:t>
      </w:r>
      <w:r>
        <w:t>pecies composition</w:t>
      </w:r>
      <w:r w:rsidR="006131FB">
        <w:t xml:space="preserve"> based on life history traits</w:t>
      </w:r>
    </w:p>
    <w:p w:rsidR="00DC12FC" w:rsidRDefault="00F16C11" w:rsidP="001A5B75">
      <w:pPr>
        <w:numPr>
          <w:ilvl w:val="0"/>
          <w:numId w:val="12"/>
        </w:numPr>
        <w:spacing w:before="60" w:after="60"/>
        <w:ind w:left="714" w:hanging="357"/>
      </w:pPr>
      <w:r>
        <w:t>Seagrass r</w:t>
      </w:r>
      <w:r w:rsidR="00DC12FC">
        <w:t>eproductive effort</w:t>
      </w:r>
      <w:r>
        <w:t xml:space="preserve"> and seed banks</w:t>
      </w:r>
    </w:p>
    <w:p w:rsidR="00DC12FC" w:rsidRDefault="00F16C11" w:rsidP="001A5B75">
      <w:pPr>
        <w:numPr>
          <w:ilvl w:val="0"/>
          <w:numId w:val="12"/>
        </w:numPr>
        <w:spacing w:before="60" w:after="60"/>
        <w:ind w:left="714" w:hanging="357"/>
      </w:pPr>
      <w:r>
        <w:t>Seagrass l</w:t>
      </w:r>
      <w:r w:rsidR="00BB52BF">
        <w:t>eaf tissue content (</w:t>
      </w:r>
      <w:r w:rsidR="00DC12FC">
        <w:t>C:N, N:P and C:P ratio</w:t>
      </w:r>
      <w:r w:rsidR="00BB52BF">
        <w:t>s)</w:t>
      </w:r>
    </w:p>
    <w:p w:rsidR="00F16C11" w:rsidRDefault="00F16C11" w:rsidP="001A5B75">
      <w:pPr>
        <w:numPr>
          <w:ilvl w:val="0"/>
          <w:numId w:val="12"/>
        </w:numPr>
        <w:spacing w:before="60" w:after="60"/>
        <w:ind w:left="714" w:hanging="357"/>
      </w:pPr>
      <w:r>
        <w:t xml:space="preserve">Epiphyte and </w:t>
      </w:r>
      <w:proofErr w:type="spellStart"/>
      <w:r w:rsidR="00993358">
        <w:t>macroalgae</w:t>
      </w:r>
      <w:proofErr w:type="spellEnd"/>
      <w:r>
        <w:t xml:space="preserve"> abundance</w:t>
      </w:r>
    </w:p>
    <w:p w:rsidR="00F16C11" w:rsidRDefault="00F16C11" w:rsidP="001A5B75">
      <w:pPr>
        <w:numPr>
          <w:ilvl w:val="0"/>
          <w:numId w:val="12"/>
        </w:numPr>
        <w:spacing w:before="60" w:after="60"/>
        <w:ind w:left="714" w:hanging="357"/>
      </w:pPr>
      <w:r>
        <w:t>Seagrass meadows sediment characteristics</w:t>
      </w:r>
    </w:p>
    <w:p w:rsidR="00DC12FC" w:rsidRDefault="00F16C11" w:rsidP="001A5B75">
      <w:pPr>
        <w:numPr>
          <w:ilvl w:val="0"/>
          <w:numId w:val="12"/>
        </w:numPr>
        <w:spacing w:before="60" w:after="60"/>
        <w:ind w:left="714" w:hanging="357"/>
      </w:pPr>
      <w:r>
        <w:t xml:space="preserve">Findings from other seagrass monitoring programs </w:t>
      </w:r>
      <w:r w:rsidR="00DC12FC">
        <w:t>(</w:t>
      </w:r>
      <w:r>
        <w:t>e.g.</w:t>
      </w:r>
      <w:r w:rsidR="006131FB">
        <w:t>,</w:t>
      </w:r>
      <w:r>
        <w:t xml:space="preserve"> QPSMP</w:t>
      </w:r>
      <w:r w:rsidR="00DC12FC">
        <w:t>)</w:t>
      </w:r>
    </w:p>
    <w:p w:rsidR="00DC12FC" w:rsidRDefault="001B5B41" w:rsidP="00DC12FC">
      <w:r>
        <w:t>The following s</w:t>
      </w:r>
      <w:r w:rsidR="00DC12FC">
        <w:t>upporting data</w:t>
      </w:r>
      <w:r>
        <w:t>,</w:t>
      </w:r>
      <w:r w:rsidR="00DC12FC">
        <w:t xml:space="preserve"> </w:t>
      </w:r>
      <w:r w:rsidR="00E27F75">
        <w:t xml:space="preserve">identified as important in understanding </w:t>
      </w:r>
      <w:r w:rsidR="00DC12FC">
        <w:t>the Results and discussion section</w:t>
      </w:r>
      <w:r>
        <w:t>s (including any long-term trends)</w:t>
      </w:r>
      <w:r w:rsidR="00DC12FC">
        <w:t xml:space="preserve">, </w:t>
      </w:r>
      <w:r>
        <w:t>is</w:t>
      </w:r>
      <w:r w:rsidR="00DC12FC">
        <w:t xml:space="preserve"> </w:t>
      </w:r>
      <w:r>
        <w:t>d</w:t>
      </w:r>
      <w:r w:rsidR="00DC12FC">
        <w:t>etail</w:t>
      </w:r>
      <w:r>
        <w:t>ed</w:t>
      </w:r>
      <w:r w:rsidR="00DC12FC">
        <w:t xml:space="preserve"> w</w:t>
      </w:r>
      <w:r>
        <w:t>ithin Appendix 4</w:t>
      </w:r>
      <w:r w:rsidR="00DC12FC">
        <w:t>:</w:t>
      </w:r>
    </w:p>
    <w:p w:rsidR="00E27F75" w:rsidRDefault="00E27F75" w:rsidP="001A5B75">
      <w:pPr>
        <w:numPr>
          <w:ilvl w:val="0"/>
          <w:numId w:val="13"/>
        </w:numPr>
        <w:spacing w:before="40" w:after="40"/>
        <w:ind w:left="714" w:hanging="357"/>
      </w:pPr>
      <w:r w:rsidRPr="00E27F75">
        <w:t>climate (daily maximum air temperature, monthly rainfall, monthly cloud cover, and monthly 3pm wind speed) relevant to each monitoring location</w:t>
      </w:r>
    </w:p>
    <w:p w:rsidR="00E27F75" w:rsidRDefault="00E27F75" w:rsidP="001A5B75">
      <w:pPr>
        <w:numPr>
          <w:ilvl w:val="0"/>
          <w:numId w:val="13"/>
        </w:numPr>
        <w:spacing w:before="40" w:after="40"/>
        <w:ind w:left="714" w:hanging="357"/>
      </w:pPr>
      <w:r w:rsidRPr="00E27F75">
        <w:t>Annual daytime tidal exposure at each monitoring site</w:t>
      </w:r>
    </w:p>
    <w:p w:rsidR="00E27F75" w:rsidRDefault="006131FB" w:rsidP="001A5B75">
      <w:pPr>
        <w:numPr>
          <w:ilvl w:val="0"/>
          <w:numId w:val="13"/>
        </w:numPr>
        <w:spacing w:before="40" w:after="40"/>
        <w:ind w:left="714" w:hanging="357"/>
      </w:pPr>
      <w:r>
        <w:t>Daily w</w:t>
      </w:r>
      <w:r w:rsidR="00E27F75">
        <w:t xml:space="preserve">ithin canopy seawater temperature at each </w:t>
      </w:r>
      <w:r w:rsidR="00E27F75" w:rsidRPr="00E27F75">
        <w:t xml:space="preserve">monitoring </w:t>
      </w:r>
      <w:r w:rsidR="00E27F75">
        <w:t>site</w:t>
      </w:r>
    </w:p>
    <w:p w:rsidR="00DC12FC" w:rsidRDefault="00E27F75" w:rsidP="001A5B75">
      <w:pPr>
        <w:numPr>
          <w:ilvl w:val="0"/>
          <w:numId w:val="13"/>
        </w:numPr>
        <w:spacing w:before="40" w:after="40"/>
        <w:ind w:left="714" w:hanging="357"/>
      </w:pPr>
      <w:r>
        <w:t xml:space="preserve">Daily light </w:t>
      </w:r>
      <w:r w:rsidRPr="00E27F75">
        <w:t>each monitoring location</w:t>
      </w:r>
    </w:p>
    <w:p w:rsidR="00E27F75" w:rsidRDefault="00E27F75" w:rsidP="001A5B75">
      <w:pPr>
        <w:numPr>
          <w:ilvl w:val="0"/>
          <w:numId w:val="13"/>
        </w:numPr>
        <w:spacing w:before="40" w:after="40"/>
        <w:ind w:left="714" w:hanging="357"/>
      </w:pPr>
      <w:r w:rsidRPr="00E27F75">
        <w:t xml:space="preserve">Sediment grain size composition at each monitoring </w:t>
      </w:r>
      <w:r w:rsidR="001B5B41">
        <w:t>site</w:t>
      </w:r>
    </w:p>
    <w:p w:rsidR="00DC12FC" w:rsidRDefault="00DC12FC" w:rsidP="001A5B75">
      <w:pPr>
        <w:numPr>
          <w:ilvl w:val="0"/>
          <w:numId w:val="13"/>
        </w:numPr>
        <w:spacing w:before="40" w:after="40"/>
        <w:ind w:left="714" w:hanging="357"/>
      </w:pPr>
      <w:r>
        <w:t xml:space="preserve">Epiphyte and </w:t>
      </w:r>
      <w:proofErr w:type="spellStart"/>
      <w:r>
        <w:t>macroalgae</w:t>
      </w:r>
      <w:proofErr w:type="spellEnd"/>
      <w:r w:rsidR="00E27F75">
        <w:t xml:space="preserve"> abundance at </w:t>
      </w:r>
      <w:r w:rsidR="00E27F75" w:rsidRPr="00E27F75">
        <w:t>each monitoring site</w:t>
      </w:r>
    </w:p>
    <w:p w:rsidR="00DC12FC" w:rsidRDefault="00DC12FC" w:rsidP="001A5B75">
      <w:pPr>
        <w:numPr>
          <w:ilvl w:val="0"/>
          <w:numId w:val="13"/>
        </w:numPr>
        <w:spacing w:before="40" w:after="40"/>
        <w:ind w:left="714" w:hanging="357"/>
      </w:pPr>
      <w:r>
        <w:t>Meadow extent</w:t>
      </w:r>
      <w:r w:rsidR="00E27F75">
        <w:t xml:space="preserve"> within 100m of </w:t>
      </w:r>
      <w:r w:rsidR="00E27F75" w:rsidRPr="00E27F75">
        <w:t>each monitoring site</w:t>
      </w:r>
    </w:p>
    <w:p w:rsidR="00E27F75" w:rsidRDefault="00E27F75" w:rsidP="001A5B75">
      <w:pPr>
        <w:numPr>
          <w:ilvl w:val="0"/>
          <w:numId w:val="13"/>
        </w:numPr>
        <w:spacing w:before="40" w:after="40"/>
        <w:ind w:left="714" w:hanging="357"/>
      </w:pPr>
      <w:r>
        <w:t xml:space="preserve">Location and seagrass species composition at </w:t>
      </w:r>
      <w:r w:rsidRPr="00E27F75">
        <w:t>each monitoring site</w:t>
      </w:r>
    </w:p>
    <w:p w:rsidR="00E27F75" w:rsidRDefault="00E27F75" w:rsidP="001A5B75">
      <w:pPr>
        <w:numPr>
          <w:ilvl w:val="0"/>
          <w:numId w:val="13"/>
        </w:numPr>
        <w:spacing w:before="40" w:after="40"/>
        <w:ind w:left="714" w:hanging="357"/>
      </w:pPr>
      <w:r>
        <w:t>Seagrass leaf tissue nutrient C:N</w:t>
      </w:r>
      <w:r w:rsidR="006131FB">
        <w:t>, C:P, and N</w:t>
      </w:r>
      <w:r>
        <w:t xml:space="preserve">:P at each </w:t>
      </w:r>
      <w:r w:rsidRPr="00E27F75">
        <w:t xml:space="preserve">monitoring </w:t>
      </w:r>
      <w:r>
        <w:t>location</w:t>
      </w:r>
    </w:p>
    <w:p w:rsidR="00DC12FC" w:rsidRDefault="00E27F75" w:rsidP="001A5B75">
      <w:pPr>
        <w:numPr>
          <w:ilvl w:val="0"/>
          <w:numId w:val="13"/>
        </w:numPr>
        <w:spacing w:before="40" w:after="40"/>
        <w:ind w:left="714" w:hanging="357"/>
      </w:pPr>
      <w:r w:rsidRPr="00E27F75">
        <w:t>Seagrass leaf tissue nutrient isotopic signature (</w:t>
      </w:r>
      <w:r>
        <w:sym w:font="Symbol" w:char="F064"/>
      </w:r>
      <w:r w:rsidRPr="00E27F75">
        <w:rPr>
          <w:vertAlign w:val="superscript"/>
        </w:rPr>
        <w:t>13</w:t>
      </w:r>
      <w:r>
        <w:t xml:space="preserve">C, </w:t>
      </w:r>
      <w:r>
        <w:sym w:font="Symbol" w:char="F064"/>
      </w:r>
      <w:r w:rsidRPr="00E27F75">
        <w:rPr>
          <w:vertAlign w:val="superscript"/>
        </w:rPr>
        <w:t>15</w:t>
      </w:r>
      <w:r>
        <w:t>N)</w:t>
      </w:r>
      <w:r w:rsidRPr="00E27F75">
        <w:t xml:space="preserve"> </w:t>
      </w:r>
      <w:r>
        <w:t>concentrations</w:t>
      </w:r>
      <w:r w:rsidRPr="00E27F75">
        <w:t>,</w:t>
      </w:r>
      <w:r>
        <w:t xml:space="preserve"> for each species</w:t>
      </w:r>
      <w:r w:rsidRPr="00E27F75">
        <w:t xml:space="preserve"> </w:t>
      </w:r>
      <w:r>
        <w:t xml:space="preserve">at each </w:t>
      </w:r>
      <w:r w:rsidRPr="00E27F75">
        <w:t xml:space="preserve">monitoring </w:t>
      </w:r>
      <w:r>
        <w:t>habitat within each NRM region</w:t>
      </w:r>
    </w:p>
    <w:p w:rsidR="00DC12FC" w:rsidRDefault="00DC12FC" w:rsidP="001A5B75">
      <w:pPr>
        <w:numPr>
          <w:ilvl w:val="0"/>
          <w:numId w:val="13"/>
        </w:numPr>
        <w:spacing w:before="40" w:after="40"/>
        <w:ind w:left="714" w:hanging="357"/>
      </w:pPr>
      <w:r>
        <w:t>Tables detailing statistical analysis</w:t>
      </w:r>
    </w:p>
    <w:p w:rsidR="00DC12FC" w:rsidRDefault="00DC12FC" w:rsidP="00DC12FC"/>
    <w:p w:rsidR="00DC12FC" w:rsidRDefault="00DC12FC" w:rsidP="00DC12FC">
      <w:pPr>
        <w:spacing w:before="0" w:after="0"/>
      </w:pPr>
      <w:r>
        <w:br w:type="page"/>
      </w:r>
    </w:p>
    <w:p w:rsidR="00DC12FC" w:rsidRPr="00015190" w:rsidRDefault="00DC12FC" w:rsidP="00926892">
      <w:pPr>
        <w:pStyle w:val="Heading2"/>
        <w:numPr>
          <w:ilvl w:val="1"/>
          <w:numId w:val="9"/>
        </w:numPr>
        <w:rPr>
          <w:rFonts w:ascii="Century Gothic" w:hAnsi="Century Gothic"/>
          <w:color w:val="000000"/>
        </w:rPr>
      </w:pPr>
      <w:bookmarkStart w:id="126" w:name="_Toc184101960"/>
      <w:bookmarkStart w:id="127" w:name="_Toc462047332"/>
      <w:r w:rsidRPr="00015190">
        <w:rPr>
          <w:rFonts w:ascii="Century Gothic" w:hAnsi="Century Gothic"/>
          <w:color w:val="000000"/>
        </w:rPr>
        <w:lastRenderedPageBreak/>
        <w:t>GBR</w:t>
      </w:r>
      <w:r w:rsidR="00BB52BF">
        <w:rPr>
          <w:rFonts w:ascii="Century Gothic" w:hAnsi="Century Gothic"/>
          <w:color w:val="000000"/>
        </w:rPr>
        <w:t>-wide</w:t>
      </w:r>
      <w:r w:rsidRPr="00015190">
        <w:rPr>
          <w:rFonts w:ascii="Century Gothic" w:hAnsi="Century Gothic"/>
          <w:color w:val="000000"/>
        </w:rPr>
        <w:t xml:space="preserve"> Summary</w:t>
      </w:r>
      <w:bookmarkEnd w:id="126"/>
      <w:bookmarkEnd w:id="127"/>
    </w:p>
    <w:p w:rsidR="00DC12FC" w:rsidRPr="00DF6544" w:rsidRDefault="00DC12FC" w:rsidP="00DC12FC">
      <w:pPr>
        <w:autoSpaceDE w:val="0"/>
        <w:autoSpaceDN w:val="0"/>
        <w:adjustRightInd w:val="0"/>
        <w:rPr>
          <w:szCs w:val="22"/>
        </w:rPr>
      </w:pPr>
      <w:bookmarkStart w:id="128" w:name="OLE_LINK12"/>
      <w:bookmarkStart w:id="129" w:name="_Ref410474695"/>
      <w:r w:rsidRPr="00DF6544">
        <w:rPr>
          <w:szCs w:val="22"/>
        </w:rPr>
        <w:t xml:space="preserve">Climate conditions were </w:t>
      </w:r>
      <w:r>
        <w:rPr>
          <w:szCs w:val="22"/>
        </w:rPr>
        <w:t>relatively</w:t>
      </w:r>
      <w:r w:rsidRPr="00DF6544">
        <w:rPr>
          <w:szCs w:val="22"/>
        </w:rPr>
        <w:t xml:space="preserve"> moderate across the GBR inshore seagrass meadows during 2014-15. </w:t>
      </w:r>
      <w:r>
        <w:rPr>
          <w:szCs w:val="22"/>
        </w:rPr>
        <w:t>There were two cyclones, and one of these (TC Marcia) strongly affected the Fitzroy and Burnett Mary regions, bringing rainfall, destructive winds and tidal surge in February 2015. However, d</w:t>
      </w:r>
      <w:r w:rsidRPr="00DF6544">
        <w:rPr>
          <w:szCs w:val="22"/>
        </w:rPr>
        <w:t>ischarge</w:t>
      </w:r>
      <w:r>
        <w:rPr>
          <w:szCs w:val="22"/>
        </w:rPr>
        <w:t xml:space="preserve"> from most GBR rivers</w:t>
      </w:r>
      <w:r w:rsidRPr="00DF6544">
        <w:rPr>
          <w:szCs w:val="22"/>
        </w:rPr>
        <w:t xml:space="preserve"> was at</w:t>
      </w:r>
      <w:r>
        <w:rPr>
          <w:szCs w:val="22"/>
        </w:rPr>
        <w:t xml:space="preserve"> or below the long-term median</w:t>
      </w:r>
      <w:r w:rsidRPr="00DF6544">
        <w:rPr>
          <w:szCs w:val="22"/>
        </w:rPr>
        <w:t>, which redu</w:t>
      </w:r>
      <w:r>
        <w:rPr>
          <w:szCs w:val="22"/>
        </w:rPr>
        <w:t>ces exposure to turbid, sediment-</w:t>
      </w:r>
      <w:r w:rsidRPr="00DF6544">
        <w:rPr>
          <w:szCs w:val="22"/>
        </w:rPr>
        <w:t>laden water</w:t>
      </w:r>
      <w:r>
        <w:rPr>
          <w:szCs w:val="22"/>
        </w:rPr>
        <w:t>. I</w:t>
      </w:r>
      <w:r w:rsidRPr="00DF6544">
        <w:rPr>
          <w:szCs w:val="22"/>
        </w:rPr>
        <w:t xml:space="preserve">n particular, flow from the </w:t>
      </w:r>
      <w:r>
        <w:rPr>
          <w:szCs w:val="22"/>
        </w:rPr>
        <w:t xml:space="preserve">second largest river, the </w:t>
      </w:r>
      <w:r w:rsidRPr="00DF6544">
        <w:rPr>
          <w:szCs w:val="22"/>
        </w:rPr>
        <w:t>Burdekin River was 5x lower than the long-term median. Exceptions</w:t>
      </w:r>
      <w:r>
        <w:rPr>
          <w:szCs w:val="22"/>
        </w:rPr>
        <w:t xml:space="preserve"> to this</w:t>
      </w:r>
      <w:r w:rsidRPr="00DF6544">
        <w:rPr>
          <w:szCs w:val="22"/>
        </w:rPr>
        <w:t xml:space="preserve"> were flows </w:t>
      </w:r>
      <w:r>
        <w:rPr>
          <w:szCs w:val="22"/>
        </w:rPr>
        <w:t>from some of the small</w:t>
      </w:r>
      <w:r w:rsidRPr="00DF6544">
        <w:rPr>
          <w:szCs w:val="22"/>
        </w:rPr>
        <w:t xml:space="preserve"> rivers in the central and southern GBR (Mackay Whitsunday, Fitzroy, and Burnett Mary NRM</w:t>
      </w:r>
      <w:r w:rsidR="003F7F7E">
        <w:rPr>
          <w:szCs w:val="22"/>
        </w:rPr>
        <w:t xml:space="preserve"> regions</w:t>
      </w:r>
      <w:r w:rsidRPr="00DF6544">
        <w:rPr>
          <w:szCs w:val="22"/>
        </w:rPr>
        <w:t xml:space="preserve">), which were above the long-term </w:t>
      </w:r>
      <w:r w:rsidR="003F7F7E">
        <w:rPr>
          <w:szCs w:val="22"/>
        </w:rPr>
        <w:t>median</w:t>
      </w:r>
      <w:r w:rsidRPr="00DF6544">
        <w:rPr>
          <w:szCs w:val="22"/>
        </w:rPr>
        <w:t xml:space="preserve">. Furthermore, wind exposure was at or around the long-term average, and therefore wind-driven re-suspension of fine sediments was unlikely to have been a </w:t>
      </w:r>
      <w:r>
        <w:rPr>
          <w:szCs w:val="22"/>
        </w:rPr>
        <w:t xml:space="preserve">particularly </w:t>
      </w:r>
      <w:r w:rsidRPr="00DF6544">
        <w:rPr>
          <w:szCs w:val="22"/>
        </w:rPr>
        <w:t>strong environmental pressure in the past year. Despite this, daily light, or irradiance (I</w:t>
      </w:r>
      <w:r w:rsidRPr="00DF6544">
        <w:rPr>
          <w:szCs w:val="22"/>
          <w:vertAlign w:val="subscript"/>
        </w:rPr>
        <w:t>d</w:t>
      </w:r>
      <w:r w:rsidRPr="00DF6544">
        <w:rPr>
          <w:szCs w:val="22"/>
        </w:rPr>
        <w:t>), was slightly lower than the long-term average</w:t>
      </w:r>
      <w:r>
        <w:rPr>
          <w:szCs w:val="22"/>
        </w:rPr>
        <w:t xml:space="preserve"> at many </w:t>
      </w:r>
      <w:r w:rsidR="0064480C">
        <w:rPr>
          <w:szCs w:val="22"/>
        </w:rPr>
        <w:t>locations</w:t>
      </w:r>
      <w:r w:rsidRPr="00DF6544">
        <w:rPr>
          <w:szCs w:val="22"/>
        </w:rPr>
        <w:t xml:space="preserve">. </w:t>
      </w:r>
      <w:r>
        <w:rPr>
          <w:szCs w:val="22"/>
        </w:rPr>
        <w:t>Assessment of flood</w:t>
      </w:r>
      <w:r w:rsidRPr="00DF6544">
        <w:rPr>
          <w:szCs w:val="22"/>
        </w:rPr>
        <w:t xml:space="preserve"> plume exposure (using remote sensing) by the </w:t>
      </w:r>
      <w:r w:rsidR="0064480C">
        <w:rPr>
          <w:szCs w:val="22"/>
        </w:rPr>
        <w:t xml:space="preserve">MMP inshore </w:t>
      </w:r>
      <w:r w:rsidRPr="00DF6544">
        <w:rPr>
          <w:szCs w:val="22"/>
        </w:rPr>
        <w:t xml:space="preserve">water quality sub-program, demonstrates that many of these </w:t>
      </w:r>
      <w:r w:rsidR="0064480C">
        <w:rPr>
          <w:szCs w:val="22"/>
        </w:rPr>
        <w:t>locations</w:t>
      </w:r>
      <w:r w:rsidRPr="00DF6544">
        <w:rPr>
          <w:szCs w:val="22"/>
        </w:rPr>
        <w:t xml:space="preserve"> with low I</w:t>
      </w:r>
      <w:r w:rsidRPr="00DF6544">
        <w:rPr>
          <w:szCs w:val="22"/>
          <w:vertAlign w:val="subscript"/>
        </w:rPr>
        <w:t>d</w:t>
      </w:r>
      <w:r w:rsidRPr="00DF6544">
        <w:rPr>
          <w:szCs w:val="22"/>
        </w:rPr>
        <w:t xml:space="preserve"> were covered in secondary </w:t>
      </w:r>
      <w:r>
        <w:rPr>
          <w:szCs w:val="22"/>
        </w:rPr>
        <w:t xml:space="preserve">(green from phytoplankton) </w:t>
      </w:r>
      <w:r w:rsidRPr="00DF6544">
        <w:rPr>
          <w:szCs w:val="22"/>
        </w:rPr>
        <w:t>water for much of the wet season</w:t>
      </w:r>
      <w:r>
        <w:rPr>
          <w:szCs w:val="22"/>
        </w:rPr>
        <w:t xml:space="preserve"> (December to April)</w:t>
      </w:r>
      <w:r w:rsidRPr="00DF6544">
        <w:rPr>
          <w:szCs w:val="22"/>
        </w:rPr>
        <w:t>, and this is likely to have affected I</w:t>
      </w:r>
      <w:r w:rsidRPr="00DF6544">
        <w:rPr>
          <w:szCs w:val="22"/>
          <w:vertAlign w:val="subscript"/>
        </w:rPr>
        <w:t>d</w:t>
      </w:r>
      <w:r w:rsidRPr="00DF6544">
        <w:rPr>
          <w:szCs w:val="22"/>
        </w:rPr>
        <w:t xml:space="preserve">. </w:t>
      </w:r>
    </w:p>
    <w:p w:rsidR="00DC12FC" w:rsidRPr="007C3FFB" w:rsidRDefault="00DC12FC" w:rsidP="00DC12FC">
      <w:pPr>
        <w:rPr>
          <w:szCs w:val="22"/>
        </w:rPr>
      </w:pPr>
      <w:r w:rsidRPr="007B0A21">
        <w:rPr>
          <w:szCs w:val="22"/>
        </w:rPr>
        <w:t xml:space="preserve">Within-canopy seawater temperatures in the central and northern GBR were higher than the long-term </w:t>
      </w:r>
      <w:r w:rsidRPr="007C3FFB">
        <w:rPr>
          <w:szCs w:val="22"/>
        </w:rPr>
        <w:t>(10 year) average ove</w:t>
      </w:r>
      <w:r w:rsidR="007C3FFB" w:rsidRPr="007C3FFB">
        <w:rPr>
          <w:szCs w:val="22"/>
        </w:rPr>
        <w:t>r the 2014-15 monitoring period</w:t>
      </w:r>
      <w:r w:rsidRPr="007C3FFB">
        <w:rPr>
          <w:szCs w:val="22"/>
        </w:rPr>
        <w:t>; temperature was the warmest in 9 years. Seagrasses in the Mackay Whitsunday NRM region experienced high (&gt;35°C) seawater temperatures for the greatest number of days (</w:t>
      </w:r>
      <w:r w:rsidR="007C3FFB" w:rsidRPr="007C3FFB">
        <w:rPr>
          <w:szCs w:val="22"/>
        </w:rPr>
        <w:t>62 days</w:t>
      </w:r>
      <w:r w:rsidRPr="007C3FFB">
        <w:rPr>
          <w:szCs w:val="22"/>
        </w:rPr>
        <w:t xml:space="preserve">), followed by Wet Tropics, Burdekin and Cape York. While water temperature exceeding 35°C does not impact photosynthetic efficiency in most GBR seagrass species, some species, such as </w:t>
      </w:r>
      <w:r w:rsidRPr="007C3FFB">
        <w:rPr>
          <w:i/>
          <w:szCs w:val="22"/>
        </w:rPr>
        <w:t xml:space="preserve">Z. </w:t>
      </w:r>
      <w:proofErr w:type="spellStart"/>
      <w:r w:rsidRPr="007C3FFB">
        <w:rPr>
          <w:i/>
          <w:szCs w:val="22"/>
        </w:rPr>
        <w:t>muelleri</w:t>
      </w:r>
      <w:proofErr w:type="spellEnd"/>
      <w:r w:rsidRPr="007C3FFB">
        <w:rPr>
          <w:szCs w:val="22"/>
        </w:rPr>
        <w:t>, which occurs in the Mackay Whitsunday region, are sensitive to</w:t>
      </w:r>
      <w:r w:rsidRPr="008F2461">
        <w:rPr>
          <w:szCs w:val="22"/>
        </w:rPr>
        <w:t xml:space="preserve"> prolonged exposure to water temperatures &gt;35°C</w:t>
      </w:r>
      <w:r>
        <w:rPr>
          <w:szCs w:val="22"/>
        </w:rPr>
        <w:t xml:space="preserve"> </w:t>
      </w:r>
      <w:r w:rsidRPr="008F2461">
        <w:rPr>
          <w:szCs w:val="22"/>
        </w:rPr>
        <w:t>(</w:t>
      </w:r>
      <w:r w:rsidR="00644A84">
        <w:rPr>
          <w:szCs w:val="22"/>
        </w:rPr>
        <w:fldChar w:fldCharType="begin"/>
      </w:r>
      <w:r w:rsidR="00644A84">
        <w:rPr>
          <w:szCs w:val="22"/>
        </w:rPr>
        <w:instrText xml:space="preserve"> ADDIN EN.CITE &lt;EndNote&gt;&lt;Cite&gt;&lt;Author&gt;Campbell&lt;/Author&gt;&lt;Year&gt;2006&lt;/Year&gt;&lt;RecNum&gt;2896&lt;/RecNum&gt;&lt;DisplayText&gt;Campbell&lt;style face="italic"&gt; et al.&lt;/style&gt; 2006; Collier&lt;style face="italic"&gt; et al.&lt;/style&gt; 2011&lt;/DisplayText&gt;&lt;record&gt;&lt;rec-number&gt;2896&lt;/rec-number&gt;&lt;foreign-keys&gt;&lt;key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Cite&gt;&lt;Author&gt;Collier&lt;/Author&gt;&lt;Year&gt;2011&lt;/Year&gt;&lt;RecNum&gt;9244&lt;/RecNum&gt;&lt;record&gt;&lt;rec-number&gt;9244&lt;/rec-number&gt;&lt;foreign-keys&gt;&lt;key app="EN" db-id="0eve55x9y5vfd6e9dacxtew4eatve2dzds9a"&gt;9244&lt;/key&gt;&lt;/foreign-keys&gt;&lt;ref-type name="Journal Article"&gt;17&lt;/ref-type&gt;&lt;contributors&gt;&lt;authors&gt;&lt;author&gt;Collier, C.J.&lt;/author&gt;&lt;author&gt;Uthicke, S.&lt;/author&gt;&lt;author&gt;Waycott, M.&lt;/author&gt;&lt;/authors&gt;&lt;/contributors&gt;&lt;titles&gt;&lt;title&gt;Thermal tolerance of two seagrass species at contrasting light levels: Implications for future distribution in the Great Barrier Reef&lt;/title&gt;&lt;secondary-title&gt;Limnology &amp;amp; Oceanography&lt;/secondary-title&gt;&lt;/titles&gt;&lt;periodical&gt;&lt;full-title&gt;Limnology &amp;amp; Oceanography&lt;/full-title&gt;&lt;/periodical&gt;&lt;pages&gt;2200-2210&lt;/pages&gt;&lt;volume&gt;56&lt;/volume&gt;&lt;number&gt;6&lt;/number&gt;&lt;dates&gt;&lt;year&gt;2011&lt;/year&gt;&lt;/dates&gt;&lt;urls&gt;&lt;/urls&gt;&lt;/record&gt;&lt;/Cite&gt;&lt;/EndNote&gt;</w:instrText>
      </w:r>
      <w:r w:rsidR="00644A84">
        <w:rPr>
          <w:szCs w:val="22"/>
        </w:rPr>
        <w:fldChar w:fldCharType="separate"/>
      </w:r>
      <w:hyperlink w:anchor="_ENREF_33" w:tooltip="Campbell, 2006 #2896" w:history="1">
        <w:r w:rsidR="00E6043D">
          <w:rPr>
            <w:noProof/>
            <w:szCs w:val="22"/>
          </w:rPr>
          <w:t>Campbell</w:t>
        </w:r>
        <w:r w:rsidR="00E6043D" w:rsidRPr="00644A84">
          <w:rPr>
            <w:i/>
            <w:noProof/>
            <w:szCs w:val="22"/>
          </w:rPr>
          <w:t xml:space="preserve"> et al.</w:t>
        </w:r>
        <w:r w:rsidR="00E6043D">
          <w:rPr>
            <w:noProof/>
            <w:szCs w:val="22"/>
          </w:rPr>
          <w:t xml:space="preserve"> 2006</w:t>
        </w:r>
      </w:hyperlink>
      <w:r w:rsidR="00644A84">
        <w:rPr>
          <w:noProof/>
          <w:szCs w:val="22"/>
        </w:rPr>
        <w:t xml:space="preserve">; </w:t>
      </w:r>
      <w:hyperlink w:anchor="_ENREF_65" w:tooltip="Collier, 2011 #9244" w:history="1">
        <w:r w:rsidR="00E6043D">
          <w:rPr>
            <w:noProof/>
            <w:szCs w:val="22"/>
          </w:rPr>
          <w:t>Collier</w:t>
        </w:r>
        <w:r w:rsidR="00E6043D" w:rsidRPr="00644A84">
          <w:rPr>
            <w:i/>
            <w:noProof/>
            <w:szCs w:val="22"/>
          </w:rPr>
          <w:t xml:space="preserve"> et al.</w:t>
        </w:r>
        <w:r w:rsidR="00E6043D">
          <w:rPr>
            <w:noProof/>
            <w:szCs w:val="22"/>
          </w:rPr>
          <w:t xml:space="preserve"> 2011</w:t>
        </w:r>
      </w:hyperlink>
      <w:r w:rsidR="00644A84">
        <w:rPr>
          <w:szCs w:val="22"/>
        </w:rPr>
        <w:fldChar w:fldCharType="end"/>
      </w:r>
      <w:r>
        <w:rPr>
          <w:szCs w:val="22"/>
        </w:rPr>
        <w:t xml:space="preserve">). Extreme </w:t>
      </w:r>
      <w:r w:rsidRPr="007C3FFB">
        <w:rPr>
          <w:szCs w:val="22"/>
        </w:rPr>
        <w:t>water temperature (&gt;40°C), which can reduce photosynthetic efficiency and induce mortality in all species (</w:t>
      </w:r>
      <w:r w:rsidR="00644A84" w:rsidRPr="007C3FFB">
        <w:rPr>
          <w:szCs w:val="22"/>
        </w:rPr>
        <w:fldChar w:fldCharType="begin">
          <w:fldData xml:space="preserve">PEVuZE5vdGU+PENpdGU+PEF1dGhvcj5DYW1wYmVsbDwvQXV0aG9yPjxZZWFyPjIwMDY8L1llYXI+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</w:fldData>
        </w:fldChar>
      </w:r>
      <w:r w:rsidR="00644A84" w:rsidRPr="007C3FFB">
        <w:rPr>
          <w:szCs w:val="22"/>
        </w:rPr>
        <w:instrText xml:space="preserve"> ADDIN EN.CITE </w:instrText>
      </w:r>
      <w:r w:rsidR="00644A84" w:rsidRPr="007C3FFB">
        <w:rPr>
          <w:szCs w:val="22"/>
        </w:rPr>
        <w:fldChar w:fldCharType="begin">
          <w:fldData xml:space="preserve">PEVuZE5vdGU+PENpdGU+PEF1dGhvcj5DYW1wYmVsbDwvQXV0aG9yPjxZZWFyPjIwMDY8L1llYXI+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</w:fldData>
        </w:fldChar>
      </w:r>
      <w:r w:rsidR="00644A84" w:rsidRPr="007C3FFB">
        <w:rPr>
          <w:szCs w:val="22"/>
        </w:rPr>
        <w:instrText xml:space="preserve"> ADDIN EN.CITE.DATA </w:instrText>
      </w:r>
      <w:r w:rsidR="00644A84" w:rsidRPr="007C3FFB">
        <w:rPr>
          <w:szCs w:val="22"/>
        </w:rPr>
      </w:r>
      <w:r w:rsidR="00644A84" w:rsidRPr="007C3FFB">
        <w:rPr>
          <w:szCs w:val="22"/>
        </w:rPr>
        <w:fldChar w:fldCharType="end"/>
      </w:r>
      <w:r w:rsidR="00644A84" w:rsidRPr="007C3FFB">
        <w:rPr>
          <w:szCs w:val="22"/>
        </w:rPr>
      </w:r>
      <w:r w:rsidR="00644A84" w:rsidRPr="007C3FFB">
        <w:rPr>
          <w:szCs w:val="22"/>
        </w:rPr>
        <w:fldChar w:fldCharType="separate"/>
      </w:r>
      <w:hyperlink w:anchor="_ENREF_33" w:tooltip="Campbell, 2006 #2896" w:history="1">
        <w:r w:rsidR="00E6043D" w:rsidRPr="007C3FFB">
          <w:rPr>
            <w:noProof/>
            <w:szCs w:val="22"/>
          </w:rPr>
          <w:t>Campbell</w:t>
        </w:r>
        <w:r w:rsidR="00E6043D" w:rsidRPr="007C3FFB">
          <w:rPr>
            <w:i/>
            <w:noProof/>
            <w:szCs w:val="22"/>
          </w:rPr>
          <w:t>, et al.</w:t>
        </w:r>
        <w:r w:rsidR="00E6043D" w:rsidRPr="007C3FFB">
          <w:rPr>
            <w:noProof/>
            <w:szCs w:val="22"/>
          </w:rPr>
          <w:t xml:space="preserve"> 2006</w:t>
        </w:r>
      </w:hyperlink>
      <w:r w:rsidR="00644A84" w:rsidRPr="007C3FFB">
        <w:rPr>
          <w:noProof/>
          <w:szCs w:val="22"/>
        </w:rPr>
        <w:t xml:space="preserve">; </w:t>
      </w:r>
      <w:hyperlink w:anchor="_ENREF_66" w:tooltip="Collier, 2014 #10322" w:history="1">
        <w:r w:rsidR="00E6043D" w:rsidRPr="007C3FFB">
          <w:rPr>
            <w:noProof/>
            <w:szCs w:val="22"/>
          </w:rPr>
          <w:t>Collier and Waycott 2014</w:t>
        </w:r>
      </w:hyperlink>
      <w:r w:rsidR="00644A84" w:rsidRPr="007C3FFB">
        <w:rPr>
          <w:szCs w:val="22"/>
        </w:rPr>
        <w:fldChar w:fldCharType="end"/>
      </w:r>
      <w:r w:rsidRPr="007C3FFB">
        <w:rPr>
          <w:szCs w:val="22"/>
        </w:rPr>
        <w:t>), was rare (</w:t>
      </w:r>
      <w:r w:rsidR="00F22330">
        <w:rPr>
          <w:szCs w:val="22"/>
        </w:rPr>
        <w:t xml:space="preserve">e.g. </w:t>
      </w:r>
      <w:r w:rsidRPr="007C3FFB">
        <w:rPr>
          <w:szCs w:val="22"/>
        </w:rPr>
        <w:t xml:space="preserve">1 day </w:t>
      </w:r>
      <w:r w:rsidR="007C3FFB" w:rsidRPr="007C3FFB">
        <w:rPr>
          <w:szCs w:val="22"/>
        </w:rPr>
        <w:t>across</w:t>
      </w:r>
      <w:r w:rsidRPr="007C3FFB">
        <w:rPr>
          <w:szCs w:val="22"/>
        </w:rPr>
        <w:t xml:space="preserve"> 2 </w:t>
      </w:r>
      <w:r w:rsidR="007C3FFB" w:rsidRPr="007C3FFB">
        <w:rPr>
          <w:szCs w:val="22"/>
        </w:rPr>
        <w:t>regions</w:t>
      </w:r>
      <w:r w:rsidR="00F22330">
        <w:rPr>
          <w:szCs w:val="22"/>
        </w:rPr>
        <w:t>).</w:t>
      </w:r>
    </w:p>
    <w:bookmarkEnd w:id="128"/>
    <w:p w:rsidR="00DC12FC" w:rsidRPr="00B718C6" w:rsidRDefault="0064480C" w:rsidP="00B718C6">
      <w:pPr>
        <w:autoSpaceDE w:val="0"/>
        <w:autoSpaceDN w:val="0"/>
        <w:adjustRightInd w:val="0"/>
        <w:spacing w:before="0" w:after="0"/>
        <w:rPr>
          <w:rFonts w:cs="TimesNewRoman"/>
          <w:szCs w:val="22"/>
        </w:rPr>
      </w:pPr>
      <w:r w:rsidRPr="00F22330">
        <w:rPr>
          <w:rFonts w:cs="Calibri"/>
          <w:szCs w:val="22"/>
          <w:lang w:eastAsia="en-AU"/>
        </w:rPr>
        <w:t xml:space="preserve">Seagrass abundance </w:t>
      </w:r>
      <w:r w:rsidR="00B718C6" w:rsidRPr="00F22330">
        <w:rPr>
          <w:rFonts w:cs="Calibri"/>
          <w:szCs w:val="22"/>
          <w:lang w:eastAsia="en-AU"/>
        </w:rPr>
        <w:t xml:space="preserve">across the inshore GBR has continued to recover from the losses due to </w:t>
      </w:r>
      <w:r w:rsidR="00F22330" w:rsidRPr="00F22330">
        <w:rPr>
          <w:rFonts w:cs="Calibri"/>
          <w:szCs w:val="22"/>
          <w:lang w:eastAsia="en-AU"/>
        </w:rPr>
        <w:t xml:space="preserve">multiple years of above average rainfall and climate-related impacts followed by </w:t>
      </w:r>
      <w:r w:rsidR="00F22330" w:rsidRPr="00F22330">
        <w:rPr>
          <w:szCs w:val="22"/>
        </w:rPr>
        <w:t xml:space="preserve">extreme </w:t>
      </w:r>
      <w:r w:rsidR="00FA644E">
        <w:rPr>
          <w:szCs w:val="22"/>
        </w:rPr>
        <w:t>cyclone and associated flooding</w:t>
      </w:r>
      <w:r w:rsidR="00F22330" w:rsidRPr="00F22330">
        <w:rPr>
          <w:szCs w:val="22"/>
        </w:rPr>
        <w:t xml:space="preserve"> events in early 2011</w:t>
      </w:r>
      <w:r w:rsidR="00B718C6" w:rsidRPr="00F22330">
        <w:rPr>
          <w:rFonts w:cs="TimesNewRoman"/>
          <w:szCs w:val="22"/>
        </w:rPr>
        <w:t>. I</w:t>
      </w:r>
      <w:r w:rsidR="00B718C6" w:rsidRPr="00F22330">
        <w:rPr>
          <w:rFonts w:cs="Calibri"/>
          <w:szCs w:val="22"/>
          <w:lang w:eastAsia="en-AU"/>
        </w:rPr>
        <w:t>n 201</w:t>
      </w:r>
      <w:r w:rsidR="006E13F5" w:rsidRPr="00F22330">
        <w:rPr>
          <w:rFonts w:cs="Calibri"/>
          <w:szCs w:val="22"/>
          <w:lang w:eastAsia="en-AU"/>
        </w:rPr>
        <w:t>4</w:t>
      </w:r>
      <w:r w:rsidR="00B718C6" w:rsidRPr="00F22330">
        <w:rPr>
          <w:rFonts w:cs="Calibri"/>
          <w:szCs w:val="22"/>
          <w:lang w:eastAsia="en-AU"/>
        </w:rPr>
        <w:t>-1</w:t>
      </w:r>
      <w:r w:rsidR="006E13F5" w:rsidRPr="00F22330">
        <w:rPr>
          <w:rFonts w:cs="Calibri"/>
          <w:szCs w:val="22"/>
          <w:lang w:eastAsia="en-AU"/>
        </w:rPr>
        <w:t>5</w:t>
      </w:r>
      <w:r w:rsidR="00B718C6" w:rsidRPr="00F22330">
        <w:rPr>
          <w:rFonts w:cs="Calibri"/>
          <w:szCs w:val="22"/>
          <w:lang w:eastAsia="en-AU"/>
        </w:rPr>
        <w:t xml:space="preserve">, abundance </w:t>
      </w:r>
      <w:r w:rsidRPr="00F22330">
        <w:rPr>
          <w:rFonts w:cs="Calibri"/>
          <w:szCs w:val="22"/>
          <w:lang w:eastAsia="en-AU"/>
        </w:rPr>
        <w:t>increas</w:t>
      </w:r>
      <w:r w:rsidR="00B718C6" w:rsidRPr="00F22330">
        <w:rPr>
          <w:rFonts w:cs="Calibri"/>
          <w:szCs w:val="22"/>
          <w:lang w:eastAsia="en-AU"/>
        </w:rPr>
        <w:t>ed</w:t>
      </w:r>
      <w:r w:rsidRPr="00F22330">
        <w:rPr>
          <w:rFonts w:cs="Calibri"/>
          <w:szCs w:val="22"/>
          <w:lang w:eastAsia="en-AU"/>
        </w:rPr>
        <w:t xml:space="preserve"> slightly </w:t>
      </w:r>
      <w:r w:rsidR="00E9464A" w:rsidRPr="00F22330">
        <w:rPr>
          <w:rFonts w:cs="Calibri"/>
          <w:szCs w:val="22"/>
          <w:lang w:eastAsia="en-AU"/>
        </w:rPr>
        <w:t xml:space="preserve">(not significant) </w:t>
      </w:r>
      <w:r w:rsidRPr="00F22330">
        <w:rPr>
          <w:rFonts w:cs="Calibri"/>
          <w:szCs w:val="22"/>
          <w:lang w:eastAsia="en-AU"/>
        </w:rPr>
        <w:t>from the previous period to 15.7 ±1.8%, but remain</w:t>
      </w:r>
      <w:r w:rsidR="00DC43B3" w:rsidRPr="00F22330">
        <w:rPr>
          <w:rFonts w:cs="Calibri"/>
          <w:szCs w:val="22"/>
          <w:lang w:eastAsia="en-AU"/>
        </w:rPr>
        <w:t>ed</w:t>
      </w:r>
      <w:r w:rsidRPr="00F22330">
        <w:rPr>
          <w:rFonts w:cs="Calibri"/>
          <w:szCs w:val="22"/>
          <w:lang w:eastAsia="en-AU"/>
        </w:rPr>
        <w:t xml:space="preserve"> below the GBR long‐term average (17.8 ±2.1%, Sep99‐Dec10) and GBR historical baseline</w:t>
      </w:r>
      <w:r>
        <w:rPr>
          <w:rFonts w:cs="Calibri"/>
          <w:szCs w:val="22"/>
          <w:lang w:eastAsia="en-AU"/>
        </w:rPr>
        <w:t xml:space="preserve"> (22.6 ±1.2% Nov84‐Nov88) (</w:t>
      </w:r>
      <w:hyperlink w:anchor="_ENREF_166" w:tooltip="McKenzie, 2015 #10304" w:history="1">
        <w:r w:rsidR="00E6043D">
          <w:rPr>
            <w:rFonts w:cs="Calibri"/>
            <w:szCs w:val="22"/>
            <w:lang w:eastAsia="en-AU"/>
          </w:rPr>
          <w:fldChar w:fldCharType="begin"/>
        </w:r>
        <w:r w:rsidR="00E6043D">
          <w:rPr>
            <w:rFonts w:cs="Calibri"/>
            <w:szCs w:val="22"/>
            <w:lang w:eastAsia="en-AU"/>
          </w:rPr>
          <w:instrText xml:space="preserve"> ADDIN EN.CITE &lt;EndNote&gt;&lt;Cite&gt;&lt;Author&gt;McKenzie&lt;/Author&gt;&lt;Year&gt;2015&lt;/Year&gt;&lt;RecNum&gt;10304&lt;/RecNum&gt;&lt;DisplayText&gt;McKenzie&lt;style face="italic"&gt; et al.&lt;/style&gt; 2015&lt;/DisplayText&gt;&lt;record&gt;&lt;rec-number&gt;10304&lt;/rec-number&gt;&lt;foreign-keys&gt;&lt;key app="EN" db-id="0eve55x9y5vfd6e9dacxtew4eatve2dzds9a"&gt;10304&lt;/key&gt;&lt;/foreign-keys&gt;&lt;ref-type name="Book"&gt;6&lt;/ref-type&gt;&lt;contributors&gt;&lt;authors&gt;&lt;author&gt;McKenzie, Len J&lt;/author&gt;&lt;author&gt;Collier, Catherine&lt;/author&gt;&lt;author&gt;Langlois, Lucas&lt;/author&gt;&lt;author&gt;Yoshida, Rudi&lt;/author&gt;&lt;author&gt;Smith, Naomi&lt;/author&gt;&lt;author&gt;Waycott, Michelle&lt;/author&gt;&lt;/authors&gt;&lt;/contributors&gt;&lt;titles&gt;&lt;title&gt;Reef Rescue Marine Monitoring Program - Inshore Seagrass, Annual Report for the sampling period 1st June 2013 – 31st May 2014&lt;/title&gt;&lt;/titles&gt;&lt;pages&gt;226&lt;/pages&gt;&lt;dates&gt;&lt;year&gt;2015&lt;/year&gt;&lt;/dates&gt;&lt;pub-location&gt;Cairns&lt;/pub-location&gt;&lt;publisher&gt;TropWATER, James Cook University&lt;/publisher&gt;&lt;urls&gt;&lt;/urls&gt;&lt;/record&gt;&lt;/Cite&gt;&lt;/EndNote&gt;</w:instrText>
        </w:r>
        <w:r w:rsidR="00E6043D">
          <w:rPr>
            <w:rFonts w:cs="Calibri"/>
            <w:szCs w:val="22"/>
            <w:lang w:eastAsia="en-AU"/>
          </w:rPr>
          <w:fldChar w:fldCharType="separate"/>
        </w:r>
        <w:r w:rsidR="00E6043D">
          <w:rPr>
            <w:rFonts w:cs="Calibri"/>
            <w:noProof/>
            <w:szCs w:val="22"/>
            <w:lang w:eastAsia="en-AU"/>
          </w:rPr>
          <w:t>McKenzie</w:t>
        </w:r>
        <w:r w:rsidR="00E6043D" w:rsidRPr="00D821F1">
          <w:rPr>
            <w:rFonts w:cs="Calibri"/>
            <w:i/>
            <w:noProof/>
            <w:szCs w:val="22"/>
            <w:lang w:eastAsia="en-AU"/>
          </w:rPr>
          <w:t xml:space="preserve"> et al.</w:t>
        </w:r>
        <w:r w:rsidR="00E6043D">
          <w:rPr>
            <w:rFonts w:cs="Calibri"/>
            <w:noProof/>
            <w:szCs w:val="22"/>
            <w:lang w:eastAsia="en-AU"/>
          </w:rPr>
          <w:t xml:space="preserve"> 2015</w:t>
        </w:r>
        <w:r w:rsidR="00E6043D">
          <w:rPr>
            <w:rFonts w:cs="Calibri"/>
            <w:szCs w:val="22"/>
            <w:lang w:eastAsia="en-AU"/>
          </w:rPr>
          <w:fldChar w:fldCharType="end"/>
        </w:r>
      </w:hyperlink>
      <w:r>
        <w:rPr>
          <w:rFonts w:cs="Calibri"/>
          <w:szCs w:val="22"/>
          <w:lang w:eastAsia="en-AU"/>
        </w:rPr>
        <w:t xml:space="preserve">). </w:t>
      </w:r>
      <w:r w:rsidR="00B718C6" w:rsidRPr="00844F19">
        <w:rPr>
          <w:rFonts w:cs="TimesNewRoman"/>
          <w:szCs w:val="22"/>
        </w:rPr>
        <w:t xml:space="preserve">In the 2014-15 monitoring period, </w:t>
      </w:r>
      <w:r w:rsidR="00B718C6">
        <w:rPr>
          <w:rFonts w:cs="TimesNewRoman"/>
          <w:szCs w:val="22"/>
        </w:rPr>
        <w:t xml:space="preserve">the GBR-wide seagrass abundance score increased to a </w:t>
      </w:r>
      <w:r w:rsidR="00B718C6" w:rsidRPr="00EB3146">
        <w:rPr>
          <w:rFonts w:cs="TimesNewRoman"/>
          <w:i/>
          <w:szCs w:val="22"/>
        </w:rPr>
        <w:t>moderate</w:t>
      </w:r>
      <w:r w:rsidR="00B718C6">
        <w:rPr>
          <w:rFonts w:cs="TimesNewRoman"/>
          <w:szCs w:val="22"/>
        </w:rPr>
        <w:t xml:space="preserve"> rating for the first time since 2008-09, due mostly to continued recovery at coastal and reef subtidal sites. </w:t>
      </w:r>
      <w:r w:rsidR="00B718C6">
        <w:rPr>
          <w:rFonts w:cs="Calibri"/>
          <w:szCs w:val="22"/>
          <w:lang w:eastAsia="en-AU"/>
        </w:rPr>
        <w:t xml:space="preserve">62% of the MMP sites examined in 2014-15 remained classified as poor or very poor in abundance, with an annual average abundance (all sites </w:t>
      </w:r>
      <w:r w:rsidR="00B718C6" w:rsidRPr="00B718C6">
        <w:rPr>
          <w:rFonts w:cs="Calibri"/>
          <w:szCs w:val="22"/>
          <w:lang w:eastAsia="en-AU"/>
        </w:rPr>
        <w:t xml:space="preserve">and sampling events) of 13.3 ±1.5% for estuarine, 13.0 ±1.5% for coastal, 15.2 ±1.7% for reef and 21.1 ±2.4% for subtidal reef. </w:t>
      </w:r>
      <w:r w:rsidR="00DC12FC" w:rsidRPr="00B718C6">
        <w:rPr>
          <w:rFonts w:cs="TimesNewRoman"/>
          <w:szCs w:val="22"/>
        </w:rPr>
        <w:t xml:space="preserve">Seagrass species richness </w:t>
      </w:r>
      <w:r w:rsidR="00B718C6" w:rsidRPr="00B718C6">
        <w:rPr>
          <w:rFonts w:cs="TimesNewRoman"/>
          <w:szCs w:val="22"/>
        </w:rPr>
        <w:t xml:space="preserve">also </w:t>
      </w:r>
      <w:r w:rsidR="00DC12FC" w:rsidRPr="00B718C6">
        <w:rPr>
          <w:rFonts w:cs="TimesNewRoman"/>
          <w:szCs w:val="22"/>
        </w:rPr>
        <w:t>differed between locations and habitats in the GBR Region, with inshore reef habitats more specious than meadows at coastal or estuarine habitats. However, since 2011, meadows monitored in the GBR have undergone a state change being firstly dominated by a greater than average proportion of seagrass species</w:t>
      </w:r>
      <w:r w:rsidR="00E9464A" w:rsidRPr="00E9464A">
        <w:rPr>
          <w:rFonts w:cs="TimesNewRoman"/>
          <w:szCs w:val="22"/>
        </w:rPr>
        <w:t xml:space="preserve"> </w:t>
      </w:r>
      <w:r w:rsidR="00E9464A">
        <w:rPr>
          <w:rFonts w:cs="TimesNewRoman"/>
          <w:szCs w:val="22"/>
        </w:rPr>
        <w:t xml:space="preserve">displaying </w:t>
      </w:r>
      <w:r w:rsidR="00E9464A" w:rsidRPr="00B718C6">
        <w:rPr>
          <w:rFonts w:cs="TimesNewRoman"/>
          <w:szCs w:val="22"/>
        </w:rPr>
        <w:t>colonising</w:t>
      </w:r>
      <w:r w:rsidR="00E9464A">
        <w:rPr>
          <w:rFonts w:cs="TimesNewRoman"/>
          <w:szCs w:val="22"/>
        </w:rPr>
        <w:t xml:space="preserve"> traits</w:t>
      </w:r>
      <w:r w:rsidR="00DC12FC" w:rsidRPr="00B718C6">
        <w:rPr>
          <w:rFonts w:cs="TimesNewRoman"/>
          <w:szCs w:val="22"/>
        </w:rPr>
        <w:t>, until the current monitoring period when the foundation (</w:t>
      </w:r>
      <w:r w:rsidR="00B718C6" w:rsidRPr="00B718C6">
        <w:rPr>
          <w:rFonts w:cs="TimesNewRoman"/>
          <w:szCs w:val="22"/>
        </w:rPr>
        <w:t>opportunistic and persistent</w:t>
      </w:r>
      <w:r w:rsidR="00DC12FC" w:rsidRPr="00B718C6">
        <w:rPr>
          <w:rFonts w:cs="TimesNewRoman"/>
          <w:szCs w:val="22"/>
        </w:rPr>
        <w:t>) seagrass species have be</w:t>
      </w:r>
      <w:r w:rsidR="00F22330">
        <w:rPr>
          <w:rFonts w:cs="TimesNewRoman"/>
          <w:szCs w:val="22"/>
        </w:rPr>
        <w:t>come</w:t>
      </w:r>
      <w:r w:rsidR="00DC12FC" w:rsidRPr="00B718C6">
        <w:rPr>
          <w:rFonts w:cs="TimesNewRoman"/>
          <w:szCs w:val="22"/>
        </w:rPr>
        <w:t xml:space="preserve"> more </w:t>
      </w:r>
      <w:r w:rsidR="00F22330">
        <w:rPr>
          <w:rFonts w:cs="TimesNewRoman"/>
          <w:szCs w:val="22"/>
        </w:rPr>
        <w:t>dominant</w:t>
      </w:r>
      <w:r w:rsidR="00DC12FC" w:rsidRPr="00B718C6">
        <w:rPr>
          <w:rFonts w:cs="TimesNewRoman"/>
          <w:szCs w:val="22"/>
        </w:rPr>
        <w:t xml:space="preserve">. Despite some ongoing recovery in seagrass abundance, the overall seagrass score was reduced and remained </w:t>
      </w:r>
      <w:r w:rsidR="00DC12FC" w:rsidRPr="00B718C6">
        <w:rPr>
          <w:rFonts w:cs="TimesNewRoman"/>
          <w:i/>
          <w:szCs w:val="22"/>
        </w:rPr>
        <w:t>poor</w:t>
      </w:r>
      <w:r w:rsidR="00DC12FC" w:rsidRPr="00B718C6">
        <w:rPr>
          <w:rFonts w:cs="TimesNewRoman"/>
          <w:szCs w:val="22"/>
        </w:rPr>
        <w:t xml:space="preserve"> due to trends in the other two indicators. </w:t>
      </w:r>
    </w:p>
    <w:p w:rsidR="00DC12FC" w:rsidRPr="00B718C6" w:rsidRDefault="00DC12FC" w:rsidP="00DC12FC">
      <w:pPr>
        <w:autoSpaceDE w:val="0"/>
        <w:autoSpaceDN w:val="0"/>
        <w:adjustRightInd w:val="0"/>
        <w:rPr>
          <w:rFonts w:cs="TimesNewRoman"/>
          <w:szCs w:val="22"/>
        </w:rPr>
      </w:pPr>
    </w:p>
    <w:p w:rsidR="00DC12FC" w:rsidRPr="004502DF" w:rsidRDefault="00530B3A" w:rsidP="00DC12FC">
      <w:pPr>
        <w:keepNext/>
        <w:widowControl w:val="0"/>
        <w:spacing w:before="0" w:after="0"/>
        <w:jc w:val="center"/>
        <w:rPr>
          <w:color w:val="000000"/>
          <w:szCs w:val="22"/>
        </w:rPr>
      </w:pPr>
      <w:r>
        <w:rPr>
          <w:noProof/>
          <w:color w:val="000000"/>
          <w:szCs w:val="22"/>
          <w:lang w:eastAsia="en-AU"/>
        </w:rPr>
        <w:lastRenderedPageBreak/>
        <w:drawing>
          <wp:inline distT="0" distB="0" distL="0" distR="0" wp14:anchorId="17CCFC6A" wp14:editId="2DFC2834">
            <wp:extent cx="3960000" cy="2170800"/>
            <wp:effectExtent l="0" t="0" r="2540" b="1270"/>
            <wp:docPr id="83" name="Picture 83" descr="Figure showing long-term GBR report card scores (NRM regions pooled) for each indicator and total seagrass index over the life of the MM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NDEX_GBR_2015.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960000" cy="2170800"/>
                    </a:xfrm>
                    <a:prstGeom prst="rect">
                      <a:avLst/>
                    </a:prstGeom>
                  </pic:spPr>
                </pic:pic>
              </a:graphicData>
            </a:graphic>
          </wp:inline>
        </w:drawing>
      </w:r>
    </w:p>
    <w:p w:rsidR="00DC12FC" w:rsidRPr="004502DF" w:rsidRDefault="00DC12FC" w:rsidP="00DC12FC">
      <w:pPr>
        <w:rPr>
          <w:i/>
          <w:vanish/>
          <w:color w:val="000000"/>
          <w:szCs w:val="22"/>
          <w:specVanish/>
        </w:rPr>
      </w:pPr>
      <w:bookmarkStart w:id="130" w:name="_Ref382139194"/>
      <w:bookmarkStart w:id="131" w:name="_Toc462684844"/>
      <w:r w:rsidRPr="004502DF">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4</w:t>
      </w:r>
      <w:r w:rsidR="0073595B">
        <w:rPr>
          <w:color w:val="000000"/>
          <w:szCs w:val="22"/>
        </w:rPr>
        <w:fldChar w:fldCharType="end"/>
      </w:r>
      <w:bookmarkEnd w:id="130"/>
      <w:r w:rsidRPr="004502DF">
        <w:rPr>
          <w:color w:val="000000"/>
          <w:szCs w:val="22"/>
        </w:rPr>
        <w:t xml:space="preserve">. </w:t>
      </w:r>
      <w:r w:rsidR="00F13C1B">
        <w:rPr>
          <w:i/>
          <w:color w:val="000000"/>
          <w:szCs w:val="22"/>
        </w:rPr>
        <w:t>R</w:t>
      </w:r>
      <w:r w:rsidRPr="004502DF">
        <w:rPr>
          <w:i/>
          <w:color w:val="000000"/>
          <w:szCs w:val="22"/>
        </w:rPr>
        <w:t>eport card scores (</w:t>
      </w:r>
      <w:r w:rsidR="00712F11">
        <w:rPr>
          <w:i/>
          <w:color w:val="000000"/>
          <w:szCs w:val="22"/>
        </w:rPr>
        <w:t xml:space="preserve">NRM </w:t>
      </w:r>
      <w:r w:rsidRPr="004502DF">
        <w:rPr>
          <w:i/>
          <w:color w:val="000000"/>
          <w:szCs w:val="22"/>
        </w:rPr>
        <w:t>region</w:t>
      </w:r>
      <w:r w:rsidR="0083489D">
        <w:rPr>
          <w:i/>
          <w:color w:val="000000"/>
          <w:szCs w:val="22"/>
        </w:rPr>
        <w:t>al averages</w:t>
      </w:r>
      <w:r w:rsidRPr="004502DF">
        <w:rPr>
          <w:i/>
          <w:color w:val="000000"/>
          <w:szCs w:val="22"/>
        </w:rPr>
        <w:t xml:space="preserve"> pooled) for each indicator and total seagrass index over the life of the MMP.</w:t>
      </w:r>
      <w:bookmarkEnd w:id="131"/>
      <w:r w:rsidRPr="004502DF">
        <w:rPr>
          <w:i/>
          <w:color w:val="000000"/>
          <w:szCs w:val="22"/>
        </w:rPr>
        <w:t xml:space="preserve"> </w:t>
      </w:r>
    </w:p>
    <w:p w:rsidR="00DC12FC" w:rsidRDefault="00DC12FC" w:rsidP="00B718C6">
      <w:pPr>
        <w:rPr>
          <w:rFonts w:cs="TimesNewRoman"/>
          <w:color w:val="000000"/>
          <w:szCs w:val="22"/>
        </w:rPr>
      </w:pPr>
      <w:r w:rsidRPr="00E237C6">
        <w:rPr>
          <w:i/>
          <w:szCs w:val="22"/>
        </w:rPr>
        <w:t xml:space="preserve">Values are indexed scores scaled from 0-100;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Pr="00243A2E">
        <w:rPr>
          <w:i/>
          <w:color w:val="000000"/>
          <w:szCs w:val="22"/>
        </w:rPr>
        <w:t xml:space="preserve"> NB: Scores</w:t>
      </w:r>
      <w:r>
        <w:rPr>
          <w:i/>
          <w:szCs w:val="22"/>
        </w:rPr>
        <w:t xml:space="preserve"> are </w:t>
      </w:r>
      <w:proofErr w:type="spellStart"/>
      <w:r>
        <w:rPr>
          <w:i/>
          <w:szCs w:val="22"/>
        </w:rPr>
        <w:t>unitless</w:t>
      </w:r>
      <w:proofErr w:type="spellEnd"/>
      <w:r>
        <w:rPr>
          <w:i/>
          <w:szCs w:val="22"/>
        </w:rPr>
        <w:t>.</w:t>
      </w:r>
    </w:p>
    <w:p w:rsidR="00DC12FC" w:rsidRPr="00944511" w:rsidRDefault="00DC12FC" w:rsidP="00DC12FC">
      <w:pPr>
        <w:autoSpaceDE w:val="0"/>
        <w:autoSpaceDN w:val="0"/>
        <w:adjustRightInd w:val="0"/>
        <w:spacing w:before="0" w:after="0"/>
        <w:rPr>
          <w:rFonts w:cs="Calibri"/>
          <w:szCs w:val="22"/>
          <w:lang w:eastAsia="en-AU"/>
        </w:rPr>
      </w:pPr>
      <w:r w:rsidRPr="00944511">
        <w:t xml:space="preserve">Reproductive effort increased at estuary and reef subtidal habitats, but declined in coastal and reef intertidal habitats in 2014-15 relative to the previous year, particularly in the Cape York and Fitzroy regions. </w:t>
      </w:r>
      <w:r w:rsidRPr="00944511">
        <w:rPr>
          <w:rFonts w:cs="Calibri"/>
          <w:szCs w:val="22"/>
          <w:lang w:eastAsia="en-AU"/>
        </w:rPr>
        <w:t>Seed banks, which had shown some signs of improvement following 2011 extreme events, were reduced in all habitats in 2014-15. The reproductive effort score declined overall and remained very poor. This suggests that most meadows have limited</w:t>
      </w:r>
      <w:r w:rsidRPr="00944511">
        <w:rPr>
          <w:szCs w:val="22"/>
        </w:rPr>
        <w:t xml:space="preserve"> capacity to recover from disturbances (low resilience) and may be considered vulnerable</w:t>
      </w:r>
      <w:r w:rsidR="00712F11">
        <w:rPr>
          <w:szCs w:val="22"/>
        </w:rPr>
        <w:t xml:space="preserve"> to further disturbances</w:t>
      </w:r>
      <w:r w:rsidRPr="00944511">
        <w:rPr>
          <w:szCs w:val="22"/>
        </w:rPr>
        <w:t xml:space="preserve">. </w:t>
      </w:r>
    </w:p>
    <w:p w:rsidR="00DC12FC" w:rsidRPr="00944511" w:rsidRDefault="00DC12FC" w:rsidP="00DC12FC">
      <w:pPr>
        <w:autoSpaceDE w:val="0"/>
        <w:autoSpaceDN w:val="0"/>
        <w:adjustRightInd w:val="0"/>
        <w:rPr>
          <w:rFonts w:cs="TimesNewRoman"/>
          <w:szCs w:val="22"/>
        </w:rPr>
      </w:pPr>
      <w:r w:rsidRPr="00944511">
        <w:rPr>
          <w:rFonts w:cs="TimesNewRoman"/>
          <w:szCs w:val="22"/>
        </w:rPr>
        <w:t xml:space="preserve">Seagrass leaf tissue nutrients for foundation species across the majority of GBR habitats and locations (late 2014) </w:t>
      </w:r>
      <w:r w:rsidRPr="00944511">
        <w:rPr>
          <w:szCs w:val="22"/>
        </w:rPr>
        <w:t>indicated that nitrogen (N) was in surplus relative to carbon (C</w:t>
      </w:r>
      <w:proofErr w:type="gramStart"/>
      <w:r w:rsidRPr="00944511">
        <w:rPr>
          <w:szCs w:val="22"/>
        </w:rPr>
        <w:t>:N</w:t>
      </w:r>
      <w:proofErr w:type="gramEnd"/>
      <w:r w:rsidRPr="00944511">
        <w:rPr>
          <w:szCs w:val="22"/>
        </w:rPr>
        <w:t xml:space="preserve"> reduced), and phosphorus (N:P increased)</w:t>
      </w:r>
      <w:r w:rsidRPr="00944511">
        <w:rPr>
          <w:rFonts w:cs="TimesNewRoman"/>
          <w:szCs w:val="22"/>
        </w:rPr>
        <w:t>. The most notable changes in C</w:t>
      </w:r>
      <w:proofErr w:type="gramStart"/>
      <w:r w:rsidRPr="00944511">
        <w:rPr>
          <w:rFonts w:cs="TimesNewRoman"/>
          <w:szCs w:val="22"/>
        </w:rPr>
        <w:t>:N</w:t>
      </w:r>
      <w:proofErr w:type="gramEnd"/>
      <w:r w:rsidRPr="00944511">
        <w:rPr>
          <w:rFonts w:cs="TimesNewRoman"/>
          <w:szCs w:val="22"/>
        </w:rPr>
        <w:t xml:space="preserve"> occurred in Fitzroy and Burnett Mary NRMs with a drop in score to low and moderate, respectively. This was associated with higher %N, but may also have been caused by lower photosynthetic C uptake associated with </w:t>
      </w:r>
      <w:r w:rsidR="00712F11">
        <w:rPr>
          <w:rFonts w:cs="TimesNewRoman"/>
          <w:szCs w:val="22"/>
        </w:rPr>
        <w:t xml:space="preserve">lower photosynthesis as a consequence of </w:t>
      </w:r>
      <w:r w:rsidR="00712F11" w:rsidRPr="00944511">
        <w:rPr>
          <w:rFonts w:cs="TimesNewRoman"/>
          <w:szCs w:val="22"/>
        </w:rPr>
        <w:t xml:space="preserve">slightly reduced </w:t>
      </w:r>
      <w:r w:rsidR="00712F11">
        <w:rPr>
          <w:rFonts w:cs="TimesNewRoman"/>
          <w:szCs w:val="22"/>
        </w:rPr>
        <w:t>light at many sites.</w:t>
      </w:r>
    </w:p>
    <w:p w:rsidR="00DC12FC" w:rsidRPr="00796696" w:rsidRDefault="00DC12FC" w:rsidP="00DC12FC">
      <w:pPr>
        <w:autoSpaceDE w:val="0"/>
        <w:autoSpaceDN w:val="0"/>
        <w:adjustRightInd w:val="0"/>
        <w:rPr>
          <w:rFonts w:cs="TimesNewRoman"/>
          <w:color w:val="000000"/>
          <w:szCs w:val="22"/>
        </w:rPr>
      </w:pPr>
      <w:r w:rsidRPr="00805748">
        <w:rPr>
          <w:szCs w:val="22"/>
        </w:rPr>
        <w:t xml:space="preserve">Across the GBR NRM regions, the seagrass report card scores during 2014-15 were slightly improved but remained </w:t>
      </w:r>
      <w:r w:rsidRPr="00805748">
        <w:rPr>
          <w:b/>
          <w:szCs w:val="22"/>
        </w:rPr>
        <w:t>poor</w:t>
      </w:r>
      <w:r w:rsidRPr="00805748">
        <w:rPr>
          <w:szCs w:val="22"/>
        </w:rPr>
        <w:t xml:space="preserve"> in the Cape York, Wet Tropics, and Mackay Whitsunday regions. In the Fitzroy and Burnett Mary, scores were reduced in 2014-15 and remained </w:t>
      </w:r>
      <w:r w:rsidRPr="00805748">
        <w:rPr>
          <w:b/>
          <w:szCs w:val="22"/>
        </w:rPr>
        <w:t>poor</w:t>
      </w:r>
      <w:r w:rsidRPr="00805748">
        <w:rPr>
          <w:szCs w:val="22"/>
        </w:rPr>
        <w:t xml:space="preserve">, which may have been affected by TC Marcia. The Burdekin was the only NRM to drop in rating from </w:t>
      </w:r>
      <w:r w:rsidRPr="00805748">
        <w:rPr>
          <w:b/>
          <w:szCs w:val="22"/>
        </w:rPr>
        <w:t>good</w:t>
      </w:r>
      <w:r w:rsidRPr="00805748">
        <w:rPr>
          <w:szCs w:val="22"/>
        </w:rPr>
        <w:t xml:space="preserve"> to </w:t>
      </w:r>
      <w:r w:rsidRPr="00805748">
        <w:rPr>
          <w:b/>
          <w:szCs w:val="22"/>
        </w:rPr>
        <w:t>moderate</w:t>
      </w:r>
      <w:r w:rsidRPr="00805748">
        <w:rPr>
          <w:szCs w:val="22"/>
        </w:rPr>
        <w:t xml:space="preserve"> (</w:t>
      </w:r>
      <w:r w:rsidRPr="00805748">
        <w:rPr>
          <w:szCs w:val="22"/>
        </w:rPr>
        <w:fldChar w:fldCharType="begin"/>
      </w:r>
      <w:r w:rsidRPr="00805748">
        <w:rPr>
          <w:szCs w:val="22"/>
        </w:rPr>
        <w:instrText xml:space="preserve"> REF _Ref382139999 \h  \* MERGEFORMAT </w:instrText>
      </w:r>
      <w:r w:rsidRPr="00805748">
        <w:rPr>
          <w:szCs w:val="22"/>
        </w:rPr>
      </w:r>
      <w:r w:rsidRPr="00805748">
        <w:rPr>
          <w:szCs w:val="22"/>
        </w:rPr>
        <w:fldChar w:fldCharType="separate"/>
      </w:r>
      <w:r w:rsidR="009C068F" w:rsidRPr="009C068F">
        <w:rPr>
          <w:szCs w:val="22"/>
        </w:rPr>
        <w:t xml:space="preserve">Figure </w:t>
      </w:r>
      <w:r w:rsidR="009C068F" w:rsidRPr="009C068F">
        <w:rPr>
          <w:noProof/>
          <w:szCs w:val="22"/>
        </w:rPr>
        <w:t>5</w:t>
      </w:r>
      <w:r w:rsidRPr="00805748">
        <w:rPr>
          <w:szCs w:val="22"/>
        </w:rPr>
        <w:fldChar w:fldCharType="end"/>
      </w:r>
      <w:r w:rsidRPr="00805748">
        <w:rPr>
          <w:szCs w:val="22"/>
        </w:rPr>
        <w:t>,).</w:t>
      </w:r>
      <w:r w:rsidRPr="00805748">
        <w:rPr>
          <w:rFonts w:cs="TimesNewRoman"/>
          <w:szCs w:val="22"/>
        </w:rPr>
        <w:t xml:space="preserve"> The fluctuating scores across the GBR </w:t>
      </w:r>
      <w:r w:rsidR="00D25EB3">
        <w:rPr>
          <w:rFonts w:cs="TimesNewRoman"/>
          <w:szCs w:val="22"/>
        </w:rPr>
        <w:t>indicate</w:t>
      </w:r>
      <w:r w:rsidRPr="00805748">
        <w:rPr>
          <w:rFonts w:cs="TimesNewRoman"/>
          <w:szCs w:val="22"/>
        </w:rPr>
        <w:t xml:space="preserve"> a system that is recovering</w:t>
      </w:r>
      <w:r w:rsidRPr="00805748">
        <w:rPr>
          <w:rFonts w:cs="Calibri"/>
          <w:szCs w:val="22"/>
          <w:lang w:eastAsia="en-AU"/>
        </w:rPr>
        <w:t>, with past climate impacts leaving a legacy of reduced resilience such that environmental perturbations in a relatively moderate climatic year have impacted overall condition.</w:t>
      </w:r>
    </w:p>
    <w:p w:rsidR="00DC12FC" w:rsidRPr="00D05CE6" w:rsidRDefault="002602CC" w:rsidP="00DC12FC">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3D9F277C" wp14:editId="1DBA9CA9">
            <wp:extent cx="4841895" cy="1775361"/>
            <wp:effectExtent l="0" t="0" r="0" b="0"/>
            <wp:docPr id="100" name="Picture 100" descr="Six graphs showing report card of overall seagrass condition (averaged across indicators) for each NRM region from 2006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NDEX_regional_2015.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841895" cy="1775361"/>
                    </a:xfrm>
                    <a:prstGeom prst="rect">
                      <a:avLst/>
                    </a:prstGeom>
                  </pic:spPr>
                </pic:pic>
              </a:graphicData>
            </a:graphic>
          </wp:inline>
        </w:drawing>
      </w:r>
    </w:p>
    <w:p w:rsidR="00DC12FC" w:rsidRPr="001762D7" w:rsidRDefault="00DC12FC" w:rsidP="00DC12FC">
      <w:pPr>
        <w:rPr>
          <w:i/>
          <w:vanish/>
          <w:color w:val="000000"/>
          <w:szCs w:val="22"/>
          <w:specVanish/>
        </w:rPr>
      </w:pPr>
      <w:bookmarkStart w:id="132" w:name="_Ref382139999"/>
      <w:bookmarkStart w:id="133" w:name="_Toc462684845"/>
      <w:r w:rsidRPr="001762D7">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5</w:t>
      </w:r>
      <w:r w:rsidR="0073595B">
        <w:rPr>
          <w:color w:val="000000"/>
          <w:szCs w:val="22"/>
        </w:rPr>
        <w:fldChar w:fldCharType="end"/>
      </w:r>
      <w:bookmarkEnd w:id="132"/>
      <w:r w:rsidRPr="001762D7">
        <w:rPr>
          <w:color w:val="000000"/>
          <w:szCs w:val="22"/>
        </w:rPr>
        <w:t xml:space="preserve">. </w:t>
      </w:r>
      <w:r w:rsidRPr="001762D7">
        <w:rPr>
          <w:i/>
          <w:color w:val="000000"/>
          <w:szCs w:val="22"/>
        </w:rPr>
        <w:t xml:space="preserve">Report card of seagrass </w:t>
      </w:r>
      <w:r w:rsidR="008C08FC">
        <w:rPr>
          <w:i/>
          <w:color w:val="000000"/>
          <w:szCs w:val="22"/>
        </w:rPr>
        <w:t>condition</w:t>
      </w:r>
      <w:r w:rsidRPr="001762D7">
        <w:rPr>
          <w:i/>
          <w:color w:val="000000"/>
          <w:szCs w:val="22"/>
        </w:rPr>
        <w:t xml:space="preserve"> for each NRM region (averaged across indicators).</w:t>
      </w:r>
      <w:bookmarkEnd w:id="133"/>
      <w:r w:rsidRPr="001762D7">
        <w:rPr>
          <w:i/>
          <w:color w:val="000000"/>
          <w:szCs w:val="22"/>
        </w:rPr>
        <w:t xml:space="preserve"> </w:t>
      </w:r>
    </w:p>
    <w:p w:rsidR="00DC12FC" w:rsidRDefault="00DC12FC" w:rsidP="00E90FBD">
      <w:pPr>
        <w:rPr>
          <w:rFonts w:cs="TimesNewRoman"/>
          <w:color w:val="000000"/>
          <w:szCs w:val="22"/>
        </w:rPr>
      </w:pPr>
      <w:bookmarkStart w:id="134" w:name="OLE_LINK34"/>
      <w:r w:rsidRPr="00E237C6">
        <w:rPr>
          <w:i/>
          <w:szCs w:val="22"/>
        </w:rPr>
        <w:t xml:space="preserve">Values are indexed scores scaled from 0-100; </w:t>
      </w:r>
      <w:bookmarkEnd w:id="134"/>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2605DA" w:rsidRPr="00243A2E">
        <w:rPr>
          <w:i/>
          <w:color w:val="000000"/>
          <w:szCs w:val="22"/>
        </w:rPr>
        <w:t xml:space="preserve"> NB: Scores</w:t>
      </w:r>
      <w:r w:rsidR="002605DA">
        <w:rPr>
          <w:i/>
          <w:szCs w:val="22"/>
        </w:rPr>
        <w:t xml:space="preserve"> are </w:t>
      </w:r>
      <w:proofErr w:type="spellStart"/>
      <w:r w:rsidR="002605DA">
        <w:rPr>
          <w:i/>
          <w:szCs w:val="22"/>
        </w:rPr>
        <w:t>unitless</w:t>
      </w:r>
      <w:proofErr w:type="spellEnd"/>
      <w:r>
        <w:rPr>
          <w:i/>
          <w:szCs w:val="22"/>
        </w:rPr>
        <w:t>.</w:t>
      </w:r>
    </w:p>
    <w:p w:rsidR="00BB52BF" w:rsidRPr="000C1040" w:rsidRDefault="00BB52BF" w:rsidP="00926892">
      <w:pPr>
        <w:pStyle w:val="Heading3"/>
        <w:numPr>
          <w:ilvl w:val="2"/>
          <w:numId w:val="9"/>
        </w:numPr>
        <w:rPr>
          <w:rFonts w:ascii="Arial" w:hAnsi="Arial" w:cs="Arial"/>
          <w:color w:val="000000"/>
        </w:rPr>
      </w:pPr>
      <w:bookmarkStart w:id="135" w:name="_Toc462047333"/>
      <w:bookmarkEnd w:id="129"/>
      <w:r w:rsidRPr="000C1040">
        <w:rPr>
          <w:rFonts w:ascii="Arial" w:hAnsi="Arial" w:cs="Arial"/>
          <w:color w:val="000000"/>
        </w:rPr>
        <w:lastRenderedPageBreak/>
        <w:t>Climate and environmental pressures</w:t>
      </w:r>
      <w:bookmarkEnd w:id="135"/>
    </w:p>
    <w:p w:rsidR="00DC12FC" w:rsidRDefault="00DC12FC" w:rsidP="007B0A21">
      <w:r>
        <w:t xml:space="preserve">The reporting year 2014-2015 was relatively moderate (generally around long-term average </w:t>
      </w:r>
      <w:r w:rsidRPr="007B0A21">
        <w:t xml:space="preserve">conditions) </w:t>
      </w:r>
      <w:r w:rsidR="00D25EB3">
        <w:t>in terms of within canopy conditions and the occurrence of</w:t>
      </w:r>
      <w:r w:rsidRPr="007B0A21">
        <w:t xml:space="preserve"> extreme weather events (</w:t>
      </w:r>
      <w:r w:rsidR="007B0A21" w:rsidRPr="007B0A21">
        <w:fldChar w:fldCharType="begin"/>
      </w:r>
      <w:r w:rsidR="007B0A21" w:rsidRPr="007B0A21">
        <w:instrText xml:space="preserve"> REF _Ref441775247 \h  \* MERGEFORMAT </w:instrText>
      </w:r>
      <w:r w:rsidR="007B0A21" w:rsidRPr="007B0A21">
        <w:fldChar w:fldCharType="separate"/>
      </w:r>
      <w:r w:rsidR="009C068F" w:rsidRPr="007B0A21">
        <w:t xml:space="preserve">Table </w:t>
      </w:r>
      <w:r w:rsidR="009C068F">
        <w:rPr>
          <w:noProof/>
        </w:rPr>
        <w:t>9</w:t>
      </w:r>
      <w:r w:rsidR="007B0A21" w:rsidRPr="007B0A21">
        <w:fldChar w:fldCharType="end"/>
      </w:r>
      <w:r w:rsidRPr="007B0A21">
        <w:t>), with the only</w:t>
      </w:r>
      <w:r>
        <w:t xml:space="preserve"> exception being above-average water temperature in central and northern GBR meadows. </w:t>
      </w:r>
    </w:p>
    <w:p w:rsidR="001472A4" w:rsidRDefault="001472A4" w:rsidP="007B0A21">
      <w:pPr>
        <w:rPr>
          <w:rFonts w:cs="TimesNewRoman"/>
          <w:color w:val="000000"/>
          <w:szCs w:val="22"/>
        </w:rPr>
      </w:pPr>
    </w:p>
    <w:p w:rsidR="00DC12FC" w:rsidRPr="0048278C" w:rsidRDefault="007B0A21" w:rsidP="007B0A21">
      <w:pPr>
        <w:jc w:val="center"/>
        <w:rPr>
          <w:i/>
        </w:rPr>
      </w:pPr>
      <w:bookmarkStart w:id="136" w:name="_Ref441775247"/>
      <w:bookmarkStart w:id="137" w:name="_Toc462685078"/>
      <w:r w:rsidRPr="007B0A21">
        <w:t xml:space="preserve">Table </w:t>
      </w:r>
      <w:fldSimple w:instr=" SEQ Table \* ARABIC ">
        <w:r w:rsidR="009C068F">
          <w:rPr>
            <w:noProof/>
          </w:rPr>
          <w:t>9</w:t>
        </w:r>
      </w:fldSimple>
      <w:bookmarkEnd w:id="136"/>
      <w:r w:rsidRPr="007B0A21">
        <w:t xml:space="preserve">. </w:t>
      </w:r>
      <w:r w:rsidRPr="007B0A21">
        <w:rPr>
          <w:i/>
        </w:rPr>
        <w:t>Summary of environmental conditions at monitoring sites across the GBR in 2014-15 compared to the long-term average (range indicated for each data set). Regional and habitat-specific levels are provided in later sections. *intertidal only.</w:t>
      </w:r>
      <w:r w:rsidR="0048278C" w:rsidRPr="0048278C">
        <w:rPr>
          <w:sz w:val="20"/>
          <w:vertAlign w:val="superscript"/>
        </w:rPr>
        <w:t xml:space="preserve"> </w:t>
      </w:r>
      <w:r w:rsidR="0048278C" w:rsidRPr="0048278C">
        <w:rPr>
          <w:sz w:val="20"/>
          <w:vertAlign w:val="superscript"/>
        </w:rPr>
        <w:sym w:font="Wingdings 2" w:char="F085"/>
      </w:r>
      <w:r w:rsidR="0048278C">
        <w:rPr>
          <w:sz w:val="20"/>
        </w:rPr>
        <w:t>1969-1997</w:t>
      </w:r>
      <w:bookmarkEnd w:id="137"/>
    </w:p>
    <w:tbl>
      <w:tblPr>
        <w:tblW w:w="0" w:type="auto"/>
        <w:jc w:val="center"/>
        <w:tblBorders>
          <w:bottom w:val="single" w:sz="4" w:space="0" w:color="auto"/>
        </w:tblBorders>
        <w:tblLook w:val="04A0" w:firstRow="1" w:lastRow="0" w:firstColumn="1" w:lastColumn="0" w:noHBand="0" w:noVBand="1"/>
      </w:tblPr>
      <w:tblGrid>
        <w:gridCol w:w="4484"/>
        <w:gridCol w:w="196"/>
        <w:gridCol w:w="1760"/>
        <w:gridCol w:w="110"/>
        <w:gridCol w:w="1694"/>
      </w:tblGrid>
      <w:tr w:rsidR="00DC12FC" w:rsidRPr="006D0287" w:rsidTr="00E756E6">
        <w:trPr>
          <w:trHeight w:val="284"/>
          <w:jc w:val="center"/>
        </w:trPr>
        <w:tc>
          <w:tcPr>
            <w:tcW w:w="4484" w:type="dxa"/>
            <w:tcBorders>
              <w:top w:val="single" w:sz="4" w:space="0" w:color="auto"/>
              <w:bottom w:val="single" w:sz="4" w:space="0" w:color="auto"/>
            </w:tcBorders>
            <w:shd w:val="clear" w:color="auto" w:fill="BBE0E3"/>
            <w:vAlign w:val="center"/>
          </w:tcPr>
          <w:p w:rsidR="00DC12FC" w:rsidRPr="006D0287" w:rsidRDefault="00DC12FC" w:rsidP="001368E7">
            <w:pPr>
              <w:spacing w:before="0" w:after="0"/>
              <w:rPr>
                <w:b/>
                <w:sz w:val="20"/>
                <w:szCs w:val="20"/>
              </w:rPr>
            </w:pPr>
          </w:p>
        </w:tc>
        <w:tc>
          <w:tcPr>
            <w:tcW w:w="1956" w:type="dxa"/>
            <w:gridSpan w:val="2"/>
            <w:tcBorders>
              <w:top w:val="single" w:sz="4" w:space="0" w:color="auto"/>
              <w:bottom w:val="single" w:sz="4" w:space="0" w:color="auto"/>
            </w:tcBorders>
            <w:shd w:val="clear" w:color="auto" w:fill="BBE0E3"/>
            <w:vAlign w:val="center"/>
          </w:tcPr>
          <w:p w:rsidR="00DC12FC" w:rsidRPr="006D0287" w:rsidRDefault="00DC12FC" w:rsidP="001368E7">
            <w:pPr>
              <w:spacing w:before="0" w:after="0"/>
              <w:jc w:val="center"/>
              <w:rPr>
                <w:b/>
                <w:sz w:val="20"/>
                <w:szCs w:val="20"/>
              </w:rPr>
            </w:pPr>
            <w:r w:rsidRPr="006D0287">
              <w:rPr>
                <w:b/>
                <w:sz w:val="20"/>
                <w:szCs w:val="20"/>
              </w:rPr>
              <w:t>Long-term average</w:t>
            </w:r>
          </w:p>
        </w:tc>
        <w:tc>
          <w:tcPr>
            <w:tcW w:w="1804" w:type="dxa"/>
            <w:gridSpan w:val="2"/>
            <w:tcBorders>
              <w:top w:val="single" w:sz="4" w:space="0" w:color="auto"/>
              <w:bottom w:val="single" w:sz="4" w:space="0" w:color="auto"/>
            </w:tcBorders>
            <w:shd w:val="clear" w:color="auto" w:fill="BBE0E3"/>
            <w:vAlign w:val="center"/>
          </w:tcPr>
          <w:p w:rsidR="00DC12FC" w:rsidRPr="006D0287" w:rsidRDefault="00DC12FC" w:rsidP="001368E7">
            <w:pPr>
              <w:spacing w:before="0" w:after="0"/>
              <w:jc w:val="center"/>
              <w:rPr>
                <w:b/>
                <w:sz w:val="20"/>
                <w:szCs w:val="20"/>
              </w:rPr>
            </w:pPr>
            <w:r w:rsidRPr="006D0287">
              <w:rPr>
                <w:b/>
                <w:sz w:val="20"/>
                <w:szCs w:val="20"/>
              </w:rPr>
              <w:t>2014-15</w:t>
            </w:r>
          </w:p>
        </w:tc>
      </w:tr>
      <w:tr w:rsidR="00DC12FC" w:rsidTr="00E756E6">
        <w:trPr>
          <w:trHeight w:val="284"/>
          <w:jc w:val="center"/>
        </w:trPr>
        <w:tc>
          <w:tcPr>
            <w:tcW w:w="4484" w:type="dxa"/>
            <w:tcBorders>
              <w:top w:val="single" w:sz="4" w:space="0" w:color="auto"/>
            </w:tcBorders>
            <w:shd w:val="clear" w:color="auto" w:fill="E7F3F4"/>
            <w:vAlign w:val="center"/>
          </w:tcPr>
          <w:p w:rsidR="00DC12FC" w:rsidRPr="008E5CC5" w:rsidRDefault="00DC12FC" w:rsidP="001368E7">
            <w:pPr>
              <w:tabs>
                <w:tab w:val="left" w:pos="176"/>
              </w:tabs>
              <w:spacing w:before="0" w:after="0"/>
              <w:rPr>
                <w:i/>
                <w:sz w:val="20"/>
                <w:szCs w:val="20"/>
              </w:rPr>
            </w:pPr>
            <w:r w:rsidRPr="008E5CC5">
              <w:rPr>
                <w:i/>
                <w:sz w:val="20"/>
                <w:szCs w:val="20"/>
              </w:rPr>
              <w:t>Climate</w:t>
            </w:r>
          </w:p>
        </w:tc>
        <w:tc>
          <w:tcPr>
            <w:tcW w:w="1956" w:type="dxa"/>
            <w:gridSpan w:val="2"/>
            <w:tcBorders>
              <w:top w:val="single" w:sz="4" w:space="0" w:color="auto"/>
            </w:tcBorders>
            <w:shd w:val="clear" w:color="auto" w:fill="E7F3F4"/>
            <w:vAlign w:val="center"/>
          </w:tcPr>
          <w:p w:rsidR="00DC12FC" w:rsidRPr="00EE1F87" w:rsidRDefault="00DC12FC" w:rsidP="001368E7">
            <w:pPr>
              <w:spacing w:before="0" w:after="0"/>
              <w:jc w:val="center"/>
              <w:rPr>
                <w:sz w:val="20"/>
                <w:szCs w:val="20"/>
              </w:rPr>
            </w:pPr>
          </w:p>
        </w:tc>
        <w:tc>
          <w:tcPr>
            <w:tcW w:w="1804" w:type="dxa"/>
            <w:gridSpan w:val="2"/>
            <w:tcBorders>
              <w:top w:val="single" w:sz="4" w:space="0" w:color="auto"/>
            </w:tcBorders>
            <w:shd w:val="clear" w:color="auto" w:fill="E7F3F4"/>
            <w:vAlign w:val="center"/>
          </w:tcPr>
          <w:p w:rsidR="00DC12FC" w:rsidRPr="00EE1F87" w:rsidRDefault="00DC12FC" w:rsidP="001368E7">
            <w:pPr>
              <w:spacing w:before="0" w:after="0"/>
              <w:jc w:val="center"/>
              <w:rPr>
                <w:sz w:val="20"/>
                <w:szCs w:val="20"/>
              </w:rPr>
            </w:pPr>
          </w:p>
        </w:tc>
      </w:tr>
      <w:tr w:rsidR="00DC12FC" w:rsidTr="00E756E6">
        <w:trPr>
          <w:trHeight w:val="284"/>
          <w:jc w:val="center"/>
        </w:trPr>
        <w:tc>
          <w:tcPr>
            <w:tcW w:w="4484" w:type="dxa"/>
            <w:shd w:val="clear" w:color="auto" w:fill="E7F3F4"/>
            <w:vAlign w:val="center"/>
          </w:tcPr>
          <w:p w:rsidR="00DC12FC" w:rsidRPr="00EE1F87" w:rsidRDefault="00DC12FC" w:rsidP="0005364D">
            <w:pPr>
              <w:tabs>
                <w:tab w:val="left" w:pos="176"/>
              </w:tabs>
              <w:spacing w:before="0" w:after="0"/>
              <w:rPr>
                <w:sz w:val="20"/>
                <w:szCs w:val="20"/>
              </w:rPr>
            </w:pPr>
            <w:r>
              <w:rPr>
                <w:sz w:val="20"/>
                <w:szCs w:val="20"/>
              </w:rPr>
              <w:tab/>
            </w:r>
            <w:r w:rsidRPr="00EE1F87">
              <w:rPr>
                <w:sz w:val="20"/>
                <w:szCs w:val="20"/>
              </w:rPr>
              <w:t>Cyclones</w:t>
            </w:r>
            <w:r w:rsidR="0005364D">
              <w:rPr>
                <w:sz w:val="20"/>
                <w:szCs w:val="20"/>
              </w:rPr>
              <w:t xml:space="preserve"> (1968-2015</w:t>
            </w:r>
            <w:r w:rsidR="008F6611">
              <w:rPr>
                <w:sz w:val="20"/>
                <w:szCs w:val="20"/>
              </w:rPr>
              <w:t>)</w:t>
            </w:r>
          </w:p>
        </w:tc>
        <w:tc>
          <w:tcPr>
            <w:tcW w:w="1956" w:type="dxa"/>
            <w:gridSpan w:val="2"/>
            <w:shd w:val="clear" w:color="auto" w:fill="E7F3F4"/>
            <w:vAlign w:val="center"/>
          </w:tcPr>
          <w:p w:rsidR="00DC12FC" w:rsidRPr="00EE1F87" w:rsidRDefault="00D47655" w:rsidP="001368E7">
            <w:pPr>
              <w:spacing w:before="0" w:after="0"/>
              <w:jc w:val="center"/>
              <w:rPr>
                <w:sz w:val="20"/>
                <w:szCs w:val="20"/>
              </w:rPr>
            </w:pPr>
            <w:r>
              <w:rPr>
                <w:sz w:val="20"/>
                <w:szCs w:val="20"/>
              </w:rPr>
              <w:t>2.76</w:t>
            </w:r>
            <w:r w:rsidRPr="0048278C">
              <w:rPr>
                <w:sz w:val="20"/>
                <w:szCs w:val="20"/>
                <w:vertAlign w:val="superscript"/>
              </w:rPr>
              <w:sym w:font="Wingdings 2" w:char="F085"/>
            </w:r>
          </w:p>
        </w:tc>
        <w:tc>
          <w:tcPr>
            <w:tcW w:w="1804" w:type="dxa"/>
            <w:gridSpan w:val="2"/>
            <w:shd w:val="clear" w:color="auto" w:fill="E7F3F4"/>
            <w:vAlign w:val="center"/>
          </w:tcPr>
          <w:p w:rsidR="00DC12FC" w:rsidRPr="00EE1F87" w:rsidRDefault="00FA3C1C" w:rsidP="00FA3C1C">
            <w:pPr>
              <w:spacing w:before="0" w:after="0"/>
              <w:jc w:val="center"/>
              <w:rPr>
                <w:sz w:val="20"/>
                <w:szCs w:val="20"/>
              </w:rPr>
            </w:pPr>
            <w:r>
              <w:rPr>
                <w:sz w:val="20"/>
                <w:szCs w:val="20"/>
              </w:rPr>
              <w:t>2</w:t>
            </w:r>
          </w:p>
        </w:tc>
      </w:tr>
      <w:tr w:rsidR="00DC12FC" w:rsidTr="00E756E6">
        <w:trPr>
          <w:trHeight w:val="284"/>
          <w:jc w:val="center"/>
        </w:trPr>
        <w:tc>
          <w:tcPr>
            <w:tcW w:w="4484" w:type="dxa"/>
            <w:shd w:val="clear" w:color="auto" w:fill="E7F3F4"/>
            <w:vAlign w:val="center"/>
          </w:tcPr>
          <w:p w:rsidR="00DC12FC" w:rsidRPr="00EE1F87" w:rsidRDefault="00DC12FC" w:rsidP="001368E7">
            <w:pPr>
              <w:tabs>
                <w:tab w:val="left" w:pos="176"/>
              </w:tabs>
              <w:spacing w:before="0" w:after="0"/>
              <w:rPr>
                <w:sz w:val="20"/>
                <w:szCs w:val="20"/>
              </w:rPr>
            </w:pPr>
            <w:r>
              <w:rPr>
                <w:sz w:val="20"/>
                <w:szCs w:val="20"/>
              </w:rPr>
              <w:tab/>
            </w:r>
            <w:r w:rsidRPr="00EE1F87">
              <w:rPr>
                <w:sz w:val="20"/>
                <w:szCs w:val="20"/>
              </w:rPr>
              <w:t>Rainfall</w:t>
            </w:r>
            <w:r>
              <w:rPr>
                <w:sz w:val="20"/>
                <w:szCs w:val="20"/>
              </w:rPr>
              <w:t xml:space="preserve"> (1998-2015)</w:t>
            </w:r>
          </w:p>
        </w:tc>
        <w:tc>
          <w:tcPr>
            <w:tcW w:w="1956" w:type="dxa"/>
            <w:gridSpan w:val="2"/>
            <w:shd w:val="clear" w:color="auto" w:fill="E7F3F4"/>
            <w:vAlign w:val="center"/>
          </w:tcPr>
          <w:p w:rsidR="00DC12FC" w:rsidRPr="00EE1F87" w:rsidRDefault="00DC12FC" w:rsidP="001368E7">
            <w:pPr>
              <w:spacing w:before="0" w:after="0"/>
              <w:jc w:val="center"/>
              <w:rPr>
                <w:sz w:val="20"/>
                <w:szCs w:val="20"/>
              </w:rPr>
            </w:pPr>
            <w:r w:rsidRPr="00281A61">
              <w:rPr>
                <w:sz w:val="20"/>
                <w:szCs w:val="20"/>
              </w:rPr>
              <w:t>13</w:t>
            </w:r>
            <w:r>
              <w:rPr>
                <w:sz w:val="20"/>
                <w:szCs w:val="20"/>
              </w:rPr>
              <w:t>5</w:t>
            </w:r>
            <w:r w:rsidRPr="00281A61">
              <w:rPr>
                <w:sz w:val="20"/>
                <w:szCs w:val="20"/>
              </w:rPr>
              <w:t>3.</w:t>
            </w:r>
            <w:r>
              <w:rPr>
                <w:sz w:val="20"/>
                <w:szCs w:val="20"/>
              </w:rPr>
              <w:t>1 mm</w:t>
            </w:r>
          </w:p>
        </w:tc>
        <w:tc>
          <w:tcPr>
            <w:tcW w:w="1804" w:type="dxa"/>
            <w:gridSpan w:val="2"/>
            <w:shd w:val="clear" w:color="auto" w:fill="E7F3F4"/>
            <w:vAlign w:val="center"/>
          </w:tcPr>
          <w:p w:rsidR="00DC12FC" w:rsidRPr="00EE1F87" w:rsidRDefault="00DC12FC" w:rsidP="001368E7">
            <w:pPr>
              <w:spacing w:before="0" w:after="0"/>
              <w:jc w:val="center"/>
              <w:rPr>
                <w:sz w:val="20"/>
                <w:szCs w:val="20"/>
              </w:rPr>
            </w:pPr>
            <w:r w:rsidRPr="00281A61">
              <w:rPr>
                <w:sz w:val="20"/>
                <w:szCs w:val="20"/>
              </w:rPr>
              <w:t>1039.5</w:t>
            </w:r>
            <w:r>
              <w:rPr>
                <w:sz w:val="20"/>
                <w:szCs w:val="20"/>
              </w:rPr>
              <w:t xml:space="preserve"> mm</w:t>
            </w:r>
          </w:p>
        </w:tc>
      </w:tr>
      <w:tr w:rsidR="00DC12FC" w:rsidTr="00E756E6">
        <w:trPr>
          <w:trHeight w:val="284"/>
          <w:jc w:val="center"/>
        </w:trPr>
        <w:tc>
          <w:tcPr>
            <w:tcW w:w="4484" w:type="dxa"/>
            <w:shd w:val="clear" w:color="auto" w:fill="E7F3F4"/>
            <w:vAlign w:val="center"/>
          </w:tcPr>
          <w:p w:rsidR="00DC12FC" w:rsidRPr="00EE1F87" w:rsidRDefault="00DC12FC" w:rsidP="001368E7">
            <w:pPr>
              <w:tabs>
                <w:tab w:val="left" w:pos="176"/>
              </w:tabs>
              <w:spacing w:before="0" w:after="0"/>
              <w:rPr>
                <w:sz w:val="20"/>
                <w:szCs w:val="20"/>
              </w:rPr>
            </w:pPr>
            <w:r>
              <w:rPr>
                <w:sz w:val="20"/>
                <w:szCs w:val="20"/>
              </w:rPr>
              <w:tab/>
            </w:r>
            <w:r w:rsidRPr="00EE1F87">
              <w:rPr>
                <w:sz w:val="20"/>
                <w:szCs w:val="20"/>
              </w:rPr>
              <w:t>Riverine discharge</w:t>
            </w:r>
            <w:r>
              <w:rPr>
                <w:sz w:val="20"/>
                <w:szCs w:val="20"/>
              </w:rPr>
              <w:t xml:space="preserve"> (1970-2015)</w:t>
            </w:r>
          </w:p>
        </w:tc>
        <w:tc>
          <w:tcPr>
            <w:tcW w:w="1956" w:type="dxa"/>
            <w:gridSpan w:val="2"/>
            <w:shd w:val="clear" w:color="auto" w:fill="E7F3F4"/>
            <w:vAlign w:val="center"/>
          </w:tcPr>
          <w:p w:rsidR="00DC12FC" w:rsidRPr="00EE1F87" w:rsidRDefault="00DC12FC" w:rsidP="001368E7">
            <w:pPr>
              <w:spacing w:before="0" w:after="0"/>
              <w:jc w:val="center"/>
              <w:rPr>
                <w:sz w:val="20"/>
                <w:szCs w:val="20"/>
              </w:rPr>
            </w:pPr>
            <w:r>
              <w:rPr>
                <w:sz w:val="20"/>
                <w:szCs w:val="20"/>
              </w:rPr>
              <w:t xml:space="preserve">45,351,040 </w:t>
            </w:r>
            <w:r w:rsidRPr="008D1B84">
              <w:rPr>
                <w:sz w:val="18"/>
                <w:szCs w:val="18"/>
              </w:rPr>
              <w:t>L</w:t>
            </w:r>
            <w:r>
              <w:rPr>
                <w:sz w:val="18"/>
                <w:szCs w:val="18"/>
              </w:rPr>
              <w:t xml:space="preserve"> yr</w:t>
            </w:r>
            <w:r w:rsidRPr="00233108">
              <w:rPr>
                <w:sz w:val="18"/>
                <w:szCs w:val="18"/>
                <w:vertAlign w:val="superscript"/>
              </w:rPr>
              <w:t>-1</w:t>
            </w:r>
          </w:p>
        </w:tc>
        <w:tc>
          <w:tcPr>
            <w:tcW w:w="1804" w:type="dxa"/>
            <w:gridSpan w:val="2"/>
            <w:shd w:val="clear" w:color="auto" w:fill="E7F3F4"/>
            <w:vAlign w:val="center"/>
          </w:tcPr>
          <w:p w:rsidR="00DC12FC" w:rsidRPr="00EE1F87" w:rsidRDefault="00DC12FC" w:rsidP="001368E7">
            <w:pPr>
              <w:spacing w:before="0" w:after="0"/>
              <w:jc w:val="center"/>
              <w:rPr>
                <w:sz w:val="20"/>
                <w:szCs w:val="20"/>
              </w:rPr>
            </w:pPr>
            <w:r>
              <w:rPr>
                <w:sz w:val="20"/>
                <w:szCs w:val="20"/>
              </w:rPr>
              <w:t xml:space="preserve">33,074,908 </w:t>
            </w:r>
            <w:r w:rsidRPr="008D1B84">
              <w:rPr>
                <w:sz w:val="18"/>
                <w:szCs w:val="18"/>
              </w:rPr>
              <w:t>L</w:t>
            </w:r>
            <w:r>
              <w:rPr>
                <w:sz w:val="18"/>
                <w:szCs w:val="18"/>
              </w:rPr>
              <w:t xml:space="preserve"> yr</w:t>
            </w:r>
            <w:r w:rsidRPr="00233108">
              <w:rPr>
                <w:sz w:val="18"/>
                <w:szCs w:val="18"/>
                <w:vertAlign w:val="superscript"/>
              </w:rPr>
              <w:t>-1</w:t>
            </w:r>
          </w:p>
        </w:tc>
      </w:tr>
      <w:tr w:rsidR="00DC12FC" w:rsidTr="0073595B">
        <w:trPr>
          <w:trHeight w:val="284"/>
          <w:jc w:val="center"/>
        </w:trPr>
        <w:tc>
          <w:tcPr>
            <w:tcW w:w="4484" w:type="dxa"/>
            <w:tcBorders>
              <w:bottom w:val="nil"/>
            </w:tcBorders>
            <w:shd w:val="clear" w:color="auto" w:fill="E7F3F4"/>
            <w:vAlign w:val="center"/>
          </w:tcPr>
          <w:p w:rsidR="00DC12FC" w:rsidRPr="00EE1F87" w:rsidRDefault="00DC12FC" w:rsidP="001368E7">
            <w:pPr>
              <w:tabs>
                <w:tab w:val="left" w:pos="176"/>
              </w:tabs>
              <w:spacing w:before="0" w:after="0"/>
              <w:rPr>
                <w:sz w:val="20"/>
                <w:szCs w:val="20"/>
              </w:rPr>
            </w:pPr>
            <w:r>
              <w:rPr>
                <w:sz w:val="20"/>
                <w:szCs w:val="20"/>
              </w:rPr>
              <w:tab/>
              <w:t>Plume exposure (2006-2015)</w:t>
            </w:r>
          </w:p>
        </w:tc>
        <w:tc>
          <w:tcPr>
            <w:tcW w:w="1956" w:type="dxa"/>
            <w:gridSpan w:val="2"/>
            <w:tcBorders>
              <w:bottom w:val="nil"/>
            </w:tcBorders>
            <w:shd w:val="clear" w:color="auto" w:fill="E7F3F4"/>
            <w:vAlign w:val="center"/>
          </w:tcPr>
          <w:p w:rsidR="00DC12FC" w:rsidRPr="0073595B" w:rsidRDefault="0073595B" w:rsidP="001368E7">
            <w:pPr>
              <w:spacing w:before="0" w:after="0"/>
              <w:jc w:val="center"/>
              <w:rPr>
                <w:i/>
                <w:sz w:val="20"/>
                <w:szCs w:val="20"/>
              </w:rPr>
            </w:pPr>
            <w:r w:rsidRPr="0073595B">
              <w:rPr>
                <w:i/>
                <w:sz w:val="20"/>
                <w:szCs w:val="20"/>
              </w:rPr>
              <w:t>not available</w:t>
            </w:r>
          </w:p>
        </w:tc>
        <w:tc>
          <w:tcPr>
            <w:tcW w:w="1804" w:type="dxa"/>
            <w:gridSpan w:val="2"/>
            <w:tcBorders>
              <w:bottom w:val="nil"/>
            </w:tcBorders>
            <w:shd w:val="clear" w:color="auto" w:fill="E7F3F4"/>
            <w:vAlign w:val="center"/>
          </w:tcPr>
          <w:p w:rsidR="00DC12FC" w:rsidRPr="008F6611" w:rsidRDefault="0073595B" w:rsidP="001368E7">
            <w:pPr>
              <w:spacing w:before="0" w:after="0"/>
              <w:jc w:val="center"/>
              <w:rPr>
                <w:sz w:val="20"/>
                <w:szCs w:val="20"/>
                <w:highlight w:val="yellow"/>
              </w:rPr>
            </w:pPr>
            <w:r w:rsidRPr="0073595B">
              <w:rPr>
                <w:sz w:val="20"/>
                <w:szCs w:val="20"/>
              </w:rPr>
              <w:t>88.2%</w:t>
            </w:r>
          </w:p>
        </w:tc>
      </w:tr>
      <w:tr w:rsidR="00DC12FC" w:rsidTr="00E756E6">
        <w:trPr>
          <w:trHeight w:val="284"/>
          <w:jc w:val="center"/>
        </w:trPr>
        <w:tc>
          <w:tcPr>
            <w:tcW w:w="4680" w:type="dxa"/>
            <w:gridSpan w:val="2"/>
            <w:tcBorders>
              <w:bottom w:val="single" w:sz="4" w:space="0" w:color="auto"/>
            </w:tcBorders>
            <w:shd w:val="clear" w:color="auto" w:fill="E7F3F4"/>
            <w:vAlign w:val="center"/>
          </w:tcPr>
          <w:p w:rsidR="00DC12FC" w:rsidRPr="00C21E90" w:rsidRDefault="00DC12FC" w:rsidP="001368E7">
            <w:pPr>
              <w:tabs>
                <w:tab w:val="left" w:pos="176"/>
              </w:tabs>
              <w:spacing w:before="0" w:after="0"/>
              <w:rPr>
                <w:sz w:val="20"/>
                <w:szCs w:val="20"/>
              </w:rPr>
            </w:pPr>
            <w:r>
              <w:rPr>
                <w:sz w:val="20"/>
                <w:szCs w:val="20"/>
              </w:rPr>
              <w:tab/>
            </w:r>
            <w:r w:rsidRPr="00C21E90">
              <w:rPr>
                <w:sz w:val="20"/>
                <w:szCs w:val="20"/>
              </w:rPr>
              <w:t>Winds &gt;25km hr</w:t>
            </w:r>
            <w:r w:rsidRPr="00C21E90">
              <w:rPr>
                <w:sz w:val="20"/>
                <w:szCs w:val="20"/>
                <w:vertAlign w:val="superscript"/>
              </w:rPr>
              <w:t>-1</w:t>
            </w:r>
            <w:r w:rsidRPr="00C21E90">
              <w:rPr>
                <w:sz w:val="20"/>
                <w:szCs w:val="20"/>
              </w:rPr>
              <w:t xml:space="preserve"> (1998-2015)</w:t>
            </w:r>
          </w:p>
        </w:tc>
        <w:tc>
          <w:tcPr>
            <w:tcW w:w="1870" w:type="dxa"/>
            <w:gridSpan w:val="2"/>
            <w:tcBorders>
              <w:bottom w:val="single" w:sz="4" w:space="0" w:color="auto"/>
            </w:tcBorders>
            <w:shd w:val="clear" w:color="auto" w:fill="E7F3F4"/>
            <w:vAlign w:val="center"/>
          </w:tcPr>
          <w:p w:rsidR="00DC12FC" w:rsidRPr="00C21E90" w:rsidRDefault="00DC12FC" w:rsidP="001368E7">
            <w:pPr>
              <w:spacing w:before="0" w:after="0"/>
              <w:jc w:val="center"/>
              <w:rPr>
                <w:sz w:val="20"/>
                <w:szCs w:val="20"/>
              </w:rPr>
            </w:pPr>
            <w:r w:rsidRPr="00C21E90">
              <w:rPr>
                <w:sz w:val="20"/>
                <w:szCs w:val="20"/>
              </w:rPr>
              <w:t>110.4</w:t>
            </w:r>
            <w:r w:rsidRPr="00C21E90">
              <w:rPr>
                <w:sz w:val="18"/>
                <w:szCs w:val="18"/>
              </w:rPr>
              <w:t xml:space="preserve"> d yr</w:t>
            </w:r>
            <w:r w:rsidRPr="00C21E90">
              <w:rPr>
                <w:sz w:val="18"/>
                <w:szCs w:val="18"/>
                <w:vertAlign w:val="superscript"/>
              </w:rPr>
              <w:t>-1</w:t>
            </w:r>
          </w:p>
        </w:tc>
        <w:tc>
          <w:tcPr>
            <w:tcW w:w="1694" w:type="dxa"/>
            <w:tcBorders>
              <w:bottom w:val="single" w:sz="4" w:space="0" w:color="auto"/>
            </w:tcBorders>
            <w:shd w:val="clear" w:color="auto" w:fill="E7F3F4"/>
            <w:vAlign w:val="center"/>
          </w:tcPr>
          <w:p w:rsidR="00DC12FC" w:rsidRDefault="00DC12FC" w:rsidP="001368E7">
            <w:pPr>
              <w:spacing w:before="0" w:after="0"/>
              <w:jc w:val="center"/>
              <w:rPr>
                <w:sz w:val="20"/>
                <w:szCs w:val="20"/>
              </w:rPr>
            </w:pPr>
            <w:r w:rsidRPr="00C21E90">
              <w:rPr>
                <w:sz w:val="20"/>
                <w:szCs w:val="20"/>
              </w:rPr>
              <w:t>1</w:t>
            </w:r>
            <w:r>
              <w:rPr>
                <w:sz w:val="20"/>
                <w:szCs w:val="20"/>
              </w:rPr>
              <w:t>05.2</w:t>
            </w:r>
            <w:r w:rsidRPr="00C21E90">
              <w:rPr>
                <w:sz w:val="18"/>
                <w:szCs w:val="18"/>
              </w:rPr>
              <w:t xml:space="preserve"> d yr</w:t>
            </w:r>
            <w:r w:rsidRPr="00C21E90">
              <w:rPr>
                <w:sz w:val="18"/>
                <w:szCs w:val="18"/>
                <w:vertAlign w:val="superscript"/>
              </w:rPr>
              <w:t>-1</w:t>
            </w:r>
          </w:p>
        </w:tc>
      </w:tr>
      <w:tr w:rsidR="00DC12FC" w:rsidTr="00E756E6">
        <w:trPr>
          <w:trHeight w:val="284"/>
          <w:jc w:val="center"/>
        </w:trPr>
        <w:tc>
          <w:tcPr>
            <w:tcW w:w="4484" w:type="dxa"/>
            <w:tcBorders>
              <w:top w:val="single" w:sz="4" w:space="0" w:color="auto"/>
            </w:tcBorders>
            <w:shd w:val="clear" w:color="auto" w:fill="F3F9FA"/>
            <w:vAlign w:val="center"/>
          </w:tcPr>
          <w:p w:rsidR="00DC12FC" w:rsidRPr="008E5CC5" w:rsidRDefault="00DC12FC" w:rsidP="001368E7">
            <w:pPr>
              <w:tabs>
                <w:tab w:val="left" w:pos="176"/>
              </w:tabs>
              <w:spacing w:before="0" w:after="0"/>
              <w:rPr>
                <w:i/>
                <w:sz w:val="20"/>
                <w:szCs w:val="20"/>
              </w:rPr>
            </w:pPr>
            <w:r w:rsidRPr="008E5CC5">
              <w:rPr>
                <w:i/>
                <w:sz w:val="20"/>
                <w:szCs w:val="20"/>
              </w:rPr>
              <w:t>Within seagrass canopy</w:t>
            </w:r>
          </w:p>
        </w:tc>
        <w:tc>
          <w:tcPr>
            <w:tcW w:w="1956" w:type="dxa"/>
            <w:gridSpan w:val="2"/>
            <w:tcBorders>
              <w:top w:val="single" w:sz="4" w:space="0" w:color="auto"/>
            </w:tcBorders>
            <w:shd w:val="clear" w:color="auto" w:fill="F3F9FA"/>
            <w:vAlign w:val="center"/>
          </w:tcPr>
          <w:p w:rsidR="00DC12FC" w:rsidRPr="00EE1F87" w:rsidRDefault="00DC12FC" w:rsidP="001368E7">
            <w:pPr>
              <w:spacing w:before="0" w:after="0"/>
              <w:jc w:val="center"/>
              <w:rPr>
                <w:sz w:val="20"/>
                <w:szCs w:val="20"/>
              </w:rPr>
            </w:pPr>
          </w:p>
        </w:tc>
        <w:tc>
          <w:tcPr>
            <w:tcW w:w="1804" w:type="dxa"/>
            <w:gridSpan w:val="2"/>
            <w:tcBorders>
              <w:top w:val="single" w:sz="4" w:space="0" w:color="auto"/>
            </w:tcBorders>
            <w:shd w:val="clear" w:color="auto" w:fill="F3F9FA"/>
            <w:vAlign w:val="center"/>
          </w:tcPr>
          <w:p w:rsidR="00DC12FC" w:rsidRPr="00EE1F87" w:rsidRDefault="00DC12FC" w:rsidP="001368E7">
            <w:pPr>
              <w:spacing w:before="0" w:after="0"/>
              <w:jc w:val="center"/>
              <w:rPr>
                <w:sz w:val="20"/>
                <w:szCs w:val="20"/>
              </w:rPr>
            </w:pPr>
          </w:p>
        </w:tc>
      </w:tr>
      <w:tr w:rsidR="00DC12FC" w:rsidTr="00E756E6">
        <w:trPr>
          <w:trHeight w:val="284"/>
          <w:jc w:val="center"/>
        </w:trPr>
        <w:tc>
          <w:tcPr>
            <w:tcW w:w="4484" w:type="dxa"/>
            <w:shd w:val="clear" w:color="auto" w:fill="F3F9FA"/>
            <w:vAlign w:val="center"/>
          </w:tcPr>
          <w:p w:rsidR="00DC12FC" w:rsidRPr="00EE1F87" w:rsidRDefault="00DC12FC" w:rsidP="001368E7">
            <w:pPr>
              <w:tabs>
                <w:tab w:val="left" w:pos="176"/>
              </w:tabs>
              <w:spacing w:before="0" w:after="0"/>
              <w:rPr>
                <w:sz w:val="20"/>
                <w:szCs w:val="20"/>
              </w:rPr>
            </w:pPr>
            <w:r>
              <w:rPr>
                <w:sz w:val="20"/>
                <w:szCs w:val="20"/>
              </w:rPr>
              <w:tab/>
            </w:r>
            <w:r w:rsidRPr="00EE1F87">
              <w:rPr>
                <w:sz w:val="20"/>
                <w:szCs w:val="20"/>
              </w:rPr>
              <w:t>Within canopy temperature</w:t>
            </w:r>
            <w:r>
              <w:rPr>
                <w:sz w:val="20"/>
                <w:szCs w:val="20"/>
              </w:rPr>
              <w:t xml:space="preserve"> (2003-2015)*</w:t>
            </w:r>
          </w:p>
        </w:tc>
        <w:tc>
          <w:tcPr>
            <w:tcW w:w="1956" w:type="dxa"/>
            <w:gridSpan w:val="2"/>
            <w:shd w:val="clear" w:color="auto" w:fill="F3F9FA"/>
            <w:vAlign w:val="center"/>
          </w:tcPr>
          <w:p w:rsidR="00DC12FC" w:rsidRPr="00EE1F87" w:rsidRDefault="00DC12FC" w:rsidP="001368E7">
            <w:pPr>
              <w:spacing w:before="0" w:after="0"/>
              <w:jc w:val="center"/>
              <w:rPr>
                <w:sz w:val="20"/>
                <w:szCs w:val="20"/>
              </w:rPr>
            </w:pPr>
            <w:r w:rsidRPr="009F06DF">
              <w:rPr>
                <w:sz w:val="20"/>
                <w:szCs w:val="20"/>
              </w:rPr>
              <w:t>25.6</w:t>
            </w:r>
            <w:r>
              <w:rPr>
                <w:sz w:val="20"/>
                <w:szCs w:val="20"/>
              </w:rPr>
              <w:t xml:space="preserve"> ±</w:t>
            </w:r>
            <w:r w:rsidRPr="009F06DF">
              <w:rPr>
                <w:sz w:val="20"/>
                <w:szCs w:val="20"/>
              </w:rPr>
              <w:t>0.4</w:t>
            </w:r>
            <w:r>
              <w:rPr>
                <w:sz w:val="20"/>
                <w:szCs w:val="20"/>
              </w:rPr>
              <w:t>°C</w:t>
            </w:r>
            <w:r w:rsidRPr="009F06DF">
              <w:rPr>
                <w:sz w:val="20"/>
                <w:szCs w:val="20"/>
              </w:rPr>
              <w:t xml:space="preserve"> (46.6</w:t>
            </w:r>
            <w:r>
              <w:rPr>
                <w:sz w:val="20"/>
                <w:szCs w:val="20"/>
              </w:rPr>
              <w:t>°C</w:t>
            </w:r>
            <w:r w:rsidRPr="009F06DF">
              <w:rPr>
                <w:sz w:val="20"/>
                <w:szCs w:val="20"/>
              </w:rPr>
              <w:t>)</w:t>
            </w:r>
          </w:p>
        </w:tc>
        <w:tc>
          <w:tcPr>
            <w:tcW w:w="1804" w:type="dxa"/>
            <w:gridSpan w:val="2"/>
            <w:shd w:val="clear" w:color="auto" w:fill="F3F9FA"/>
            <w:vAlign w:val="center"/>
          </w:tcPr>
          <w:p w:rsidR="00DC12FC" w:rsidRPr="00EE1F87" w:rsidRDefault="00DC12FC" w:rsidP="001368E7">
            <w:pPr>
              <w:spacing w:before="0" w:after="0"/>
              <w:jc w:val="center"/>
              <w:rPr>
                <w:sz w:val="20"/>
                <w:szCs w:val="20"/>
              </w:rPr>
            </w:pPr>
            <w:r w:rsidRPr="009F06DF">
              <w:rPr>
                <w:sz w:val="20"/>
                <w:szCs w:val="20"/>
              </w:rPr>
              <w:t>25.7</w:t>
            </w:r>
            <w:r>
              <w:rPr>
                <w:sz w:val="20"/>
                <w:szCs w:val="20"/>
              </w:rPr>
              <w:t xml:space="preserve"> ±</w:t>
            </w:r>
            <w:r w:rsidRPr="009F06DF">
              <w:rPr>
                <w:sz w:val="20"/>
                <w:szCs w:val="20"/>
              </w:rPr>
              <w:t>0.4</w:t>
            </w:r>
            <w:r>
              <w:rPr>
                <w:sz w:val="20"/>
                <w:szCs w:val="20"/>
              </w:rPr>
              <w:t>°C</w:t>
            </w:r>
            <w:r w:rsidRPr="009F06DF">
              <w:rPr>
                <w:sz w:val="20"/>
                <w:szCs w:val="20"/>
              </w:rPr>
              <w:t xml:space="preserve"> (41</w:t>
            </w:r>
            <w:r>
              <w:rPr>
                <w:sz w:val="20"/>
                <w:szCs w:val="20"/>
              </w:rPr>
              <w:t>°C</w:t>
            </w:r>
            <w:r w:rsidRPr="009F06DF">
              <w:rPr>
                <w:sz w:val="20"/>
                <w:szCs w:val="20"/>
              </w:rPr>
              <w:t>)</w:t>
            </w:r>
          </w:p>
        </w:tc>
      </w:tr>
      <w:tr w:rsidR="00DC12FC" w:rsidTr="00E756E6">
        <w:trPr>
          <w:trHeight w:val="284"/>
          <w:jc w:val="center"/>
        </w:trPr>
        <w:tc>
          <w:tcPr>
            <w:tcW w:w="4484" w:type="dxa"/>
            <w:shd w:val="clear" w:color="auto" w:fill="F3F9FA"/>
            <w:vAlign w:val="center"/>
          </w:tcPr>
          <w:p w:rsidR="00DC12FC" w:rsidRPr="00EE1F87" w:rsidRDefault="00DC12FC" w:rsidP="001368E7">
            <w:pPr>
              <w:tabs>
                <w:tab w:val="left" w:pos="176"/>
              </w:tabs>
              <w:spacing w:before="0" w:after="0"/>
              <w:rPr>
                <w:sz w:val="20"/>
                <w:szCs w:val="20"/>
              </w:rPr>
            </w:pPr>
            <w:r>
              <w:rPr>
                <w:sz w:val="20"/>
                <w:szCs w:val="20"/>
              </w:rPr>
              <w:tab/>
            </w:r>
            <w:r w:rsidRPr="00EE1F87">
              <w:rPr>
                <w:sz w:val="20"/>
                <w:szCs w:val="20"/>
              </w:rPr>
              <w:t>Within canopy light</w:t>
            </w:r>
            <w:r>
              <w:rPr>
                <w:sz w:val="20"/>
                <w:szCs w:val="20"/>
              </w:rPr>
              <w:t xml:space="preserve"> (2008-2015)</w:t>
            </w:r>
          </w:p>
        </w:tc>
        <w:tc>
          <w:tcPr>
            <w:tcW w:w="1956" w:type="dxa"/>
            <w:gridSpan w:val="2"/>
            <w:shd w:val="clear" w:color="auto" w:fill="F3F9FA"/>
            <w:vAlign w:val="center"/>
          </w:tcPr>
          <w:p w:rsidR="00DC12FC" w:rsidRPr="00EE1F87" w:rsidRDefault="00DC12FC" w:rsidP="001368E7">
            <w:pPr>
              <w:spacing w:before="0" w:after="0"/>
              <w:jc w:val="center"/>
              <w:rPr>
                <w:sz w:val="20"/>
                <w:szCs w:val="20"/>
              </w:rPr>
            </w:pPr>
            <w:r>
              <w:rPr>
                <w:sz w:val="20"/>
                <w:szCs w:val="20"/>
              </w:rPr>
              <w:t xml:space="preserve">13.4 </w:t>
            </w:r>
            <w:proofErr w:type="spellStart"/>
            <w:r>
              <w:rPr>
                <w:sz w:val="20"/>
                <w:szCs w:val="20"/>
              </w:rPr>
              <w:t>mol</w:t>
            </w:r>
            <w:proofErr w:type="spellEnd"/>
            <w:r>
              <w:rPr>
                <w:sz w:val="20"/>
                <w:szCs w:val="20"/>
              </w:rPr>
              <w:t xml:space="preserve"> m</w:t>
            </w:r>
            <w:r w:rsidRPr="00D02D7B">
              <w:rPr>
                <w:sz w:val="20"/>
                <w:szCs w:val="20"/>
                <w:vertAlign w:val="superscript"/>
              </w:rPr>
              <w:t>-2</w:t>
            </w:r>
            <w:r>
              <w:rPr>
                <w:sz w:val="20"/>
                <w:szCs w:val="20"/>
              </w:rPr>
              <w:t xml:space="preserve"> d</w:t>
            </w:r>
            <w:r w:rsidRPr="00D02D7B">
              <w:rPr>
                <w:sz w:val="20"/>
                <w:szCs w:val="20"/>
                <w:vertAlign w:val="superscript"/>
              </w:rPr>
              <w:t>-1</w:t>
            </w:r>
          </w:p>
        </w:tc>
        <w:tc>
          <w:tcPr>
            <w:tcW w:w="1804" w:type="dxa"/>
            <w:gridSpan w:val="2"/>
            <w:shd w:val="clear" w:color="auto" w:fill="F3F9FA"/>
            <w:vAlign w:val="center"/>
          </w:tcPr>
          <w:p w:rsidR="00DC12FC" w:rsidRPr="00EE1F87" w:rsidRDefault="00DC12FC" w:rsidP="001368E7">
            <w:pPr>
              <w:spacing w:before="0" w:after="0"/>
              <w:jc w:val="center"/>
              <w:rPr>
                <w:sz w:val="20"/>
                <w:szCs w:val="20"/>
              </w:rPr>
            </w:pPr>
            <w:r>
              <w:rPr>
                <w:sz w:val="20"/>
                <w:szCs w:val="20"/>
              </w:rPr>
              <w:t xml:space="preserve">12.8 </w:t>
            </w:r>
            <w:proofErr w:type="spellStart"/>
            <w:r w:rsidRPr="00D02D7B">
              <w:rPr>
                <w:sz w:val="20"/>
                <w:szCs w:val="20"/>
              </w:rPr>
              <w:t>mol</w:t>
            </w:r>
            <w:proofErr w:type="spellEnd"/>
            <w:r w:rsidRPr="00D02D7B">
              <w:rPr>
                <w:sz w:val="20"/>
                <w:szCs w:val="20"/>
              </w:rPr>
              <w:t xml:space="preserve"> m</w:t>
            </w:r>
            <w:r w:rsidRPr="00D02D7B">
              <w:rPr>
                <w:sz w:val="20"/>
                <w:szCs w:val="20"/>
                <w:vertAlign w:val="superscript"/>
              </w:rPr>
              <w:t>-2</w:t>
            </w:r>
            <w:r w:rsidRPr="00D02D7B">
              <w:rPr>
                <w:sz w:val="20"/>
                <w:szCs w:val="20"/>
              </w:rPr>
              <w:t xml:space="preserve"> d</w:t>
            </w:r>
            <w:r w:rsidRPr="00D02D7B">
              <w:rPr>
                <w:sz w:val="20"/>
                <w:szCs w:val="20"/>
                <w:vertAlign w:val="superscript"/>
              </w:rPr>
              <w:t>-1</w:t>
            </w:r>
          </w:p>
        </w:tc>
      </w:tr>
      <w:tr w:rsidR="000B53BD" w:rsidTr="00E756E6">
        <w:trPr>
          <w:trHeight w:val="284"/>
          <w:jc w:val="center"/>
        </w:trPr>
        <w:tc>
          <w:tcPr>
            <w:tcW w:w="4484" w:type="dxa"/>
            <w:shd w:val="clear" w:color="auto" w:fill="F3F9FA"/>
            <w:vAlign w:val="center"/>
          </w:tcPr>
          <w:p w:rsidR="000B53BD" w:rsidRPr="006A2B97" w:rsidRDefault="000B53BD" w:rsidP="00E756E6">
            <w:pPr>
              <w:tabs>
                <w:tab w:val="left" w:pos="176"/>
                <w:tab w:val="left" w:pos="1714"/>
              </w:tabs>
              <w:spacing w:before="0" w:after="0"/>
              <w:rPr>
                <w:sz w:val="20"/>
                <w:szCs w:val="20"/>
              </w:rPr>
            </w:pPr>
            <w:r w:rsidRPr="006A2B97">
              <w:rPr>
                <w:sz w:val="20"/>
                <w:szCs w:val="20"/>
              </w:rPr>
              <w:tab/>
              <w:t xml:space="preserve">Proportion mud </w:t>
            </w:r>
            <w:r w:rsidR="00E756E6" w:rsidRPr="006A2B97">
              <w:rPr>
                <w:sz w:val="20"/>
                <w:szCs w:val="20"/>
              </w:rPr>
              <w:tab/>
            </w:r>
            <w:r w:rsidR="00E756E6" w:rsidRPr="006A2B97">
              <w:rPr>
                <w:i/>
                <w:sz w:val="20"/>
                <w:szCs w:val="20"/>
              </w:rPr>
              <w:t>estuary intertidal</w:t>
            </w:r>
            <w:r w:rsidR="00E756E6" w:rsidRPr="006A2B97">
              <w:rPr>
                <w:sz w:val="20"/>
                <w:szCs w:val="20"/>
              </w:rPr>
              <w:t xml:space="preserve"> </w:t>
            </w:r>
            <w:r w:rsidRPr="006A2B97">
              <w:rPr>
                <w:sz w:val="20"/>
                <w:szCs w:val="20"/>
              </w:rPr>
              <w:t>(1999-2015)</w:t>
            </w:r>
          </w:p>
          <w:p w:rsidR="00E756E6" w:rsidRPr="006A2B97" w:rsidRDefault="00E756E6" w:rsidP="00E756E6">
            <w:pPr>
              <w:tabs>
                <w:tab w:val="left" w:pos="176"/>
                <w:tab w:val="left" w:pos="1714"/>
              </w:tabs>
              <w:spacing w:before="0" w:after="0"/>
              <w:rPr>
                <w:sz w:val="20"/>
                <w:szCs w:val="20"/>
              </w:rPr>
            </w:pPr>
            <w:r w:rsidRPr="006A2B97">
              <w:rPr>
                <w:sz w:val="20"/>
                <w:szCs w:val="20"/>
              </w:rPr>
              <w:tab/>
            </w:r>
            <w:r w:rsidRPr="006A2B97">
              <w:rPr>
                <w:sz w:val="20"/>
                <w:szCs w:val="20"/>
              </w:rPr>
              <w:tab/>
            </w:r>
            <w:r w:rsidRPr="006A2B97">
              <w:rPr>
                <w:i/>
                <w:sz w:val="20"/>
                <w:szCs w:val="20"/>
              </w:rPr>
              <w:t>coast intertidal</w:t>
            </w:r>
            <w:r w:rsidRPr="006A2B97">
              <w:rPr>
                <w:sz w:val="20"/>
                <w:szCs w:val="20"/>
              </w:rPr>
              <w:t xml:space="preserve"> (1999-2015)</w:t>
            </w:r>
          </w:p>
          <w:p w:rsidR="00E756E6" w:rsidRPr="006A2B97" w:rsidRDefault="00E756E6" w:rsidP="00E756E6">
            <w:pPr>
              <w:tabs>
                <w:tab w:val="left" w:pos="176"/>
                <w:tab w:val="left" w:pos="1714"/>
              </w:tabs>
              <w:spacing w:before="0" w:after="0"/>
              <w:rPr>
                <w:sz w:val="20"/>
                <w:szCs w:val="20"/>
              </w:rPr>
            </w:pPr>
            <w:r w:rsidRPr="006A2B97">
              <w:rPr>
                <w:sz w:val="20"/>
                <w:szCs w:val="20"/>
              </w:rPr>
              <w:tab/>
            </w:r>
            <w:r w:rsidRPr="006A2B97">
              <w:rPr>
                <w:sz w:val="20"/>
                <w:szCs w:val="20"/>
              </w:rPr>
              <w:tab/>
            </w:r>
            <w:r w:rsidRPr="006A2B97">
              <w:rPr>
                <w:i/>
                <w:sz w:val="20"/>
                <w:szCs w:val="20"/>
              </w:rPr>
              <w:t>reef intertidal</w:t>
            </w:r>
            <w:r w:rsidRPr="006A2B97">
              <w:rPr>
                <w:sz w:val="20"/>
                <w:szCs w:val="20"/>
              </w:rPr>
              <w:t xml:space="preserve"> (2001-2015)</w:t>
            </w:r>
          </w:p>
          <w:p w:rsidR="00E756E6" w:rsidRPr="006A2B97" w:rsidRDefault="00E756E6" w:rsidP="00E756E6">
            <w:pPr>
              <w:tabs>
                <w:tab w:val="left" w:pos="176"/>
                <w:tab w:val="left" w:pos="1714"/>
              </w:tabs>
              <w:spacing w:before="0" w:after="0"/>
              <w:rPr>
                <w:sz w:val="20"/>
                <w:szCs w:val="20"/>
              </w:rPr>
            </w:pPr>
            <w:r w:rsidRPr="006A2B97">
              <w:rPr>
                <w:sz w:val="20"/>
                <w:szCs w:val="20"/>
              </w:rPr>
              <w:tab/>
            </w:r>
            <w:r w:rsidRPr="006A2B97">
              <w:rPr>
                <w:sz w:val="20"/>
                <w:szCs w:val="20"/>
              </w:rPr>
              <w:tab/>
            </w:r>
            <w:r w:rsidRPr="006A2B97">
              <w:rPr>
                <w:i/>
                <w:sz w:val="20"/>
                <w:szCs w:val="20"/>
              </w:rPr>
              <w:t>reef subtidal</w:t>
            </w:r>
            <w:r w:rsidRPr="006A2B97">
              <w:rPr>
                <w:sz w:val="20"/>
                <w:szCs w:val="20"/>
              </w:rPr>
              <w:t xml:space="preserve"> (2008-2015)</w:t>
            </w:r>
          </w:p>
        </w:tc>
        <w:tc>
          <w:tcPr>
            <w:tcW w:w="1956" w:type="dxa"/>
            <w:gridSpan w:val="2"/>
            <w:shd w:val="clear" w:color="auto" w:fill="F3F9FA"/>
            <w:vAlign w:val="center"/>
          </w:tcPr>
          <w:p w:rsidR="00F52241" w:rsidRPr="006A2B97" w:rsidRDefault="00F52241" w:rsidP="00F52241">
            <w:pPr>
              <w:spacing w:before="0" w:after="0"/>
              <w:jc w:val="center"/>
              <w:rPr>
                <w:sz w:val="20"/>
                <w:szCs w:val="20"/>
              </w:rPr>
            </w:pPr>
            <w:r w:rsidRPr="006A2B97">
              <w:rPr>
                <w:sz w:val="20"/>
                <w:szCs w:val="20"/>
              </w:rPr>
              <w:t>48.3 ±</w:t>
            </w:r>
            <w:r w:rsidR="006A2B97" w:rsidRPr="006A2B97">
              <w:rPr>
                <w:sz w:val="20"/>
                <w:szCs w:val="20"/>
              </w:rPr>
              <w:t>1.8</w:t>
            </w:r>
            <w:r w:rsidR="006A2B97">
              <w:rPr>
                <w:sz w:val="20"/>
                <w:szCs w:val="20"/>
              </w:rPr>
              <w:t>%</w:t>
            </w:r>
          </w:p>
          <w:p w:rsidR="00F52241" w:rsidRPr="006A2B97" w:rsidRDefault="00F52241" w:rsidP="00F52241">
            <w:pPr>
              <w:spacing w:before="0" w:after="0"/>
              <w:jc w:val="center"/>
              <w:rPr>
                <w:sz w:val="20"/>
                <w:szCs w:val="20"/>
              </w:rPr>
            </w:pPr>
            <w:r w:rsidRPr="006A2B97">
              <w:rPr>
                <w:sz w:val="20"/>
                <w:szCs w:val="20"/>
              </w:rPr>
              <w:t>27.7 ±</w:t>
            </w:r>
            <w:r w:rsidR="006A2B97" w:rsidRPr="006A2B97">
              <w:rPr>
                <w:sz w:val="20"/>
                <w:szCs w:val="20"/>
              </w:rPr>
              <w:t>2.1</w:t>
            </w:r>
            <w:r w:rsidR="006A2B97">
              <w:rPr>
                <w:sz w:val="20"/>
                <w:szCs w:val="20"/>
              </w:rPr>
              <w:t>%</w:t>
            </w:r>
          </w:p>
          <w:p w:rsidR="00F52241" w:rsidRPr="006A2B97" w:rsidRDefault="00F52241" w:rsidP="00F52241">
            <w:pPr>
              <w:spacing w:before="0" w:after="0"/>
              <w:jc w:val="center"/>
              <w:rPr>
                <w:sz w:val="20"/>
                <w:szCs w:val="20"/>
              </w:rPr>
            </w:pPr>
            <w:r w:rsidRPr="006A2B97">
              <w:rPr>
                <w:sz w:val="20"/>
                <w:szCs w:val="20"/>
              </w:rPr>
              <w:t>5.0 ±</w:t>
            </w:r>
            <w:r w:rsidR="006A2B97" w:rsidRPr="006A2B97">
              <w:rPr>
                <w:sz w:val="20"/>
                <w:szCs w:val="20"/>
              </w:rPr>
              <w:t>0.8</w:t>
            </w:r>
            <w:r w:rsidR="006A2B97">
              <w:rPr>
                <w:sz w:val="20"/>
                <w:szCs w:val="20"/>
              </w:rPr>
              <w:t>%</w:t>
            </w:r>
          </w:p>
          <w:p w:rsidR="000B53BD" w:rsidRPr="006A2B97" w:rsidRDefault="00F52241" w:rsidP="006A2B97">
            <w:pPr>
              <w:spacing w:before="0" w:after="0"/>
              <w:jc w:val="center"/>
              <w:rPr>
                <w:sz w:val="20"/>
                <w:szCs w:val="20"/>
              </w:rPr>
            </w:pPr>
            <w:r w:rsidRPr="006A2B97">
              <w:rPr>
                <w:sz w:val="20"/>
                <w:szCs w:val="20"/>
              </w:rPr>
              <w:t>3.5 ±</w:t>
            </w:r>
            <w:r w:rsidR="006A2B97" w:rsidRPr="006A2B97">
              <w:rPr>
                <w:sz w:val="20"/>
                <w:szCs w:val="20"/>
              </w:rPr>
              <w:t>1.0</w:t>
            </w:r>
            <w:r w:rsidR="006A2B97">
              <w:rPr>
                <w:sz w:val="20"/>
                <w:szCs w:val="20"/>
              </w:rPr>
              <w:t>%</w:t>
            </w:r>
          </w:p>
        </w:tc>
        <w:tc>
          <w:tcPr>
            <w:tcW w:w="1804" w:type="dxa"/>
            <w:gridSpan w:val="2"/>
            <w:shd w:val="clear" w:color="auto" w:fill="F3F9FA"/>
            <w:vAlign w:val="center"/>
          </w:tcPr>
          <w:p w:rsidR="00E756E6" w:rsidRPr="006A2B97" w:rsidRDefault="00E756E6" w:rsidP="00E756E6">
            <w:pPr>
              <w:spacing w:before="0" w:after="0"/>
              <w:jc w:val="center"/>
              <w:rPr>
                <w:sz w:val="20"/>
                <w:szCs w:val="20"/>
              </w:rPr>
            </w:pPr>
            <w:r w:rsidRPr="006A2B97">
              <w:rPr>
                <w:sz w:val="20"/>
                <w:szCs w:val="20"/>
              </w:rPr>
              <w:t>50.5 ±</w:t>
            </w:r>
            <w:r w:rsidR="006A2B97" w:rsidRPr="006A2B97">
              <w:rPr>
                <w:sz w:val="20"/>
                <w:szCs w:val="20"/>
              </w:rPr>
              <w:t>2.7</w:t>
            </w:r>
            <w:r w:rsidRPr="006A2B97">
              <w:rPr>
                <w:sz w:val="20"/>
                <w:szCs w:val="20"/>
              </w:rPr>
              <w:t>%</w:t>
            </w:r>
          </w:p>
          <w:p w:rsidR="00E756E6" w:rsidRPr="006A2B97" w:rsidRDefault="00E756E6" w:rsidP="00E756E6">
            <w:pPr>
              <w:spacing w:before="0" w:after="0"/>
              <w:jc w:val="center"/>
              <w:rPr>
                <w:sz w:val="20"/>
                <w:szCs w:val="20"/>
              </w:rPr>
            </w:pPr>
            <w:r w:rsidRPr="006A2B97">
              <w:rPr>
                <w:sz w:val="20"/>
                <w:szCs w:val="20"/>
              </w:rPr>
              <w:t>17.5 ±</w:t>
            </w:r>
            <w:r w:rsidR="006A2B97" w:rsidRPr="006A2B97">
              <w:rPr>
                <w:sz w:val="20"/>
                <w:szCs w:val="20"/>
              </w:rPr>
              <w:t>1.1</w:t>
            </w:r>
            <w:r w:rsidRPr="006A2B97">
              <w:rPr>
                <w:sz w:val="20"/>
                <w:szCs w:val="20"/>
              </w:rPr>
              <w:t>%</w:t>
            </w:r>
          </w:p>
          <w:p w:rsidR="00E756E6" w:rsidRPr="006A2B97" w:rsidRDefault="00E756E6" w:rsidP="00E756E6">
            <w:pPr>
              <w:spacing w:before="0" w:after="0"/>
              <w:jc w:val="center"/>
              <w:rPr>
                <w:sz w:val="20"/>
                <w:szCs w:val="20"/>
              </w:rPr>
            </w:pPr>
            <w:r w:rsidRPr="006A2B97">
              <w:rPr>
                <w:sz w:val="20"/>
                <w:szCs w:val="20"/>
              </w:rPr>
              <w:t>2.0 ±</w:t>
            </w:r>
            <w:r w:rsidR="006A2B97" w:rsidRPr="006A2B97">
              <w:rPr>
                <w:sz w:val="20"/>
                <w:szCs w:val="20"/>
              </w:rPr>
              <w:t>0.3</w:t>
            </w:r>
            <w:r w:rsidRPr="006A2B97">
              <w:rPr>
                <w:sz w:val="20"/>
                <w:szCs w:val="20"/>
              </w:rPr>
              <w:t>%</w:t>
            </w:r>
          </w:p>
          <w:p w:rsidR="000B53BD" w:rsidRPr="00F52241" w:rsidRDefault="00E756E6" w:rsidP="00E756E6">
            <w:pPr>
              <w:spacing w:before="0" w:after="0"/>
              <w:jc w:val="center"/>
              <w:rPr>
                <w:sz w:val="20"/>
                <w:szCs w:val="20"/>
                <w:highlight w:val="yellow"/>
              </w:rPr>
            </w:pPr>
            <w:r w:rsidRPr="006A2B97">
              <w:rPr>
                <w:sz w:val="20"/>
                <w:szCs w:val="20"/>
              </w:rPr>
              <w:t>nil</w:t>
            </w:r>
          </w:p>
        </w:tc>
      </w:tr>
    </w:tbl>
    <w:p w:rsidR="00DC12FC" w:rsidRDefault="00DC12FC" w:rsidP="00DC12FC">
      <w:pPr>
        <w:spacing w:before="20" w:after="20"/>
        <w:rPr>
          <w:sz w:val="20"/>
          <w:szCs w:val="20"/>
          <w:lang w:eastAsia="en-AU"/>
        </w:rPr>
      </w:pPr>
    </w:p>
    <w:p w:rsidR="001472A4" w:rsidRDefault="001472A4" w:rsidP="00DC12FC">
      <w:pPr>
        <w:spacing w:before="20" w:after="20"/>
        <w:rPr>
          <w:sz w:val="20"/>
          <w:szCs w:val="20"/>
          <w:lang w:eastAsia="en-AU"/>
        </w:rPr>
      </w:pPr>
    </w:p>
    <w:p w:rsidR="00184B64" w:rsidRPr="00B87F6B" w:rsidRDefault="00DC12FC" w:rsidP="00DC12FC">
      <w:r>
        <w:t xml:space="preserve">Two tropical cyclones affected the Queensland coast in 2014-15, which is a reduction on numbers from previous years. TC Marcia was a category 5 cyclone that made landfall </w:t>
      </w:r>
      <w:r w:rsidR="00184B64">
        <w:t xml:space="preserve">at its peak strength </w:t>
      </w:r>
      <w:r>
        <w:t>near Shoalwater Bay on 20</w:t>
      </w:r>
      <w:r w:rsidRPr="00722DD2">
        <w:rPr>
          <w:vertAlign w:val="superscript"/>
        </w:rPr>
        <w:t>th</w:t>
      </w:r>
      <w:r>
        <w:t xml:space="preserve"> February 2015 and had destructive winds causing substantial damage in the local area, and generating flooding to the south. A few days earlier, a tropical depression crossed the </w:t>
      </w:r>
      <w:r w:rsidRPr="009E002A">
        <w:t xml:space="preserve">Queensland coast in Cape York, and this was later classified as TC Lam as it tracked through the Gulf towards the Northern Territory. </w:t>
      </w:r>
      <w:r w:rsidR="00184B64" w:rsidRPr="009E002A">
        <w:t xml:space="preserve">The second severe storm to impact the GBR was </w:t>
      </w:r>
      <w:r w:rsidR="008F6611" w:rsidRPr="009E002A">
        <w:t>TC Nathan</w:t>
      </w:r>
      <w:r w:rsidR="00184B64" w:rsidRPr="009E002A">
        <w:t xml:space="preserve"> which made landfall between Cape Melville and Cape Flattery on the 20</w:t>
      </w:r>
      <w:r w:rsidR="00184B64" w:rsidRPr="009E002A">
        <w:rPr>
          <w:vertAlign w:val="superscript"/>
        </w:rPr>
        <w:t>th</w:t>
      </w:r>
      <w:r w:rsidR="00184B64" w:rsidRPr="009E002A">
        <w:t xml:space="preserve"> March as a category four system, after menacing the far northern region of 10 days.</w:t>
      </w:r>
      <w:r w:rsidR="009E002A" w:rsidRPr="009E002A">
        <w:t xml:space="preserve"> Damage from destructive winds was localised, however, the system elevated rainfall levels in the southern Cape York and northern Wet Tropics regions.</w:t>
      </w:r>
      <w:r w:rsidR="009E002A">
        <w:t xml:space="preserve"> </w:t>
      </w:r>
    </w:p>
    <w:p w:rsidR="00DC12FC" w:rsidRDefault="00DC12FC" w:rsidP="00DC12FC">
      <w:pPr>
        <w:autoSpaceDE w:val="0"/>
        <w:autoSpaceDN w:val="0"/>
        <w:adjustRightInd w:val="0"/>
        <w:rPr>
          <w:rFonts w:cs="TimesNewRoman"/>
          <w:color w:val="000000"/>
          <w:szCs w:val="22"/>
          <w:lang w:val="en-US"/>
        </w:rPr>
      </w:pPr>
      <w:r>
        <w:rPr>
          <w:rFonts w:cs="TimesNewRoman"/>
          <w:color w:val="000000"/>
          <w:szCs w:val="22"/>
          <w:lang w:val="en-US"/>
        </w:rPr>
        <w:t xml:space="preserve">River discharge was lower than average (&lt;1.5 times lower than the long-term median), throughout much of the GBR </w:t>
      </w:r>
      <w:r w:rsidR="0073595B">
        <w:rPr>
          <w:rFonts w:cs="TimesNewRoman"/>
          <w:color w:val="000000"/>
          <w:szCs w:val="22"/>
          <w:lang w:val="en-US"/>
        </w:rPr>
        <w:t>(</w:t>
      </w:r>
      <w:r w:rsidR="0073595B">
        <w:rPr>
          <w:rFonts w:cs="TimesNewRoman"/>
          <w:color w:val="000000"/>
          <w:szCs w:val="22"/>
          <w:lang w:val="en-US"/>
        </w:rPr>
        <w:fldChar w:fldCharType="begin"/>
      </w:r>
      <w:r w:rsidR="0073595B">
        <w:rPr>
          <w:rFonts w:cs="TimesNewRoman"/>
          <w:color w:val="000000"/>
          <w:szCs w:val="22"/>
          <w:lang w:val="en-US"/>
        </w:rPr>
        <w:instrText xml:space="preserve"> REF _Ref442465342 \h </w:instrText>
      </w:r>
      <w:r w:rsidR="0073595B">
        <w:rPr>
          <w:rFonts w:cs="TimesNewRoman"/>
          <w:color w:val="000000"/>
          <w:szCs w:val="22"/>
          <w:lang w:val="en-US"/>
        </w:rPr>
      </w:r>
      <w:r w:rsidR="0073595B">
        <w:rPr>
          <w:rFonts w:cs="TimesNewRoman"/>
          <w:color w:val="000000"/>
          <w:szCs w:val="22"/>
          <w:lang w:val="en-US"/>
        </w:rPr>
        <w:fldChar w:fldCharType="separate"/>
      </w:r>
      <w:r w:rsidR="009C068F">
        <w:t xml:space="preserve">Table </w:t>
      </w:r>
      <w:r w:rsidR="009C068F">
        <w:rPr>
          <w:noProof/>
        </w:rPr>
        <w:t>10</w:t>
      </w:r>
      <w:r w:rsidR="0073595B">
        <w:rPr>
          <w:rFonts w:cs="TimesNewRoman"/>
          <w:color w:val="000000"/>
          <w:szCs w:val="22"/>
          <w:lang w:val="en-US"/>
        </w:rPr>
        <w:fldChar w:fldCharType="end"/>
      </w:r>
      <w:r>
        <w:rPr>
          <w:rFonts w:cs="TimesNewRoman"/>
          <w:color w:val="000000"/>
          <w:szCs w:val="22"/>
          <w:lang w:val="en-US"/>
        </w:rPr>
        <w:t>). However, some rivers in the central and southern</w:t>
      </w:r>
      <w:r w:rsidR="00D25EB3">
        <w:rPr>
          <w:rFonts w:cs="TimesNewRoman"/>
          <w:color w:val="000000"/>
          <w:szCs w:val="22"/>
          <w:lang w:val="en-US"/>
        </w:rPr>
        <w:t xml:space="preserve"> </w:t>
      </w:r>
      <w:r>
        <w:rPr>
          <w:rFonts w:cs="TimesNewRoman"/>
          <w:color w:val="000000"/>
          <w:szCs w:val="22"/>
          <w:lang w:val="en-US"/>
        </w:rPr>
        <w:t xml:space="preserve">GBR </w:t>
      </w:r>
      <w:r w:rsidR="00D25EB3">
        <w:rPr>
          <w:rFonts w:cs="TimesNewRoman"/>
          <w:color w:val="000000"/>
          <w:szCs w:val="22"/>
          <w:lang w:val="en-US"/>
        </w:rPr>
        <w:t xml:space="preserve">(e.g. Pioneer, Calliope, Burnett and Mary) </w:t>
      </w:r>
      <w:r>
        <w:rPr>
          <w:rFonts w:cs="TimesNewRoman"/>
          <w:color w:val="000000"/>
          <w:szCs w:val="22"/>
          <w:lang w:val="en-US"/>
        </w:rPr>
        <w:t>had above-average discharge in 2014-15. Exposure of the inshore GBR to plume waters (</w:t>
      </w:r>
      <w:r w:rsidR="00E373A2">
        <w:rPr>
          <w:rFonts w:cs="TimesNewRoman"/>
          <w:color w:val="000000"/>
          <w:szCs w:val="22"/>
          <w:lang w:val="en-US"/>
        </w:rPr>
        <w:fldChar w:fldCharType="begin"/>
      </w:r>
      <w:r w:rsidR="00E373A2">
        <w:rPr>
          <w:rFonts w:cs="TimesNewRoman"/>
          <w:color w:val="000000"/>
          <w:szCs w:val="22"/>
          <w:lang w:val="en-US"/>
        </w:rPr>
        <w:instrText xml:space="preserve"> REF _Ref442465513 \h </w:instrText>
      </w:r>
      <w:r w:rsidR="00E373A2">
        <w:rPr>
          <w:rFonts w:cs="TimesNewRoman"/>
          <w:color w:val="000000"/>
          <w:szCs w:val="22"/>
          <w:lang w:val="en-US"/>
        </w:rPr>
      </w:r>
      <w:r w:rsidR="00E373A2">
        <w:rPr>
          <w:rFonts w:cs="TimesNewRoman"/>
          <w:color w:val="000000"/>
          <w:szCs w:val="22"/>
          <w:lang w:val="en-US"/>
        </w:rPr>
        <w:fldChar w:fldCharType="separate"/>
      </w:r>
      <w:r w:rsidR="009C068F">
        <w:t xml:space="preserve">Figure </w:t>
      </w:r>
      <w:r w:rsidR="009C068F">
        <w:rPr>
          <w:noProof/>
        </w:rPr>
        <w:t>6</w:t>
      </w:r>
      <w:r w:rsidR="00E373A2">
        <w:rPr>
          <w:rFonts w:cs="TimesNewRoman"/>
          <w:color w:val="000000"/>
          <w:szCs w:val="22"/>
          <w:lang w:val="en-US"/>
        </w:rPr>
        <w:fldChar w:fldCharType="end"/>
      </w:r>
      <w:r>
        <w:rPr>
          <w:rFonts w:cs="TimesNewRoman"/>
          <w:color w:val="000000"/>
          <w:szCs w:val="22"/>
          <w:lang w:val="en-US"/>
        </w:rPr>
        <w:t>) was the lowest since 2003, and almost four times lower than in 2011 (</w:t>
      </w:r>
      <w:hyperlink w:anchor="_ENREF_151" w:tooltip="Lønborg, 2015 #10475" w:history="1">
        <w:r w:rsidR="00E6043D">
          <w:rPr>
            <w:rFonts w:cs="TimesNewRoman"/>
            <w:color w:val="000000"/>
            <w:szCs w:val="22"/>
            <w:lang w:val="en-US"/>
          </w:rPr>
          <w:fldChar w:fldCharType="begin"/>
        </w:r>
        <w:r w:rsidR="00E6043D">
          <w:rPr>
            <w:rFonts w:cs="TimesNewRoman"/>
            <w:color w:val="000000"/>
            <w:szCs w:val="22"/>
            <w:lang w:val="en-US"/>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rFonts w:cs="TimesNewRoman"/>
            <w:color w:val="000000"/>
            <w:szCs w:val="22"/>
            <w:lang w:val="en-US"/>
          </w:rPr>
          <w:fldChar w:fldCharType="separate"/>
        </w:r>
        <w:r w:rsidR="00E6043D">
          <w:rPr>
            <w:rFonts w:cs="TimesNewRoman"/>
            <w:noProof/>
            <w:color w:val="000000"/>
            <w:szCs w:val="22"/>
            <w:lang w:val="en-US"/>
          </w:rPr>
          <w:t>Lønborg</w:t>
        </w:r>
        <w:r w:rsidR="00E6043D" w:rsidRPr="00D821F1">
          <w:rPr>
            <w:rFonts w:cs="TimesNewRoman"/>
            <w:i/>
            <w:noProof/>
            <w:color w:val="000000"/>
            <w:szCs w:val="22"/>
            <w:lang w:val="en-US"/>
          </w:rPr>
          <w:t>, et al.</w:t>
        </w:r>
        <w:r w:rsidR="00E6043D">
          <w:rPr>
            <w:rFonts w:cs="TimesNewRoman"/>
            <w:noProof/>
            <w:color w:val="000000"/>
            <w:szCs w:val="22"/>
            <w:lang w:val="en-US"/>
          </w:rPr>
          <w:t xml:space="preserve"> 2015</w:t>
        </w:r>
        <w:r w:rsidR="00E6043D">
          <w:rPr>
            <w:rFonts w:cs="TimesNewRoman"/>
            <w:color w:val="000000"/>
            <w:szCs w:val="22"/>
            <w:lang w:val="en-US"/>
          </w:rPr>
          <w:fldChar w:fldCharType="end"/>
        </w:r>
      </w:hyperlink>
      <w:r w:rsidR="00E373A2">
        <w:rPr>
          <w:rFonts w:cs="TimesNewRoman"/>
          <w:color w:val="000000"/>
          <w:szCs w:val="22"/>
          <w:lang w:val="en-US"/>
        </w:rPr>
        <w:t>).</w:t>
      </w:r>
    </w:p>
    <w:p w:rsidR="001472A4" w:rsidRDefault="001472A4" w:rsidP="00DC12FC">
      <w:pPr>
        <w:autoSpaceDE w:val="0"/>
        <w:autoSpaceDN w:val="0"/>
        <w:adjustRightInd w:val="0"/>
        <w:rPr>
          <w:rFonts w:cs="TimesNewRoman"/>
          <w:color w:val="000000"/>
          <w:szCs w:val="22"/>
          <w:lang w:val="en-US"/>
        </w:rPr>
      </w:pPr>
    </w:p>
    <w:p w:rsidR="001472A4" w:rsidRDefault="001472A4" w:rsidP="00DC12FC">
      <w:pPr>
        <w:autoSpaceDE w:val="0"/>
        <w:autoSpaceDN w:val="0"/>
        <w:adjustRightInd w:val="0"/>
        <w:rPr>
          <w:rFonts w:cs="TimesNewRoman"/>
          <w:color w:val="000000"/>
          <w:szCs w:val="22"/>
          <w:lang w:val="en-US"/>
        </w:rPr>
      </w:pPr>
    </w:p>
    <w:p w:rsidR="001472A4" w:rsidRDefault="001472A4" w:rsidP="00DC12FC">
      <w:pPr>
        <w:autoSpaceDE w:val="0"/>
        <w:autoSpaceDN w:val="0"/>
        <w:adjustRightInd w:val="0"/>
        <w:rPr>
          <w:rFonts w:cs="TimesNewRoman"/>
          <w:color w:val="000000"/>
          <w:szCs w:val="22"/>
          <w:lang w:val="en-US"/>
        </w:rPr>
      </w:pPr>
    </w:p>
    <w:p w:rsidR="001472A4" w:rsidRDefault="001472A4" w:rsidP="00DC12FC">
      <w:pPr>
        <w:autoSpaceDE w:val="0"/>
        <w:autoSpaceDN w:val="0"/>
        <w:adjustRightInd w:val="0"/>
        <w:rPr>
          <w:rFonts w:cs="TimesNewRoman"/>
          <w:color w:val="000000"/>
          <w:szCs w:val="22"/>
          <w:lang w:val="en-US"/>
        </w:rPr>
      </w:pPr>
    </w:p>
    <w:p w:rsidR="001472A4" w:rsidRDefault="001472A4" w:rsidP="00DC12FC">
      <w:pPr>
        <w:autoSpaceDE w:val="0"/>
        <w:autoSpaceDN w:val="0"/>
        <w:adjustRightInd w:val="0"/>
        <w:rPr>
          <w:rFonts w:cs="TimesNewRoman"/>
          <w:color w:val="000000"/>
          <w:szCs w:val="22"/>
          <w:lang w:val="en-US"/>
        </w:rPr>
      </w:pPr>
    </w:p>
    <w:p w:rsidR="001472A4" w:rsidRDefault="001472A4" w:rsidP="00DC12FC">
      <w:pPr>
        <w:autoSpaceDE w:val="0"/>
        <w:autoSpaceDN w:val="0"/>
        <w:adjustRightInd w:val="0"/>
        <w:rPr>
          <w:rFonts w:cs="TimesNewRoman"/>
          <w:color w:val="000000"/>
          <w:szCs w:val="22"/>
          <w:lang w:val="en-US"/>
        </w:rPr>
      </w:pPr>
    </w:p>
    <w:p w:rsidR="001472A4" w:rsidRDefault="001472A4" w:rsidP="00DC12FC">
      <w:pPr>
        <w:autoSpaceDE w:val="0"/>
        <w:autoSpaceDN w:val="0"/>
        <w:adjustRightInd w:val="0"/>
        <w:rPr>
          <w:rFonts w:cs="TimesNewRoman"/>
          <w:color w:val="000000"/>
          <w:szCs w:val="22"/>
          <w:lang w:val="en-US"/>
        </w:rPr>
      </w:pPr>
    </w:p>
    <w:p w:rsidR="001472A4" w:rsidRDefault="001472A4" w:rsidP="00DC12FC">
      <w:pPr>
        <w:autoSpaceDE w:val="0"/>
        <w:autoSpaceDN w:val="0"/>
        <w:adjustRightInd w:val="0"/>
        <w:rPr>
          <w:rFonts w:cs="TimesNewRoman"/>
          <w:color w:val="000000"/>
          <w:szCs w:val="22"/>
          <w:lang w:val="en-US"/>
        </w:rPr>
      </w:pPr>
    </w:p>
    <w:p w:rsidR="00665BC8" w:rsidRPr="00665BC8" w:rsidRDefault="00665BC8" w:rsidP="0084376A">
      <w:pPr>
        <w:pStyle w:val="Caption"/>
        <w:jc w:val="center"/>
        <w:rPr>
          <w:i/>
          <w:vanish/>
          <w:specVanish/>
        </w:rPr>
      </w:pPr>
      <w:bookmarkStart w:id="138" w:name="_Ref442465342"/>
      <w:bookmarkStart w:id="139" w:name="_Toc462685079"/>
      <w:r>
        <w:t xml:space="preserve">Table </w:t>
      </w:r>
      <w:r>
        <w:fldChar w:fldCharType="begin"/>
      </w:r>
      <w:r>
        <w:instrText xml:space="preserve"> SEQ Table \* ARABIC </w:instrText>
      </w:r>
      <w:r>
        <w:fldChar w:fldCharType="separate"/>
      </w:r>
      <w:r w:rsidR="009C068F">
        <w:rPr>
          <w:noProof/>
        </w:rPr>
        <w:t>10</w:t>
      </w:r>
      <w:r>
        <w:fldChar w:fldCharType="end"/>
      </w:r>
      <w:bookmarkEnd w:id="138"/>
      <w:r>
        <w:t xml:space="preserve">. </w:t>
      </w:r>
      <w:r w:rsidR="00170E90" w:rsidRPr="00665BC8">
        <w:rPr>
          <w:i/>
        </w:rPr>
        <w:t xml:space="preserve">Long term </w:t>
      </w:r>
      <w:r w:rsidR="00681546" w:rsidRPr="00665BC8">
        <w:rPr>
          <w:i/>
        </w:rPr>
        <w:t>annual</w:t>
      </w:r>
      <w:r w:rsidR="00170E90" w:rsidRPr="00665BC8">
        <w:rPr>
          <w:i/>
        </w:rPr>
        <w:t xml:space="preserve"> discharge (in </w:t>
      </w:r>
      <w:proofErr w:type="spellStart"/>
      <w:r w:rsidR="00170E90" w:rsidRPr="00665BC8">
        <w:rPr>
          <w:i/>
        </w:rPr>
        <w:t>megalitres</w:t>
      </w:r>
      <w:proofErr w:type="spellEnd"/>
      <w:r w:rsidR="00170E90" w:rsidRPr="00665BC8">
        <w:rPr>
          <w:i/>
        </w:rPr>
        <w:t xml:space="preserve">) for the major GBR </w:t>
      </w:r>
      <w:r w:rsidR="00681546" w:rsidRPr="00665BC8">
        <w:rPr>
          <w:i/>
        </w:rPr>
        <w:t>c</w:t>
      </w:r>
      <w:r w:rsidR="00170E90" w:rsidRPr="00665BC8">
        <w:rPr>
          <w:i/>
        </w:rPr>
        <w:t xml:space="preserve">atchment rivers in proximity to the inshore seagrass </w:t>
      </w:r>
      <w:r w:rsidR="00685BA0" w:rsidRPr="00665BC8">
        <w:rPr>
          <w:i/>
        </w:rPr>
        <w:t>monitoring</w:t>
      </w:r>
      <w:r w:rsidR="00170E90" w:rsidRPr="00665BC8">
        <w:rPr>
          <w:i/>
        </w:rPr>
        <w:t xml:space="preserve"> sites (where data available) for the 2014-15 wet season</w:t>
      </w:r>
      <w:bookmarkEnd w:id="139"/>
    </w:p>
    <w:p w:rsidR="00811ABE" w:rsidRPr="00665BC8" w:rsidRDefault="00170E90" w:rsidP="0084376A">
      <w:pPr>
        <w:pStyle w:val="Caption"/>
        <w:jc w:val="center"/>
        <w:rPr>
          <w:i/>
        </w:rPr>
      </w:pPr>
      <w:r w:rsidRPr="00665BC8">
        <w:rPr>
          <w:i/>
        </w:rPr>
        <w:t>(c.a., from Nov 1st to Apr 30th), compared against the previous wet seasons and long-term (LT) median. Colours indicate levels above LT median: yellow for 1.5 to 2 times; orange for 2 to 3 times, and red for greater than 3 times. Long term statistics were calculated based on the wet seasons from Nov 1st, 1949 to Apr 30th, 2000. (Data source: Queensland Department of Natural Resources and Mines on dnrm.qld.gov.au/water/water-monitoring-and-data/portal accessed 31 October 2014</w:t>
      </w:r>
      <w:r w:rsidR="00665BC8">
        <w:rPr>
          <w:i/>
        </w:rPr>
        <w:t>)</w:t>
      </w:r>
      <w:r w:rsidRPr="00665BC8">
        <w:rPr>
          <w:i/>
        </w:rPr>
        <w:t>.</w:t>
      </w:r>
      <w:r w:rsidR="00681546" w:rsidRPr="00665BC8">
        <w:rPr>
          <w:i/>
        </w:rPr>
        <w:t xml:space="preserve"> </w:t>
      </w:r>
      <w:r w:rsidR="00665BC8">
        <w:rPr>
          <w:i/>
        </w:rPr>
        <w:t>C</w:t>
      </w:r>
      <w:r w:rsidR="00681546" w:rsidRPr="00665BC8">
        <w:rPr>
          <w:i/>
        </w:rPr>
        <w:t>ompiled by Devlin et al In prep</w:t>
      </w:r>
    </w:p>
    <w:tbl>
      <w:tblPr>
        <w:tblW w:w="9873" w:type="dxa"/>
        <w:jc w:val="center"/>
        <w:tblLook w:val="04A0" w:firstRow="1" w:lastRow="0" w:firstColumn="1" w:lastColumn="0" w:noHBand="0" w:noVBand="1"/>
      </w:tblPr>
      <w:tblGrid>
        <w:gridCol w:w="1262"/>
        <w:gridCol w:w="854"/>
        <w:gridCol w:w="854"/>
        <w:gridCol w:w="854"/>
        <w:gridCol w:w="854"/>
        <w:gridCol w:w="854"/>
        <w:gridCol w:w="925"/>
        <w:gridCol w:w="854"/>
        <w:gridCol w:w="854"/>
        <w:gridCol w:w="854"/>
        <w:gridCol w:w="854"/>
      </w:tblGrid>
      <w:tr w:rsidR="00805748" w:rsidRPr="00805748" w:rsidTr="00E90FBD">
        <w:trPr>
          <w:jc w:val="center"/>
        </w:trPr>
        <w:tc>
          <w:tcPr>
            <w:tcW w:w="1262" w:type="dxa"/>
            <w:tcBorders>
              <w:top w:val="single" w:sz="4" w:space="0" w:color="auto"/>
              <w:bottom w:val="single" w:sz="4" w:space="0" w:color="auto"/>
            </w:tcBorders>
            <w:shd w:val="clear" w:color="auto" w:fill="BBE0E3"/>
            <w:vAlign w:val="center"/>
          </w:tcPr>
          <w:p w:rsidR="00805748" w:rsidRPr="00805748" w:rsidRDefault="00805748" w:rsidP="00DF79B7">
            <w:pPr>
              <w:autoSpaceDE w:val="0"/>
              <w:autoSpaceDN w:val="0"/>
              <w:adjustRightInd w:val="0"/>
              <w:spacing w:before="0" w:after="0"/>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River</w:t>
            </w:r>
          </w:p>
        </w:tc>
        <w:tc>
          <w:tcPr>
            <w:tcW w:w="854" w:type="dxa"/>
            <w:tcBorders>
              <w:top w:val="single" w:sz="4" w:space="0" w:color="auto"/>
              <w:bottom w:val="single" w:sz="4" w:space="0" w:color="auto"/>
            </w:tcBorders>
            <w:shd w:val="clear" w:color="auto" w:fill="BBE0E3"/>
            <w:vAlign w:val="center"/>
          </w:tcPr>
          <w:p w:rsidR="00DF79B7" w:rsidRDefault="00DF79B7" w:rsidP="00805748">
            <w:pPr>
              <w:autoSpaceDE w:val="0"/>
              <w:autoSpaceDN w:val="0"/>
              <w:adjustRightInd w:val="0"/>
              <w:spacing w:before="0" w:after="0"/>
              <w:jc w:val="center"/>
              <w:rPr>
                <w:rFonts w:asciiTheme="minorHAnsi" w:hAnsiTheme="minorHAnsi" w:cs="TimesNewRoman"/>
                <w:b/>
                <w:color w:val="000000"/>
                <w:sz w:val="16"/>
                <w:szCs w:val="16"/>
                <w:lang w:val="en-US"/>
              </w:rPr>
            </w:pPr>
            <w:r>
              <w:rPr>
                <w:rFonts w:asciiTheme="minorHAnsi" w:hAnsiTheme="minorHAnsi" w:cs="TimesNewRoman"/>
                <w:b/>
                <w:color w:val="000000"/>
                <w:sz w:val="16"/>
                <w:szCs w:val="16"/>
                <w:lang w:val="en-US"/>
              </w:rPr>
              <w:t>LT</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median</w:t>
            </w:r>
          </w:p>
        </w:tc>
        <w:tc>
          <w:tcPr>
            <w:tcW w:w="854" w:type="dxa"/>
            <w:tcBorders>
              <w:top w:val="single" w:sz="4" w:space="0" w:color="auto"/>
              <w:bottom w:val="single" w:sz="4" w:space="0" w:color="auto"/>
            </w:tcBorders>
            <w:shd w:val="clear" w:color="auto" w:fill="BBE0E3"/>
            <w:vAlign w:val="center"/>
          </w:tcPr>
          <w:p w:rsidR="00DF79B7"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2006‐</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2007</w:t>
            </w:r>
          </w:p>
        </w:tc>
        <w:tc>
          <w:tcPr>
            <w:tcW w:w="854" w:type="dxa"/>
            <w:tcBorders>
              <w:top w:val="single" w:sz="4" w:space="0" w:color="auto"/>
              <w:bottom w:val="single" w:sz="4" w:space="0" w:color="auto"/>
            </w:tcBorders>
            <w:shd w:val="clear" w:color="auto" w:fill="BBE0E3"/>
            <w:vAlign w:val="center"/>
          </w:tcPr>
          <w:p w:rsidR="00DF79B7"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2007‐</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2008</w:t>
            </w:r>
          </w:p>
        </w:tc>
        <w:tc>
          <w:tcPr>
            <w:tcW w:w="854" w:type="dxa"/>
            <w:tcBorders>
              <w:top w:val="single" w:sz="4" w:space="0" w:color="auto"/>
              <w:bottom w:val="single" w:sz="4" w:space="0" w:color="auto"/>
            </w:tcBorders>
            <w:shd w:val="clear" w:color="auto" w:fill="BBE0E3"/>
            <w:vAlign w:val="center"/>
          </w:tcPr>
          <w:p w:rsidR="00DF79B7"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2008‐</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2009</w:t>
            </w:r>
          </w:p>
        </w:tc>
        <w:tc>
          <w:tcPr>
            <w:tcW w:w="854" w:type="dxa"/>
            <w:tcBorders>
              <w:top w:val="single" w:sz="4" w:space="0" w:color="auto"/>
              <w:bottom w:val="single" w:sz="4" w:space="0" w:color="auto"/>
            </w:tcBorders>
            <w:shd w:val="clear" w:color="auto" w:fill="BBE0E3"/>
            <w:vAlign w:val="center"/>
          </w:tcPr>
          <w:p w:rsidR="00DF79B7"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2009‐</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2010</w:t>
            </w:r>
          </w:p>
        </w:tc>
        <w:tc>
          <w:tcPr>
            <w:tcW w:w="925" w:type="dxa"/>
            <w:tcBorders>
              <w:top w:val="single" w:sz="4" w:space="0" w:color="auto"/>
              <w:bottom w:val="single" w:sz="4" w:space="0" w:color="auto"/>
            </w:tcBorders>
            <w:shd w:val="clear" w:color="auto" w:fill="BBE0E3"/>
            <w:vAlign w:val="center"/>
          </w:tcPr>
          <w:p w:rsidR="00DF79B7"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2010‐</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2011</w:t>
            </w:r>
          </w:p>
        </w:tc>
        <w:tc>
          <w:tcPr>
            <w:tcW w:w="854" w:type="dxa"/>
            <w:tcBorders>
              <w:top w:val="single" w:sz="4" w:space="0" w:color="auto"/>
              <w:bottom w:val="single" w:sz="4" w:space="0" w:color="auto"/>
            </w:tcBorders>
            <w:shd w:val="clear" w:color="auto" w:fill="BBE0E3"/>
            <w:vAlign w:val="center"/>
          </w:tcPr>
          <w:p w:rsidR="00DF79B7"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2011‐</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2012</w:t>
            </w:r>
          </w:p>
        </w:tc>
        <w:tc>
          <w:tcPr>
            <w:tcW w:w="854" w:type="dxa"/>
            <w:tcBorders>
              <w:top w:val="single" w:sz="4" w:space="0" w:color="auto"/>
              <w:bottom w:val="single" w:sz="4" w:space="0" w:color="auto"/>
            </w:tcBorders>
            <w:shd w:val="clear" w:color="auto" w:fill="BBE0E3"/>
            <w:vAlign w:val="center"/>
          </w:tcPr>
          <w:p w:rsidR="00DF79B7"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2012‐</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2013</w:t>
            </w:r>
          </w:p>
        </w:tc>
        <w:tc>
          <w:tcPr>
            <w:tcW w:w="854" w:type="dxa"/>
            <w:tcBorders>
              <w:top w:val="single" w:sz="4" w:space="0" w:color="auto"/>
              <w:bottom w:val="single" w:sz="4" w:space="0" w:color="auto"/>
            </w:tcBorders>
            <w:shd w:val="clear" w:color="auto" w:fill="BBE0E3"/>
            <w:vAlign w:val="center"/>
          </w:tcPr>
          <w:p w:rsidR="00DF79B7"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2013‐</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2014</w:t>
            </w:r>
          </w:p>
        </w:tc>
        <w:tc>
          <w:tcPr>
            <w:tcW w:w="854" w:type="dxa"/>
            <w:tcBorders>
              <w:top w:val="single" w:sz="4" w:space="0" w:color="auto"/>
              <w:bottom w:val="single" w:sz="4" w:space="0" w:color="auto"/>
            </w:tcBorders>
            <w:shd w:val="clear" w:color="auto" w:fill="BBE0E3"/>
            <w:vAlign w:val="center"/>
          </w:tcPr>
          <w:p w:rsidR="00DF79B7"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2014‐</w:t>
            </w:r>
          </w:p>
          <w:p w:rsidR="00805748" w:rsidRPr="00805748" w:rsidRDefault="00805748" w:rsidP="00805748">
            <w:pPr>
              <w:autoSpaceDE w:val="0"/>
              <w:autoSpaceDN w:val="0"/>
              <w:adjustRightInd w:val="0"/>
              <w:spacing w:before="0" w:after="0"/>
              <w:jc w:val="center"/>
              <w:rPr>
                <w:rFonts w:asciiTheme="minorHAnsi" w:hAnsiTheme="minorHAnsi" w:cs="TimesNewRoman"/>
                <w:b/>
                <w:color w:val="000000"/>
                <w:sz w:val="16"/>
                <w:szCs w:val="16"/>
                <w:lang w:val="en-US"/>
              </w:rPr>
            </w:pPr>
            <w:r w:rsidRPr="00805748">
              <w:rPr>
                <w:rFonts w:asciiTheme="minorHAnsi" w:hAnsiTheme="minorHAnsi" w:cs="TimesNewRoman"/>
                <w:b/>
                <w:color w:val="000000"/>
                <w:sz w:val="16"/>
                <w:szCs w:val="16"/>
                <w:lang w:val="en-US"/>
              </w:rPr>
              <w:t>2015</w:t>
            </w:r>
          </w:p>
        </w:tc>
      </w:tr>
      <w:tr w:rsidR="00805748" w:rsidRPr="00805748" w:rsidTr="00E90FBD">
        <w:trPr>
          <w:jc w:val="center"/>
        </w:trPr>
        <w:tc>
          <w:tcPr>
            <w:tcW w:w="1262" w:type="dxa"/>
            <w:tcBorders>
              <w:top w:val="single" w:sz="4" w:space="0" w:color="auto"/>
            </w:tcBorders>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Pascoe</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3,758,926</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1,904,267</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1,984,563</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1,909,050</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4,604,083</w:t>
            </w:r>
          </w:p>
        </w:tc>
        <w:tc>
          <w:tcPr>
            <w:tcW w:w="925" w:type="dxa"/>
            <w:tcBorders>
              <w:top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5,918,996</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2,275,527</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2,483,531</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4,738,541</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1,872,672</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Stewart</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1,261,346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1,002,841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576,106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655,502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1,093,462</w:t>
            </w:r>
          </w:p>
        </w:tc>
        <w:tc>
          <w:tcPr>
            <w:tcW w:w="925"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2,180,850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616,070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523,353</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1,311,775</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298,816</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proofErr w:type="spellStart"/>
            <w:r w:rsidRPr="00805748">
              <w:rPr>
                <w:rFonts w:asciiTheme="minorHAnsi" w:hAnsiTheme="minorHAnsi" w:cs="TimesNewRoman"/>
                <w:color w:val="000000"/>
                <w:sz w:val="14"/>
                <w:szCs w:val="14"/>
                <w:lang w:val="en-US"/>
              </w:rPr>
              <w:t>Normanby</w:t>
            </w:r>
            <w:proofErr w:type="spellEnd"/>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4,311,761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3,311,243</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6,930,433</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4,457,729</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5,597,116</w:t>
            </w:r>
          </w:p>
        </w:tc>
        <w:tc>
          <w:tcPr>
            <w:tcW w:w="925"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11,333,284</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2,181,990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3,462,238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5,059,657</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2,914,859</w:t>
            </w:r>
          </w:p>
        </w:tc>
      </w:tr>
      <w:tr w:rsidR="00685BA0" w:rsidRPr="00685BA0" w:rsidTr="00E90FBD">
        <w:trPr>
          <w:jc w:val="center"/>
        </w:trPr>
        <w:tc>
          <w:tcPr>
            <w:tcW w:w="1262" w:type="dxa"/>
            <w:tcBorders>
              <w:bottom w:val="single" w:sz="4" w:space="0" w:color="auto"/>
            </w:tcBorders>
            <w:vAlign w:val="center"/>
          </w:tcPr>
          <w:p w:rsidR="00685BA0" w:rsidRPr="00805748" w:rsidRDefault="00685BA0" w:rsidP="00685BA0">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Annan</w:t>
            </w:r>
          </w:p>
        </w:tc>
        <w:tc>
          <w:tcPr>
            <w:tcW w:w="854" w:type="dxa"/>
            <w:tcBorders>
              <w:bottom w:val="single" w:sz="4" w:space="0" w:color="auto"/>
            </w:tcBorders>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233,451</w:t>
            </w:r>
          </w:p>
        </w:tc>
        <w:tc>
          <w:tcPr>
            <w:tcW w:w="854" w:type="dxa"/>
            <w:tcBorders>
              <w:bottom w:val="single" w:sz="4" w:space="0" w:color="auto"/>
            </w:tcBorders>
            <w:shd w:val="clear" w:color="auto" w:fill="auto"/>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158,463</w:t>
            </w:r>
          </w:p>
        </w:tc>
        <w:tc>
          <w:tcPr>
            <w:tcW w:w="854" w:type="dxa"/>
            <w:tcBorders>
              <w:bottom w:val="single" w:sz="4" w:space="0" w:color="auto"/>
            </w:tcBorders>
            <w:shd w:val="clear" w:color="auto" w:fill="auto"/>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302,826</w:t>
            </w:r>
          </w:p>
        </w:tc>
        <w:tc>
          <w:tcPr>
            <w:tcW w:w="854" w:type="dxa"/>
            <w:tcBorders>
              <w:bottom w:val="single" w:sz="4" w:space="0" w:color="auto"/>
            </w:tcBorders>
            <w:shd w:val="clear" w:color="auto" w:fill="auto"/>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139,788</w:t>
            </w:r>
          </w:p>
        </w:tc>
        <w:tc>
          <w:tcPr>
            <w:tcW w:w="854" w:type="dxa"/>
            <w:tcBorders>
              <w:bottom w:val="single" w:sz="4" w:space="0" w:color="auto"/>
            </w:tcBorders>
            <w:shd w:val="clear" w:color="auto" w:fill="auto"/>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321,352</w:t>
            </w:r>
          </w:p>
        </w:tc>
        <w:tc>
          <w:tcPr>
            <w:tcW w:w="925" w:type="dxa"/>
            <w:tcBorders>
              <w:bottom w:val="single" w:sz="4" w:space="0" w:color="auto"/>
            </w:tcBorders>
            <w:shd w:val="clear" w:color="auto" w:fill="FFC000"/>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485,961</w:t>
            </w:r>
          </w:p>
        </w:tc>
        <w:tc>
          <w:tcPr>
            <w:tcW w:w="854" w:type="dxa"/>
            <w:tcBorders>
              <w:bottom w:val="single" w:sz="4" w:space="0" w:color="auto"/>
            </w:tcBorders>
            <w:shd w:val="clear" w:color="auto" w:fill="auto"/>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266,463</w:t>
            </w:r>
          </w:p>
        </w:tc>
        <w:tc>
          <w:tcPr>
            <w:tcW w:w="854" w:type="dxa"/>
            <w:tcBorders>
              <w:bottom w:val="single" w:sz="4" w:space="0" w:color="auto"/>
            </w:tcBorders>
            <w:shd w:val="clear" w:color="auto" w:fill="auto"/>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129,571</w:t>
            </w:r>
          </w:p>
        </w:tc>
        <w:tc>
          <w:tcPr>
            <w:tcW w:w="854" w:type="dxa"/>
            <w:tcBorders>
              <w:bottom w:val="single" w:sz="4" w:space="0" w:color="auto"/>
            </w:tcBorders>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194,612</w:t>
            </w:r>
          </w:p>
        </w:tc>
        <w:tc>
          <w:tcPr>
            <w:tcW w:w="854" w:type="dxa"/>
            <w:tcBorders>
              <w:bottom w:val="single" w:sz="4" w:space="0" w:color="auto"/>
            </w:tcBorders>
            <w:vAlign w:val="center"/>
          </w:tcPr>
          <w:p w:rsidR="00685BA0" w:rsidRPr="00685BA0" w:rsidRDefault="00685BA0" w:rsidP="00685BA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685BA0">
              <w:rPr>
                <w:rFonts w:asciiTheme="minorHAnsi" w:hAnsiTheme="minorHAnsi" w:cs="TimesNewRoman"/>
                <w:color w:val="000000"/>
                <w:sz w:val="14"/>
                <w:szCs w:val="14"/>
                <w:lang w:val="en-US"/>
              </w:rPr>
              <w:t>246,939</w:t>
            </w:r>
          </w:p>
        </w:tc>
      </w:tr>
      <w:tr w:rsidR="00805748" w:rsidRPr="00805748" w:rsidTr="00E90FBD">
        <w:trPr>
          <w:jc w:val="center"/>
        </w:trPr>
        <w:tc>
          <w:tcPr>
            <w:tcW w:w="1262" w:type="dxa"/>
            <w:tcBorders>
              <w:top w:val="single" w:sz="4" w:space="0" w:color="auto"/>
            </w:tcBorders>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proofErr w:type="spellStart"/>
            <w:r w:rsidRPr="00805748">
              <w:rPr>
                <w:rFonts w:asciiTheme="minorHAnsi" w:hAnsiTheme="minorHAnsi" w:cs="TimesNewRoman"/>
                <w:color w:val="000000"/>
                <w:sz w:val="14"/>
                <w:szCs w:val="14"/>
                <w:lang w:val="en-US"/>
              </w:rPr>
              <w:t>Daintree</w:t>
            </w:r>
            <w:proofErr w:type="spellEnd"/>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1,674,105</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1,644,938</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2,009,497</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1,474,320</w:t>
            </w:r>
          </w:p>
        </w:tc>
        <w:tc>
          <w:tcPr>
            <w:tcW w:w="854" w:type="dxa"/>
            <w:tcBorders>
              <w:top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2,797,531</w:t>
            </w:r>
          </w:p>
        </w:tc>
        <w:tc>
          <w:tcPr>
            <w:tcW w:w="925" w:type="dxa"/>
            <w:tcBorders>
              <w:top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3,772,451</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2,297,034</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1,598,789</w:t>
            </w:r>
          </w:p>
        </w:tc>
        <w:tc>
          <w:tcPr>
            <w:tcW w:w="854" w:type="dxa"/>
            <w:tcBorders>
              <w:top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4,922,980</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1,825,840</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Mossman</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1,117,106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1,218,895</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1,337,663</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1,063,358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1,616,590</w:t>
            </w:r>
          </w:p>
        </w:tc>
        <w:tc>
          <w:tcPr>
            <w:tcW w:w="925"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2,014,902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1,526,184</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1,147,367</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1,918,522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874,068</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Barron</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582,000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454,661</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1,767,598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849,997</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550,257</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2,119,801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852,055</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328,260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663,966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380,395</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Russell‐Mulgrave</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3,571,695</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3,619,673</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4,747,091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3,621,368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3,788,476</w:t>
            </w:r>
          </w:p>
        </w:tc>
        <w:tc>
          <w:tcPr>
            <w:tcW w:w="925"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7,686,876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5,307,153</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2,795,035</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4,548,469</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2,933,026</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Johnstone</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8,747,438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10,321,785</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9,254,951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10,826,942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8,792,076</w:t>
            </w:r>
          </w:p>
        </w:tc>
        <w:tc>
          <w:tcPr>
            <w:tcW w:w="925"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18,204,766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10,523,254</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7,108,439</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10,286,870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5,587,911</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Tully</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3,532,821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4,738,947</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3,834,178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4,308,192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3,581,372</w:t>
            </w:r>
          </w:p>
        </w:tc>
        <w:tc>
          <w:tcPr>
            <w:tcW w:w="925"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7,442,768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3,425,096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3,341,887</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4,322,496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2,659,775</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Murray</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1,048,599</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1,353,402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1,271,771</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1,893,451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961,533</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4,267,125</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2,062,103</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1,006,286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1,531,172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366,212</w:t>
            </w:r>
          </w:p>
        </w:tc>
      </w:tr>
      <w:tr w:rsidR="00805748" w:rsidRPr="00805748" w:rsidTr="00E90FBD">
        <w:trPr>
          <w:jc w:val="center"/>
        </w:trPr>
        <w:tc>
          <w:tcPr>
            <w:tcW w:w="1262" w:type="dxa"/>
            <w:tcBorders>
              <w:bottom w:val="single" w:sz="4" w:space="0" w:color="auto"/>
            </w:tcBorders>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Herbert</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3,345,584</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4,384,322</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3,671,428</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10,329,363</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3,478,592</w:t>
            </w:r>
          </w:p>
        </w:tc>
        <w:tc>
          <w:tcPr>
            <w:tcW w:w="925"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12,593,674</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4,545,193</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3,189,804</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4,281,607</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1,095,372</w:t>
            </w:r>
          </w:p>
        </w:tc>
      </w:tr>
      <w:tr w:rsidR="00805748" w:rsidRPr="00805748" w:rsidTr="00E90FBD">
        <w:trPr>
          <w:jc w:val="center"/>
        </w:trPr>
        <w:tc>
          <w:tcPr>
            <w:tcW w:w="1262" w:type="dxa"/>
            <w:tcBorders>
              <w:top w:val="single" w:sz="4" w:space="0" w:color="auto"/>
            </w:tcBorders>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Black</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319,427</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974,687</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1,264,706</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2,093,840</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1,045,240</w:t>
            </w:r>
          </w:p>
        </w:tc>
        <w:tc>
          <w:tcPr>
            <w:tcW w:w="925"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2,431,703</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1,275,927</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321,774</w:t>
            </w:r>
          </w:p>
        </w:tc>
        <w:tc>
          <w:tcPr>
            <w:tcW w:w="854" w:type="dxa"/>
            <w:tcBorders>
              <w:top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715,861</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30,141</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proofErr w:type="spellStart"/>
            <w:r w:rsidRPr="00805748">
              <w:rPr>
                <w:rFonts w:asciiTheme="minorHAnsi" w:hAnsiTheme="minorHAnsi" w:cs="TimesNewRoman"/>
                <w:color w:val="000000"/>
                <w:sz w:val="14"/>
                <w:szCs w:val="14"/>
                <w:lang w:val="en-US"/>
              </w:rPr>
              <w:t>Bohle</w:t>
            </w:r>
            <w:proofErr w:type="spellEnd"/>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182,256</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1,158,781</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1,380,736</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1,985,663</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1,248,524</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2,092,684</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1,324,707</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276,584</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1,177,255</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Haughton</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444,761</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1,343,344</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1,853,345</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2,561,844</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1,148,893</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2,415,758</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1,755,712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517,069</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573,976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120,674</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Burdekin</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5,312,986</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9,768,935</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27,502,710</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29,352,391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7,946,435</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34,834,316</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15,568,159</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3,424,572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1,458,772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880,951</w:t>
            </w:r>
          </w:p>
        </w:tc>
      </w:tr>
      <w:tr w:rsidR="00805748" w:rsidRPr="00805748" w:rsidTr="00E90FBD">
        <w:trPr>
          <w:jc w:val="center"/>
        </w:trPr>
        <w:tc>
          <w:tcPr>
            <w:tcW w:w="1262" w:type="dxa"/>
            <w:tcBorders>
              <w:bottom w:val="single" w:sz="4" w:space="0" w:color="auto"/>
            </w:tcBorders>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Don</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189,598</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610,112</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1,707,903</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907,810</w:t>
            </w:r>
          </w:p>
        </w:tc>
        <w:tc>
          <w:tcPr>
            <w:tcW w:w="854" w:type="dxa"/>
            <w:tcBorders>
              <w:bottom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534,581</w:t>
            </w:r>
          </w:p>
        </w:tc>
        <w:tc>
          <w:tcPr>
            <w:tcW w:w="925"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3,136,184</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802,738</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578,391</w:t>
            </w:r>
          </w:p>
        </w:tc>
        <w:tc>
          <w:tcPr>
            <w:tcW w:w="854" w:type="dxa"/>
            <w:tcBorders>
              <w:bottom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324,120</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171,305</w:t>
            </w:r>
          </w:p>
        </w:tc>
      </w:tr>
      <w:tr w:rsidR="00805748" w:rsidRPr="00805748" w:rsidTr="00E90FBD">
        <w:trPr>
          <w:jc w:val="center"/>
        </w:trPr>
        <w:tc>
          <w:tcPr>
            <w:tcW w:w="1262" w:type="dxa"/>
            <w:tcBorders>
              <w:top w:val="single" w:sz="4" w:space="0" w:color="auto"/>
            </w:tcBorders>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Proserpine</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100,962</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308,713</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527,688</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452,517</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360,895</w:t>
            </w:r>
          </w:p>
        </w:tc>
        <w:tc>
          <w:tcPr>
            <w:tcW w:w="925"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2,389,111</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358,294</w:t>
            </w:r>
          </w:p>
        </w:tc>
        <w:tc>
          <w:tcPr>
            <w:tcW w:w="854" w:type="dxa"/>
            <w:tcBorders>
              <w:top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258,887</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24,437</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O</w:t>
            </w:r>
            <w:r>
              <w:rPr>
                <w:rFonts w:asciiTheme="minorHAnsi" w:hAnsiTheme="minorHAnsi" w:cs="TimesNewRoman"/>
                <w:color w:val="000000"/>
                <w:sz w:val="14"/>
                <w:szCs w:val="14"/>
                <w:lang w:val="en-US"/>
              </w:rPr>
              <w:t>’C</w:t>
            </w:r>
            <w:r w:rsidRPr="00805748">
              <w:rPr>
                <w:rFonts w:asciiTheme="minorHAnsi" w:hAnsiTheme="minorHAnsi" w:cs="TimesNewRoman"/>
                <w:color w:val="000000"/>
                <w:sz w:val="14"/>
                <w:szCs w:val="14"/>
                <w:lang w:val="en-US"/>
              </w:rPr>
              <w:t>onnell</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1,055,516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1,288,415</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1,796,073</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1,338,245</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2,293,392</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4,112,676</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1,948,591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764,170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646,537</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141,008</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Pioneer</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391,142</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980,774</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1,507,449</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997,098</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1,575,469</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3,630,422</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1,567,684</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1,162,871</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635,315</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2,028,936</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Sandy</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919,275</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1,305,970</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2,852,589</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1,478,753</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2,932,049</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4,809,239</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2,854,703</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1,948,929</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737,580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241,254</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Waterpark</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781,523</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294,909</w:t>
            </w:r>
          </w:p>
        </w:tc>
        <w:tc>
          <w:tcPr>
            <w:tcW w:w="854" w:type="dxa"/>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1,397,756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550,135</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1,595,833</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2,718,432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825,657</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2,904,319</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1,632,466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1,128,027</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Fitzroy</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3,071,435</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1,038,555</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12,410,891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2,002,101</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11,755,415</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37,942,149</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7,993,273</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8,530,491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1,578,610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2,681,949</w:t>
            </w:r>
          </w:p>
        </w:tc>
      </w:tr>
      <w:tr w:rsidR="00805748" w:rsidRPr="00805748" w:rsidTr="00E90FBD">
        <w:trPr>
          <w:jc w:val="center"/>
        </w:trPr>
        <w:tc>
          <w:tcPr>
            <w:tcW w:w="1262" w:type="dxa"/>
            <w:tcBorders>
              <w:bottom w:val="single" w:sz="4" w:space="0" w:color="auto"/>
            </w:tcBorders>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Calliope</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161,029</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4,679</w:t>
            </w:r>
          </w:p>
        </w:tc>
        <w:tc>
          <w:tcPr>
            <w:tcW w:w="854" w:type="dxa"/>
            <w:tcBorders>
              <w:bottom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315,044</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137,805</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520,524</w:t>
            </w:r>
          </w:p>
        </w:tc>
        <w:tc>
          <w:tcPr>
            <w:tcW w:w="925"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1,000,032</w:t>
            </w:r>
          </w:p>
        </w:tc>
        <w:tc>
          <w:tcPr>
            <w:tcW w:w="854" w:type="dxa"/>
            <w:tcBorders>
              <w:bottom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345,703</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1,558,380</w:t>
            </w:r>
          </w:p>
        </w:tc>
        <w:tc>
          <w:tcPr>
            <w:tcW w:w="854" w:type="dxa"/>
            <w:tcBorders>
              <w:bottom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283,790</w:t>
            </w:r>
          </w:p>
        </w:tc>
        <w:tc>
          <w:tcPr>
            <w:tcW w:w="854" w:type="dxa"/>
            <w:tcBorders>
              <w:bottom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479,868</w:t>
            </w:r>
          </w:p>
        </w:tc>
      </w:tr>
      <w:tr w:rsidR="00805748" w:rsidRPr="00805748" w:rsidTr="00E90FBD">
        <w:trPr>
          <w:jc w:val="center"/>
        </w:trPr>
        <w:tc>
          <w:tcPr>
            <w:tcW w:w="1262" w:type="dxa"/>
            <w:tcBorders>
              <w:top w:val="single" w:sz="4" w:space="0" w:color="auto"/>
            </w:tcBorders>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Baffle</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510,378</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10,310</w:t>
            </w:r>
          </w:p>
        </w:tc>
        <w:tc>
          <w:tcPr>
            <w:tcW w:w="854" w:type="dxa"/>
            <w:tcBorders>
              <w:top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1,297,575</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325,702</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2,132,966</w:t>
            </w:r>
          </w:p>
        </w:tc>
        <w:tc>
          <w:tcPr>
            <w:tcW w:w="925"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3,650,093</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1,775,749</w:t>
            </w:r>
          </w:p>
        </w:tc>
        <w:tc>
          <w:tcPr>
            <w:tcW w:w="854" w:type="dxa"/>
            <w:tcBorders>
              <w:top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2,030,545</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275,517</w:t>
            </w:r>
          </w:p>
        </w:tc>
        <w:tc>
          <w:tcPr>
            <w:tcW w:w="854" w:type="dxa"/>
            <w:tcBorders>
              <w:top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710,352</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proofErr w:type="spellStart"/>
            <w:r w:rsidRPr="00805748">
              <w:rPr>
                <w:rFonts w:asciiTheme="minorHAnsi" w:hAnsiTheme="minorHAnsi" w:cs="TimesNewRoman"/>
                <w:color w:val="000000"/>
                <w:sz w:val="14"/>
                <w:szCs w:val="14"/>
                <w:lang w:val="en-US"/>
              </w:rPr>
              <w:t>Kolan</w:t>
            </w:r>
            <w:proofErr w:type="spellEnd"/>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64,222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102,198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4,090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289,107</w:t>
            </w:r>
          </w:p>
        </w:tc>
        <w:tc>
          <w:tcPr>
            <w:tcW w:w="925"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779,168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307,837</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810,411</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45,304</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213,857</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Burnett</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310,366</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32,868</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18,369</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27,012</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1,125,102</w:t>
            </w:r>
          </w:p>
        </w:tc>
        <w:tc>
          <w:tcPr>
            <w:tcW w:w="925"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9,421,517</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64</w:t>
            </w:r>
            <w:r w:rsidRPr="00A46062">
              <w:rPr>
                <w:rFonts w:asciiTheme="minorHAnsi" w:hAnsiTheme="minorHAnsi" w:cs="TimesNewRoman"/>
                <w:color w:val="000000"/>
                <w:sz w:val="14"/>
                <w:szCs w:val="14"/>
                <w:shd w:val="clear" w:color="auto" w:fill="FFC000"/>
                <w:lang w:val="en-US"/>
              </w:rPr>
              <w:t>3</w:t>
            </w:r>
            <w:r w:rsidRPr="00805748">
              <w:rPr>
                <w:rFonts w:asciiTheme="minorHAnsi" w:hAnsiTheme="minorHAnsi" w:cs="TimesNewRoman"/>
                <w:color w:val="000000"/>
                <w:sz w:val="14"/>
                <w:szCs w:val="14"/>
                <w:lang w:val="en-US"/>
              </w:rPr>
              <w:t>,137</w:t>
            </w:r>
          </w:p>
        </w:tc>
        <w:tc>
          <w:tcPr>
            <w:tcW w:w="854" w:type="dxa"/>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7,581,543</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218,087</w:t>
            </w:r>
          </w:p>
        </w:tc>
        <w:tc>
          <w:tcPr>
            <w:tcW w:w="854" w:type="dxa"/>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853,349</w:t>
            </w:r>
          </w:p>
        </w:tc>
      </w:tr>
      <w:tr w:rsidR="00805748" w:rsidRPr="00805748" w:rsidTr="00E90FBD">
        <w:trPr>
          <w:jc w:val="center"/>
        </w:trPr>
        <w:tc>
          <w:tcPr>
            <w:tcW w:w="1262" w:type="dxa"/>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proofErr w:type="spellStart"/>
            <w:r w:rsidRPr="00805748">
              <w:rPr>
                <w:rFonts w:asciiTheme="minorHAnsi" w:hAnsiTheme="minorHAnsi" w:cs="TimesNewRoman"/>
                <w:color w:val="000000"/>
                <w:sz w:val="14"/>
                <w:szCs w:val="14"/>
                <w:lang w:val="en-US"/>
              </w:rPr>
              <w:t>Burrum</w:t>
            </w:r>
            <w:proofErr w:type="spellEnd"/>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59,577</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p>
        </w:tc>
        <w:tc>
          <w:tcPr>
            <w:tcW w:w="925"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0</w:t>
            </w:r>
          </w:p>
        </w:tc>
        <w:tc>
          <w:tcPr>
            <w:tcW w:w="854" w:type="dxa"/>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p>
        </w:tc>
      </w:tr>
      <w:tr w:rsidR="00805748" w:rsidRPr="00805748" w:rsidTr="00E90FBD">
        <w:trPr>
          <w:jc w:val="center"/>
        </w:trPr>
        <w:tc>
          <w:tcPr>
            <w:tcW w:w="1262" w:type="dxa"/>
            <w:tcBorders>
              <w:bottom w:val="single" w:sz="4" w:space="0" w:color="auto"/>
            </w:tcBorders>
            <w:vAlign w:val="center"/>
          </w:tcPr>
          <w:p w:rsidR="00805748" w:rsidRPr="00805748" w:rsidRDefault="00805748" w:rsidP="00805748">
            <w:pPr>
              <w:autoSpaceDE w:val="0"/>
              <w:autoSpaceDN w:val="0"/>
              <w:adjustRightInd w:val="0"/>
              <w:spacing w:before="0" w:after="0" w:line="200" w:lineRule="exac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Mary</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975,227</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621,459</w:t>
            </w:r>
          </w:p>
        </w:tc>
        <w:tc>
          <w:tcPr>
            <w:tcW w:w="854" w:type="dxa"/>
            <w:tcBorders>
              <w:bottom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2,146,131</w:t>
            </w:r>
          </w:p>
        </w:tc>
        <w:tc>
          <w:tcPr>
            <w:tcW w:w="854" w:type="dxa"/>
            <w:tcBorders>
              <w:bottom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1,493,129</w:t>
            </w:r>
          </w:p>
        </w:tc>
        <w:tc>
          <w:tcPr>
            <w:tcW w:w="854" w:type="dxa"/>
            <w:tcBorders>
              <w:bottom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2,696,672</w:t>
            </w:r>
          </w:p>
        </w:tc>
        <w:tc>
          <w:tcPr>
            <w:tcW w:w="925"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8,719,106</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4,340,275</w:t>
            </w:r>
          </w:p>
        </w:tc>
        <w:tc>
          <w:tcPr>
            <w:tcW w:w="854" w:type="dxa"/>
            <w:tcBorders>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7,654,320</w:t>
            </w:r>
          </w:p>
        </w:tc>
        <w:tc>
          <w:tcPr>
            <w:tcW w:w="854" w:type="dxa"/>
            <w:tcBorders>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594,612</w:t>
            </w:r>
          </w:p>
        </w:tc>
        <w:tc>
          <w:tcPr>
            <w:tcW w:w="854" w:type="dxa"/>
            <w:tcBorders>
              <w:bottom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1,651,901</w:t>
            </w:r>
          </w:p>
        </w:tc>
      </w:tr>
      <w:tr w:rsidR="00805748" w:rsidRPr="00805748" w:rsidTr="00E90FBD">
        <w:trPr>
          <w:jc w:val="center"/>
        </w:trPr>
        <w:tc>
          <w:tcPr>
            <w:tcW w:w="1262" w:type="dxa"/>
            <w:tcBorders>
              <w:top w:val="single" w:sz="4" w:space="0" w:color="auto"/>
              <w:bottom w:val="single" w:sz="4" w:space="0" w:color="auto"/>
            </w:tcBorders>
            <w:vAlign w:val="center"/>
          </w:tcPr>
          <w:p w:rsidR="00805748" w:rsidRPr="00DF79B7" w:rsidRDefault="00805748" w:rsidP="00805748">
            <w:pPr>
              <w:autoSpaceDE w:val="0"/>
              <w:autoSpaceDN w:val="0"/>
              <w:adjustRightInd w:val="0"/>
              <w:spacing w:before="0" w:after="0" w:line="200" w:lineRule="exact"/>
              <w:rPr>
                <w:rFonts w:asciiTheme="minorHAnsi" w:hAnsiTheme="minorHAnsi" w:cs="TimesNewRoman"/>
                <w:b/>
                <w:color w:val="000000"/>
                <w:sz w:val="14"/>
                <w:szCs w:val="14"/>
                <w:lang w:val="en-US"/>
              </w:rPr>
            </w:pPr>
            <w:r w:rsidRPr="00DF79B7">
              <w:rPr>
                <w:rFonts w:asciiTheme="minorHAnsi" w:hAnsiTheme="minorHAnsi" w:cs="TimesNewRoman"/>
                <w:b/>
                <w:color w:val="000000"/>
                <w:sz w:val="14"/>
                <w:szCs w:val="14"/>
                <w:lang w:val="en-US"/>
              </w:rPr>
              <w:t>GBR total</w:t>
            </w:r>
          </w:p>
          <w:p w:rsidR="00805748" w:rsidRPr="00DF79B7" w:rsidRDefault="00805748" w:rsidP="00805748">
            <w:pPr>
              <w:autoSpaceDE w:val="0"/>
              <w:autoSpaceDN w:val="0"/>
              <w:adjustRightInd w:val="0"/>
              <w:spacing w:before="0" w:after="0" w:line="200" w:lineRule="exact"/>
              <w:rPr>
                <w:rFonts w:asciiTheme="minorHAnsi" w:hAnsiTheme="minorHAnsi" w:cs="TimesNewRoman"/>
                <w:b/>
                <w:color w:val="000000"/>
                <w:sz w:val="14"/>
                <w:szCs w:val="14"/>
                <w:lang w:val="en-US"/>
              </w:rPr>
            </w:pPr>
            <w:r w:rsidRPr="00DF79B7">
              <w:rPr>
                <w:rFonts w:asciiTheme="minorHAnsi" w:hAnsiTheme="minorHAnsi" w:cs="TimesNewRoman"/>
                <w:b/>
                <w:color w:val="000000"/>
                <w:sz w:val="14"/>
                <w:szCs w:val="14"/>
                <w:lang w:val="en-US"/>
              </w:rPr>
              <w:t>(from 1970)</w:t>
            </w:r>
          </w:p>
        </w:tc>
        <w:tc>
          <w:tcPr>
            <w:tcW w:w="854" w:type="dxa"/>
            <w:tcBorders>
              <w:top w:val="single" w:sz="4" w:space="0" w:color="auto"/>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45,351,450</w:t>
            </w:r>
          </w:p>
        </w:tc>
        <w:tc>
          <w:tcPr>
            <w:tcW w:w="854" w:type="dxa"/>
            <w:tcBorders>
              <w:top w:val="single" w:sz="4" w:space="0" w:color="auto"/>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54,223,017</w:t>
            </w:r>
          </w:p>
        </w:tc>
        <w:tc>
          <w:tcPr>
            <w:tcW w:w="854" w:type="dxa"/>
            <w:tcBorders>
              <w:top w:val="single" w:sz="4" w:space="0" w:color="auto"/>
              <w:bottom w:val="single" w:sz="4" w:space="0" w:color="auto"/>
            </w:tcBorders>
            <w:shd w:val="clear" w:color="auto" w:fill="FFC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96,620,400</w:t>
            </w:r>
          </w:p>
        </w:tc>
        <w:tc>
          <w:tcPr>
            <w:tcW w:w="854" w:type="dxa"/>
            <w:tcBorders>
              <w:top w:val="single" w:sz="4" w:space="0" w:color="auto"/>
              <w:bottom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87,807,344</w:t>
            </w:r>
          </w:p>
        </w:tc>
        <w:tc>
          <w:tcPr>
            <w:tcW w:w="854" w:type="dxa"/>
            <w:tcBorders>
              <w:top w:val="single" w:sz="4" w:space="0" w:color="auto"/>
              <w:bottom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77,634,356</w:t>
            </w:r>
          </w:p>
        </w:tc>
        <w:tc>
          <w:tcPr>
            <w:tcW w:w="925" w:type="dxa"/>
            <w:tcBorders>
              <w:top w:val="single" w:sz="4" w:space="0" w:color="auto"/>
              <w:bottom w:val="single" w:sz="4" w:space="0" w:color="auto"/>
            </w:tcBorders>
            <w:shd w:val="clear" w:color="auto" w:fill="FF00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203,454,214</w:t>
            </w:r>
          </w:p>
        </w:tc>
        <w:tc>
          <w:tcPr>
            <w:tcW w:w="854" w:type="dxa"/>
            <w:tcBorders>
              <w:top w:val="single" w:sz="4" w:space="0" w:color="auto"/>
              <w:bottom w:val="single" w:sz="4" w:space="0" w:color="auto"/>
            </w:tcBorders>
            <w:shd w:val="clear" w:color="auto" w:fill="FFFF00"/>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79,981,177</w:t>
            </w:r>
          </w:p>
        </w:tc>
        <w:tc>
          <w:tcPr>
            <w:tcW w:w="854" w:type="dxa"/>
            <w:tcBorders>
              <w:top w:val="single" w:sz="4" w:space="0" w:color="auto"/>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67,760,121</w:t>
            </w:r>
          </w:p>
        </w:tc>
        <w:tc>
          <w:tcPr>
            <w:tcW w:w="854" w:type="dxa"/>
            <w:tcBorders>
              <w:top w:val="single" w:sz="4" w:space="0" w:color="auto"/>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55,723,781</w:t>
            </w:r>
          </w:p>
        </w:tc>
        <w:tc>
          <w:tcPr>
            <w:tcW w:w="854" w:type="dxa"/>
            <w:tcBorders>
              <w:top w:val="single" w:sz="4" w:space="0" w:color="auto"/>
              <w:bottom w:val="single" w:sz="4" w:space="0" w:color="auto"/>
            </w:tcBorders>
            <w:vAlign w:val="center"/>
          </w:tcPr>
          <w:p w:rsidR="00805748" w:rsidRPr="00805748" w:rsidRDefault="00805748" w:rsidP="00170E90">
            <w:pPr>
              <w:autoSpaceDE w:val="0"/>
              <w:autoSpaceDN w:val="0"/>
              <w:adjustRightInd w:val="0"/>
              <w:spacing w:before="0" w:after="0" w:line="200" w:lineRule="exact"/>
              <w:jc w:val="right"/>
              <w:rPr>
                <w:rFonts w:asciiTheme="minorHAnsi" w:hAnsiTheme="minorHAnsi" w:cs="TimesNewRoman"/>
                <w:color w:val="000000"/>
                <w:sz w:val="14"/>
                <w:szCs w:val="14"/>
                <w:lang w:val="en-US"/>
              </w:rPr>
            </w:pPr>
            <w:r w:rsidRPr="00805748">
              <w:rPr>
                <w:rFonts w:asciiTheme="minorHAnsi" w:hAnsiTheme="minorHAnsi" w:cs="TimesNewRoman"/>
                <w:color w:val="000000"/>
                <w:sz w:val="14"/>
                <w:szCs w:val="14"/>
                <w:lang w:val="en-US"/>
              </w:rPr>
              <w:t>33,074,908</w:t>
            </w:r>
          </w:p>
        </w:tc>
      </w:tr>
    </w:tbl>
    <w:p w:rsidR="00805748" w:rsidRDefault="00805748" w:rsidP="00DC12FC">
      <w:pPr>
        <w:autoSpaceDE w:val="0"/>
        <w:autoSpaceDN w:val="0"/>
        <w:adjustRightInd w:val="0"/>
        <w:rPr>
          <w:rFonts w:cs="TimesNewRoman"/>
          <w:color w:val="000000"/>
          <w:szCs w:val="22"/>
          <w:lang w:val="en-US"/>
        </w:rPr>
      </w:pPr>
    </w:p>
    <w:p w:rsidR="00805748" w:rsidRDefault="00805748" w:rsidP="00DC12FC">
      <w:pPr>
        <w:autoSpaceDE w:val="0"/>
        <w:autoSpaceDN w:val="0"/>
        <w:adjustRightInd w:val="0"/>
        <w:rPr>
          <w:rFonts w:cs="TimesNewRoman"/>
          <w:color w:val="000000"/>
          <w:szCs w:val="22"/>
          <w:lang w:val="en-US"/>
        </w:rPr>
      </w:pPr>
    </w:p>
    <w:p w:rsidR="00805748" w:rsidRDefault="00805748" w:rsidP="00DC12FC">
      <w:pPr>
        <w:autoSpaceDE w:val="0"/>
        <w:autoSpaceDN w:val="0"/>
        <w:adjustRightInd w:val="0"/>
        <w:rPr>
          <w:rFonts w:cs="TimesNewRoman"/>
          <w:color w:val="000000"/>
          <w:szCs w:val="22"/>
          <w:lang w:val="en-US"/>
        </w:rPr>
      </w:pPr>
    </w:p>
    <w:p w:rsidR="00811ABE" w:rsidRDefault="00811ABE" w:rsidP="00DC12FC">
      <w:pPr>
        <w:autoSpaceDE w:val="0"/>
        <w:autoSpaceDN w:val="0"/>
        <w:adjustRightInd w:val="0"/>
        <w:rPr>
          <w:rFonts w:cs="TimesNewRoman"/>
          <w:color w:val="000000"/>
          <w:szCs w:val="22"/>
          <w:lang w:val="en-US"/>
        </w:rPr>
      </w:pPr>
    </w:p>
    <w:p w:rsidR="00811ABE" w:rsidRDefault="00811ABE" w:rsidP="00DC12FC">
      <w:pPr>
        <w:autoSpaceDE w:val="0"/>
        <w:autoSpaceDN w:val="0"/>
        <w:adjustRightInd w:val="0"/>
        <w:rPr>
          <w:rFonts w:cs="TimesNewRoman"/>
          <w:color w:val="000000"/>
          <w:szCs w:val="22"/>
          <w:lang w:val="en-US"/>
        </w:rPr>
      </w:pPr>
    </w:p>
    <w:p w:rsidR="00811ABE" w:rsidRDefault="00811ABE" w:rsidP="0073595B">
      <w:pPr>
        <w:keepNext/>
        <w:widowControl w:val="0"/>
        <w:autoSpaceDE w:val="0"/>
        <w:autoSpaceDN w:val="0"/>
        <w:adjustRightInd w:val="0"/>
        <w:spacing w:after="0"/>
        <w:jc w:val="center"/>
        <w:rPr>
          <w:rFonts w:cs="TimesNewRoman"/>
          <w:color w:val="000000"/>
          <w:szCs w:val="22"/>
          <w:lang w:val="en-US"/>
        </w:rPr>
      </w:pPr>
      <w:r>
        <w:rPr>
          <w:rFonts w:cs="TimesNewRoman"/>
          <w:noProof/>
          <w:color w:val="000000"/>
          <w:szCs w:val="22"/>
          <w:lang w:eastAsia="en-AU"/>
        </w:rPr>
        <w:lastRenderedPageBreak/>
        <w:drawing>
          <wp:inline distT="0" distB="0" distL="0" distR="0" wp14:anchorId="1B18C65B" wp14:editId="207E4510">
            <wp:extent cx="5713789" cy="7753611"/>
            <wp:effectExtent l="0" t="0" r="1270" b="0"/>
            <wp:docPr id="12" name="Picture 12" descr="Map of flood plume exposure (colour classes 1 – 5, primary and secondary water) frequency in the GBR from December 2014 to Apri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BR frequency w legend.png"/>
                    <pic:cNvPicPr/>
                  </pic:nvPicPr>
                  <pic:blipFill rotWithShape="1">
                    <a:blip r:embed="rId41" cstate="print">
                      <a:extLst>
                        <a:ext uri="{28A0092B-C50C-407E-A947-70E740481C1C}">
                          <a14:useLocalDpi xmlns:a14="http://schemas.microsoft.com/office/drawing/2010/main" val="0"/>
                        </a:ext>
                      </a:extLst>
                    </a:blip>
                    <a:srcRect t="2156" b="2024"/>
                    <a:stretch/>
                  </pic:blipFill>
                  <pic:spPr bwMode="auto">
                    <a:xfrm>
                      <a:off x="0" y="0"/>
                      <a:ext cx="5714485" cy="7754555"/>
                    </a:xfrm>
                    <a:prstGeom prst="rect">
                      <a:avLst/>
                    </a:prstGeom>
                    <a:ln>
                      <a:noFill/>
                    </a:ln>
                    <a:extLst>
                      <a:ext uri="{53640926-AAD7-44D8-BBD7-CCE9431645EC}">
                        <a14:shadowObscured xmlns:a14="http://schemas.microsoft.com/office/drawing/2010/main"/>
                      </a:ext>
                    </a:extLst>
                  </pic:spPr>
                </pic:pic>
              </a:graphicData>
            </a:graphic>
          </wp:inline>
        </w:drawing>
      </w:r>
    </w:p>
    <w:p w:rsidR="0073595B" w:rsidRPr="0073595B" w:rsidRDefault="0073595B" w:rsidP="0073595B">
      <w:pPr>
        <w:pStyle w:val="Caption"/>
        <w:rPr>
          <w:i/>
          <w:vanish/>
          <w:specVanish/>
        </w:rPr>
      </w:pPr>
      <w:bookmarkStart w:id="140" w:name="_Ref442465513"/>
      <w:bookmarkStart w:id="141" w:name="_Toc462684846"/>
      <w:r>
        <w:t xml:space="preserve">Figure </w:t>
      </w:r>
      <w:r>
        <w:fldChar w:fldCharType="begin"/>
      </w:r>
      <w:r>
        <w:instrText xml:space="preserve"> SEQ Figure \* ARABIC </w:instrText>
      </w:r>
      <w:r>
        <w:fldChar w:fldCharType="separate"/>
      </w:r>
      <w:r w:rsidR="009C068F">
        <w:rPr>
          <w:noProof/>
        </w:rPr>
        <w:t>6</w:t>
      </w:r>
      <w:r>
        <w:fldChar w:fldCharType="end"/>
      </w:r>
      <w:bookmarkEnd w:id="140"/>
      <w:r>
        <w:t xml:space="preserve">. </w:t>
      </w:r>
      <w:r w:rsidRPr="0073595B">
        <w:rPr>
          <w:i/>
        </w:rPr>
        <w:t>Plume exposure (colour classes 1 – 5, primary and secondary water) frequency in the GBR from December 2014 to April 2015</w:t>
      </w:r>
      <w:bookmarkEnd w:id="141"/>
    </w:p>
    <w:p w:rsidR="0073595B" w:rsidRPr="0073595B" w:rsidRDefault="0073595B" w:rsidP="0073595B">
      <w:pPr>
        <w:pStyle w:val="Caption"/>
        <w:rPr>
          <w:i/>
        </w:rPr>
      </w:pPr>
      <w:r w:rsidRPr="0073595B">
        <w:rPr>
          <w:i/>
        </w:rPr>
        <w:t xml:space="preserve"> </w:t>
      </w:r>
      <w:proofErr w:type="gramStart"/>
      <w:r w:rsidRPr="0073595B">
        <w:rPr>
          <w:i/>
        </w:rPr>
        <w:t>ranging</w:t>
      </w:r>
      <w:proofErr w:type="gramEnd"/>
      <w:r w:rsidRPr="0073595B">
        <w:rPr>
          <w:i/>
        </w:rPr>
        <w:t xml:space="preserve"> from frequency of 1 (red, always exposed) to 0 (dark blue, never exposed). Green dots show seagrass monitoring </w:t>
      </w:r>
      <w:r>
        <w:rPr>
          <w:i/>
        </w:rPr>
        <w:t>locations</w:t>
      </w:r>
      <w:r w:rsidRPr="0073595B">
        <w:rPr>
          <w:i/>
        </w:rPr>
        <w:t>.</w:t>
      </w:r>
    </w:p>
    <w:p w:rsidR="0073595B" w:rsidRDefault="0073595B" w:rsidP="00DC12FC">
      <w:pPr>
        <w:autoSpaceDE w:val="0"/>
        <w:autoSpaceDN w:val="0"/>
        <w:adjustRightInd w:val="0"/>
        <w:rPr>
          <w:rFonts w:cs="TimesNewRoman"/>
          <w:color w:val="000000"/>
          <w:szCs w:val="22"/>
          <w:lang w:val="en-US"/>
        </w:rPr>
      </w:pPr>
    </w:p>
    <w:p w:rsidR="00811ABE" w:rsidRPr="00BA12BB" w:rsidRDefault="00811ABE" w:rsidP="00811ABE">
      <w:pPr>
        <w:pStyle w:val="Heading4"/>
        <w:numPr>
          <w:ilvl w:val="0"/>
          <w:numId w:val="0"/>
        </w:numPr>
        <w:rPr>
          <w:rFonts w:ascii="Arial" w:hAnsi="Arial" w:cs="Arial"/>
          <w:sz w:val="24"/>
          <w:szCs w:val="24"/>
        </w:rPr>
      </w:pPr>
      <w:r w:rsidRPr="00BA12BB">
        <w:rPr>
          <w:rFonts w:ascii="Arial" w:hAnsi="Arial" w:cs="Arial"/>
          <w:sz w:val="24"/>
          <w:szCs w:val="24"/>
        </w:rPr>
        <w:lastRenderedPageBreak/>
        <w:t>Within canopy seawater temperature</w:t>
      </w:r>
    </w:p>
    <w:p w:rsidR="00811ABE" w:rsidRPr="00B1650C" w:rsidRDefault="00811ABE" w:rsidP="00811ABE">
      <w:pPr>
        <w:rPr>
          <w:color w:val="000000"/>
          <w:szCs w:val="22"/>
        </w:rPr>
      </w:pPr>
      <w:r w:rsidRPr="00B1650C">
        <w:rPr>
          <w:color w:val="000000"/>
          <w:szCs w:val="22"/>
        </w:rPr>
        <w:t>Within seagrass canopy seawater temperature data were reported for the period of September 2003 to May 201</w:t>
      </w:r>
      <w:r>
        <w:rPr>
          <w:color w:val="000000"/>
          <w:szCs w:val="22"/>
        </w:rPr>
        <w:t>5</w:t>
      </w:r>
      <w:r w:rsidRPr="00B1650C">
        <w:rPr>
          <w:color w:val="000000"/>
          <w:szCs w:val="22"/>
        </w:rPr>
        <w:t>. Over the 201</w:t>
      </w:r>
      <w:r>
        <w:rPr>
          <w:color w:val="000000"/>
          <w:szCs w:val="22"/>
        </w:rPr>
        <w:t>4</w:t>
      </w:r>
      <w:r w:rsidRPr="00B1650C">
        <w:rPr>
          <w:color w:val="000000"/>
          <w:szCs w:val="22"/>
        </w:rPr>
        <w:t>-1</w:t>
      </w:r>
      <w:r>
        <w:rPr>
          <w:color w:val="000000"/>
          <w:szCs w:val="22"/>
        </w:rPr>
        <w:t>5</w:t>
      </w:r>
      <w:r w:rsidRPr="00B1650C">
        <w:rPr>
          <w:color w:val="000000"/>
          <w:szCs w:val="22"/>
        </w:rPr>
        <w:t xml:space="preserve"> monitoring period, seagrasses in the </w:t>
      </w:r>
      <w:r>
        <w:rPr>
          <w:color w:val="000000"/>
          <w:szCs w:val="22"/>
        </w:rPr>
        <w:t xml:space="preserve">Mackay Whitsundays </w:t>
      </w:r>
      <w:r w:rsidRPr="00B1650C">
        <w:rPr>
          <w:color w:val="000000"/>
          <w:szCs w:val="22"/>
        </w:rPr>
        <w:t xml:space="preserve">NRM region (all </w:t>
      </w:r>
      <w:r w:rsidRPr="0084376A">
        <w:rPr>
          <w:color w:val="000000"/>
          <w:szCs w:val="22"/>
        </w:rPr>
        <w:t>locations pooled) experienced the greatest number of days (6</w:t>
      </w:r>
      <w:r w:rsidR="0084376A" w:rsidRPr="0084376A">
        <w:rPr>
          <w:color w:val="000000"/>
          <w:szCs w:val="22"/>
        </w:rPr>
        <w:t>2</w:t>
      </w:r>
      <w:r w:rsidRPr="0084376A">
        <w:rPr>
          <w:color w:val="000000"/>
          <w:szCs w:val="22"/>
        </w:rPr>
        <w:t xml:space="preserve"> days) in the GBR where sea</w:t>
      </w:r>
      <w:r w:rsidRPr="00B1650C">
        <w:rPr>
          <w:color w:val="000000"/>
          <w:szCs w:val="22"/>
        </w:rPr>
        <w:t xml:space="preserve"> temperatures exceeded 35°C</w:t>
      </w:r>
      <w:r>
        <w:rPr>
          <w:color w:val="000000"/>
          <w:szCs w:val="22"/>
        </w:rPr>
        <w:t xml:space="preserve"> followed by the 3 most northern NRMs: Cape York, Wet Tropics and Burdekin </w:t>
      </w:r>
      <w:r w:rsidRPr="00B1650C">
        <w:rPr>
          <w:color w:val="000000"/>
          <w:szCs w:val="22"/>
        </w:rPr>
        <w:t>(</w:t>
      </w:r>
      <w:r w:rsidR="0084376A">
        <w:rPr>
          <w:color w:val="000000"/>
          <w:szCs w:val="22"/>
        </w:rPr>
        <w:fldChar w:fldCharType="begin"/>
      </w:r>
      <w:r w:rsidR="0084376A">
        <w:rPr>
          <w:color w:val="000000"/>
          <w:szCs w:val="22"/>
        </w:rPr>
        <w:instrText xml:space="preserve"> REF _Ref442454861 \h </w:instrText>
      </w:r>
      <w:r w:rsidR="0084376A">
        <w:rPr>
          <w:color w:val="000000"/>
          <w:szCs w:val="22"/>
        </w:rPr>
      </w:r>
      <w:r w:rsidR="0084376A">
        <w:rPr>
          <w:color w:val="000000"/>
          <w:szCs w:val="22"/>
        </w:rPr>
        <w:fldChar w:fldCharType="separate"/>
      </w:r>
      <w:r w:rsidR="009C068F" w:rsidRPr="00EA10D7">
        <w:rPr>
          <w:color w:val="000000"/>
          <w:szCs w:val="22"/>
        </w:rPr>
        <w:t xml:space="preserve">Figure </w:t>
      </w:r>
      <w:r w:rsidR="009C068F">
        <w:rPr>
          <w:noProof/>
          <w:color w:val="000000"/>
          <w:szCs w:val="22"/>
        </w:rPr>
        <w:t>7</w:t>
      </w:r>
      <w:r w:rsidR="0084376A">
        <w:rPr>
          <w:color w:val="000000"/>
          <w:szCs w:val="22"/>
        </w:rPr>
        <w:fldChar w:fldCharType="end"/>
      </w:r>
      <w:r w:rsidRPr="00B1650C">
        <w:rPr>
          <w:color w:val="000000"/>
          <w:szCs w:val="22"/>
        </w:rPr>
        <w:t>). The only region</w:t>
      </w:r>
      <w:r>
        <w:rPr>
          <w:color w:val="000000"/>
          <w:szCs w:val="22"/>
        </w:rPr>
        <w:t>s</w:t>
      </w:r>
      <w:r w:rsidRPr="00B1650C">
        <w:rPr>
          <w:color w:val="000000"/>
          <w:szCs w:val="22"/>
        </w:rPr>
        <w:t xml:space="preserve"> to experience extreme (&gt;40°C) seawater temperatures in 201</w:t>
      </w:r>
      <w:r>
        <w:rPr>
          <w:color w:val="000000"/>
          <w:szCs w:val="22"/>
        </w:rPr>
        <w:t>4</w:t>
      </w:r>
      <w:r w:rsidRPr="00B1650C">
        <w:rPr>
          <w:color w:val="000000"/>
          <w:szCs w:val="22"/>
        </w:rPr>
        <w:t>-1</w:t>
      </w:r>
      <w:r>
        <w:rPr>
          <w:color w:val="000000"/>
          <w:szCs w:val="22"/>
        </w:rPr>
        <w:t>5 were</w:t>
      </w:r>
      <w:r w:rsidRPr="00B1650C">
        <w:rPr>
          <w:color w:val="000000"/>
          <w:szCs w:val="22"/>
        </w:rPr>
        <w:t xml:space="preserve"> the </w:t>
      </w:r>
      <w:r>
        <w:rPr>
          <w:color w:val="000000"/>
          <w:szCs w:val="22"/>
        </w:rPr>
        <w:t>Wet Tropics</w:t>
      </w:r>
      <w:r w:rsidRPr="00B1650C">
        <w:rPr>
          <w:color w:val="000000"/>
          <w:szCs w:val="22"/>
        </w:rPr>
        <w:t xml:space="preserve"> </w:t>
      </w:r>
      <w:r w:rsidR="0084376A">
        <w:rPr>
          <w:color w:val="000000"/>
          <w:szCs w:val="22"/>
        </w:rPr>
        <w:t>(40.3</w:t>
      </w:r>
      <w:r w:rsidR="0084376A" w:rsidRPr="00B1650C">
        <w:rPr>
          <w:color w:val="000000"/>
          <w:szCs w:val="22"/>
        </w:rPr>
        <w:t>°C</w:t>
      </w:r>
      <w:r w:rsidR="0084376A">
        <w:rPr>
          <w:color w:val="000000"/>
          <w:szCs w:val="22"/>
        </w:rPr>
        <w:t xml:space="preserve">) </w:t>
      </w:r>
      <w:r>
        <w:rPr>
          <w:color w:val="000000"/>
          <w:szCs w:val="22"/>
        </w:rPr>
        <w:t xml:space="preserve">and Fitzroy </w:t>
      </w:r>
      <w:r w:rsidR="0084376A">
        <w:rPr>
          <w:color w:val="000000"/>
          <w:szCs w:val="22"/>
        </w:rPr>
        <w:t>(41.0</w:t>
      </w:r>
      <w:r w:rsidR="0084376A" w:rsidRPr="00B1650C">
        <w:rPr>
          <w:color w:val="000000"/>
          <w:szCs w:val="22"/>
        </w:rPr>
        <w:t>°C</w:t>
      </w:r>
      <w:r w:rsidR="0084376A">
        <w:rPr>
          <w:color w:val="000000"/>
          <w:szCs w:val="22"/>
        </w:rPr>
        <w:t xml:space="preserve">) </w:t>
      </w:r>
      <w:r w:rsidRPr="00B1650C">
        <w:rPr>
          <w:color w:val="000000"/>
          <w:szCs w:val="22"/>
        </w:rPr>
        <w:t>NRM region</w:t>
      </w:r>
      <w:r>
        <w:rPr>
          <w:color w:val="000000"/>
          <w:szCs w:val="22"/>
        </w:rPr>
        <w:t>s</w:t>
      </w:r>
      <w:r w:rsidRPr="00B1650C">
        <w:rPr>
          <w:color w:val="000000"/>
          <w:szCs w:val="22"/>
        </w:rPr>
        <w:t xml:space="preserve"> </w:t>
      </w:r>
      <w:r w:rsidR="0084376A">
        <w:rPr>
          <w:color w:val="000000"/>
          <w:szCs w:val="22"/>
        </w:rPr>
        <w:t>on the 21 January 2015</w:t>
      </w:r>
      <w:r w:rsidRPr="00B1650C">
        <w:rPr>
          <w:color w:val="000000"/>
          <w:szCs w:val="22"/>
        </w:rPr>
        <w:t>.</w:t>
      </w:r>
    </w:p>
    <w:p w:rsidR="00811ABE" w:rsidRPr="00D05CE6" w:rsidRDefault="00811ABE" w:rsidP="00811ABE">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272C2C8A" wp14:editId="64B566AC">
            <wp:extent cx="4320000" cy="5374800"/>
            <wp:effectExtent l="0" t="0" r="4445" b="0"/>
            <wp:docPr id="242" name="Picture 242" descr="Panel of six graphs showing number of days when inshore intertidal sea temperature exceeded 35°C, 38°C, 40°C and 43°C in each monitoring period in each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Temperature_exceedance_NRM_Dec15.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4320000" cy="5374800"/>
                    </a:xfrm>
                    <a:prstGeom prst="rect">
                      <a:avLst/>
                    </a:prstGeom>
                  </pic:spPr>
                </pic:pic>
              </a:graphicData>
            </a:graphic>
          </wp:inline>
        </w:drawing>
      </w:r>
    </w:p>
    <w:p w:rsidR="00811ABE" w:rsidRPr="00B81570" w:rsidRDefault="00811ABE" w:rsidP="00811ABE">
      <w:pPr>
        <w:rPr>
          <w:vanish/>
          <w:color w:val="000000"/>
          <w:szCs w:val="22"/>
          <w:specVanish/>
        </w:rPr>
      </w:pPr>
      <w:bookmarkStart w:id="142" w:name="_Ref442454861"/>
      <w:bookmarkStart w:id="143" w:name="_Toc462684847"/>
      <w:r w:rsidRPr="00EA10D7">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7</w:t>
      </w:r>
      <w:r w:rsidR="0073595B">
        <w:rPr>
          <w:color w:val="000000"/>
          <w:szCs w:val="22"/>
        </w:rPr>
        <w:fldChar w:fldCharType="end"/>
      </w:r>
      <w:bookmarkEnd w:id="142"/>
      <w:r w:rsidRPr="00EA10D7">
        <w:rPr>
          <w:color w:val="000000"/>
          <w:szCs w:val="22"/>
        </w:rPr>
        <w:t xml:space="preserve">. </w:t>
      </w:r>
      <w:r w:rsidRPr="00EA10D7">
        <w:rPr>
          <w:i/>
          <w:color w:val="000000"/>
          <w:szCs w:val="22"/>
        </w:rPr>
        <w:t xml:space="preserve">Number of days when inshore </w:t>
      </w:r>
      <w:r>
        <w:rPr>
          <w:i/>
          <w:color w:val="000000"/>
          <w:szCs w:val="22"/>
        </w:rPr>
        <w:t xml:space="preserve">intertidal </w:t>
      </w:r>
      <w:r w:rsidRPr="00EA10D7">
        <w:rPr>
          <w:i/>
          <w:color w:val="000000"/>
          <w:szCs w:val="22"/>
        </w:rPr>
        <w:t>sea temperature exceeded 35°C, 38°C, 40°C and 43°C in each monitoring period in each NRM region.</w:t>
      </w:r>
      <w:bookmarkEnd w:id="143"/>
      <w:r>
        <w:rPr>
          <w:i/>
          <w:color w:val="000000"/>
          <w:szCs w:val="22"/>
        </w:rPr>
        <w:t xml:space="preserve"> </w:t>
      </w:r>
      <w:r w:rsidRPr="00EA10D7">
        <w:rPr>
          <w:i/>
          <w:vanish/>
          <w:color w:val="000000"/>
          <w:szCs w:val="22"/>
          <w:specVanish/>
        </w:rPr>
        <w:t xml:space="preserve"> </w:t>
      </w:r>
    </w:p>
    <w:p w:rsidR="00811ABE" w:rsidRPr="00EA10D7" w:rsidRDefault="00811ABE" w:rsidP="00811ABE">
      <w:pPr>
        <w:rPr>
          <w:color w:val="000000"/>
          <w:szCs w:val="22"/>
        </w:rPr>
      </w:pPr>
      <w:r w:rsidRPr="00EA10D7">
        <w:rPr>
          <w:i/>
          <w:vanish/>
          <w:color w:val="000000"/>
          <w:szCs w:val="22"/>
          <w:specVanish/>
        </w:rPr>
        <w:t xml:space="preserve"> </w:t>
      </w:r>
      <w:r w:rsidRPr="00EA10D7">
        <w:rPr>
          <w:i/>
          <w:color w:val="000000"/>
          <w:szCs w:val="22"/>
        </w:rPr>
        <w:t xml:space="preserve">Thresholds adapted </w:t>
      </w:r>
      <w:proofErr w:type="gramStart"/>
      <w:r w:rsidRPr="00EA10D7">
        <w:rPr>
          <w:i/>
          <w:color w:val="000000"/>
          <w:szCs w:val="22"/>
        </w:rPr>
        <w:t xml:space="preserve">from </w:t>
      </w:r>
      <w:proofErr w:type="gramEnd"/>
      <w:r w:rsidR="00644A84">
        <w:rPr>
          <w:i/>
          <w:color w:val="000000"/>
          <w:szCs w:val="22"/>
        </w:rPr>
        <w:fldChar w:fldCharType="begin">
          <w:fldData xml:space="preserve">PEVuZE5vdGU+PENpdGU+PEF1dGhvcj5DYW1wYmVsbDwvQXV0aG9yPjxZZWFyPjIwMDY8L1llYXI+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</w:fldData>
        </w:fldChar>
      </w:r>
      <w:r w:rsidR="001458EF">
        <w:rPr>
          <w:i/>
          <w:color w:val="000000"/>
          <w:szCs w:val="22"/>
        </w:rPr>
        <w:instrText xml:space="preserve"> ADDIN EN.CITE </w:instrText>
      </w:r>
      <w:r w:rsidR="001458EF">
        <w:rPr>
          <w:i/>
          <w:color w:val="000000"/>
          <w:szCs w:val="22"/>
        </w:rPr>
        <w:fldChar w:fldCharType="begin">
          <w:fldData xml:space="preserve">PEVuZE5vdGU+PENpdGU+PEF1dGhvcj5DYW1wYmVsbDwvQXV0aG9yPjxZZWFyPjIwMDY8L1llYXI+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</w:fldData>
        </w:fldChar>
      </w:r>
      <w:r w:rsidR="001458EF">
        <w:rPr>
          <w:i/>
          <w:color w:val="000000"/>
          <w:szCs w:val="22"/>
        </w:rPr>
        <w:instrText xml:space="preserve"> ADDIN EN.CITE.DATA </w:instrText>
      </w:r>
      <w:r w:rsidR="001458EF">
        <w:rPr>
          <w:i/>
          <w:color w:val="000000"/>
          <w:szCs w:val="22"/>
        </w:rPr>
      </w:r>
      <w:r w:rsidR="001458EF">
        <w:rPr>
          <w:i/>
          <w:color w:val="000000"/>
          <w:szCs w:val="22"/>
        </w:rPr>
        <w:fldChar w:fldCharType="end"/>
      </w:r>
      <w:r w:rsidR="00644A84">
        <w:rPr>
          <w:i/>
          <w:color w:val="000000"/>
          <w:szCs w:val="22"/>
        </w:rPr>
      </w:r>
      <w:r w:rsidR="00644A84">
        <w:rPr>
          <w:i/>
          <w:color w:val="000000"/>
          <w:szCs w:val="22"/>
        </w:rPr>
        <w:fldChar w:fldCharType="separate"/>
      </w:r>
      <w:hyperlink w:anchor="_ENREF_33" w:tooltip="Campbell, 2006 #2896" w:history="1">
        <w:r w:rsidR="00E6043D">
          <w:rPr>
            <w:i/>
            <w:noProof/>
            <w:color w:val="000000"/>
            <w:szCs w:val="22"/>
          </w:rPr>
          <w:t>Campbell, et al. 2006</w:t>
        </w:r>
      </w:hyperlink>
      <w:r w:rsidR="001458EF">
        <w:rPr>
          <w:i/>
          <w:noProof/>
          <w:color w:val="000000"/>
          <w:szCs w:val="22"/>
        </w:rPr>
        <w:t xml:space="preserve">; </w:t>
      </w:r>
      <w:hyperlink w:anchor="_ENREF_68" w:tooltip="Collier, 2012 #9288" w:history="1">
        <w:r w:rsidR="00E6043D">
          <w:rPr>
            <w:i/>
            <w:noProof/>
            <w:color w:val="000000"/>
            <w:szCs w:val="22"/>
          </w:rPr>
          <w:t>Collier et al. 2012b</w:t>
        </w:r>
      </w:hyperlink>
      <w:r w:rsidR="00644A84">
        <w:rPr>
          <w:i/>
          <w:color w:val="000000"/>
          <w:szCs w:val="22"/>
        </w:rPr>
        <w:fldChar w:fldCharType="end"/>
      </w:r>
      <w:r>
        <w:rPr>
          <w:i/>
          <w:color w:val="000000"/>
          <w:szCs w:val="22"/>
        </w:rPr>
        <w:t>.</w:t>
      </w:r>
    </w:p>
    <w:p w:rsidR="00811ABE" w:rsidRPr="00F87C8C" w:rsidRDefault="00811ABE" w:rsidP="00811ABE">
      <w:pPr>
        <w:rPr>
          <w:color w:val="000000"/>
          <w:szCs w:val="22"/>
        </w:rPr>
      </w:pPr>
      <w:r w:rsidRPr="00F87C8C">
        <w:rPr>
          <w:color w:val="000000"/>
          <w:szCs w:val="22"/>
        </w:rPr>
        <w:t>Within canopy seawater temperatures were highe</w:t>
      </w:r>
      <w:r>
        <w:rPr>
          <w:color w:val="000000"/>
          <w:szCs w:val="22"/>
        </w:rPr>
        <w:t>r</w:t>
      </w:r>
      <w:r w:rsidRPr="00F87C8C">
        <w:rPr>
          <w:color w:val="000000"/>
          <w:szCs w:val="22"/>
        </w:rPr>
        <w:t xml:space="preserve"> than the long-term (10 year) average over the 201</w:t>
      </w:r>
      <w:r>
        <w:rPr>
          <w:color w:val="000000"/>
          <w:szCs w:val="22"/>
        </w:rPr>
        <w:t>4</w:t>
      </w:r>
      <w:r w:rsidRPr="00F87C8C">
        <w:rPr>
          <w:color w:val="000000"/>
          <w:szCs w:val="22"/>
        </w:rPr>
        <w:t>-</w:t>
      </w:r>
      <w:r w:rsidRPr="0084376A">
        <w:rPr>
          <w:color w:val="000000"/>
          <w:szCs w:val="22"/>
        </w:rPr>
        <w:t>15 monitoring period (</w:t>
      </w:r>
      <w:r w:rsidR="0084376A" w:rsidRPr="0084376A">
        <w:rPr>
          <w:color w:val="000000"/>
          <w:szCs w:val="22"/>
        </w:rPr>
        <w:fldChar w:fldCharType="begin"/>
      </w:r>
      <w:r w:rsidR="0084376A" w:rsidRPr="0084376A">
        <w:rPr>
          <w:color w:val="000000"/>
          <w:szCs w:val="22"/>
        </w:rPr>
        <w:instrText xml:space="preserve"> REF _Ref442455092 \h </w:instrText>
      </w:r>
      <w:r w:rsidR="0084376A">
        <w:rPr>
          <w:color w:val="000000"/>
          <w:szCs w:val="22"/>
        </w:rPr>
        <w:instrText xml:space="preserve"> \* MERGEFORMAT </w:instrText>
      </w:r>
      <w:r w:rsidR="0084376A" w:rsidRPr="0084376A">
        <w:rPr>
          <w:color w:val="000000"/>
          <w:szCs w:val="22"/>
        </w:rPr>
      </w:r>
      <w:r w:rsidR="0084376A" w:rsidRPr="0084376A">
        <w:rPr>
          <w:color w:val="000000"/>
          <w:szCs w:val="22"/>
        </w:rPr>
        <w:fldChar w:fldCharType="separate"/>
      </w:r>
      <w:r w:rsidR="009C068F" w:rsidRPr="00EA10D7">
        <w:rPr>
          <w:color w:val="000000"/>
        </w:rPr>
        <w:t xml:space="preserve">Figure </w:t>
      </w:r>
      <w:r w:rsidR="009C068F">
        <w:rPr>
          <w:noProof/>
          <w:color w:val="000000"/>
        </w:rPr>
        <w:t>8</w:t>
      </w:r>
      <w:r w:rsidR="0084376A" w:rsidRPr="0084376A">
        <w:rPr>
          <w:color w:val="000000"/>
          <w:szCs w:val="22"/>
        </w:rPr>
        <w:fldChar w:fldCharType="end"/>
      </w:r>
      <w:r w:rsidRPr="0084376A">
        <w:rPr>
          <w:color w:val="000000"/>
          <w:szCs w:val="22"/>
        </w:rPr>
        <w:t xml:space="preserve">); the warmest in </w:t>
      </w:r>
      <w:r w:rsidR="0084376A" w:rsidRPr="0084376A">
        <w:rPr>
          <w:color w:val="000000"/>
          <w:szCs w:val="22"/>
        </w:rPr>
        <w:t>5</w:t>
      </w:r>
      <w:r w:rsidRPr="0084376A">
        <w:rPr>
          <w:color w:val="000000"/>
          <w:szCs w:val="22"/>
        </w:rPr>
        <w:t xml:space="preserve"> years. The warmest period since MMP monitoring</w:t>
      </w:r>
      <w:r w:rsidRPr="00F87C8C">
        <w:rPr>
          <w:color w:val="000000"/>
          <w:szCs w:val="22"/>
        </w:rPr>
        <w:t xml:space="preserve"> commenced was 2005-06 and the coolest was 2011-12 (</w:t>
      </w:r>
      <w:r w:rsidR="0084376A" w:rsidRPr="0084376A">
        <w:rPr>
          <w:color w:val="000000"/>
          <w:szCs w:val="22"/>
        </w:rPr>
        <w:fldChar w:fldCharType="begin"/>
      </w:r>
      <w:r w:rsidR="0084376A" w:rsidRPr="0084376A">
        <w:rPr>
          <w:color w:val="000000"/>
          <w:szCs w:val="22"/>
        </w:rPr>
        <w:instrText xml:space="preserve"> REF _Ref442455092 \h </w:instrText>
      </w:r>
      <w:r w:rsidR="0084376A">
        <w:rPr>
          <w:color w:val="000000"/>
          <w:szCs w:val="22"/>
        </w:rPr>
        <w:instrText xml:space="preserve"> \* MERGEFORMAT </w:instrText>
      </w:r>
      <w:r w:rsidR="0084376A" w:rsidRPr="0084376A">
        <w:rPr>
          <w:color w:val="000000"/>
          <w:szCs w:val="22"/>
        </w:rPr>
      </w:r>
      <w:r w:rsidR="0084376A" w:rsidRPr="0084376A">
        <w:rPr>
          <w:color w:val="000000"/>
          <w:szCs w:val="22"/>
        </w:rPr>
        <w:fldChar w:fldCharType="separate"/>
      </w:r>
      <w:r w:rsidR="009C068F" w:rsidRPr="00EA10D7">
        <w:rPr>
          <w:color w:val="000000"/>
        </w:rPr>
        <w:t xml:space="preserve">Figure </w:t>
      </w:r>
      <w:r w:rsidR="009C068F">
        <w:rPr>
          <w:noProof/>
          <w:color w:val="000000"/>
        </w:rPr>
        <w:t>8</w:t>
      </w:r>
      <w:r w:rsidR="0084376A" w:rsidRPr="0084376A">
        <w:rPr>
          <w:color w:val="000000"/>
          <w:szCs w:val="22"/>
        </w:rPr>
        <w:fldChar w:fldCharType="end"/>
      </w:r>
      <w:r w:rsidRPr="00F87C8C">
        <w:rPr>
          <w:color w:val="000000"/>
          <w:szCs w:val="22"/>
        </w:rPr>
        <w:t>)</w:t>
      </w:r>
      <w:r w:rsidR="0084376A">
        <w:rPr>
          <w:color w:val="000000"/>
          <w:szCs w:val="22"/>
        </w:rPr>
        <w:t>.</w:t>
      </w:r>
    </w:p>
    <w:p w:rsidR="00811ABE" w:rsidRPr="00EA10D7" w:rsidRDefault="00811ABE" w:rsidP="00811ABE">
      <w:pPr>
        <w:keepNext/>
        <w:widowControl w:val="0"/>
        <w:spacing w:before="0" w:after="0"/>
        <w:jc w:val="center"/>
        <w:rPr>
          <w:noProof/>
          <w:color w:val="000000"/>
          <w:szCs w:val="22"/>
          <w:lang w:eastAsia="en-AU"/>
        </w:rPr>
      </w:pPr>
      <w:r>
        <w:rPr>
          <w:noProof/>
          <w:color w:val="000000"/>
          <w:szCs w:val="22"/>
          <w:lang w:eastAsia="en-AU"/>
        </w:rPr>
        <w:lastRenderedPageBreak/>
        <w:drawing>
          <wp:inline distT="0" distB="0" distL="0" distR="0" wp14:anchorId="1E30CBB3" wp14:editId="51034521">
            <wp:extent cx="4320000" cy="1296000"/>
            <wp:effectExtent l="0" t="0" r="4445" b="0"/>
            <wp:docPr id="243" name="Picture 243" descr="Graph of inshore intertidal sea temperature deviations from baseline for GBR seagrass habitats 2003 to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GBR_temperature_deviation_2015.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320000" cy="1296000"/>
                    </a:xfrm>
                    <a:prstGeom prst="rect">
                      <a:avLst/>
                    </a:prstGeom>
                  </pic:spPr>
                </pic:pic>
              </a:graphicData>
            </a:graphic>
          </wp:inline>
        </w:drawing>
      </w:r>
    </w:p>
    <w:p w:rsidR="00811ABE" w:rsidRPr="00EA10D7" w:rsidRDefault="00811ABE" w:rsidP="00811ABE">
      <w:pPr>
        <w:rPr>
          <w:i/>
          <w:vanish/>
          <w:color w:val="000000"/>
          <w:szCs w:val="22"/>
          <w:specVanish/>
        </w:rPr>
      </w:pPr>
      <w:bookmarkStart w:id="144" w:name="_Ref442455092"/>
      <w:bookmarkStart w:id="145" w:name="_Toc462684848"/>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8</w:t>
      </w:r>
      <w:r w:rsidR="0073595B">
        <w:rPr>
          <w:color w:val="000000"/>
        </w:rPr>
        <w:fldChar w:fldCharType="end"/>
      </w:r>
      <w:bookmarkEnd w:id="144"/>
      <w:r w:rsidRPr="00EA10D7">
        <w:rPr>
          <w:color w:val="000000"/>
        </w:rPr>
        <w:t xml:space="preserve">. </w:t>
      </w:r>
      <w:r w:rsidRPr="00EA10D7">
        <w:rPr>
          <w:i/>
          <w:color w:val="000000"/>
        </w:rPr>
        <w:t xml:space="preserve">Inshore </w:t>
      </w:r>
      <w:r>
        <w:rPr>
          <w:i/>
          <w:color w:val="000000"/>
        </w:rPr>
        <w:t xml:space="preserve">intertidal </w:t>
      </w:r>
      <w:r w:rsidRPr="00EA10D7">
        <w:rPr>
          <w:i/>
          <w:color w:val="000000"/>
        </w:rPr>
        <w:t>sea temperature deviations from baseline for GBR seagrass habitats 2003 to 2014.</w:t>
      </w:r>
      <w:bookmarkEnd w:id="145"/>
      <w:r w:rsidRPr="00EA10D7">
        <w:rPr>
          <w:i/>
          <w:color w:val="000000"/>
        </w:rPr>
        <w:t xml:space="preserve"> </w:t>
      </w:r>
    </w:p>
    <w:p w:rsidR="00811ABE" w:rsidRPr="00EA10D7" w:rsidRDefault="00811ABE" w:rsidP="00811ABE">
      <w:pPr>
        <w:rPr>
          <w:color w:val="000000"/>
        </w:rPr>
      </w:pPr>
      <w:r w:rsidRPr="00EA10D7">
        <w:rPr>
          <w:i/>
          <w:color w:val="000000"/>
        </w:rPr>
        <w:t>Data presented are deviations from 10-year mean weekly temperature records (based on records from September 2003 to June 201</w:t>
      </w:r>
      <w:r>
        <w:rPr>
          <w:i/>
          <w:color w:val="000000"/>
        </w:rPr>
        <w:t>5</w:t>
      </w:r>
      <w:r w:rsidRPr="00EA10D7">
        <w:rPr>
          <w:i/>
          <w:color w:val="000000"/>
        </w:rPr>
        <w:t xml:space="preserve">). Weeks above the long-term average are represented as red bars and the magnitude of their deviation from the mean represented by the length of the bars, bars are blue for weeks with temperatures lower than the average and are plotted as negative deviations. </w:t>
      </w:r>
    </w:p>
    <w:p w:rsidR="00811ABE" w:rsidRPr="00D05CE6" w:rsidRDefault="00811ABE" w:rsidP="00811ABE">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057FD830" wp14:editId="14954AB5">
            <wp:extent cx="4320000" cy="1854000"/>
            <wp:effectExtent l="0" t="0" r="4445" b="0"/>
            <wp:docPr id="10144" name="Picture 10144" descr="Graph showing number of days when inshore subtidal sea temperature exceeded 35°C, 38°C, 40°C and 43°C in each monitoring period in each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4" name="Temperature_exceedance_subtidal_NRM_Dec15.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320000" cy="1854000"/>
                    </a:xfrm>
                    <a:prstGeom prst="rect">
                      <a:avLst/>
                    </a:prstGeom>
                  </pic:spPr>
                </pic:pic>
              </a:graphicData>
            </a:graphic>
          </wp:inline>
        </w:drawing>
      </w:r>
    </w:p>
    <w:p w:rsidR="00811ABE" w:rsidRPr="003100AA" w:rsidRDefault="00811ABE" w:rsidP="00811ABE">
      <w:pPr>
        <w:rPr>
          <w:i/>
          <w:vanish/>
          <w:specVanish/>
        </w:rPr>
      </w:pPr>
      <w:bookmarkStart w:id="146" w:name="_Toc462684849"/>
      <w:r>
        <w:t xml:space="preserve">Figure </w:t>
      </w:r>
      <w:fldSimple w:instr=" SEQ Figure \* ARABIC ">
        <w:r w:rsidR="009C068F">
          <w:rPr>
            <w:noProof/>
          </w:rPr>
          <w:t>9</w:t>
        </w:r>
      </w:fldSimple>
      <w:r>
        <w:t xml:space="preserve">. </w:t>
      </w:r>
      <w:r w:rsidRPr="003100AA">
        <w:rPr>
          <w:i/>
        </w:rPr>
        <w:t>Number of days when inshore subtidal sea temperature exceeded 35°C, 38°C, 40°C and 43°C in each monitoring period in each NRM region.</w:t>
      </w:r>
      <w:bookmarkEnd w:id="146"/>
      <w:r w:rsidRPr="003100AA">
        <w:rPr>
          <w:i/>
          <w:vanish/>
          <w:specVanish/>
        </w:rPr>
        <w:t xml:space="preserve"> </w:t>
      </w:r>
    </w:p>
    <w:p w:rsidR="00811ABE" w:rsidRPr="00F72539" w:rsidRDefault="00811ABE" w:rsidP="00811ABE">
      <w:r w:rsidRPr="003100AA">
        <w:rPr>
          <w:i/>
        </w:rPr>
        <w:t xml:space="preserve"> Thresholds adapted </w:t>
      </w:r>
      <w:proofErr w:type="gramStart"/>
      <w:r w:rsidRPr="003100AA">
        <w:rPr>
          <w:i/>
        </w:rPr>
        <w:t xml:space="preserve">from </w:t>
      </w:r>
      <w:proofErr w:type="gramEnd"/>
      <w:r w:rsidR="00644A84">
        <w:rPr>
          <w:i/>
        </w:rPr>
        <w:fldChar w:fldCharType="begin">
          <w:fldData xml:space="preserve">PEVuZE5vdGU+PENpdGU+PEF1dGhvcj5DYW1wYmVsbDwvQXV0aG9yPjxZZWFyPjIwMDY8L1llYXI+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</w:fldData>
        </w:fldChar>
      </w:r>
      <w:r w:rsidR="00644A84">
        <w:rPr>
          <w:i/>
        </w:rPr>
        <w:instrText xml:space="preserve"> ADDIN EN.CITE </w:instrText>
      </w:r>
      <w:r w:rsidR="00644A84">
        <w:rPr>
          <w:i/>
        </w:rPr>
        <w:fldChar w:fldCharType="begin">
          <w:fldData xml:space="preserve">PEVuZE5vdGU+PENpdGU+PEF1dGhvcj5DYW1wYmVsbDwvQXV0aG9yPjxZZWFyPjIwMDY8L1llYXI+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</w:fldData>
        </w:fldChar>
      </w:r>
      <w:r w:rsidR="00644A84">
        <w:rPr>
          <w:i/>
        </w:rPr>
        <w:instrText xml:space="preserve"> ADDIN EN.CITE.DATA </w:instrText>
      </w:r>
      <w:r w:rsidR="00644A84">
        <w:rPr>
          <w:i/>
        </w:rPr>
      </w:r>
      <w:r w:rsidR="00644A84">
        <w:rPr>
          <w:i/>
        </w:rPr>
        <w:fldChar w:fldCharType="end"/>
      </w:r>
      <w:r w:rsidR="00644A84">
        <w:rPr>
          <w:i/>
        </w:rPr>
      </w:r>
      <w:r w:rsidR="00644A84">
        <w:rPr>
          <w:i/>
        </w:rPr>
        <w:fldChar w:fldCharType="separate"/>
      </w:r>
      <w:hyperlink w:anchor="_ENREF_33" w:tooltip="Campbell, 2006 #2896" w:history="1">
        <w:r w:rsidR="00E6043D">
          <w:rPr>
            <w:i/>
            <w:noProof/>
          </w:rPr>
          <w:t>Campbell, et al. 2006</w:t>
        </w:r>
      </w:hyperlink>
      <w:r w:rsidR="00644A84">
        <w:rPr>
          <w:i/>
          <w:noProof/>
        </w:rPr>
        <w:t xml:space="preserve">; </w:t>
      </w:r>
      <w:hyperlink w:anchor="_ENREF_68" w:tooltip="Collier, 2012 #9288" w:history="1">
        <w:r w:rsidR="00E6043D">
          <w:rPr>
            <w:i/>
            <w:noProof/>
          </w:rPr>
          <w:t>Collier, et al. 2012b</w:t>
        </w:r>
      </w:hyperlink>
      <w:r w:rsidR="00644A84">
        <w:rPr>
          <w:i/>
        </w:rPr>
        <w:fldChar w:fldCharType="end"/>
      </w:r>
      <w:r>
        <w:t>.</w:t>
      </w:r>
    </w:p>
    <w:p w:rsidR="00811ABE" w:rsidRPr="00F72539" w:rsidRDefault="00811ABE" w:rsidP="00811ABE">
      <w:pPr>
        <w:rPr>
          <w:color w:val="000000"/>
          <w:szCs w:val="22"/>
        </w:rPr>
      </w:pPr>
    </w:p>
    <w:p w:rsidR="00B518CD" w:rsidRPr="00BA12BB" w:rsidRDefault="00B518CD" w:rsidP="00B518CD">
      <w:pPr>
        <w:pStyle w:val="Heading4"/>
        <w:numPr>
          <w:ilvl w:val="0"/>
          <w:numId w:val="0"/>
        </w:numPr>
        <w:rPr>
          <w:rFonts w:ascii="Arial" w:hAnsi="Arial" w:cs="Arial"/>
          <w:sz w:val="24"/>
          <w:szCs w:val="24"/>
        </w:rPr>
      </w:pPr>
      <w:r>
        <w:rPr>
          <w:rFonts w:ascii="Arial" w:hAnsi="Arial" w:cs="Arial"/>
          <w:sz w:val="24"/>
          <w:szCs w:val="24"/>
        </w:rPr>
        <w:t>Daily incident l</w:t>
      </w:r>
      <w:r w:rsidRPr="00BA12BB">
        <w:rPr>
          <w:rFonts w:ascii="Arial" w:hAnsi="Arial" w:cs="Arial"/>
          <w:sz w:val="24"/>
          <w:szCs w:val="24"/>
        </w:rPr>
        <w:t xml:space="preserve">ight </w:t>
      </w:r>
    </w:p>
    <w:p w:rsidR="00B518CD" w:rsidRDefault="00B518CD" w:rsidP="00B518CD">
      <w:r w:rsidRPr="009E22D8">
        <w:t>Daily incident light (</w:t>
      </w:r>
      <w:r w:rsidRPr="009E22D8">
        <w:rPr>
          <w:color w:val="000000"/>
        </w:rPr>
        <w:t>I</w:t>
      </w:r>
      <w:r w:rsidRPr="009E22D8">
        <w:rPr>
          <w:color w:val="000000"/>
          <w:vertAlign w:val="subscript"/>
        </w:rPr>
        <w:t>d</w:t>
      </w:r>
      <w:r w:rsidRPr="009E22D8">
        <w:rPr>
          <w:color w:val="000000"/>
        </w:rPr>
        <w:t xml:space="preserve">,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-1</w:t>
      </w:r>
      <w:r w:rsidRPr="009E22D8">
        <w:rPr>
          <w:color w:val="000000"/>
        </w:rPr>
        <w:t>)</w:t>
      </w:r>
      <w:r w:rsidRPr="009E22D8">
        <w:rPr>
          <w:color w:val="000000"/>
          <w:vertAlign w:val="superscript"/>
        </w:rPr>
        <w:t xml:space="preserve"> </w:t>
      </w:r>
      <w:r w:rsidRPr="009E22D8">
        <w:t xml:space="preserve">reaching the top of the seagrass canopy in the GBR in </w:t>
      </w:r>
      <w:r>
        <w:t>2014-15</w:t>
      </w:r>
      <w:r w:rsidRPr="009E22D8">
        <w:t xml:space="preserve"> (</w:t>
      </w:r>
      <w:r>
        <w:t>12.8</w:t>
      </w:r>
      <w:r w:rsidRPr="009E22D8">
        <w:t xml:space="preserve">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 xml:space="preserve">-1 </w:t>
      </w:r>
      <w:r w:rsidRPr="009E22D8">
        <w:rPr>
          <w:color w:val="000000"/>
        </w:rPr>
        <w:t>)</w:t>
      </w:r>
      <w:r w:rsidRPr="009E22D8">
        <w:rPr>
          <w:color w:val="000000"/>
          <w:vertAlign w:val="superscript"/>
        </w:rPr>
        <w:t xml:space="preserve"> </w:t>
      </w:r>
      <w:r w:rsidRPr="009E22D8">
        <w:t xml:space="preserve">was </w:t>
      </w:r>
      <w:r>
        <w:t>slightly lower</w:t>
      </w:r>
      <w:r w:rsidRPr="009E22D8">
        <w:t xml:space="preserve"> than the long-term average (</w:t>
      </w:r>
      <w:r>
        <w:t>13.4</w:t>
      </w:r>
      <w:r w:rsidRPr="009E22D8">
        <w:t xml:space="preserve">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-1</w:t>
      </w:r>
      <w:r w:rsidRPr="009E22D8">
        <w:t>) (</w:t>
      </w:r>
      <w:r w:rsidR="00742146">
        <w:fldChar w:fldCharType="begin"/>
      </w:r>
      <w:r w:rsidR="00742146">
        <w:instrText xml:space="preserve"> REF _Ref442455429 \h </w:instrText>
      </w:r>
      <w:r w:rsidR="00742146">
        <w:fldChar w:fldCharType="separate"/>
      </w:r>
      <w:r w:rsidR="009C068F" w:rsidRPr="009E22D8">
        <w:t xml:space="preserve">Figure </w:t>
      </w:r>
      <w:r w:rsidR="009C068F">
        <w:rPr>
          <w:noProof/>
        </w:rPr>
        <w:t>10</w:t>
      </w:r>
      <w:r w:rsidR="00742146">
        <w:fldChar w:fldCharType="end"/>
      </w:r>
      <w:r w:rsidR="00742146">
        <w:t>)</w:t>
      </w:r>
      <w:r w:rsidRPr="009E22D8">
        <w:t xml:space="preserve">. </w:t>
      </w:r>
      <w:r>
        <w:t>Cape York sites have the highest I</w:t>
      </w:r>
      <w:r w:rsidRPr="004D7391">
        <w:rPr>
          <w:vertAlign w:val="subscript"/>
        </w:rPr>
        <w:t>d</w:t>
      </w:r>
      <w:r>
        <w:t xml:space="preserve"> (18.6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-1</w:t>
      </w:r>
      <w:r>
        <w:t xml:space="preserve">), followed by Fitzroy (14.4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-1</w:t>
      </w:r>
      <w:r w:rsidR="000E0B2C">
        <w:t xml:space="preserve">), Burnett </w:t>
      </w:r>
      <w:r>
        <w:t xml:space="preserve">Mary (13.8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-1</w:t>
      </w:r>
      <w:r>
        <w:t xml:space="preserve">) and Wet Tropics (13.0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-1</w:t>
      </w:r>
      <w:r>
        <w:t xml:space="preserve">), with Burdekin sites having the lowest (9.8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-1</w:t>
      </w:r>
      <w:r>
        <w:t>); however the Wet Tropics and Burdekin both have subtidal sites, with lower I</w:t>
      </w:r>
      <w:r w:rsidRPr="001966E8">
        <w:rPr>
          <w:vertAlign w:val="subscript"/>
        </w:rPr>
        <w:t>d</w:t>
      </w:r>
      <w:r>
        <w:t xml:space="preserve"> than intertidal sites. With these excluded, I</w:t>
      </w:r>
      <w:r w:rsidRPr="00684C2C">
        <w:rPr>
          <w:vertAlign w:val="subscript"/>
        </w:rPr>
        <w:t>d</w:t>
      </w:r>
      <w:r>
        <w:t xml:space="preserve"> is second highest in the Wet Tropics (16.6</w:t>
      </w:r>
      <w:r w:rsidRPr="009E22D8">
        <w:t xml:space="preserve">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-1</w:t>
      </w:r>
      <w:r>
        <w:t xml:space="preserve">), while the Burdekin remains lowest (10.8 </w:t>
      </w:r>
      <w:proofErr w:type="spellStart"/>
      <w:r w:rsidRPr="009E22D8">
        <w:rPr>
          <w:color w:val="000000"/>
        </w:rPr>
        <w:t>mol</w:t>
      </w:r>
      <w:proofErr w:type="spellEnd"/>
      <w:r w:rsidRPr="009E22D8">
        <w:rPr>
          <w:color w:val="000000"/>
        </w:rPr>
        <w:t xml:space="preserve"> m</w:t>
      </w:r>
      <w:r w:rsidRPr="009E22D8">
        <w:rPr>
          <w:color w:val="000000"/>
          <w:vertAlign w:val="superscript"/>
        </w:rPr>
        <w:t>-2</w:t>
      </w:r>
      <w:r w:rsidRPr="009E22D8">
        <w:rPr>
          <w:color w:val="000000"/>
        </w:rPr>
        <w:t xml:space="preserve"> d</w:t>
      </w:r>
      <w:r w:rsidRPr="009E22D8">
        <w:rPr>
          <w:color w:val="000000"/>
          <w:vertAlign w:val="superscript"/>
        </w:rPr>
        <w:t>-1</w:t>
      </w:r>
      <w:r>
        <w:t>).  Compared to the long-term average, in all regions I</w:t>
      </w:r>
      <w:r w:rsidRPr="001966E8">
        <w:rPr>
          <w:vertAlign w:val="subscript"/>
        </w:rPr>
        <w:t>d</w:t>
      </w:r>
      <w:r>
        <w:t xml:space="preserve"> was lower than the long-term average, except in Cape York where loggers were only deployed for some of the 2014-15 year as site visitation was reduced to once per year and loggers recorded only from October-March, when I</w:t>
      </w:r>
      <w:r w:rsidRPr="00684C2C">
        <w:rPr>
          <w:vertAlign w:val="subscript"/>
        </w:rPr>
        <w:t>d</w:t>
      </w:r>
      <w:r>
        <w:t xml:space="preserve"> is highest. Daily light for each site is presented in Appendix </w:t>
      </w:r>
      <w:r w:rsidR="00742146">
        <w:t>4</w:t>
      </w:r>
      <w:r>
        <w:t xml:space="preserve">. </w:t>
      </w:r>
    </w:p>
    <w:p w:rsidR="00E90FBD" w:rsidRPr="00323145" w:rsidRDefault="00E90FBD" w:rsidP="00E90FBD">
      <w:pPr>
        <w:rPr>
          <w:highlight w:val="yellow"/>
        </w:rPr>
      </w:pPr>
      <w:r w:rsidRPr="00A27999">
        <w:t>Threshold exceedance (number of days less than 5mol m</w:t>
      </w:r>
      <w:r w:rsidRPr="00A27999">
        <w:rPr>
          <w:vertAlign w:val="superscript"/>
        </w:rPr>
        <w:t>-2</w:t>
      </w:r>
      <w:r w:rsidRPr="00A27999">
        <w:t xml:space="preserve"> d</w:t>
      </w:r>
      <w:r w:rsidRPr="00A27999">
        <w:rPr>
          <w:vertAlign w:val="superscript"/>
        </w:rPr>
        <w:t>-1</w:t>
      </w:r>
      <w:r w:rsidRPr="00A27999">
        <w:t xml:space="preserve">, for northern </w:t>
      </w:r>
      <w:proofErr w:type="spellStart"/>
      <w:r w:rsidRPr="00A27999">
        <w:rPr>
          <w:i/>
        </w:rPr>
        <w:t>Halodule</w:t>
      </w:r>
      <w:proofErr w:type="spellEnd"/>
      <w:r w:rsidRPr="00A27999">
        <w:rPr>
          <w:i/>
        </w:rPr>
        <w:t xml:space="preserve"> </w:t>
      </w:r>
      <w:proofErr w:type="spellStart"/>
      <w:r w:rsidRPr="00A27999">
        <w:rPr>
          <w:i/>
        </w:rPr>
        <w:t>uninervis</w:t>
      </w:r>
      <w:proofErr w:type="spellEnd"/>
      <w:r w:rsidRPr="00A27999">
        <w:t xml:space="preserve"> dominated meadows </w:t>
      </w:r>
      <w:r w:rsidR="001458EF">
        <w:t>(</w:t>
      </w:r>
      <w:hyperlink w:anchor="_ENREF_68" w:tooltip="Collier, 2012 #9288" w:history="1">
        <w:r w:rsidR="00E6043D">
          <w:fldChar w:fldCharType="begin"/>
        </w:r>
        <w:r w:rsidR="00E6043D">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E6043D">
          <w:fldChar w:fldCharType="separate"/>
        </w:r>
        <w:r w:rsidR="00E6043D">
          <w:rPr>
            <w:noProof/>
          </w:rPr>
          <w:t>Collier</w:t>
        </w:r>
        <w:r w:rsidR="00E6043D" w:rsidRPr="002D0AC0">
          <w:rPr>
            <w:i/>
            <w:noProof/>
          </w:rPr>
          <w:t>, et al.</w:t>
        </w:r>
        <w:r w:rsidR="00E6043D">
          <w:rPr>
            <w:noProof/>
          </w:rPr>
          <w:t xml:space="preserve"> 2012b</w:t>
        </w:r>
        <w:r w:rsidR="00E6043D">
          <w:fldChar w:fldCharType="end"/>
        </w:r>
      </w:hyperlink>
      <w:r w:rsidR="001458EF">
        <w:t xml:space="preserve">) </w:t>
      </w:r>
      <w:r w:rsidRPr="00A27999">
        <w:t xml:space="preserve">and &lt;6 </w:t>
      </w:r>
      <w:proofErr w:type="spellStart"/>
      <w:r w:rsidRPr="00A27999">
        <w:t>mol</w:t>
      </w:r>
      <w:proofErr w:type="spellEnd"/>
      <w:r w:rsidRPr="00A27999">
        <w:t xml:space="preserve"> m</w:t>
      </w:r>
      <w:r w:rsidRPr="00A27999">
        <w:rPr>
          <w:vertAlign w:val="superscript"/>
        </w:rPr>
        <w:t>-2</w:t>
      </w:r>
      <w:r w:rsidRPr="00A27999">
        <w:t xml:space="preserve"> d</w:t>
      </w:r>
      <w:r w:rsidRPr="00A27999">
        <w:rPr>
          <w:vertAlign w:val="superscript"/>
        </w:rPr>
        <w:t>-1</w:t>
      </w:r>
      <w:r w:rsidRPr="00A27999">
        <w:t xml:space="preserve"> for southern </w:t>
      </w:r>
      <w:proofErr w:type="spellStart"/>
      <w:r w:rsidRPr="00A27999">
        <w:rPr>
          <w:i/>
        </w:rPr>
        <w:t>Zostera</w:t>
      </w:r>
      <w:proofErr w:type="spellEnd"/>
      <w:r w:rsidRPr="00A27999">
        <w:rPr>
          <w:i/>
        </w:rPr>
        <w:t xml:space="preserve"> </w:t>
      </w:r>
      <w:proofErr w:type="spellStart"/>
      <w:r w:rsidRPr="00A27999">
        <w:rPr>
          <w:i/>
        </w:rPr>
        <w:t>muelleri</w:t>
      </w:r>
      <w:proofErr w:type="spellEnd"/>
      <w:r w:rsidRPr="00A27999">
        <w:t xml:space="preserve"> dominated meadows</w:t>
      </w:r>
      <w:r w:rsidR="002D0AC0">
        <w:t xml:space="preserve"> (</w:t>
      </w:r>
      <w:hyperlink w:anchor="_ENREF_44" w:tooltip="Chartrand, 2016 #10720" w:history="1">
        <w:r w:rsidR="00E6043D">
          <w:fldChar w:fldCharType="begin">
            <w:fldData xml:space="preserve">PEVuZE5vdGU+PENpdGU+PEF1dGhvcj5DaGFydHJhbmQ8L0F1dGhvcj48WWVhcj4yMDE2PC9ZZWFy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</w:fldData>
          </w:fldChar>
        </w:r>
        <w:r w:rsidR="00E6043D">
          <w:instrText xml:space="preserve"> ADDIN EN.CITE </w:instrText>
        </w:r>
        <w:r w:rsidR="00E6043D">
          <w:fldChar w:fldCharType="begin">
            <w:fldData xml:space="preserve">PEVuZE5vdGU+PENpdGU+PEF1dGhvcj5DaGFydHJhbmQ8L0F1dGhvcj48WWVhcj4yMDE2PC9ZZWFy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</w:fldData>
          </w:fldChar>
        </w:r>
        <w:r w:rsidR="00E6043D">
          <w:instrText xml:space="preserve"> ADDIN EN.CITE.DATA </w:instrText>
        </w:r>
        <w:r w:rsidR="00E6043D">
          <w:fldChar w:fldCharType="end"/>
        </w:r>
        <w:r w:rsidR="00E6043D">
          <w:fldChar w:fldCharType="separate"/>
        </w:r>
        <w:r w:rsidR="00E6043D">
          <w:rPr>
            <w:noProof/>
          </w:rPr>
          <w:t>Chartrand</w:t>
        </w:r>
        <w:r w:rsidR="00E6043D" w:rsidRPr="002D0AC0">
          <w:rPr>
            <w:i/>
            <w:noProof/>
          </w:rPr>
          <w:t xml:space="preserve"> et al.</w:t>
        </w:r>
        <w:r w:rsidR="00E6043D">
          <w:rPr>
            <w:noProof/>
          </w:rPr>
          <w:t xml:space="preserve"> 2016</w:t>
        </w:r>
        <w:r w:rsidR="00E6043D">
          <w:fldChar w:fldCharType="end"/>
        </w:r>
      </w:hyperlink>
      <w:r w:rsidR="002D0AC0">
        <w:t>)</w:t>
      </w:r>
      <w:r w:rsidRPr="00A27999">
        <w:t xml:space="preserve">) </w:t>
      </w:r>
      <w:r>
        <w:t xml:space="preserve">for 2014-15 (20.0% of days) </w:t>
      </w:r>
      <w:r w:rsidRPr="00A27999">
        <w:t xml:space="preserve">was </w:t>
      </w:r>
      <w:r>
        <w:t>similar to</w:t>
      </w:r>
      <w:r w:rsidRPr="00A27999">
        <w:t xml:space="preserve"> the long-term average</w:t>
      </w:r>
      <w:r>
        <w:t xml:space="preserve"> (17.6% of days)</w:t>
      </w:r>
      <w:r w:rsidRPr="00A27999">
        <w:t xml:space="preserve">. </w:t>
      </w:r>
      <w:r>
        <w:t>The thresholds were exceeded the most frequently in the Burdekin (36% of days) followed by Mackay</w:t>
      </w:r>
      <w:r w:rsidR="000E0B2C">
        <w:t xml:space="preserve"> </w:t>
      </w:r>
      <w:r>
        <w:t>Whitsunday</w:t>
      </w:r>
      <w:r w:rsidR="000E0B2C">
        <w:t xml:space="preserve"> (25.7%), Burnett </w:t>
      </w:r>
      <w:r>
        <w:t xml:space="preserve">Mary (18.5%), Fitzroy (17.2%), Wet Tropics (13.8%), and the least often in Cape York (11.3%). </w:t>
      </w:r>
    </w:p>
    <w:p w:rsidR="00E90FBD" w:rsidRPr="00FB4913" w:rsidRDefault="00E90FBD" w:rsidP="00B518CD">
      <w:r w:rsidRPr="00AB79CF">
        <w:rPr>
          <w:color w:val="000000"/>
        </w:rPr>
        <w:t xml:space="preserve">Daily light in shallow habitats can be affected by water quality, cloudiness and the depth of the site, which affects the frequency and duration of exposure to full sunlight at low tide </w:t>
      </w:r>
      <w:r>
        <w:rPr>
          <w:color w:val="000000"/>
        </w:rPr>
        <w:t>(</w:t>
      </w:r>
      <w:r>
        <w:rPr>
          <w:color w:val="000000"/>
        </w:rPr>
        <w:fldChar w:fldCharType="begin"/>
      </w:r>
      <w:r w:rsidR="009A0520">
        <w:rPr>
          <w:color w:val="000000"/>
        </w:rPr>
        <w:instrText xml:space="preserve"> ADDIN EN.CITE &lt;EndNote&gt;&lt;Cite&gt;&lt;Author&gt;Anthony&lt;/Author&gt;&lt;Year&gt;2004&lt;/Year&gt;&lt;RecNum&gt;7409&lt;/RecNum&gt;&lt;DisplayText&gt;Anthony&lt;style face="italic"&gt; et al.&lt;/style&gt; 2004; Fabricius&lt;style face="italic"&gt; et al.&lt;/style&gt; 2012&lt;/DisplayText&gt;&lt;record&gt;&lt;rec-number&gt;7409&lt;/rec-number&gt;&lt;foreign-keys&gt;&lt;key app="EN" db-id="0eve55x9y5vfd6e9dacxtew4eatve2dzds9a"&gt;7409&lt;/key&gt;&lt;/foreign-keys&gt;&lt;ref-type name="Journal Article"&gt;17&lt;/ref-type&gt;&lt;contributors&gt;&lt;authors&gt;&lt;author&gt;Anthony, Kenneth R N&lt;/author&gt;&lt;author&gt;Ridd, Peter V&lt;/author&gt;&lt;author&gt;Orpin, Alan R.&lt;/author&gt;&lt;author&gt;Larcombe, Piers&lt;/author&gt;&lt;author&gt;Lough, Janice&lt;/author&gt;&lt;/authors&gt;&lt;/contributors&gt;&lt;titles&gt;&lt;title&gt;Temporal variation in light availability in coastal benthic habitats: Effects of clouds, turbidity, and tides&lt;/title&gt;&lt;secondary-title&gt;Limnology and Oceanography&lt;/secondary-title&gt;&lt;/titles&gt;&lt;periodical&gt;&lt;full-title&gt;Limnology and Oceanography&lt;/full-title&gt;&lt;/periodical&gt;&lt;pages&gt;2201-2211&lt;/pages&gt;&lt;volume&gt;49&lt;/volume&gt;&lt;number&gt;6&lt;/number&gt;&lt;dates&gt;&lt;year&gt;2004&lt;/year&gt;&lt;/dates&gt;&lt;urls&gt;&lt;/urls&gt;&lt;/record&gt;&lt;/Cite&gt;&lt;Cite&gt;&lt;Author&gt;Fabricius&lt;/Author&gt;&lt;Year&gt;2012&lt;/Year&gt;&lt;RecNum&gt;9294&lt;/RecNum&gt;&lt;record&gt;&lt;rec-number&gt;9294&lt;/rec-number&gt;&lt;foreign-keys&gt;&lt;key app="EN" db-id="0eve55x9y5vfd6e9dacxtew4eatve2dzds9a"&gt;9294&lt;/key&gt;&lt;/foreign-keys&gt;&lt;ref-type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Science&lt;/full-title&gt;&lt;/periodical&gt;&lt;pages&gt;458-470&lt;/pages&gt;&lt;volume&gt;3&lt;/volume&gt;&lt;dates&gt;&lt;year&gt;2012&lt;/year&gt;&lt;/dates&gt;&lt;urls&gt;&lt;/urls&gt;&lt;/record&gt;&lt;/Cite&gt;&lt;/EndNote&gt;</w:instrText>
      </w:r>
      <w:r>
        <w:rPr>
          <w:color w:val="000000"/>
        </w:rPr>
        <w:fldChar w:fldCharType="separate"/>
      </w:r>
      <w:hyperlink w:anchor="_ENREF_6" w:tooltip="Anthony, 2004 #7409" w:history="1">
        <w:r w:rsidR="00E6043D">
          <w:rPr>
            <w:noProof/>
            <w:color w:val="000000"/>
          </w:rPr>
          <w:t>Anthony</w:t>
        </w:r>
        <w:r w:rsidR="00E6043D" w:rsidRPr="00644A84">
          <w:rPr>
            <w:i/>
            <w:noProof/>
            <w:color w:val="000000"/>
          </w:rPr>
          <w:t xml:space="preserve"> et al.</w:t>
        </w:r>
        <w:r w:rsidR="00E6043D">
          <w:rPr>
            <w:noProof/>
            <w:color w:val="000000"/>
          </w:rPr>
          <w:t xml:space="preserve"> 2004</w:t>
        </w:r>
      </w:hyperlink>
      <w:r>
        <w:rPr>
          <w:noProof/>
          <w:color w:val="000000"/>
        </w:rPr>
        <w:t xml:space="preserve">; </w:t>
      </w:r>
      <w:hyperlink w:anchor="_ENREF_103" w:tooltip="Fabricius, 2012 #9294" w:history="1">
        <w:r w:rsidR="00E6043D">
          <w:rPr>
            <w:noProof/>
            <w:color w:val="000000"/>
          </w:rPr>
          <w:t>Fabricius</w:t>
        </w:r>
        <w:r w:rsidR="00E6043D" w:rsidRPr="00644A84">
          <w:rPr>
            <w:i/>
            <w:noProof/>
            <w:color w:val="000000"/>
          </w:rPr>
          <w:t xml:space="preserve"> et al.</w:t>
        </w:r>
        <w:r w:rsidR="00E6043D">
          <w:rPr>
            <w:noProof/>
            <w:color w:val="000000"/>
          </w:rPr>
          <w:t xml:space="preserve"> 2012</w:t>
        </w:r>
      </w:hyperlink>
      <w:r>
        <w:rPr>
          <w:color w:val="000000"/>
        </w:rPr>
        <w:fldChar w:fldCharType="end"/>
      </w:r>
      <w:r w:rsidRPr="00D95CFC">
        <w:rPr>
          <w:color w:val="000000"/>
        </w:rPr>
        <w:t>); however, the differences in I</w:t>
      </w:r>
      <w:r w:rsidRPr="00D95CFC">
        <w:rPr>
          <w:color w:val="000000"/>
          <w:vertAlign w:val="subscript"/>
        </w:rPr>
        <w:t>d</w:t>
      </w:r>
      <w:r w:rsidRPr="00D95CFC">
        <w:rPr>
          <w:color w:val="000000"/>
        </w:rPr>
        <w:t xml:space="preserve"> among seagrass meadows is largely a reflection of site-specific differences in water quality as outlined in earlier reports (</w:t>
      </w:r>
      <w:hyperlink w:anchor="_ENREF_166" w:tooltip="McKenzie, 2015 #10304" w:history="1">
        <w:r w:rsidR="00E6043D">
          <w:rPr>
            <w:color w:val="000000"/>
          </w:rPr>
          <w:fldChar w:fldCharType="begin"/>
        </w:r>
        <w:r w:rsidR="00E6043D">
          <w:rPr>
            <w:color w:val="000000"/>
          </w:rPr>
          <w:instrText xml:space="preserve"> ADDIN EN.CITE &lt;EndNote&gt;&lt;Cite&gt;&lt;Author&gt;McKenzie&lt;/Author&gt;&lt;Year&gt;2015&lt;/Year&gt;&lt;RecNum&gt;10304&lt;/RecNum&gt;&lt;DisplayText&gt;McKenzie&lt;style face="italic"&gt;, et al.&lt;/style&gt; 2015&lt;/DisplayText&gt;&lt;record&gt;&lt;rec-number&gt;10304&lt;/rec-number&gt;&lt;foreign-keys&gt;&lt;key app="EN" db-id="0eve55x9y5vfd6e9dacxtew4eatve2dzds9a"&gt;10304&lt;/key&gt;&lt;/foreign-keys&gt;&lt;ref-type name="Book"&gt;6&lt;/ref-type&gt;&lt;contributors&gt;&lt;authors&gt;&lt;author&gt;McKenzie, Len J&lt;/author&gt;&lt;author&gt;Collier, Catherine&lt;/author&gt;&lt;author&gt;Langlois, Lucas&lt;/author&gt;&lt;author&gt;Yoshida, Rudi&lt;/author&gt;&lt;author&gt;Smith, Naomi&lt;/author&gt;&lt;author&gt;Waycott, Michelle&lt;/author&gt;&lt;/authors&gt;&lt;/contributors&gt;&lt;titles&gt;&lt;title&gt;Reef Rescue Marine Monitoring Program - Inshore Seagrass, Annual Report for the sampling period 1st June 2013 – 31st May 2014&lt;/title&gt;&lt;/titles&gt;&lt;pages&gt;226&lt;/pages&gt;&lt;dates&gt;&lt;year&gt;2015&lt;/year&gt;&lt;/dates&gt;&lt;pub-location&gt;Cairns&lt;/pub-location&gt;&lt;publisher&gt;TropWATER, James Cook University&lt;/publisher&gt;&lt;urls&gt;&lt;/urls&gt;&lt;/record&gt;&lt;/Cite&gt;&lt;/EndNote&gt;</w:instrText>
        </w:r>
        <w:r w:rsidR="00E6043D">
          <w:rPr>
            <w:color w:val="000000"/>
          </w:rPr>
          <w:fldChar w:fldCharType="separate"/>
        </w:r>
        <w:r w:rsidR="00E6043D">
          <w:rPr>
            <w:noProof/>
            <w:color w:val="000000"/>
          </w:rPr>
          <w:t>McKenzie</w:t>
        </w:r>
        <w:r w:rsidR="00E6043D" w:rsidRPr="00D821F1">
          <w:rPr>
            <w:i/>
            <w:noProof/>
            <w:color w:val="000000"/>
          </w:rPr>
          <w:t>, et al.</w:t>
        </w:r>
        <w:r w:rsidR="00E6043D">
          <w:rPr>
            <w:noProof/>
            <w:color w:val="000000"/>
          </w:rPr>
          <w:t xml:space="preserve"> 2015</w:t>
        </w:r>
        <w:r w:rsidR="00E6043D">
          <w:rPr>
            <w:color w:val="000000"/>
          </w:rPr>
          <w:fldChar w:fldCharType="end"/>
        </w:r>
      </w:hyperlink>
      <w:r w:rsidRPr="00D95CFC">
        <w:rPr>
          <w:color w:val="000000"/>
        </w:rPr>
        <w:t>). Turbidity and chlorophyll monitoring is no longer in place at seagrass sites. However, flood plume mapping (</w:t>
      </w:r>
      <w:hyperlink w:anchor="_ENREF_94" w:tooltip="Devlin, 2015 #10405" w:history="1">
        <w:r w:rsidR="00E6043D">
          <w:rPr>
            <w:color w:val="000000"/>
          </w:rPr>
          <w:fldChar w:fldCharType="begin"/>
        </w:r>
        <w:r w:rsidR="00E6043D">
          <w:rPr>
            <w:color w:val="000000"/>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043D">
          <w:rPr>
            <w:color w:val="000000"/>
          </w:rPr>
          <w:fldChar w:fldCharType="separate"/>
        </w:r>
        <w:r w:rsidR="00E6043D">
          <w:rPr>
            <w:noProof/>
            <w:color w:val="000000"/>
          </w:rPr>
          <w:t>Devlin</w:t>
        </w:r>
        <w:r w:rsidR="00E6043D" w:rsidRPr="00644A84">
          <w:rPr>
            <w:i/>
            <w:noProof/>
            <w:color w:val="000000"/>
          </w:rPr>
          <w:t>, et al.</w:t>
        </w:r>
        <w:r w:rsidR="00E6043D">
          <w:rPr>
            <w:noProof/>
            <w:color w:val="000000"/>
          </w:rPr>
          <w:t xml:space="preserve"> 2015</w:t>
        </w:r>
        <w:r w:rsidR="00E6043D">
          <w:rPr>
            <w:color w:val="000000"/>
          </w:rPr>
          <w:fldChar w:fldCharType="end"/>
        </w:r>
      </w:hyperlink>
      <w:r w:rsidRPr="00D95CFC">
        <w:rPr>
          <w:color w:val="000000"/>
        </w:rPr>
        <w:t>), is used to derive water type exposure at seagrass sites and frequency of exposure</w:t>
      </w:r>
      <w:r>
        <w:rPr>
          <w:color w:val="000000"/>
        </w:rPr>
        <w:t xml:space="preserve"> to flood plume waters can be a predictor of changes in seagrass abundance (see case study 2). </w:t>
      </w:r>
    </w:p>
    <w:p w:rsidR="00B518CD" w:rsidRPr="009E22D8" w:rsidRDefault="00B518CD" w:rsidP="00B518CD">
      <w:pPr>
        <w:keepNext/>
        <w:widowControl w:val="0"/>
        <w:spacing w:before="0" w:after="0"/>
        <w:jc w:val="center"/>
        <w:rPr>
          <w:noProof/>
          <w:color w:val="000000"/>
          <w:szCs w:val="22"/>
          <w:lang w:eastAsia="en-AU"/>
        </w:rPr>
      </w:pPr>
      <w:r w:rsidRPr="00D05CE6">
        <w:rPr>
          <w:noProof/>
          <w:color w:val="000000"/>
          <w:szCs w:val="22"/>
          <w:lang w:eastAsia="en-AU"/>
        </w:rPr>
        <w:drawing>
          <wp:inline distT="0" distB="0" distL="0" distR="0" wp14:anchorId="3E5FCE1B" wp14:editId="7C72BF2A">
            <wp:extent cx="2878455" cy="3166745"/>
            <wp:effectExtent l="0" t="0" r="0" b="0"/>
            <wp:docPr id="10145" name="Picture 10145" descr="Graphs showing average daily light for coastal, estuarine, reef intertidal, and reef subtidal sites including the long-term average and the value for the 2014-15 reporting perio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ean Light and annual av by region"/>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878455" cy="3166745"/>
                    </a:xfrm>
                    <a:prstGeom prst="rect">
                      <a:avLst/>
                    </a:prstGeom>
                    <a:noFill/>
                    <a:ln>
                      <a:noFill/>
                    </a:ln>
                  </pic:spPr>
                </pic:pic>
              </a:graphicData>
            </a:graphic>
          </wp:inline>
        </w:drawing>
      </w:r>
      <w:r w:rsidRPr="00D05CE6">
        <w:rPr>
          <w:noProof/>
          <w:color w:val="000000"/>
          <w:szCs w:val="22"/>
          <w:lang w:eastAsia="en-AU"/>
        </w:rPr>
        <w:drawing>
          <wp:inline distT="0" distB="0" distL="0" distR="0" wp14:anchorId="591CBAE6" wp14:editId="3E3AE125">
            <wp:extent cx="2853055" cy="3141345"/>
            <wp:effectExtent l="0" t="0" r="0" b="1905"/>
            <wp:docPr id="10146" name="Picture 10146" descr="Graphs showing thresholds exceeded (% days) for coastal, estuarine, reef intertidal, and reef subtidal sites including the long-term average and the value for the 2014-15 reporting perio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Light thresholds and annual av by region"/>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53055" cy="3141345"/>
                    </a:xfrm>
                    <a:prstGeom prst="rect">
                      <a:avLst/>
                    </a:prstGeom>
                    <a:noFill/>
                    <a:ln>
                      <a:noFill/>
                    </a:ln>
                  </pic:spPr>
                </pic:pic>
              </a:graphicData>
            </a:graphic>
          </wp:inline>
        </w:drawing>
      </w:r>
    </w:p>
    <w:p w:rsidR="00B518CD" w:rsidRPr="00925EA1" w:rsidRDefault="00B518CD" w:rsidP="00B518CD">
      <w:pPr>
        <w:rPr>
          <w:i/>
          <w:vanish/>
          <w:color w:val="000000"/>
          <w:specVanish/>
        </w:rPr>
      </w:pPr>
      <w:bookmarkStart w:id="147" w:name="_Ref442455429"/>
      <w:bookmarkStart w:id="148" w:name="_Ref314216401"/>
      <w:bookmarkStart w:id="149" w:name="_Toc462684850"/>
      <w:r w:rsidRPr="009E22D8">
        <w:t xml:space="preserve">Figure </w:t>
      </w:r>
      <w:fldSimple w:instr=" SEQ Figure \* ARABIC ">
        <w:r w:rsidR="009C068F">
          <w:rPr>
            <w:noProof/>
          </w:rPr>
          <w:t>10</w:t>
        </w:r>
      </w:fldSimple>
      <w:bookmarkEnd w:id="147"/>
      <w:r w:rsidRPr="009E22D8">
        <w:t xml:space="preserve">. </w:t>
      </w:r>
      <w:r w:rsidRPr="00925EA1">
        <w:rPr>
          <w:i/>
        </w:rPr>
        <w:t>Average daily light</w:t>
      </w:r>
      <w:r>
        <w:rPr>
          <w:i/>
        </w:rPr>
        <w:t xml:space="preserve"> (left-hand panels)</w:t>
      </w:r>
      <w:r w:rsidRPr="00925EA1">
        <w:rPr>
          <w:i/>
        </w:rPr>
        <w:t xml:space="preserve"> </w:t>
      </w:r>
      <w:r>
        <w:rPr>
          <w:i/>
        </w:rPr>
        <w:t xml:space="preserve">and thresholds exceeded (% days, right-hand panels) </w:t>
      </w:r>
      <w:r w:rsidRPr="00925EA1">
        <w:rPr>
          <w:i/>
        </w:rPr>
        <w:t>for</w:t>
      </w:r>
      <w:r>
        <w:rPr>
          <w:i/>
        </w:rPr>
        <w:t xml:space="preserve"> coastal, estuarine, reef intertidal, and reef subtidal</w:t>
      </w:r>
      <w:r w:rsidRPr="00925EA1">
        <w:rPr>
          <w:i/>
        </w:rPr>
        <w:t xml:space="preserve"> sites including the long-term average and the value for the 201</w:t>
      </w:r>
      <w:r>
        <w:rPr>
          <w:i/>
        </w:rPr>
        <w:t>4</w:t>
      </w:r>
      <w:r w:rsidRPr="00925EA1">
        <w:rPr>
          <w:i/>
        </w:rPr>
        <w:t>-1</w:t>
      </w:r>
      <w:r>
        <w:rPr>
          <w:i/>
        </w:rPr>
        <w:t>5</w:t>
      </w:r>
      <w:r w:rsidRPr="00925EA1">
        <w:rPr>
          <w:i/>
        </w:rPr>
        <w:t xml:space="preserve"> reporting period.</w:t>
      </w:r>
      <w:bookmarkEnd w:id="148"/>
      <w:bookmarkEnd w:id="149"/>
      <w:r w:rsidRPr="00925EA1">
        <w:rPr>
          <w:i/>
        </w:rPr>
        <w:t xml:space="preserve"> </w:t>
      </w:r>
    </w:p>
    <w:p w:rsidR="00B518CD" w:rsidRPr="00925EA1" w:rsidRDefault="00B518CD" w:rsidP="00B518CD">
      <w:pPr>
        <w:rPr>
          <w:i/>
        </w:rPr>
      </w:pPr>
      <w:r w:rsidRPr="00925EA1">
        <w:rPr>
          <w:i/>
        </w:rPr>
        <w:t xml:space="preserve">NRM regions: WT= Wet Tropics, BDT = Burdekin; M-W = Mackay Whitsunday; F = Fitzroy; BM = Burnett Mary. </w:t>
      </w:r>
    </w:p>
    <w:p w:rsidR="00B518CD" w:rsidRDefault="00B518CD" w:rsidP="00B518CD">
      <w:r w:rsidRPr="0016562E">
        <w:t xml:space="preserve">Long-term trends demonstrate that the peak in canopy light occurs in September to December as </w:t>
      </w:r>
      <w:r w:rsidRPr="00D95CFC">
        <w:t>incident solar irradiation reaches its maximum (</w:t>
      </w:r>
      <w:r w:rsidR="00742146" w:rsidRPr="00D95CFC">
        <w:fldChar w:fldCharType="begin"/>
      </w:r>
      <w:r w:rsidR="00742146" w:rsidRPr="00D95CFC">
        <w:instrText xml:space="preserve"> REF _Ref442455578 \h </w:instrText>
      </w:r>
      <w:r w:rsidR="00D95CFC">
        <w:instrText xml:space="preserve"> \* MERGEFORMAT </w:instrText>
      </w:r>
      <w:r w:rsidR="00742146" w:rsidRPr="00D95CFC">
        <w:fldChar w:fldCharType="separate"/>
      </w:r>
      <w:r w:rsidR="009C068F" w:rsidRPr="001817AD">
        <w:rPr>
          <w:color w:val="000000"/>
        </w:rPr>
        <w:t xml:space="preserve">Figure </w:t>
      </w:r>
      <w:r w:rsidR="009C068F">
        <w:rPr>
          <w:noProof/>
          <w:color w:val="000000"/>
        </w:rPr>
        <w:t>11</w:t>
      </w:r>
      <w:r w:rsidR="00742146" w:rsidRPr="00D95CFC">
        <w:fldChar w:fldCharType="end"/>
      </w:r>
      <w:r w:rsidR="00742146" w:rsidRPr="00D95CFC">
        <w:t>a</w:t>
      </w:r>
      <w:r w:rsidRPr="00D95CFC">
        <w:t>). In 2014-15 the highest light levels were reached in October 2014. The lowest light levels occur in the wet season and through winter, in particular during January to April. The GAM model has an improved level of prediction with habitat</w:t>
      </w:r>
      <w:r>
        <w:t xml:space="preserve"> </w:t>
      </w:r>
      <w:r w:rsidR="00742146" w:rsidRPr="0016562E">
        <w:t>(</w:t>
      </w:r>
      <w:r w:rsidR="00742146">
        <w:fldChar w:fldCharType="begin"/>
      </w:r>
      <w:r w:rsidR="00742146">
        <w:instrText xml:space="preserve"> REF _Ref442455578 \h </w:instrText>
      </w:r>
      <w:r w:rsidR="00742146">
        <w:fldChar w:fldCharType="separate"/>
      </w:r>
      <w:r w:rsidR="009C068F" w:rsidRPr="001817AD">
        <w:rPr>
          <w:color w:val="000000"/>
        </w:rPr>
        <w:t xml:space="preserve">Figure </w:t>
      </w:r>
      <w:r w:rsidR="009C068F">
        <w:rPr>
          <w:noProof/>
          <w:color w:val="000000"/>
        </w:rPr>
        <w:t>11</w:t>
      </w:r>
      <w:r w:rsidR="00742146">
        <w:fldChar w:fldCharType="end"/>
      </w:r>
      <w:r w:rsidR="00742146">
        <w:t>b</w:t>
      </w:r>
      <w:r w:rsidR="00742146" w:rsidRPr="0016562E">
        <w:t>)</w:t>
      </w:r>
      <w:r w:rsidR="00742146">
        <w:t xml:space="preserve"> </w:t>
      </w:r>
      <w:r>
        <w:t xml:space="preserve">(Appendix </w:t>
      </w:r>
      <w:r w:rsidR="00742146">
        <w:t>5</w:t>
      </w:r>
      <w:r>
        <w:t>), and so further detail on I</w:t>
      </w:r>
      <w:r w:rsidRPr="002B25EF">
        <w:rPr>
          <w:vertAlign w:val="subscript"/>
        </w:rPr>
        <w:t>d</w:t>
      </w:r>
      <w:r>
        <w:t xml:space="preserve"> within each habitat and </w:t>
      </w:r>
      <w:r w:rsidR="00742146">
        <w:t xml:space="preserve">NRM </w:t>
      </w:r>
      <w:r>
        <w:t xml:space="preserve">region is </w:t>
      </w:r>
      <w:r w:rsidR="00742146">
        <w:t>given in the following sections</w:t>
      </w:r>
      <w:r>
        <w:t xml:space="preserve">. </w:t>
      </w:r>
    </w:p>
    <w:p w:rsidR="00B518CD" w:rsidRPr="004713CA" w:rsidRDefault="00B518CD" w:rsidP="00B518CD">
      <w:pPr>
        <w:keepNext/>
        <w:widowControl w:val="0"/>
        <w:tabs>
          <w:tab w:val="left" w:pos="567"/>
          <w:tab w:val="left" w:pos="4962"/>
        </w:tabs>
        <w:spacing w:before="0" w:after="0"/>
        <w:rPr>
          <w:b/>
        </w:rPr>
      </w:pPr>
      <w:r w:rsidRPr="004713CA">
        <w:rPr>
          <w:b/>
        </w:rPr>
        <w:tab/>
      </w:r>
      <w:proofErr w:type="gramStart"/>
      <w:r w:rsidRPr="004713CA">
        <w:rPr>
          <w:b/>
        </w:rPr>
        <w:t>a</w:t>
      </w:r>
      <w:proofErr w:type="gramEnd"/>
      <w:r w:rsidRPr="004713CA">
        <w:rPr>
          <w:b/>
        </w:rPr>
        <w:t>.</w:t>
      </w:r>
      <w:r w:rsidRPr="004713CA">
        <w:rPr>
          <w:b/>
        </w:rPr>
        <w:tab/>
        <w:t>b.</w:t>
      </w:r>
    </w:p>
    <w:p w:rsidR="00B518CD" w:rsidRPr="0016562E" w:rsidRDefault="00B518CD" w:rsidP="007B0A21">
      <w:pPr>
        <w:spacing w:before="0"/>
      </w:pPr>
      <w:r>
        <w:rPr>
          <w:noProof/>
          <w:lang w:eastAsia="en-AU"/>
        </w:rPr>
        <w:drawing>
          <wp:inline distT="0" distB="0" distL="0" distR="0" wp14:anchorId="73DC2F3D" wp14:editId="610D3F74">
            <wp:extent cx="5759450" cy="1971675"/>
            <wp:effectExtent l="0" t="0" r="0" b="9525"/>
            <wp:docPr id="11" name="Picture 11" descr="Two graphs, one showing daily light for all sites combined and the other GBR-wide trend (GAM plot) in daily light for each habitat from 2008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BR wide GAM and 28d av 19Jan2016-01.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759450" cy="1971675"/>
                    </a:xfrm>
                    <a:prstGeom prst="rect">
                      <a:avLst/>
                    </a:prstGeom>
                  </pic:spPr>
                </pic:pic>
              </a:graphicData>
            </a:graphic>
          </wp:inline>
        </w:drawing>
      </w:r>
    </w:p>
    <w:p w:rsidR="00B518CD" w:rsidRPr="00742146" w:rsidRDefault="00B518CD" w:rsidP="00B518CD">
      <w:pPr>
        <w:rPr>
          <w:i/>
          <w:color w:val="000000"/>
        </w:rPr>
      </w:pPr>
      <w:bookmarkStart w:id="150" w:name="_Ref442455578"/>
      <w:bookmarkStart w:id="151" w:name="_Toc462684851"/>
      <w:r w:rsidRPr="001817AD">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11</w:t>
      </w:r>
      <w:r w:rsidR="0073595B">
        <w:rPr>
          <w:color w:val="000000"/>
        </w:rPr>
        <w:fldChar w:fldCharType="end"/>
      </w:r>
      <w:bookmarkEnd w:id="150"/>
      <w:r w:rsidRPr="001817AD">
        <w:rPr>
          <w:color w:val="000000"/>
        </w:rPr>
        <w:t xml:space="preserve">. </w:t>
      </w:r>
      <w:r w:rsidRPr="00742146">
        <w:rPr>
          <w:i/>
        </w:rPr>
        <w:t xml:space="preserve">Daily light for all sites combined and </w:t>
      </w:r>
      <w:r w:rsidRPr="00742146">
        <w:rPr>
          <w:i/>
          <w:color w:val="000000"/>
        </w:rPr>
        <w:t>GBR-wide trend (GAM plot) in daily light for each habitat from 2008 to 2015.</w:t>
      </w:r>
      <w:bookmarkEnd w:id="151"/>
      <w:r w:rsidRPr="00742146">
        <w:rPr>
          <w:i/>
          <w:color w:val="000000"/>
        </w:rPr>
        <w:t xml:space="preserve"> </w:t>
      </w:r>
    </w:p>
    <w:p w:rsidR="009817B8" w:rsidRPr="00BA12BB" w:rsidRDefault="009817B8" w:rsidP="009817B8">
      <w:pPr>
        <w:pStyle w:val="Heading3"/>
        <w:numPr>
          <w:ilvl w:val="2"/>
          <w:numId w:val="9"/>
        </w:numPr>
        <w:rPr>
          <w:rFonts w:ascii="Arial" w:hAnsi="Arial" w:cs="Arial"/>
          <w:szCs w:val="26"/>
        </w:rPr>
      </w:pPr>
      <w:bookmarkStart w:id="152" w:name="_Toc462047334"/>
      <w:r>
        <w:rPr>
          <w:rFonts w:ascii="Arial" w:hAnsi="Arial" w:cs="Arial"/>
          <w:szCs w:val="26"/>
        </w:rPr>
        <w:lastRenderedPageBreak/>
        <w:t>Indicators of seagrass condition</w:t>
      </w:r>
      <w:bookmarkEnd w:id="152"/>
    </w:p>
    <w:p w:rsidR="00B518CD" w:rsidRPr="00713BAE" w:rsidRDefault="00B518CD" w:rsidP="00B518CD">
      <w:pPr>
        <w:spacing w:after="0"/>
        <w:rPr>
          <w:rFonts w:cs="TimesNewRoman"/>
          <w:szCs w:val="22"/>
        </w:rPr>
      </w:pPr>
      <w:r w:rsidRPr="00713BAE">
        <w:rPr>
          <w:rFonts w:cs="TimesNewRoman"/>
          <w:szCs w:val="22"/>
        </w:rPr>
        <w:t xml:space="preserve">In the 2014-15 monitoring period, although </w:t>
      </w:r>
      <w:r w:rsidRPr="00713BAE">
        <w:rPr>
          <w:szCs w:val="22"/>
        </w:rPr>
        <w:t>t</w:t>
      </w:r>
      <w:r w:rsidRPr="00713BAE">
        <w:rPr>
          <w:rFonts w:cs="TimesNewRoman"/>
          <w:szCs w:val="22"/>
        </w:rPr>
        <w:t xml:space="preserve">he overall </w:t>
      </w:r>
      <w:r w:rsidRPr="00713BAE">
        <w:rPr>
          <w:szCs w:val="22"/>
        </w:rPr>
        <w:t>seagrass abundance</w:t>
      </w:r>
      <w:r w:rsidRPr="00713BAE">
        <w:rPr>
          <w:rFonts w:cs="TimesNewRoman"/>
          <w:szCs w:val="22"/>
        </w:rPr>
        <w:t xml:space="preserve"> score improved (</w:t>
      </w:r>
      <w:r w:rsidRPr="00713BAE">
        <w:rPr>
          <w:rFonts w:cs="TimesNewRoman"/>
          <w:szCs w:val="22"/>
        </w:rPr>
        <w:fldChar w:fldCharType="begin"/>
      </w:r>
      <w:r w:rsidRPr="00713BAE">
        <w:rPr>
          <w:rFonts w:cs="TimesNewRoman"/>
          <w:szCs w:val="22"/>
        </w:rPr>
        <w:instrText xml:space="preserve"> REF _Ref382139194 \h  \* MERGEFORMAT </w:instrText>
      </w:r>
      <w:r w:rsidRPr="00713BAE">
        <w:rPr>
          <w:rFonts w:cs="TimesNewRoman"/>
          <w:szCs w:val="22"/>
        </w:rPr>
      </w:r>
      <w:r w:rsidRPr="00713BAE">
        <w:rPr>
          <w:rFonts w:cs="TimesNewRoman"/>
          <w:szCs w:val="22"/>
        </w:rPr>
        <w:fldChar w:fldCharType="separate"/>
      </w:r>
      <w:r w:rsidR="009C068F" w:rsidRPr="009C068F">
        <w:rPr>
          <w:szCs w:val="22"/>
        </w:rPr>
        <w:t xml:space="preserve">Figure </w:t>
      </w:r>
      <w:r w:rsidR="009C068F" w:rsidRPr="009C068F">
        <w:rPr>
          <w:noProof/>
          <w:szCs w:val="22"/>
        </w:rPr>
        <w:t>4</w:t>
      </w:r>
      <w:r w:rsidRPr="00713BAE">
        <w:rPr>
          <w:rFonts w:cs="TimesNewRoman"/>
          <w:szCs w:val="22"/>
        </w:rPr>
        <w:fldChar w:fldCharType="end"/>
      </w:r>
      <w:r w:rsidRPr="00713BAE">
        <w:rPr>
          <w:rFonts w:cs="TimesNewRoman"/>
          <w:szCs w:val="22"/>
        </w:rPr>
        <w:t>), 6</w:t>
      </w:r>
      <w:r w:rsidR="00713BAE" w:rsidRPr="00713BAE">
        <w:rPr>
          <w:rFonts w:cs="TimesNewRoman"/>
          <w:szCs w:val="22"/>
        </w:rPr>
        <w:t>2</w:t>
      </w:r>
      <w:r w:rsidRPr="00713BAE">
        <w:rPr>
          <w:rFonts w:cs="TimesNewRoman"/>
          <w:szCs w:val="22"/>
        </w:rPr>
        <w:t xml:space="preserve">% of the MMP sites examined remained classified as poor or very poor in abundance (below the guidelines) </w:t>
      </w:r>
      <w:r w:rsidRPr="00713BAE">
        <w:rPr>
          <w:szCs w:val="22"/>
        </w:rPr>
        <w:t>in 20</w:t>
      </w:r>
      <w:r w:rsidR="00713BAE" w:rsidRPr="00713BAE">
        <w:rPr>
          <w:szCs w:val="22"/>
        </w:rPr>
        <w:t>14-</w:t>
      </w:r>
      <w:r w:rsidRPr="00713BAE">
        <w:rPr>
          <w:szCs w:val="22"/>
        </w:rPr>
        <w:t>15,</w:t>
      </w:r>
      <w:r w:rsidRPr="00713BAE">
        <w:rPr>
          <w:rFonts w:cs="TimesNewRoman"/>
          <w:szCs w:val="22"/>
        </w:rPr>
        <w:t xml:space="preserve"> with an annual average abundance (all sites and sampling events) of 1</w:t>
      </w:r>
      <w:r w:rsidR="00713BAE" w:rsidRPr="00713BAE">
        <w:rPr>
          <w:rFonts w:cs="TimesNewRoman"/>
          <w:szCs w:val="22"/>
        </w:rPr>
        <w:t>3</w:t>
      </w:r>
      <w:r w:rsidRPr="00713BAE">
        <w:rPr>
          <w:rFonts w:cs="TimesNewRoman"/>
          <w:szCs w:val="22"/>
        </w:rPr>
        <w:t>.3 ±1.</w:t>
      </w:r>
      <w:r w:rsidR="00713BAE" w:rsidRPr="00713BAE">
        <w:rPr>
          <w:rFonts w:cs="TimesNewRoman"/>
          <w:szCs w:val="22"/>
        </w:rPr>
        <w:t>5</w:t>
      </w:r>
      <w:r w:rsidRPr="00713BAE">
        <w:rPr>
          <w:rFonts w:cs="TimesNewRoman"/>
          <w:szCs w:val="22"/>
        </w:rPr>
        <w:t>% for estuarine, 1</w:t>
      </w:r>
      <w:r w:rsidR="00713BAE" w:rsidRPr="00713BAE">
        <w:rPr>
          <w:rFonts w:cs="TimesNewRoman"/>
          <w:szCs w:val="22"/>
        </w:rPr>
        <w:t>3</w:t>
      </w:r>
      <w:r w:rsidRPr="00713BAE">
        <w:rPr>
          <w:rFonts w:cs="TimesNewRoman"/>
          <w:szCs w:val="22"/>
        </w:rPr>
        <w:t>.</w:t>
      </w:r>
      <w:r w:rsidR="00713BAE" w:rsidRPr="00713BAE">
        <w:rPr>
          <w:rFonts w:cs="TimesNewRoman"/>
          <w:szCs w:val="22"/>
        </w:rPr>
        <w:t>0</w:t>
      </w:r>
      <w:r w:rsidRPr="00713BAE">
        <w:rPr>
          <w:rFonts w:cs="TimesNewRoman"/>
          <w:szCs w:val="22"/>
        </w:rPr>
        <w:t> ±1.</w:t>
      </w:r>
      <w:r w:rsidR="00713BAE" w:rsidRPr="00713BAE">
        <w:rPr>
          <w:rFonts w:cs="TimesNewRoman"/>
          <w:szCs w:val="22"/>
        </w:rPr>
        <w:t>5</w:t>
      </w:r>
      <w:r w:rsidRPr="00713BAE">
        <w:rPr>
          <w:rFonts w:cs="TimesNewRoman"/>
          <w:szCs w:val="22"/>
        </w:rPr>
        <w:t>% for coastal, 1</w:t>
      </w:r>
      <w:r w:rsidR="00713BAE" w:rsidRPr="00713BAE">
        <w:rPr>
          <w:rFonts w:cs="TimesNewRoman"/>
          <w:szCs w:val="22"/>
        </w:rPr>
        <w:t>5.2</w:t>
      </w:r>
      <w:r w:rsidRPr="00713BAE">
        <w:rPr>
          <w:rFonts w:cs="TimesNewRoman"/>
          <w:szCs w:val="22"/>
        </w:rPr>
        <w:t> ±1.</w:t>
      </w:r>
      <w:r w:rsidR="00713BAE" w:rsidRPr="00713BAE">
        <w:rPr>
          <w:rFonts w:cs="TimesNewRoman"/>
          <w:szCs w:val="22"/>
        </w:rPr>
        <w:t>7</w:t>
      </w:r>
      <w:r w:rsidRPr="00713BAE">
        <w:rPr>
          <w:rFonts w:cs="TimesNewRoman"/>
          <w:szCs w:val="22"/>
        </w:rPr>
        <w:t>% for reef and 21.</w:t>
      </w:r>
      <w:r w:rsidR="00713BAE" w:rsidRPr="00713BAE">
        <w:rPr>
          <w:rFonts w:cs="TimesNewRoman"/>
          <w:szCs w:val="22"/>
        </w:rPr>
        <w:t>1</w:t>
      </w:r>
      <w:r w:rsidRPr="00713BAE">
        <w:rPr>
          <w:rFonts w:cs="TimesNewRoman"/>
          <w:szCs w:val="22"/>
        </w:rPr>
        <w:t> ±2.</w:t>
      </w:r>
      <w:r w:rsidR="00713BAE" w:rsidRPr="00713BAE">
        <w:rPr>
          <w:rFonts w:cs="TimesNewRoman"/>
          <w:szCs w:val="22"/>
        </w:rPr>
        <w:t>4</w:t>
      </w:r>
      <w:r w:rsidRPr="00713BAE">
        <w:rPr>
          <w:rFonts w:cs="TimesNewRoman"/>
          <w:szCs w:val="22"/>
        </w:rPr>
        <w:t>% for subtidal reef.</w:t>
      </w:r>
    </w:p>
    <w:p w:rsidR="00B518CD" w:rsidRDefault="00B518CD" w:rsidP="00B518CD">
      <w:pPr>
        <w:spacing w:after="0"/>
        <w:rPr>
          <w:color w:val="000000"/>
          <w:szCs w:val="22"/>
        </w:rPr>
      </w:pPr>
      <w:r w:rsidRPr="00D9347D">
        <w:rPr>
          <w:color w:val="000000"/>
          <w:szCs w:val="22"/>
        </w:rPr>
        <w:t xml:space="preserve">Seagrass abundance at </w:t>
      </w:r>
      <w:r>
        <w:rPr>
          <w:color w:val="000000"/>
          <w:szCs w:val="22"/>
        </w:rPr>
        <w:t xml:space="preserve">meadows monitored in </w:t>
      </w:r>
      <w:r w:rsidRPr="00D9347D">
        <w:rPr>
          <w:color w:val="000000"/>
          <w:szCs w:val="22"/>
        </w:rPr>
        <w:t>the MMP declin</w:t>
      </w:r>
      <w:r>
        <w:rPr>
          <w:color w:val="000000"/>
          <w:szCs w:val="22"/>
        </w:rPr>
        <w:t>ed from</w:t>
      </w:r>
      <w:r w:rsidRPr="00D9347D">
        <w:rPr>
          <w:color w:val="000000"/>
          <w:szCs w:val="22"/>
        </w:rPr>
        <w:t xml:space="preserve"> 2005</w:t>
      </w:r>
      <w:r>
        <w:rPr>
          <w:color w:val="000000"/>
          <w:szCs w:val="22"/>
        </w:rPr>
        <w:t>-</w:t>
      </w:r>
      <w:r w:rsidRPr="00D9347D">
        <w:rPr>
          <w:color w:val="000000"/>
          <w:szCs w:val="22"/>
        </w:rPr>
        <w:t xml:space="preserve">06 until 2012-13, </w:t>
      </w:r>
      <w:r>
        <w:rPr>
          <w:color w:val="000000"/>
          <w:szCs w:val="22"/>
        </w:rPr>
        <w:t xml:space="preserve">after which </w:t>
      </w:r>
      <w:r w:rsidRPr="00D9347D">
        <w:rPr>
          <w:color w:val="000000"/>
          <w:szCs w:val="22"/>
        </w:rPr>
        <w:t>abundances increased (</w:t>
      </w:r>
      <w:r w:rsidR="00D95CFC">
        <w:rPr>
          <w:color w:val="000000"/>
          <w:szCs w:val="22"/>
        </w:rPr>
        <w:fldChar w:fldCharType="begin"/>
      </w:r>
      <w:r w:rsidR="00D95CFC">
        <w:rPr>
          <w:color w:val="000000"/>
          <w:szCs w:val="22"/>
        </w:rPr>
        <w:instrText xml:space="preserve"> REF _Ref442456086 \h </w:instrText>
      </w:r>
      <w:r w:rsidR="00D95CFC">
        <w:rPr>
          <w:color w:val="000000"/>
          <w:szCs w:val="22"/>
        </w:rPr>
      </w:r>
      <w:r w:rsidR="00D95CFC">
        <w:rPr>
          <w:color w:val="000000"/>
          <w:szCs w:val="22"/>
        </w:rPr>
        <w:fldChar w:fldCharType="separate"/>
      </w:r>
      <w:r w:rsidR="009C068F" w:rsidRPr="00BD728D">
        <w:rPr>
          <w:color w:val="000000"/>
        </w:rPr>
        <w:t xml:space="preserve">Figure </w:t>
      </w:r>
      <w:r w:rsidR="009C068F">
        <w:rPr>
          <w:noProof/>
          <w:color w:val="000000"/>
        </w:rPr>
        <w:t>12</w:t>
      </w:r>
      <w:r w:rsidR="00D95CFC">
        <w:rPr>
          <w:color w:val="000000"/>
          <w:szCs w:val="22"/>
        </w:rPr>
        <w:fldChar w:fldCharType="end"/>
      </w:r>
      <w:r w:rsidRPr="00D9347D">
        <w:rPr>
          <w:color w:val="000000"/>
          <w:szCs w:val="22"/>
        </w:rPr>
        <w:t>).</w:t>
      </w:r>
      <w:r>
        <w:rPr>
          <w:color w:val="000000"/>
          <w:szCs w:val="22"/>
        </w:rPr>
        <w:t xml:space="preserve"> </w:t>
      </w:r>
      <w:r w:rsidRPr="00D9347D">
        <w:rPr>
          <w:color w:val="000000"/>
          <w:szCs w:val="22"/>
        </w:rPr>
        <w:t>Based on the average score against the seagrass guidelines (determined at the site level), the abundance of inshore seagrass in the GBR over the 201</w:t>
      </w:r>
      <w:r>
        <w:rPr>
          <w:color w:val="000000"/>
          <w:szCs w:val="22"/>
        </w:rPr>
        <w:t>4</w:t>
      </w:r>
      <w:r w:rsidRPr="00D9347D">
        <w:rPr>
          <w:color w:val="000000"/>
          <w:szCs w:val="22"/>
        </w:rPr>
        <w:t>-1</w:t>
      </w:r>
      <w:r>
        <w:rPr>
          <w:color w:val="000000"/>
          <w:szCs w:val="22"/>
        </w:rPr>
        <w:t>5</w:t>
      </w:r>
      <w:r w:rsidRPr="00D9347D">
        <w:rPr>
          <w:color w:val="000000"/>
          <w:szCs w:val="22"/>
        </w:rPr>
        <w:t xml:space="preserve"> period remained in a </w:t>
      </w:r>
      <w:r w:rsidRPr="00D9347D">
        <w:rPr>
          <w:b/>
          <w:color w:val="000000"/>
          <w:szCs w:val="22"/>
        </w:rPr>
        <w:t xml:space="preserve">poor </w:t>
      </w:r>
      <w:r w:rsidRPr="00D9347D">
        <w:rPr>
          <w:color w:val="000000"/>
          <w:szCs w:val="22"/>
        </w:rPr>
        <w:t>state</w:t>
      </w:r>
      <w:r>
        <w:rPr>
          <w:color w:val="000000"/>
          <w:szCs w:val="22"/>
        </w:rPr>
        <w:t xml:space="preserve"> </w:t>
      </w:r>
      <w:r w:rsidRPr="00D9347D">
        <w:rPr>
          <w:color w:val="000000"/>
          <w:szCs w:val="22"/>
        </w:rPr>
        <w:t>(all sites and seasons pooled, unweighted) (</w:t>
      </w:r>
      <w:r w:rsidR="00D95CFC">
        <w:rPr>
          <w:color w:val="000000"/>
        </w:rPr>
        <w:fldChar w:fldCharType="begin"/>
      </w:r>
      <w:r w:rsidR="00D95CFC">
        <w:rPr>
          <w:color w:val="000000"/>
          <w:szCs w:val="22"/>
        </w:rPr>
        <w:instrText xml:space="preserve"> REF _Ref442456086 \h </w:instrText>
      </w:r>
      <w:r w:rsidR="00D95CFC">
        <w:rPr>
          <w:color w:val="000000"/>
        </w:rPr>
      </w:r>
      <w:r w:rsidR="00D95CFC">
        <w:rPr>
          <w:color w:val="000000"/>
        </w:rPr>
        <w:fldChar w:fldCharType="separate"/>
      </w:r>
      <w:r w:rsidR="009C068F" w:rsidRPr="00BD728D">
        <w:rPr>
          <w:color w:val="000000"/>
        </w:rPr>
        <w:t xml:space="preserve">Figure </w:t>
      </w:r>
      <w:r w:rsidR="009C068F">
        <w:rPr>
          <w:noProof/>
          <w:color w:val="000000"/>
        </w:rPr>
        <w:t>12</w:t>
      </w:r>
      <w:r w:rsidR="00D95CFC">
        <w:rPr>
          <w:color w:val="000000"/>
        </w:rPr>
        <w:fldChar w:fldCharType="end"/>
      </w:r>
      <w:r w:rsidRPr="00D9347D">
        <w:rPr>
          <w:color w:val="000000"/>
          <w:szCs w:val="22"/>
        </w:rPr>
        <w:t xml:space="preserve">). </w:t>
      </w:r>
    </w:p>
    <w:p w:rsidR="00B518CD" w:rsidRPr="00CD79F9" w:rsidRDefault="00A00BC4" w:rsidP="009817B8">
      <w:pPr>
        <w:keepNext/>
        <w:widowControl w:val="0"/>
        <w:spacing w:after="0"/>
        <w:jc w:val="center"/>
        <w:rPr>
          <w:noProof/>
          <w:color w:val="000000"/>
          <w:szCs w:val="22"/>
          <w:lang w:eastAsia="en-AU"/>
        </w:rPr>
      </w:pPr>
      <w:r>
        <w:rPr>
          <w:noProof/>
          <w:color w:val="000000"/>
          <w:szCs w:val="22"/>
          <w:lang w:eastAsia="en-AU"/>
        </w:rPr>
        <w:drawing>
          <wp:inline distT="0" distB="0" distL="0" distR="0" wp14:anchorId="54482E90" wp14:editId="702F39F4">
            <wp:extent cx="4320000" cy="2073600"/>
            <wp:effectExtent l="0" t="0" r="4445" b="3175"/>
            <wp:docPr id="10150" name="Picture 10150" descr="Line graph showing long-term GBR average seagrass abundance score (all sites and seasons pooled irrespective of NRM region) (with Standard Error) for each monitoring period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0" name="GBR_state_score_Dec15.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320000" cy="2073600"/>
                    </a:xfrm>
                    <a:prstGeom prst="rect">
                      <a:avLst/>
                    </a:prstGeom>
                  </pic:spPr>
                </pic:pic>
              </a:graphicData>
            </a:graphic>
          </wp:inline>
        </w:drawing>
      </w:r>
    </w:p>
    <w:p w:rsidR="00B518CD" w:rsidRPr="00BD728D" w:rsidRDefault="00B518CD" w:rsidP="00B518CD">
      <w:pPr>
        <w:rPr>
          <w:i/>
          <w:vanish/>
          <w:color w:val="000000"/>
          <w:szCs w:val="22"/>
          <w:specVanish/>
        </w:rPr>
      </w:pPr>
      <w:bookmarkStart w:id="153" w:name="_Ref442456086"/>
      <w:bookmarkStart w:id="154" w:name="_Toc462684852"/>
      <w:r w:rsidRPr="00BD728D">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12</w:t>
      </w:r>
      <w:r w:rsidR="0073595B">
        <w:rPr>
          <w:color w:val="000000"/>
        </w:rPr>
        <w:fldChar w:fldCharType="end"/>
      </w:r>
      <w:bookmarkEnd w:id="153"/>
      <w:r w:rsidRPr="00BD728D">
        <w:rPr>
          <w:color w:val="000000"/>
        </w:rPr>
        <w:t xml:space="preserve">. </w:t>
      </w:r>
      <w:r w:rsidR="00F13C1B" w:rsidRPr="00F13C1B">
        <w:rPr>
          <w:i/>
          <w:color w:val="000000"/>
        </w:rPr>
        <w:t>Long-term GBR a</w:t>
      </w:r>
      <w:r w:rsidRPr="00F13C1B">
        <w:rPr>
          <w:i/>
          <w:color w:val="000000"/>
        </w:rPr>
        <w:t>verage</w:t>
      </w:r>
      <w:r w:rsidRPr="00BD728D">
        <w:rPr>
          <w:i/>
          <w:color w:val="000000"/>
        </w:rPr>
        <w:t xml:space="preserve"> seagrass abundance score (all sites and seasons pooled</w:t>
      </w:r>
      <w:r w:rsidR="0083489D">
        <w:rPr>
          <w:i/>
          <w:color w:val="000000"/>
        </w:rPr>
        <w:t xml:space="preserve"> irrespective of NRM region</w:t>
      </w:r>
      <w:r w:rsidRPr="00BD728D">
        <w:rPr>
          <w:i/>
          <w:color w:val="000000"/>
        </w:rPr>
        <w:t>) (</w:t>
      </w:r>
      <w:r w:rsidRPr="00BD728D">
        <w:rPr>
          <w:i/>
          <w:color w:val="000000"/>
        </w:rPr>
        <w:sym w:font="Symbol" w:char="F0B1"/>
      </w:r>
      <w:r w:rsidRPr="00BD728D">
        <w:rPr>
          <w:i/>
          <w:color w:val="000000"/>
        </w:rPr>
        <w:t>Standard Error) for each monitoring period from 1999 to 201</w:t>
      </w:r>
      <w:r>
        <w:rPr>
          <w:i/>
          <w:color w:val="000000"/>
        </w:rPr>
        <w:t>5</w:t>
      </w:r>
      <w:r w:rsidRPr="00BD728D">
        <w:rPr>
          <w:i/>
          <w:color w:val="000000"/>
        </w:rPr>
        <w:t>.</w:t>
      </w:r>
      <w:bookmarkEnd w:id="154"/>
      <w:r w:rsidRPr="00BD728D">
        <w:rPr>
          <w:i/>
          <w:color w:val="000000"/>
        </w:rPr>
        <w:t xml:space="preserve"> </w:t>
      </w:r>
    </w:p>
    <w:p w:rsidR="00B518CD" w:rsidRPr="00CD79F9" w:rsidRDefault="00B518CD" w:rsidP="00B518CD">
      <w:pPr>
        <w:rPr>
          <w:i/>
          <w:color w:val="000000"/>
        </w:rPr>
      </w:pPr>
      <w:r w:rsidRPr="00BD728D">
        <w:rPr>
          <w:i/>
          <w:color w:val="000000"/>
        </w:rPr>
        <w:t>Median percentage cover at a site for each monitoring event was scored relative to each site's guideline value, taking into account species and habitat. NB: score is unit less. Numbers indicate total sites contributing to the score.</w:t>
      </w:r>
    </w:p>
    <w:p w:rsidR="00B518CD" w:rsidRPr="00944511" w:rsidRDefault="00B518CD" w:rsidP="00B518CD">
      <w:pPr>
        <w:spacing w:after="0"/>
        <w:rPr>
          <w:szCs w:val="22"/>
        </w:rPr>
      </w:pPr>
      <w:r w:rsidRPr="005362B2">
        <w:rPr>
          <w:szCs w:val="22"/>
        </w:rPr>
        <w:t>The only region where the seagrass abundance score declined in 2014-15 from the previous monitoring period was the Wet Tropics NRM (</w:t>
      </w:r>
      <w:r w:rsidR="00D95CFC">
        <w:rPr>
          <w:szCs w:val="22"/>
        </w:rPr>
        <w:fldChar w:fldCharType="begin"/>
      </w:r>
      <w:r w:rsidR="00D95CFC">
        <w:rPr>
          <w:szCs w:val="22"/>
        </w:rPr>
        <w:instrText xml:space="preserve"> REF _Ref442456179 \h </w:instrText>
      </w:r>
      <w:r w:rsidR="00D95CFC">
        <w:rPr>
          <w:szCs w:val="22"/>
        </w:rPr>
      </w:r>
      <w:r w:rsidR="00D95CFC">
        <w:rPr>
          <w:szCs w:val="22"/>
        </w:rPr>
        <w:fldChar w:fldCharType="separate"/>
      </w:r>
      <w:r w:rsidR="009C068F" w:rsidRPr="00FA7D64">
        <w:rPr>
          <w:color w:val="000000"/>
        </w:rPr>
        <w:t xml:space="preserve">Figure </w:t>
      </w:r>
      <w:r w:rsidR="009C068F">
        <w:rPr>
          <w:noProof/>
          <w:color w:val="000000"/>
        </w:rPr>
        <w:t>13</w:t>
      </w:r>
      <w:r w:rsidR="00D95CFC">
        <w:rPr>
          <w:szCs w:val="22"/>
        </w:rPr>
        <w:fldChar w:fldCharType="end"/>
      </w:r>
      <w:r w:rsidRPr="005362B2">
        <w:rPr>
          <w:szCs w:val="22"/>
        </w:rPr>
        <w:t xml:space="preserve">). </w:t>
      </w:r>
      <w:r>
        <w:rPr>
          <w:szCs w:val="22"/>
        </w:rPr>
        <w:t xml:space="preserve">All other regions had a small improvement, </w:t>
      </w:r>
      <w:r w:rsidRPr="00944511">
        <w:rPr>
          <w:szCs w:val="22"/>
        </w:rPr>
        <w:t xml:space="preserve">and the region with the greatest improvement in abundance score during 2014-15 was the Burnett Mary and the Mackay Whitsunday NRM, which both increased in score from </w:t>
      </w:r>
      <w:r w:rsidRPr="00944511">
        <w:rPr>
          <w:i/>
          <w:szCs w:val="22"/>
        </w:rPr>
        <w:t>poor</w:t>
      </w:r>
      <w:r w:rsidRPr="00944511">
        <w:rPr>
          <w:szCs w:val="22"/>
        </w:rPr>
        <w:t xml:space="preserve"> to </w:t>
      </w:r>
      <w:r w:rsidRPr="00944511">
        <w:rPr>
          <w:i/>
          <w:szCs w:val="22"/>
        </w:rPr>
        <w:t>moderate</w:t>
      </w:r>
      <w:r w:rsidRPr="00944511">
        <w:rPr>
          <w:szCs w:val="22"/>
        </w:rPr>
        <w:t xml:space="preserve"> (</w:t>
      </w:r>
      <w:r w:rsidR="00D95CFC">
        <w:rPr>
          <w:szCs w:val="22"/>
        </w:rPr>
        <w:fldChar w:fldCharType="begin"/>
      </w:r>
      <w:r w:rsidR="00D95CFC">
        <w:rPr>
          <w:szCs w:val="22"/>
        </w:rPr>
        <w:instrText xml:space="preserve"> REF _Ref442456179 \h </w:instrText>
      </w:r>
      <w:r w:rsidR="00D95CFC">
        <w:rPr>
          <w:szCs w:val="22"/>
        </w:rPr>
      </w:r>
      <w:r w:rsidR="00D95CFC">
        <w:rPr>
          <w:szCs w:val="22"/>
        </w:rPr>
        <w:fldChar w:fldCharType="separate"/>
      </w:r>
      <w:r w:rsidR="009C068F" w:rsidRPr="00FA7D64">
        <w:rPr>
          <w:color w:val="000000"/>
        </w:rPr>
        <w:t xml:space="preserve">Figure </w:t>
      </w:r>
      <w:r w:rsidR="009C068F">
        <w:rPr>
          <w:noProof/>
          <w:color w:val="000000"/>
        </w:rPr>
        <w:t>13</w:t>
      </w:r>
      <w:r w:rsidR="00D95CFC">
        <w:rPr>
          <w:szCs w:val="22"/>
        </w:rPr>
        <w:fldChar w:fldCharType="end"/>
      </w:r>
      <w:r w:rsidRPr="00944511">
        <w:rPr>
          <w:szCs w:val="22"/>
        </w:rPr>
        <w:t>).</w:t>
      </w:r>
    </w:p>
    <w:p w:rsidR="00B518CD" w:rsidRPr="00944511" w:rsidRDefault="00B518CD" w:rsidP="00B518CD">
      <w:pPr>
        <w:spacing w:after="0"/>
        <w:rPr>
          <w:szCs w:val="22"/>
        </w:rPr>
      </w:pPr>
    </w:p>
    <w:p w:rsidR="00B518CD" w:rsidRPr="00D05CE6" w:rsidRDefault="00975908"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5ECF3834" wp14:editId="4EAC18C1">
            <wp:extent cx="5760000" cy="2055600"/>
            <wp:effectExtent l="0" t="0" r="0" b="1905"/>
            <wp:docPr id="117" name="Picture 117" descr="Panel of six line graphs showing annual regional report card scores for seagrass abundance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NDEX_Abundance_2015.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760000" cy="2055600"/>
                    </a:xfrm>
                    <a:prstGeom prst="rect">
                      <a:avLst/>
                    </a:prstGeom>
                  </pic:spPr>
                </pic:pic>
              </a:graphicData>
            </a:graphic>
          </wp:inline>
        </w:drawing>
      </w:r>
    </w:p>
    <w:p w:rsidR="00B518CD" w:rsidRPr="00FA7D64" w:rsidRDefault="00B518CD" w:rsidP="00B518CD">
      <w:pPr>
        <w:rPr>
          <w:i/>
          <w:vanish/>
          <w:color w:val="000000"/>
          <w:szCs w:val="22"/>
          <w:specVanish/>
        </w:rPr>
      </w:pPr>
      <w:bookmarkStart w:id="155" w:name="_Ref442456179"/>
      <w:bookmarkStart w:id="156" w:name="_Toc462684853"/>
      <w:r w:rsidRPr="00FA7D64">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13</w:t>
      </w:r>
      <w:r w:rsidR="0073595B">
        <w:rPr>
          <w:color w:val="000000"/>
        </w:rPr>
        <w:fldChar w:fldCharType="end"/>
      </w:r>
      <w:bookmarkEnd w:id="155"/>
      <w:r w:rsidRPr="00FA7D64">
        <w:rPr>
          <w:color w:val="000000"/>
        </w:rPr>
        <w:t xml:space="preserve">. </w:t>
      </w:r>
      <w:r w:rsidRPr="00FA7D64">
        <w:rPr>
          <w:i/>
          <w:color w:val="000000"/>
        </w:rPr>
        <w:t>Regional report card scores for seagrass abundance over the life of the MMP</w:t>
      </w:r>
      <w:bookmarkEnd w:id="156"/>
    </w:p>
    <w:p w:rsidR="00B518CD" w:rsidRPr="00FA7D64" w:rsidRDefault="00B518CD" w:rsidP="00B518CD">
      <w:pPr>
        <w:rPr>
          <w:color w:val="000000"/>
        </w:rPr>
      </w:pPr>
      <w:r w:rsidRPr="00FA7D64">
        <w:rPr>
          <w:i/>
          <w:color w:val="000000"/>
        </w:rPr>
        <w:t>. For Paddock to Reef reporting scores are categorised in to a five point scale;</w:t>
      </w:r>
      <w:r w:rsidRPr="00015190">
        <w:rPr>
          <w:i/>
          <w:color w:val="0000FF"/>
        </w:rPr>
        <w:t xml:space="preserve">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2605DA" w:rsidRPr="00243A2E">
        <w:rPr>
          <w:i/>
          <w:color w:val="000000"/>
          <w:szCs w:val="22"/>
        </w:rPr>
        <w:t xml:space="preserve"> NB: Scores</w:t>
      </w:r>
      <w:r w:rsidR="002605DA">
        <w:rPr>
          <w:i/>
          <w:szCs w:val="22"/>
        </w:rPr>
        <w:t xml:space="preserve"> are </w:t>
      </w:r>
      <w:proofErr w:type="spellStart"/>
      <w:r w:rsidR="002605DA">
        <w:rPr>
          <w:i/>
          <w:szCs w:val="22"/>
        </w:rPr>
        <w:t>unitless</w:t>
      </w:r>
      <w:proofErr w:type="spellEnd"/>
      <w:r>
        <w:rPr>
          <w:i/>
          <w:szCs w:val="22"/>
        </w:rPr>
        <w:t>.</w:t>
      </w:r>
    </w:p>
    <w:p w:rsidR="00B518CD" w:rsidRPr="00D95CFC" w:rsidRDefault="00B518CD" w:rsidP="00B518CD">
      <w:pPr>
        <w:rPr>
          <w:lang w:val="en-GB"/>
        </w:rPr>
      </w:pPr>
      <w:r w:rsidRPr="00D95CFC">
        <w:rPr>
          <w:lang w:val="en-GB"/>
        </w:rPr>
        <w:lastRenderedPageBreak/>
        <w:t>Seagrass abundance scores have fluctuated within regions at habitats since monitoring was established. The most variable GBR seagrass habitat in abundance score (since 2005) was intertidal reef (CV=100.6%), followed closely by intertidal coast (CV=93.4%), subtidal reef (CV=83.1%) and lastly intertidal estuary (CV=68.4%).</w:t>
      </w:r>
    </w:p>
    <w:p w:rsidR="00A00BC4" w:rsidRPr="00D95CFC" w:rsidRDefault="00B518CD" w:rsidP="00B518CD">
      <w:pPr>
        <w:rPr>
          <w:rFonts w:cs="TimesNewRoman"/>
          <w:szCs w:val="22"/>
        </w:rPr>
      </w:pPr>
      <w:r w:rsidRPr="00244499">
        <w:rPr>
          <w:szCs w:val="22"/>
        </w:rPr>
        <w:t xml:space="preserve">The average seagrass % cover for the 2014-15 monitoring period was </w:t>
      </w:r>
      <w:r w:rsidR="00244499" w:rsidRPr="00244499">
        <w:rPr>
          <w:szCs w:val="22"/>
        </w:rPr>
        <w:t>15.7</w:t>
      </w:r>
      <w:r w:rsidR="00244499" w:rsidRPr="00244499">
        <w:rPr>
          <w:sz w:val="20"/>
          <w:szCs w:val="20"/>
        </w:rPr>
        <w:t> ±</w:t>
      </w:r>
      <w:r w:rsidR="00244499" w:rsidRPr="00244499">
        <w:rPr>
          <w:szCs w:val="22"/>
        </w:rPr>
        <w:t>1.8</w:t>
      </w:r>
      <w:r w:rsidR="00C43AF2">
        <w:rPr>
          <w:szCs w:val="22"/>
        </w:rPr>
        <w:t>%</w:t>
      </w:r>
      <w:r w:rsidR="00244499" w:rsidRPr="00244499">
        <w:rPr>
          <w:szCs w:val="22"/>
        </w:rPr>
        <w:t xml:space="preserve"> </w:t>
      </w:r>
      <w:r w:rsidRPr="00244499">
        <w:rPr>
          <w:szCs w:val="22"/>
        </w:rPr>
        <w:t xml:space="preserve">(sites and habitats pooled). </w:t>
      </w:r>
      <w:r w:rsidR="00244499" w:rsidRPr="00244499">
        <w:rPr>
          <w:szCs w:val="22"/>
        </w:rPr>
        <w:t>Although slightly higher than the previous period (13.6</w:t>
      </w:r>
      <w:r w:rsidR="00244499" w:rsidRPr="00244499">
        <w:rPr>
          <w:sz w:val="20"/>
          <w:szCs w:val="20"/>
        </w:rPr>
        <w:t> ±</w:t>
      </w:r>
      <w:r w:rsidR="00244499" w:rsidRPr="00244499">
        <w:rPr>
          <w:szCs w:val="22"/>
        </w:rPr>
        <w:t>1.6% in 2013-14), it</w:t>
      </w:r>
      <w:r w:rsidRPr="00244499">
        <w:rPr>
          <w:szCs w:val="22"/>
        </w:rPr>
        <w:t xml:space="preserve"> remains below the GBR long-term average </w:t>
      </w:r>
      <w:r w:rsidR="00244499" w:rsidRPr="00244499">
        <w:rPr>
          <w:szCs w:val="22"/>
        </w:rPr>
        <w:t xml:space="preserve">(17.8 ±2.1%, Sep99-Dec10) </w:t>
      </w:r>
      <w:r w:rsidRPr="00244499">
        <w:rPr>
          <w:szCs w:val="22"/>
        </w:rPr>
        <w:t>and the GBR historical baseline (</w:t>
      </w:r>
      <w:r w:rsidR="00244499" w:rsidRPr="00244499">
        <w:rPr>
          <w:szCs w:val="22"/>
        </w:rPr>
        <w:t>22.6 ±1.2% Nov84‐Nov88</w:t>
      </w:r>
      <w:r w:rsidRPr="00244499">
        <w:rPr>
          <w:szCs w:val="22"/>
        </w:rPr>
        <w:t>)</w:t>
      </w:r>
      <w:r w:rsidR="00244499" w:rsidRPr="00244499">
        <w:rPr>
          <w:szCs w:val="22"/>
        </w:rPr>
        <w:t xml:space="preserve"> (</w:t>
      </w:r>
      <w:hyperlink w:anchor="_ENREF_166" w:tooltip="McKenzie, 2015 #10304" w:history="1">
        <w:r w:rsidR="00E6043D">
          <w:rPr>
            <w:szCs w:val="22"/>
          </w:rPr>
          <w:fldChar w:fldCharType="begin"/>
        </w:r>
        <w:r w:rsidR="00E6043D">
          <w:rPr>
            <w:szCs w:val="22"/>
          </w:rPr>
          <w:instrText xml:space="preserve"> ADDIN EN.CITE &lt;EndNote&gt;&lt;Cite&gt;&lt;Author&gt;McKenzie&lt;/Author&gt;&lt;Year&gt;2015&lt;/Year&gt;&lt;RecNum&gt;10304&lt;/RecNum&gt;&lt;DisplayText&gt;McKenzie&lt;style face="italic"&gt;, et al.&lt;/style&gt; 2015&lt;/DisplayText&gt;&lt;record&gt;&lt;rec-number&gt;10304&lt;/rec-number&gt;&lt;foreign-keys&gt;&lt;key app="EN" db-id="0eve55x9y5vfd6e9dacxtew4eatve2dzds9a"&gt;10304&lt;/key&gt;&lt;/foreign-keys&gt;&lt;ref-type name="Book"&gt;6&lt;/ref-type&gt;&lt;contributors&gt;&lt;authors&gt;&lt;author&gt;McKenzie, Len J&lt;/author&gt;&lt;author&gt;Collier, Catherine&lt;/author&gt;&lt;author&gt;Langlois, Lucas&lt;/author&gt;&lt;author&gt;Yoshida, Rudi&lt;/author&gt;&lt;author&gt;Smith, Naomi&lt;/author&gt;&lt;author&gt;Waycott, Michelle&lt;/author&gt;&lt;/authors&gt;&lt;/contributors&gt;&lt;titles&gt;&lt;title&gt;Reef Rescue Marine Monitoring Program - Inshore Seagrass, Annual Report for the sampling period 1st June 2013 – 31st May 2014&lt;/title&gt;&lt;/titles&gt;&lt;pages&gt;226&lt;/pages&gt;&lt;dates&gt;&lt;year&gt;2015&lt;/year&gt;&lt;/dates&gt;&lt;pub-location&gt;Cairns&lt;/pub-location&gt;&lt;publisher&gt;TropWATER, James Cook University&lt;/publisher&gt;&lt;urls&gt;&lt;/urls&gt;&lt;/record&gt;&lt;/Cite&gt;&lt;/EndNote&gt;</w:instrText>
        </w:r>
        <w:r w:rsidR="00E6043D">
          <w:rPr>
            <w:szCs w:val="22"/>
          </w:rPr>
          <w:fldChar w:fldCharType="separate"/>
        </w:r>
        <w:r w:rsidR="00E6043D">
          <w:rPr>
            <w:noProof/>
            <w:szCs w:val="22"/>
          </w:rPr>
          <w:t>McKenzie</w:t>
        </w:r>
        <w:r w:rsidR="00E6043D" w:rsidRPr="00D821F1">
          <w:rPr>
            <w:i/>
            <w:noProof/>
            <w:szCs w:val="22"/>
          </w:rPr>
          <w:t>, et al.</w:t>
        </w:r>
        <w:r w:rsidR="00E6043D">
          <w:rPr>
            <w:noProof/>
            <w:szCs w:val="22"/>
          </w:rPr>
          <w:t xml:space="preserve"> 2015</w:t>
        </w:r>
        <w:r w:rsidR="00E6043D">
          <w:rPr>
            <w:szCs w:val="22"/>
          </w:rPr>
          <w:fldChar w:fldCharType="end"/>
        </w:r>
      </w:hyperlink>
      <w:r w:rsidR="00244499" w:rsidRPr="00244499">
        <w:rPr>
          <w:szCs w:val="22"/>
        </w:rPr>
        <w:t>)</w:t>
      </w:r>
      <w:r w:rsidRPr="00244499">
        <w:rPr>
          <w:szCs w:val="22"/>
        </w:rPr>
        <w:t>.</w:t>
      </w:r>
      <w:r w:rsidR="00244499">
        <w:rPr>
          <w:szCs w:val="22"/>
        </w:rPr>
        <w:t xml:space="preserve"> </w:t>
      </w:r>
      <w:r w:rsidRPr="00460A42">
        <w:rPr>
          <w:rFonts w:cs="TimesNewRoman"/>
          <w:szCs w:val="22"/>
        </w:rPr>
        <w:t>Since 1999, the percentage cover values for the GBR were mostly below 25% cover, and depending on habitat, only occasionally extend beyond 50% (</w:t>
      </w:r>
      <w:r w:rsidR="00D95CFC">
        <w:rPr>
          <w:rFonts w:cs="TimesNewRoman"/>
          <w:szCs w:val="22"/>
        </w:rPr>
        <w:fldChar w:fldCharType="begin"/>
      </w:r>
      <w:r w:rsidR="00D95CFC">
        <w:rPr>
          <w:rFonts w:cs="TimesNewRoman"/>
          <w:szCs w:val="22"/>
        </w:rPr>
        <w:instrText xml:space="preserve"> REF _Ref442456293 \h </w:instrText>
      </w:r>
      <w:r w:rsidR="00D95CFC">
        <w:rPr>
          <w:rFonts w:cs="TimesNewRoman"/>
          <w:szCs w:val="22"/>
        </w:rPr>
      </w:r>
      <w:r w:rsidR="00D95CFC">
        <w:rPr>
          <w:rFonts w:cs="TimesNewRoman"/>
          <w:szCs w:val="22"/>
        </w:rPr>
        <w:fldChar w:fldCharType="separate"/>
      </w:r>
      <w:r w:rsidR="009C068F">
        <w:t xml:space="preserve">Figure </w:t>
      </w:r>
      <w:r w:rsidR="009C068F">
        <w:rPr>
          <w:noProof/>
        </w:rPr>
        <w:t>14</w:t>
      </w:r>
      <w:r w:rsidR="00D95CFC">
        <w:rPr>
          <w:rFonts w:cs="TimesNewRoman"/>
          <w:szCs w:val="22"/>
        </w:rPr>
        <w:fldChar w:fldCharType="end"/>
      </w:r>
      <w:r w:rsidRPr="00460A42">
        <w:rPr>
          <w:rFonts w:cs="TimesNewRoman"/>
          <w:szCs w:val="22"/>
        </w:rPr>
        <w:t xml:space="preserve">). These long-term percentage cover values were similar to the GBR historical baselines, where surveys from Cape York to Hervey Bay (between </w:t>
      </w:r>
      <w:r w:rsidRPr="00460A42">
        <w:rPr>
          <w:szCs w:val="22"/>
        </w:rPr>
        <w:t>November 1984 and November 1988) reported most (three-quarters) of the percent cover values fell below 50% cover (</w:t>
      </w:r>
      <w:hyperlink w:anchor="_ENREF_147" w:tooltip="Lee Long, 1993 #682" w:history="1">
        <w:r w:rsidR="00E6043D">
          <w:rPr>
            <w:szCs w:val="22"/>
          </w:rPr>
          <w:fldChar w:fldCharType="begin"/>
        </w:r>
        <w:r w:rsidR="00E6043D">
          <w:rPr>
            <w:szCs w:val="22"/>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E6043D">
          <w:rPr>
            <w:szCs w:val="22"/>
          </w:rPr>
          <w:fldChar w:fldCharType="separate"/>
        </w:r>
        <w:r w:rsidR="00E6043D">
          <w:rPr>
            <w:noProof/>
            <w:szCs w:val="22"/>
          </w:rPr>
          <w:t>Lee Long</w:t>
        </w:r>
        <w:r w:rsidR="00E6043D" w:rsidRPr="00644A84">
          <w:rPr>
            <w:i/>
            <w:noProof/>
            <w:szCs w:val="22"/>
          </w:rPr>
          <w:t>, et al.</w:t>
        </w:r>
        <w:r w:rsidR="00E6043D">
          <w:rPr>
            <w:noProof/>
            <w:szCs w:val="22"/>
          </w:rPr>
          <w:t xml:space="preserve"> 1993</w:t>
        </w:r>
        <w:r w:rsidR="00E6043D">
          <w:rPr>
            <w:szCs w:val="22"/>
          </w:rPr>
          <w:fldChar w:fldCharType="end"/>
        </w:r>
      </w:hyperlink>
      <w:r w:rsidRPr="00460A42">
        <w:rPr>
          <w:szCs w:val="22"/>
        </w:rPr>
        <w:t>)</w:t>
      </w:r>
      <w:r w:rsidRPr="00460A42">
        <w:rPr>
          <w:rFonts w:cs="TimesNewRoman"/>
          <w:szCs w:val="22"/>
        </w:rPr>
        <w:t>. The findings negate the assumption that seagrass meadows of the GBR should have abundances closer to 100% before they are categorised as good.</w:t>
      </w:r>
    </w:p>
    <w:p w:rsidR="00B518CD" w:rsidRDefault="00A00BC4"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3B3E733D" wp14:editId="65D7BDCE">
            <wp:extent cx="4320000" cy="3859200"/>
            <wp:effectExtent l="0" t="0" r="4445" b="8255"/>
            <wp:docPr id="10152" name="Picture 10152" descr="Set of four box plot graphs showing seagrass percent cover measures per quadrat from meadows monitored from July 1999 to July 2015 (sites and habitat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2" name="GBR_habitat_yr-1_boxplot_Dec15.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4320000" cy="3859200"/>
                    </a:xfrm>
                    <a:prstGeom prst="rect">
                      <a:avLst/>
                    </a:prstGeom>
                  </pic:spPr>
                </pic:pic>
              </a:graphicData>
            </a:graphic>
          </wp:inline>
        </w:drawing>
      </w:r>
    </w:p>
    <w:p w:rsidR="00B518CD" w:rsidRPr="00460A42" w:rsidRDefault="00B518CD" w:rsidP="00B518CD">
      <w:pPr>
        <w:rPr>
          <w:i/>
          <w:vanish/>
          <w:specVanish/>
        </w:rPr>
      </w:pPr>
      <w:bookmarkStart w:id="157" w:name="_Ref442456293"/>
      <w:bookmarkStart w:id="158" w:name="_Toc462684854"/>
      <w:r>
        <w:t xml:space="preserve">Figure </w:t>
      </w:r>
      <w:fldSimple w:instr=" SEQ Figure \* ARABIC ">
        <w:r w:rsidR="009C068F">
          <w:rPr>
            <w:noProof/>
          </w:rPr>
          <w:t>14</w:t>
        </w:r>
      </w:fldSimple>
      <w:bookmarkEnd w:id="157"/>
      <w:r>
        <w:t xml:space="preserve">. </w:t>
      </w:r>
      <w:r w:rsidRPr="00460A42">
        <w:t>Seagrass percent cover measures per quadrat from meadows monitored from July 1999 to July 201</w:t>
      </w:r>
      <w:r>
        <w:t>5</w:t>
      </w:r>
      <w:r w:rsidRPr="00460A42">
        <w:t xml:space="preserve"> (sites and habitats pooled).</w:t>
      </w:r>
      <w:bookmarkEnd w:id="158"/>
      <w:r w:rsidRPr="00460A42">
        <w:t xml:space="preserve"> </w:t>
      </w:r>
    </w:p>
    <w:p w:rsidR="00B518CD" w:rsidRPr="00460A42" w:rsidRDefault="00B518CD" w:rsidP="00B518CD">
      <w:pPr>
        <w:rPr>
          <w:lang w:val="en-GB"/>
        </w:rPr>
      </w:pPr>
      <w:r w:rsidRPr="00460A42">
        <w:rPr>
          <w:lang w:val="en-GB"/>
        </w:rPr>
        <w:t xml:space="preserve"> </w:t>
      </w:r>
      <w:r w:rsidRPr="00460A42">
        <w:rPr>
          <w:i/>
        </w:rPr>
        <w:t>The box represents the interquartile range of values, where the boundary of the box closest to zero indicates the 25th percentile, a line within the box marks the median, and the boundary of the box farthest from zero indicates the 75th percentile. Whiskers (error bars) above and below the box indicate the 90th and 10th percentiles, and the dots represent outlying points.</w:t>
      </w:r>
      <w:r w:rsidRPr="00460A42">
        <w:rPr>
          <w:lang w:val="en-GB"/>
        </w:rPr>
        <w:t xml:space="preserve"> </w:t>
      </w:r>
    </w:p>
    <w:p w:rsidR="00A00BC4" w:rsidRPr="00F10161" w:rsidRDefault="00B518CD" w:rsidP="00B518CD">
      <w:pPr>
        <w:spacing w:after="0"/>
        <w:rPr>
          <w:color w:val="000000"/>
          <w:szCs w:val="22"/>
        </w:rPr>
      </w:pPr>
      <w:r w:rsidRPr="00F10161">
        <w:rPr>
          <w:color w:val="000000"/>
          <w:szCs w:val="22"/>
        </w:rPr>
        <w:t>Long-term total seagrass abundance (percent cover) across the inshore GBR was generally higher in reef than coastal and estuarine habitats (</w:t>
      </w:r>
      <w:r w:rsidR="00C43AF2">
        <w:rPr>
          <w:color w:val="000000"/>
          <w:szCs w:val="22"/>
        </w:rPr>
        <w:fldChar w:fldCharType="begin"/>
      </w:r>
      <w:r w:rsidR="00C43AF2">
        <w:rPr>
          <w:color w:val="000000"/>
          <w:szCs w:val="22"/>
        </w:rPr>
        <w:instrText xml:space="preserve"> REF _Ref442456293 \h </w:instrText>
      </w:r>
      <w:r w:rsidR="00C43AF2">
        <w:rPr>
          <w:color w:val="000000"/>
          <w:szCs w:val="22"/>
        </w:rPr>
      </w:r>
      <w:r w:rsidR="00C43AF2">
        <w:rPr>
          <w:color w:val="000000"/>
          <w:szCs w:val="22"/>
        </w:rPr>
        <w:fldChar w:fldCharType="separate"/>
      </w:r>
      <w:r w:rsidR="009C068F">
        <w:t xml:space="preserve">Figure </w:t>
      </w:r>
      <w:r w:rsidR="009C068F">
        <w:rPr>
          <w:noProof/>
        </w:rPr>
        <w:t>14</w:t>
      </w:r>
      <w:r w:rsidR="00C43AF2">
        <w:rPr>
          <w:color w:val="000000"/>
          <w:szCs w:val="22"/>
        </w:rPr>
        <w:fldChar w:fldCharType="end"/>
      </w:r>
      <w:r w:rsidRPr="00F10161">
        <w:rPr>
          <w:color w:val="000000"/>
          <w:szCs w:val="22"/>
        </w:rPr>
        <w:t xml:space="preserve">). Over the past decade, the patterns of seagrass </w:t>
      </w:r>
      <w:r w:rsidRPr="004852A1">
        <w:rPr>
          <w:color w:val="000000"/>
          <w:szCs w:val="22"/>
        </w:rPr>
        <w:t>abundance in each GBR habitat have differed (</w:t>
      </w:r>
      <w:r w:rsidR="00D95CFC">
        <w:rPr>
          <w:color w:val="000000"/>
        </w:rPr>
        <w:fldChar w:fldCharType="begin"/>
      </w:r>
      <w:r w:rsidR="00D95CFC">
        <w:rPr>
          <w:color w:val="000000"/>
        </w:rPr>
        <w:instrText xml:space="preserve"> REF _Ref442456352 \h </w:instrText>
      </w:r>
      <w:r w:rsidR="00D95CFC">
        <w:rPr>
          <w:color w:val="000000"/>
        </w:rPr>
      </w:r>
      <w:r w:rsidR="00D95CFC">
        <w:rPr>
          <w:color w:val="000000"/>
        </w:rPr>
        <w:fldChar w:fldCharType="separate"/>
      </w:r>
      <w:r w:rsidR="009C068F" w:rsidRPr="00405D54">
        <w:rPr>
          <w:color w:val="000000"/>
        </w:rPr>
        <w:t xml:space="preserve">Figure </w:t>
      </w:r>
      <w:r w:rsidR="009C068F">
        <w:rPr>
          <w:noProof/>
          <w:color w:val="000000"/>
        </w:rPr>
        <w:t>15</w:t>
      </w:r>
      <w:r w:rsidR="00D95CFC">
        <w:rPr>
          <w:color w:val="000000"/>
        </w:rPr>
        <w:fldChar w:fldCharType="end"/>
      </w:r>
      <w:r w:rsidR="005566BE">
        <w:rPr>
          <w:color w:val="000000"/>
        </w:rPr>
        <w:t xml:space="preserve">, </w:t>
      </w:r>
      <w:r w:rsidR="005566BE">
        <w:rPr>
          <w:color w:val="000000"/>
        </w:rPr>
        <w:fldChar w:fldCharType="begin"/>
      </w:r>
      <w:r w:rsidR="005566BE">
        <w:rPr>
          <w:color w:val="000000"/>
        </w:rPr>
        <w:instrText xml:space="preserve"> REF _Ref442456518 \h </w:instrText>
      </w:r>
      <w:r w:rsidR="005566BE">
        <w:rPr>
          <w:color w:val="000000"/>
        </w:rPr>
      </w:r>
      <w:r w:rsidR="005566BE">
        <w:rPr>
          <w:color w:val="000000"/>
        </w:rPr>
        <w:fldChar w:fldCharType="separate"/>
      </w:r>
      <w:r w:rsidR="009C068F">
        <w:t xml:space="preserve">Figure </w:t>
      </w:r>
      <w:r w:rsidR="009C068F">
        <w:rPr>
          <w:noProof/>
        </w:rPr>
        <w:t>16</w:t>
      </w:r>
      <w:r w:rsidR="005566BE">
        <w:rPr>
          <w:color w:val="000000"/>
        </w:rPr>
        <w:fldChar w:fldCharType="end"/>
      </w:r>
      <w:r w:rsidRPr="004852A1">
        <w:rPr>
          <w:color w:val="000000"/>
          <w:szCs w:val="22"/>
        </w:rPr>
        <w:t xml:space="preserve">), however both reef </w:t>
      </w:r>
      <w:r>
        <w:rPr>
          <w:color w:val="000000"/>
          <w:szCs w:val="22"/>
        </w:rPr>
        <w:t xml:space="preserve">(including intertidal and subtidal) </w:t>
      </w:r>
      <w:r w:rsidRPr="004852A1">
        <w:rPr>
          <w:color w:val="000000"/>
          <w:szCs w:val="22"/>
        </w:rPr>
        <w:t>and coastal</w:t>
      </w:r>
      <w:r w:rsidRPr="00F10161">
        <w:rPr>
          <w:color w:val="000000"/>
          <w:szCs w:val="22"/>
        </w:rPr>
        <w:t xml:space="preserve"> habitats show declining trajectories from 2009 to 2011. </w:t>
      </w:r>
      <w:r>
        <w:rPr>
          <w:color w:val="000000"/>
          <w:szCs w:val="22"/>
        </w:rPr>
        <w:t xml:space="preserve">Note that </w:t>
      </w:r>
      <w:r w:rsidR="005566BE">
        <w:rPr>
          <w:color w:val="000000"/>
        </w:rPr>
        <w:fldChar w:fldCharType="begin"/>
      </w:r>
      <w:r w:rsidR="005566BE">
        <w:rPr>
          <w:color w:val="000000"/>
        </w:rPr>
        <w:instrText xml:space="preserve"> REF _Ref442456352 \h </w:instrText>
      </w:r>
      <w:r w:rsidR="005566BE">
        <w:rPr>
          <w:color w:val="000000"/>
        </w:rPr>
      </w:r>
      <w:r w:rsidR="005566BE">
        <w:rPr>
          <w:color w:val="000000"/>
        </w:rPr>
        <w:fldChar w:fldCharType="separate"/>
      </w:r>
      <w:r w:rsidR="009C068F" w:rsidRPr="00405D54">
        <w:rPr>
          <w:color w:val="000000"/>
        </w:rPr>
        <w:t xml:space="preserve">Figure </w:t>
      </w:r>
      <w:r w:rsidR="009C068F">
        <w:rPr>
          <w:noProof/>
          <w:color w:val="000000"/>
        </w:rPr>
        <w:t>15</w:t>
      </w:r>
      <w:r w:rsidR="005566BE">
        <w:rPr>
          <w:color w:val="000000"/>
        </w:rPr>
        <w:fldChar w:fldCharType="end"/>
      </w:r>
      <w:r>
        <w:rPr>
          <w:color w:val="000000"/>
          <w:szCs w:val="22"/>
        </w:rPr>
        <w:t xml:space="preserve"> illustrates seagrass abundance scored relative to the 95</w:t>
      </w:r>
      <w:r w:rsidRPr="00323D56">
        <w:rPr>
          <w:color w:val="000000"/>
          <w:szCs w:val="22"/>
          <w:vertAlign w:val="superscript"/>
        </w:rPr>
        <w:t>th</w:t>
      </w:r>
      <w:r>
        <w:rPr>
          <w:color w:val="000000"/>
          <w:szCs w:val="22"/>
        </w:rPr>
        <w:t xml:space="preserve"> percentile for each site, to enable a focus on GBR-wide trends. Since 2011, meadow abundance has been increasing in most habitats. </w:t>
      </w:r>
      <w:r>
        <w:rPr>
          <w:color w:val="000000"/>
          <w:szCs w:val="22"/>
        </w:rPr>
        <w:lastRenderedPageBreak/>
        <w:t>However, s</w:t>
      </w:r>
      <w:r w:rsidRPr="00F10161">
        <w:rPr>
          <w:color w:val="000000"/>
          <w:szCs w:val="22"/>
        </w:rPr>
        <w:t xml:space="preserve">eagrass </w:t>
      </w:r>
      <w:r>
        <w:rPr>
          <w:color w:val="000000"/>
          <w:szCs w:val="22"/>
        </w:rPr>
        <w:t>trends have</w:t>
      </w:r>
      <w:r w:rsidRPr="00F10161">
        <w:rPr>
          <w:color w:val="000000"/>
          <w:szCs w:val="22"/>
        </w:rPr>
        <w:t xml:space="preserve"> fluctuated in estuar</w:t>
      </w:r>
      <w:r>
        <w:rPr>
          <w:color w:val="000000"/>
          <w:szCs w:val="22"/>
        </w:rPr>
        <w:t xml:space="preserve">y </w:t>
      </w:r>
      <w:r w:rsidRPr="00F10161">
        <w:rPr>
          <w:color w:val="000000"/>
          <w:szCs w:val="22"/>
        </w:rPr>
        <w:t>habitats</w:t>
      </w:r>
      <w:r>
        <w:rPr>
          <w:color w:val="000000"/>
          <w:szCs w:val="22"/>
        </w:rPr>
        <w:t xml:space="preserve">, </w:t>
      </w:r>
      <w:r w:rsidRPr="00F10161">
        <w:rPr>
          <w:color w:val="000000"/>
          <w:szCs w:val="22"/>
        </w:rPr>
        <w:t xml:space="preserve">most often at smaller localised scales </w:t>
      </w:r>
      <w:r>
        <w:rPr>
          <w:color w:val="000000"/>
          <w:szCs w:val="22"/>
        </w:rPr>
        <w:t xml:space="preserve">where </w:t>
      </w:r>
      <w:r w:rsidRPr="00F10161">
        <w:rPr>
          <w:color w:val="000000"/>
          <w:szCs w:val="22"/>
        </w:rPr>
        <w:t>there have been some acute event related changes (</w:t>
      </w:r>
      <w:hyperlink w:anchor="_ENREF_169" w:tooltip="McKenzie, 2012 #9287" w:history="1">
        <w:r w:rsidR="00E6043D">
          <w:rPr>
            <w:color w:val="000000"/>
            <w:szCs w:val="22"/>
          </w:rPr>
          <w:fldChar w:fldCharType="begin"/>
        </w:r>
        <w:r w:rsidR="00E6043D">
          <w:rPr>
            <w:color w:val="000000"/>
            <w:szCs w:val="22"/>
          </w:rPr>
          <w:instrText xml:space="preserve"> ADDIN EN.CITE &lt;EndNote&gt;&lt;Cite&gt;&lt;Author&gt;McKenzie&lt;/Author&gt;&lt;Year&gt;2012&lt;/Year&gt;&lt;RecNum&gt;9287&lt;/RecNum&gt;&lt;DisplayText&gt;McKenzie&lt;style face="italic"&gt; et al.&lt;/style&gt; 2012b&lt;/DisplayText&gt;&lt;record&gt;&lt;rec-number&gt;9287&lt;/rec-number&gt;&lt;foreign-keys&gt;&lt;key app="EN" db-id="0eve55x9y5vfd6e9dacxtew4eatve2dzds9a"&gt;9287&lt;/key&gt;&lt;/foreign-keys&gt;&lt;ref-type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E6043D">
          <w:rPr>
            <w:color w:val="000000"/>
            <w:szCs w:val="22"/>
          </w:rPr>
          <w:fldChar w:fldCharType="separate"/>
        </w:r>
        <w:r w:rsidR="00E6043D">
          <w:rPr>
            <w:noProof/>
            <w:color w:val="000000"/>
            <w:szCs w:val="22"/>
          </w:rPr>
          <w:t>McKenzie</w:t>
        </w:r>
        <w:r w:rsidR="00E6043D" w:rsidRPr="00644A84">
          <w:rPr>
            <w:i/>
            <w:noProof/>
            <w:color w:val="000000"/>
            <w:szCs w:val="22"/>
          </w:rPr>
          <w:t xml:space="preserve"> et al.</w:t>
        </w:r>
        <w:r w:rsidR="00E6043D">
          <w:rPr>
            <w:noProof/>
            <w:color w:val="000000"/>
            <w:szCs w:val="22"/>
          </w:rPr>
          <w:t xml:space="preserve"> 2012b</w:t>
        </w:r>
        <w:r w:rsidR="00E6043D">
          <w:rPr>
            <w:color w:val="000000"/>
            <w:szCs w:val="22"/>
          </w:rPr>
          <w:fldChar w:fldCharType="end"/>
        </w:r>
      </w:hyperlink>
      <w:r w:rsidRPr="00F10161">
        <w:rPr>
          <w:color w:val="000000"/>
          <w:szCs w:val="22"/>
        </w:rPr>
        <w:t>).</w:t>
      </w:r>
      <w:r>
        <w:rPr>
          <w:color w:val="000000"/>
          <w:szCs w:val="22"/>
        </w:rPr>
        <w:t xml:space="preserve"> </w:t>
      </w:r>
    </w:p>
    <w:p w:rsidR="00B518CD" w:rsidRPr="00F10161" w:rsidRDefault="00A00BC4"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20996F17" wp14:editId="3947845F">
            <wp:extent cx="5040000" cy="3589200"/>
            <wp:effectExtent l="0" t="0" r="8255" b="0"/>
            <wp:docPr id="10154" name="Picture 10154" descr="Set of four line graphs showing generalised trends in seagrass abundance for each habitat type (sites pooled) relative to the 95th percenti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4" name="GBR_all_SG15.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040000" cy="3589200"/>
                    </a:xfrm>
                    <a:prstGeom prst="rect">
                      <a:avLst/>
                    </a:prstGeom>
                  </pic:spPr>
                </pic:pic>
              </a:graphicData>
            </a:graphic>
          </wp:inline>
        </w:drawing>
      </w:r>
    </w:p>
    <w:p w:rsidR="00B518CD" w:rsidRPr="00405D54" w:rsidRDefault="00B518CD" w:rsidP="00B518CD">
      <w:pPr>
        <w:rPr>
          <w:i/>
          <w:vanish/>
          <w:color w:val="000000"/>
          <w:szCs w:val="22"/>
          <w:specVanish/>
        </w:rPr>
      </w:pPr>
      <w:bookmarkStart w:id="159" w:name="_Ref442456352"/>
      <w:bookmarkStart w:id="160" w:name="_Toc462684855"/>
      <w:r w:rsidRPr="00405D54">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15</w:t>
      </w:r>
      <w:r w:rsidR="0073595B">
        <w:rPr>
          <w:color w:val="000000"/>
        </w:rPr>
        <w:fldChar w:fldCharType="end"/>
      </w:r>
      <w:bookmarkEnd w:id="159"/>
      <w:r w:rsidRPr="00405D54">
        <w:rPr>
          <w:color w:val="000000"/>
        </w:rPr>
        <w:t xml:space="preserve">. </w:t>
      </w:r>
      <w:r w:rsidRPr="00405D54">
        <w:rPr>
          <w:i/>
          <w:color w:val="000000"/>
        </w:rPr>
        <w:t>Generalised trends in seagrass abundance for each habitat type (sites pooled) relative to the 95</w:t>
      </w:r>
      <w:r w:rsidRPr="00405D54">
        <w:rPr>
          <w:i/>
          <w:color w:val="000000"/>
          <w:vertAlign w:val="superscript"/>
        </w:rPr>
        <w:t>th</w:t>
      </w:r>
      <w:r w:rsidRPr="00405D54">
        <w:rPr>
          <w:i/>
          <w:color w:val="000000"/>
        </w:rPr>
        <w:t xml:space="preserve"> percentile</w:t>
      </w:r>
      <w:bookmarkEnd w:id="160"/>
      <w:r w:rsidRPr="00405D54">
        <w:rPr>
          <w:i/>
          <w:color w:val="000000"/>
        </w:rPr>
        <w:t xml:space="preserve"> </w:t>
      </w:r>
    </w:p>
    <w:p w:rsidR="00B518CD" w:rsidRDefault="00B518CD" w:rsidP="00B518CD">
      <w:pPr>
        <w:rPr>
          <w:color w:val="000000"/>
        </w:rPr>
      </w:pPr>
      <w:r w:rsidRPr="00405D54">
        <w:rPr>
          <w:i/>
          <w:color w:val="000000"/>
        </w:rPr>
        <w:t xml:space="preserve"> (</w:t>
      </w:r>
      <w:proofErr w:type="gramStart"/>
      <w:r w:rsidRPr="00405D54">
        <w:rPr>
          <w:i/>
          <w:color w:val="000000"/>
        </w:rPr>
        <w:t>equally</w:t>
      </w:r>
      <w:proofErr w:type="gramEnd"/>
      <w:r w:rsidRPr="00405D54">
        <w:rPr>
          <w:i/>
          <w:color w:val="000000"/>
        </w:rPr>
        <w:t xml:space="preserve"> scaled). The 95</w:t>
      </w:r>
      <w:r w:rsidRPr="00405D54">
        <w:rPr>
          <w:i/>
          <w:color w:val="000000"/>
          <w:vertAlign w:val="superscript"/>
        </w:rPr>
        <w:t>th</w:t>
      </w:r>
      <w:r w:rsidRPr="00405D54">
        <w:rPr>
          <w:i/>
          <w:color w:val="000000"/>
        </w:rPr>
        <w:t xml:space="preserve"> percentile is calculated for each site across all data. Data prior and post implementation of the RRMMP displayed.</w:t>
      </w:r>
      <w:r w:rsidRPr="00405D54">
        <w:rPr>
          <w:b/>
          <w:i/>
          <w:color w:val="000000"/>
        </w:rPr>
        <w:t xml:space="preserve"> </w:t>
      </w:r>
      <w:proofErr w:type="spellStart"/>
      <w:r w:rsidRPr="00405D54">
        <w:rPr>
          <w:i/>
          <w:color w:val="000000"/>
        </w:rPr>
        <w:t>Trendline</w:t>
      </w:r>
      <w:proofErr w:type="spellEnd"/>
      <w:r w:rsidRPr="00405D54">
        <w:rPr>
          <w:i/>
          <w:color w:val="000000"/>
        </w:rPr>
        <w:t xml:space="preserve"> is 3rd order polynomial, 95% confidence intervals displayed, estuarine (8 sites) r</w:t>
      </w:r>
      <w:r w:rsidRPr="00405D54">
        <w:rPr>
          <w:i/>
          <w:color w:val="000000"/>
          <w:vertAlign w:val="superscript"/>
        </w:rPr>
        <w:t>2</w:t>
      </w:r>
      <w:r w:rsidRPr="00405D54">
        <w:rPr>
          <w:i/>
          <w:color w:val="000000"/>
        </w:rPr>
        <w:t xml:space="preserve"> = 0.32, coastal (16 sites) r</w:t>
      </w:r>
      <w:r w:rsidRPr="00405D54">
        <w:rPr>
          <w:i/>
          <w:color w:val="000000"/>
          <w:vertAlign w:val="superscript"/>
        </w:rPr>
        <w:t>2</w:t>
      </w:r>
      <w:r w:rsidRPr="00405D54">
        <w:rPr>
          <w:i/>
          <w:color w:val="000000"/>
        </w:rPr>
        <w:t xml:space="preserve"> = 0.16, reef (17 sites) r</w:t>
      </w:r>
      <w:r w:rsidRPr="00405D54">
        <w:rPr>
          <w:i/>
          <w:color w:val="000000"/>
          <w:vertAlign w:val="superscript"/>
        </w:rPr>
        <w:t>2</w:t>
      </w:r>
      <w:r w:rsidRPr="00405D54">
        <w:rPr>
          <w:i/>
          <w:color w:val="000000"/>
        </w:rPr>
        <w:t xml:space="preserve"> =0.63, subtidal reef (4 sites) r</w:t>
      </w:r>
      <w:r w:rsidRPr="00405D54">
        <w:rPr>
          <w:i/>
          <w:color w:val="000000"/>
          <w:vertAlign w:val="superscript"/>
        </w:rPr>
        <w:t>2</w:t>
      </w:r>
      <w:r w:rsidRPr="00405D54">
        <w:rPr>
          <w:i/>
          <w:color w:val="000000"/>
        </w:rPr>
        <w:t xml:space="preserve"> =0.65.</w:t>
      </w:r>
      <w:r w:rsidRPr="00405D54">
        <w:rPr>
          <w:color w:val="000000"/>
        </w:rPr>
        <w:t xml:space="preserve"> </w:t>
      </w:r>
    </w:p>
    <w:p w:rsidR="00716CE2" w:rsidRDefault="00244499" w:rsidP="00A00BC4">
      <w:pPr>
        <w:rPr>
          <w:lang w:val="en-GB"/>
        </w:rPr>
      </w:pPr>
      <w:r w:rsidRPr="00244499">
        <w:rPr>
          <w:lang w:val="en-GB"/>
        </w:rPr>
        <w:t xml:space="preserve">An examination of the long term trends </w:t>
      </w:r>
      <w:r w:rsidR="00144A58">
        <w:rPr>
          <w:lang w:val="en-GB"/>
        </w:rPr>
        <w:t xml:space="preserve">in seagrass abundance </w:t>
      </w:r>
      <w:r w:rsidR="00144A58" w:rsidRPr="00244499">
        <w:rPr>
          <w:lang w:val="en-GB"/>
        </w:rPr>
        <w:t>(%</w:t>
      </w:r>
      <w:r w:rsidR="00144A58">
        <w:rPr>
          <w:lang w:val="en-GB"/>
        </w:rPr>
        <w:t xml:space="preserve"> </w:t>
      </w:r>
      <w:r w:rsidR="00144A58" w:rsidRPr="00244499">
        <w:rPr>
          <w:lang w:val="en-GB"/>
        </w:rPr>
        <w:t xml:space="preserve">cover) </w:t>
      </w:r>
      <w:r w:rsidRPr="00244499">
        <w:rPr>
          <w:lang w:val="en-GB"/>
        </w:rPr>
        <w:t xml:space="preserve">across the </w:t>
      </w:r>
      <w:r>
        <w:rPr>
          <w:lang w:val="en-GB"/>
        </w:rPr>
        <w:t>Great Barrier Reef</w:t>
      </w:r>
      <w:r w:rsidRPr="00244499">
        <w:rPr>
          <w:lang w:val="en-GB"/>
        </w:rPr>
        <w:t xml:space="preserve"> </w:t>
      </w:r>
      <w:r w:rsidR="00144A58">
        <w:rPr>
          <w:lang w:val="en-GB"/>
        </w:rPr>
        <w:t xml:space="preserve">(habitats pooled) </w:t>
      </w:r>
      <w:r w:rsidRPr="00244499">
        <w:rPr>
          <w:lang w:val="en-GB"/>
        </w:rPr>
        <w:t xml:space="preserve">shows seagrass abundance </w:t>
      </w:r>
      <w:r w:rsidR="00144A58">
        <w:rPr>
          <w:lang w:val="en-GB"/>
        </w:rPr>
        <w:t xml:space="preserve">gradually increased </w:t>
      </w:r>
      <w:r w:rsidR="00064336">
        <w:rPr>
          <w:lang w:val="en-GB"/>
        </w:rPr>
        <w:t>from</w:t>
      </w:r>
      <w:r w:rsidR="00144A58">
        <w:rPr>
          <w:lang w:val="en-GB"/>
        </w:rPr>
        <w:t xml:space="preserve"> 2001 </w:t>
      </w:r>
      <w:r w:rsidR="00C43AF2">
        <w:rPr>
          <w:lang w:val="en-GB"/>
        </w:rPr>
        <w:t>to</w:t>
      </w:r>
      <w:r w:rsidR="00144A58">
        <w:rPr>
          <w:lang w:val="en-GB"/>
        </w:rPr>
        <w:t xml:space="preserve"> 2008 (with a mild depression in 2006-07 as a consequence of TC Larry)</w:t>
      </w:r>
      <w:r w:rsidR="00064336">
        <w:rPr>
          <w:lang w:val="en-GB"/>
        </w:rPr>
        <w:t>(</w:t>
      </w:r>
      <w:r w:rsidR="00064336">
        <w:rPr>
          <w:lang w:val="en-GB"/>
        </w:rPr>
        <w:fldChar w:fldCharType="begin"/>
      </w:r>
      <w:r w:rsidR="00064336">
        <w:rPr>
          <w:lang w:val="en-GB"/>
        </w:rPr>
        <w:instrText xml:space="preserve"> REF _Ref442456518 \h </w:instrText>
      </w:r>
      <w:r w:rsidR="00064336">
        <w:rPr>
          <w:lang w:val="en-GB"/>
        </w:rPr>
      </w:r>
      <w:r w:rsidR="00064336">
        <w:rPr>
          <w:lang w:val="en-GB"/>
        </w:rPr>
        <w:fldChar w:fldCharType="separate"/>
      </w:r>
      <w:r w:rsidR="009C068F">
        <w:t xml:space="preserve">Figure </w:t>
      </w:r>
      <w:r w:rsidR="009C068F">
        <w:rPr>
          <w:noProof/>
        </w:rPr>
        <w:t>16</w:t>
      </w:r>
      <w:r w:rsidR="00064336">
        <w:rPr>
          <w:lang w:val="en-GB"/>
        </w:rPr>
        <w:fldChar w:fldCharType="end"/>
      </w:r>
      <w:r w:rsidR="00064336">
        <w:rPr>
          <w:lang w:val="en-GB"/>
        </w:rPr>
        <w:t>)</w:t>
      </w:r>
      <w:r w:rsidR="00144A58">
        <w:rPr>
          <w:lang w:val="en-GB"/>
        </w:rPr>
        <w:t xml:space="preserve">. From 2009, </w:t>
      </w:r>
      <w:r w:rsidR="00144A58" w:rsidRPr="00144A58">
        <w:rPr>
          <w:lang w:val="en-GB"/>
        </w:rPr>
        <w:t xml:space="preserve">GBR </w:t>
      </w:r>
      <w:r w:rsidR="00144A58">
        <w:rPr>
          <w:lang w:val="en-GB"/>
        </w:rPr>
        <w:t xml:space="preserve">seagrasses </w:t>
      </w:r>
      <w:r w:rsidR="00144A58" w:rsidRPr="00144A58">
        <w:rPr>
          <w:lang w:val="en-GB"/>
        </w:rPr>
        <w:t>were in a declining trajector</w:t>
      </w:r>
      <w:r w:rsidR="00144A58">
        <w:rPr>
          <w:lang w:val="en-GB"/>
        </w:rPr>
        <w:t>y</w:t>
      </w:r>
      <w:r w:rsidR="00144A58" w:rsidRPr="00144A58">
        <w:rPr>
          <w:lang w:val="en-GB"/>
        </w:rPr>
        <w:t xml:space="preserve"> </w:t>
      </w:r>
      <w:r w:rsidR="00144A58">
        <w:rPr>
          <w:lang w:val="en-GB"/>
        </w:rPr>
        <w:t xml:space="preserve">as a </w:t>
      </w:r>
      <w:r w:rsidR="00144A58" w:rsidRPr="00144A58">
        <w:rPr>
          <w:lang w:val="en-GB"/>
        </w:rPr>
        <w:t>result of multiple years of above average rainfall and</w:t>
      </w:r>
      <w:r w:rsidR="00144A58">
        <w:rPr>
          <w:lang w:val="en-GB"/>
        </w:rPr>
        <w:t xml:space="preserve"> </w:t>
      </w:r>
      <w:r w:rsidR="00144A58" w:rsidRPr="00144A58">
        <w:rPr>
          <w:lang w:val="en-GB"/>
        </w:rPr>
        <w:t>climate‐related impacts</w:t>
      </w:r>
      <w:r w:rsidR="00144A58">
        <w:rPr>
          <w:lang w:val="en-GB"/>
        </w:rPr>
        <w:t xml:space="preserve">, rendering them to a </w:t>
      </w:r>
      <w:r w:rsidR="00144A58" w:rsidRPr="00144A58">
        <w:rPr>
          <w:lang w:val="en-GB"/>
        </w:rPr>
        <w:t>vulnerable</w:t>
      </w:r>
      <w:r w:rsidR="00144A58">
        <w:rPr>
          <w:lang w:val="en-GB"/>
        </w:rPr>
        <w:t xml:space="preserve"> </w:t>
      </w:r>
      <w:r w:rsidR="00144A58" w:rsidRPr="00144A58">
        <w:rPr>
          <w:lang w:val="en-GB"/>
        </w:rPr>
        <w:t>condition</w:t>
      </w:r>
      <w:r w:rsidR="00144A58">
        <w:rPr>
          <w:lang w:val="en-GB"/>
        </w:rPr>
        <w:t xml:space="preserve">. </w:t>
      </w:r>
      <w:r w:rsidR="00144A58" w:rsidRPr="00144A58">
        <w:rPr>
          <w:lang w:val="en-GB"/>
        </w:rPr>
        <w:t>The extreme weather events of early 2011 resulted in further substantial</w:t>
      </w:r>
      <w:r w:rsidR="00144A58">
        <w:rPr>
          <w:lang w:val="en-GB"/>
        </w:rPr>
        <w:t xml:space="preserve"> </w:t>
      </w:r>
      <w:r w:rsidR="00144A58" w:rsidRPr="00144A58">
        <w:rPr>
          <w:lang w:val="en-GB"/>
        </w:rPr>
        <w:t xml:space="preserve">decline in inshore seagrass meadows throughout much of the GBR. </w:t>
      </w:r>
      <w:r w:rsidR="00144A58">
        <w:rPr>
          <w:lang w:val="en-GB"/>
        </w:rPr>
        <w:t xml:space="preserve">Post 2011, seagrasses have </w:t>
      </w:r>
      <w:r w:rsidR="00064336">
        <w:rPr>
          <w:lang w:val="en-GB"/>
        </w:rPr>
        <w:t>progressively recovered, although by 2014-15 still remained below the 2008 levels (</w:t>
      </w:r>
      <w:r w:rsidR="00064336">
        <w:rPr>
          <w:lang w:val="en-GB"/>
        </w:rPr>
        <w:fldChar w:fldCharType="begin"/>
      </w:r>
      <w:r w:rsidR="00064336">
        <w:rPr>
          <w:lang w:val="en-GB"/>
        </w:rPr>
        <w:instrText xml:space="preserve"> REF _Ref442456518 \h </w:instrText>
      </w:r>
      <w:r w:rsidR="00064336">
        <w:rPr>
          <w:lang w:val="en-GB"/>
        </w:rPr>
      </w:r>
      <w:r w:rsidR="00064336">
        <w:rPr>
          <w:lang w:val="en-GB"/>
        </w:rPr>
        <w:fldChar w:fldCharType="separate"/>
      </w:r>
      <w:r w:rsidR="009C068F">
        <w:t xml:space="preserve">Figure </w:t>
      </w:r>
      <w:r w:rsidR="009C068F">
        <w:rPr>
          <w:noProof/>
        </w:rPr>
        <w:t>16</w:t>
      </w:r>
      <w:r w:rsidR="00064336">
        <w:rPr>
          <w:lang w:val="en-GB"/>
        </w:rPr>
        <w:fldChar w:fldCharType="end"/>
      </w:r>
      <w:r w:rsidR="00064336">
        <w:rPr>
          <w:lang w:val="en-GB"/>
        </w:rPr>
        <w:t>).</w:t>
      </w:r>
      <w:r w:rsidR="009817B8">
        <w:rPr>
          <w:lang w:val="en-GB"/>
        </w:rPr>
        <w:t xml:space="preserve"> </w:t>
      </w:r>
    </w:p>
    <w:p w:rsidR="009817B8" w:rsidRPr="00FC378B" w:rsidRDefault="009817B8" w:rsidP="009817B8">
      <w:pPr>
        <w:spacing w:after="0"/>
        <w:rPr>
          <w:rFonts w:asciiTheme="minorHAnsi" w:hAnsiTheme="minorHAnsi"/>
          <w:color w:val="000000"/>
          <w:szCs w:val="22"/>
        </w:rPr>
      </w:pPr>
      <w:r w:rsidRPr="00FC378B">
        <w:rPr>
          <w:rFonts w:asciiTheme="minorHAnsi" w:hAnsiTheme="minorHAnsi"/>
          <w:color w:val="000000"/>
          <w:szCs w:val="22"/>
        </w:rPr>
        <w:t xml:space="preserve">After the extreme weather events leading up to </w:t>
      </w:r>
      <w:proofErr w:type="gramStart"/>
      <w:r w:rsidRPr="00FC378B">
        <w:rPr>
          <w:rFonts w:asciiTheme="minorHAnsi" w:hAnsiTheme="minorHAnsi"/>
          <w:color w:val="000000"/>
          <w:szCs w:val="22"/>
        </w:rPr>
        <w:t>2011</w:t>
      </w:r>
      <w:r>
        <w:rPr>
          <w:rFonts w:asciiTheme="minorHAnsi" w:hAnsiTheme="minorHAnsi"/>
          <w:color w:val="000000"/>
          <w:szCs w:val="22"/>
        </w:rPr>
        <w:t>,</w:t>
      </w:r>
      <w:r w:rsidRPr="00FC378B">
        <w:rPr>
          <w:rFonts w:asciiTheme="minorHAnsi" w:hAnsiTheme="minorHAnsi"/>
          <w:color w:val="000000"/>
          <w:szCs w:val="22"/>
        </w:rPr>
        <w:t xml:space="preserve"> that</w:t>
      </w:r>
      <w:proofErr w:type="gramEnd"/>
      <w:r w:rsidRPr="00FC378B">
        <w:rPr>
          <w:rFonts w:asciiTheme="minorHAnsi" w:hAnsiTheme="minorHAnsi"/>
          <w:color w:val="000000"/>
          <w:szCs w:val="22"/>
        </w:rPr>
        <w:t xml:space="preserve"> caused widespread declines in seagrass area and abundance, recovery was primarily facilitated by the proliferation of </w:t>
      </w:r>
      <w:r>
        <w:rPr>
          <w:rFonts w:asciiTheme="minorHAnsi" w:hAnsiTheme="minorHAnsi"/>
          <w:color w:val="000000"/>
          <w:szCs w:val="22"/>
        </w:rPr>
        <w:t xml:space="preserve">species displaying </w:t>
      </w:r>
      <w:r w:rsidRPr="00FC378B">
        <w:rPr>
          <w:rFonts w:asciiTheme="minorHAnsi" w:hAnsiTheme="minorHAnsi"/>
          <w:color w:val="000000"/>
          <w:szCs w:val="22"/>
        </w:rPr>
        <w:t xml:space="preserve">colonising </w:t>
      </w:r>
      <w:r>
        <w:rPr>
          <w:rFonts w:asciiTheme="minorHAnsi" w:hAnsiTheme="minorHAnsi"/>
          <w:color w:val="000000"/>
          <w:szCs w:val="22"/>
        </w:rPr>
        <w:t>traits</w:t>
      </w:r>
      <w:r w:rsidRPr="00FC378B">
        <w:rPr>
          <w:rFonts w:asciiTheme="minorHAnsi" w:hAnsiTheme="minorHAnsi"/>
          <w:color w:val="000000"/>
          <w:szCs w:val="22"/>
        </w:rPr>
        <w:t xml:space="preserve"> such as </w:t>
      </w:r>
      <w:proofErr w:type="spellStart"/>
      <w:r w:rsidRPr="00FC378B">
        <w:rPr>
          <w:rFonts w:asciiTheme="minorHAnsi" w:hAnsiTheme="minorHAnsi"/>
          <w:i/>
          <w:color w:val="000000"/>
          <w:szCs w:val="22"/>
        </w:rPr>
        <w:t>Halophila</w:t>
      </w:r>
      <w:proofErr w:type="spellEnd"/>
      <w:r w:rsidRPr="00FC378B">
        <w:rPr>
          <w:rFonts w:asciiTheme="minorHAnsi" w:hAnsiTheme="minorHAnsi"/>
          <w:i/>
          <w:color w:val="000000"/>
          <w:szCs w:val="22"/>
        </w:rPr>
        <w:t xml:space="preserve"> </w:t>
      </w:r>
      <w:proofErr w:type="spellStart"/>
      <w:r w:rsidRPr="00FC378B">
        <w:rPr>
          <w:rFonts w:asciiTheme="minorHAnsi" w:hAnsiTheme="minorHAnsi"/>
          <w:i/>
          <w:color w:val="000000"/>
          <w:szCs w:val="22"/>
        </w:rPr>
        <w:t>ovalis</w:t>
      </w:r>
      <w:proofErr w:type="spellEnd"/>
      <w:r w:rsidRPr="00FC378B">
        <w:rPr>
          <w:rFonts w:asciiTheme="minorHAnsi" w:hAnsiTheme="minorHAnsi"/>
          <w:i/>
          <w:color w:val="000000"/>
          <w:szCs w:val="22"/>
        </w:rPr>
        <w:t xml:space="preserve"> </w:t>
      </w:r>
      <w:r w:rsidRPr="00FC378B">
        <w:rPr>
          <w:rFonts w:asciiTheme="minorHAnsi" w:hAnsiTheme="minorHAnsi"/>
          <w:color w:val="000000"/>
          <w:szCs w:val="22"/>
        </w:rPr>
        <w:t>(</w:t>
      </w:r>
      <w:r>
        <w:rPr>
          <w:rFonts w:asciiTheme="minorHAnsi" w:hAnsiTheme="minorHAnsi"/>
          <w:color w:val="000000"/>
          <w:szCs w:val="22"/>
        </w:rPr>
        <w:fldChar w:fldCharType="begin"/>
      </w:r>
      <w:r>
        <w:rPr>
          <w:rFonts w:asciiTheme="minorHAnsi" w:hAnsiTheme="minorHAnsi"/>
          <w:color w:val="000000"/>
          <w:szCs w:val="22"/>
        </w:rPr>
        <w:instrText xml:space="preserve"> REF _Ref442456558 \h </w:instrText>
      </w:r>
      <w:r>
        <w:rPr>
          <w:rFonts w:asciiTheme="minorHAnsi" w:hAnsiTheme="minorHAnsi"/>
          <w:color w:val="000000"/>
          <w:szCs w:val="22"/>
        </w:rPr>
      </w:r>
      <w:r>
        <w:rPr>
          <w:rFonts w:asciiTheme="minorHAnsi" w:hAnsiTheme="minorHAnsi"/>
          <w:color w:val="000000"/>
          <w:szCs w:val="22"/>
        </w:rPr>
        <w:fldChar w:fldCharType="separate"/>
      </w:r>
      <w:r w:rsidR="009C068F" w:rsidRPr="006B4212">
        <w:rPr>
          <w:color w:val="000000"/>
          <w:szCs w:val="22"/>
        </w:rPr>
        <w:t xml:space="preserve">Figure </w:t>
      </w:r>
      <w:r w:rsidR="009C068F">
        <w:rPr>
          <w:noProof/>
          <w:color w:val="000000"/>
          <w:szCs w:val="22"/>
        </w:rPr>
        <w:t>17</w:t>
      </w:r>
      <w:r>
        <w:rPr>
          <w:rFonts w:asciiTheme="minorHAnsi" w:hAnsiTheme="minorHAnsi"/>
          <w:color w:val="000000"/>
          <w:szCs w:val="22"/>
        </w:rPr>
        <w:fldChar w:fldCharType="end"/>
      </w:r>
      <w:r>
        <w:rPr>
          <w:rFonts w:asciiTheme="minorHAnsi" w:hAnsiTheme="minorHAnsi"/>
          <w:color w:val="000000"/>
          <w:szCs w:val="22"/>
        </w:rPr>
        <w:t>, Appendix 4</w:t>
      </w:r>
      <w:r w:rsidRPr="00FC378B">
        <w:rPr>
          <w:rFonts w:asciiTheme="minorHAnsi" w:hAnsiTheme="minorHAnsi"/>
          <w:color w:val="000000"/>
          <w:szCs w:val="22"/>
        </w:rPr>
        <w:t xml:space="preserve">). However, over the 2014-15 monitoring period, the proportion of </w:t>
      </w:r>
      <w:r>
        <w:rPr>
          <w:rFonts w:asciiTheme="minorHAnsi" w:hAnsiTheme="minorHAnsi"/>
          <w:color w:val="000000"/>
          <w:szCs w:val="22"/>
        </w:rPr>
        <w:t xml:space="preserve">species displaying </w:t>
      </w:r>
      <w:r w:rsidRPr="00FC378B">
        <w:rPr>
          <w:rFonts w:asciiTheme="minorHAnsi" w:hAnsiTheme="minorHAnsi"/>
          <w:color w:val="000000"/>
          <w:szCs w:val="22"/>
        </w:rPr>
        <w:t xml:space="preserve">colonising </w:t>
      </w:r>
      <w:r>
        <w:rPr>
          <w:rFonts w:asciiTheme="minorHAnsi" w:hAnsiTheme="minorHAnsi"/>
          <w:color w:val="000000"/>
          <w:szCs w:val="22"/>
        </w:rPr>
        <w:t>traits</w:t>
      </w:r>
      <w:r w:rsidRPr="00FC378B">
        <w:rPr>
          <w:rFonts w:asciiTheme="minorHAnsi" w:hAnsiTheme="minorHAnsi"/>
          <w:color w:val="000000"/>
          <w:szCs w:val="22"/>
        </w:rPr>
        <w:t xml:space="preserve"> declined across all habitats in favour of </w:t>
      </w:r>
      <w:r>
        <w:rPr>
          <w:rFonts w:asciiTheme="minorHAnsi" w:hAnsiTheme="minorHAnsi"/>
          <w:color w:val="000000"/>
          <w:szCs w:val="22"/>
        </w:rPr>
        <w:t xml:space="preserve">species displaying </w:t>
      </w:r>
      <w:r w:rsidRPr="00FC378B">
        <w:rPr>
          <w:rFonts w:asciiTheme="minorHAnsi" w:hAnsiTheme="minorHAnsi"/>
          <w:color w:val="000000"/>
          <w:szCs w:val="22"/>
        </w:rPr>
        <w:t xml:space="preserve">opportunistic or persistent </w:t>
      </w:r>
      <w:r>
        <w:rPr>
          <w:rFonts w:asciiTheme="minorHAnsi" w:hAnsiTheme="minorHAnsi"/>
          <w:szCs w:val="22"/>
        </w:rPr>
        <w:t>traits</w:t>
      </w:r>
      <w:r w:rsidRPr="005566BE">
        <w:rPr>
          <w:rFonts w:asciiTheme="minorHAnsi" w:hAnsiTheme="minorHAnsi"/>
          <w:szCs w:val="22"/>
        </w:rPr>
        <w:t xml:space="preserve"> (</w:t>
      </w:r>
      <w:proofErr w:type="spellStart"/>
      <w:r w:rsidRPr="005566BE">
        <w:rPr>
          <w:rFonts w:asciiTheme="minorHAnsi" w:hAnsiTheme="minorHAnsi"/>
          <w:szCs w:val="22"/>
        </w:rPr>
        <w:t>sensu</w:t>
      </w:r>
      <w:proofErr w:type="spellEnd"/>
      <w:r w:rsidRPr="005566BE">
        <w:rPr>
          <w:rFonts w:asciiTheme="minorHAnsi" w:hAnsiTheme="minorHAnsi"/>
          <w:szCs w:val="22"/>
        </w:rPr>
        <w:t xml:space="preserve"> </w:t>
      </w:r>
      <w:hyperlink w:anchor="_ENREF_133" w:tooltip="Kilminster, 2015 #10294" w:history="1">
        <w:r w:rsidR="00E6043D">
          <w:rPr>
            <w:rFonts w:asciiTheme="minorHAnsi" w:hAnsiTheme="minorHAnsi"/>
            <w:szCs w:val="22"/>
          </w:rPr>
          <w:fldChar w:fldCharType="begin"/>
        </w:r>
        <w:r w:rsidR="00E6043D">
          <w:rPr>
            <w:rFonts w:asciiTheme="minorHAnsi" w:hAnsiTheme="minorHAnsi"/>
            <w:szCs w:val="22"/>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E6043D">
          <w:rPr>
            <w:rFonts w:asciiTheme="minorHAnsi" w:hAnsiTheme="minorHAnsi"/>
            <w:szCs w:val="22"/>
          </w:rPr>
          <w:fldChar w:fldCharType="separate"/>
        </w:r>
        <w:r w:rsidR="00E6043D">
          <w:rPr>
            <w:rFonts w:asciiTheme="minorHAnsi" w:hAnsiTheme="minorHAnsi"/>
            <w:noProof/>
            <w:szCs w:val="22"/>
          </w:rPr>
          <w:t>Kilminster</w:t>
        </w:r>
        <w:r w:rsidR="00E6043D" w:rsidRPr="00644A84">
          <w:rPr>
            <w:rFonts w:asciiTheme="minorHAnsi" w:hAnsiTheme="minorHAnsi"/>
            <w:i/>
            <w:noProof/>
            <w:szCs w:val="22"/>
          </w:rPr>
          <w:t>, et al.</w:t>
        </w:r>
        <w:r w:rsidR="00E6043D">
          <w:rPr>
            <w:rFonts w:asciiTheme="minorHAnsi" w:hAnsiTheme="minorHAnsi"/>
            <w:noProof/>
            <w:szCs w:val="22"/>
          </w:rPr>
          <w:t xml:space="preserve"> 2015</w:t>
        </w:r>
        <w:r w:rsidR="00E6043D">
          <w:rPr>
            <w:rFonts w:asciiTheme="minorHAnsi" w:hAnsiTheme="minorHAnsi"/>
            <w:szCs w:val="22"/>
          </w:rPr>
          <w:fldChar w:fldCharType="end"/>
        </w:r>
      </w:hyperlink>
      <w:r w:rsidRPr="005566BE">
        <w:rPr>
          <w:rFonts w:asciiTheme="minorHAnsi" w:hAnsiTheme="minorHAnsi"/>
          <w:szCs w:val="22"/>
        </w:rPr>
        <w:t>), with the most substantial changes occurring in coastal and reef subtidal habitats (</w:t>
      </w:r>
      <w:r>
        <w:rPr>
          <w:rFonts w:asciiTheme="minorHAnsi" w:hAnsiTheme="minorHAnsi"/>
          <w:szCs w:val="22"/>
        </w:rPr>
        <w:fldChar w:fldCharType="begin"/>
      </w:r>
      <w:r>
        <w:rPr>
          <w:rFonts w:asciiTheme="minorHAnsi" w:hAnsiTheme="minorHAnsi"/>
          <w:szCs w:val="22"/>
        </w:rPr>
        <w:instrText xml:space="preserve"> REF _Ref442456558 \h </w:instrText>
      </w:r>
      <w:r>
        <w:rPr>
          <w:rFonts w:asciiTheme="minorHAnsi" w:hAnsiTheme="minorHAnsi"/>
          <w:szCs w:val="22"/>
        </w:rPr>
      </w:r>
      <w:r>
        <w:rPr>
          <w:rFonts w:asciiTheme="minorHAnsi" w:hAnsiTheme="minorHAnsi"/>
          <w:szCs w:val="22"/>
        </w:rPr>
        <w:fldChar w:fldCharType="separate"/>
      </w:r>
      <w:r w:rsidR="009C068F" w:rsidRPr="006B4212">
        <w:rPr>
          <w:color w:val="000000"/>
          <w:szCs w:val="22"/>
        </w:rPr>
        <w:t xml:space="preserve">Figure </w:t>
      </w:r>
      <w:r w:rsidR="009C068F">
        <w:rPr>
          <w:noProof/>
          <w:color w:val="000000"/>
          <w:szCs w:val="22"/>
        </w:rPr>
        <w:t>17</w:t>
      </w:r>
      <w:r>
        <w:rPr>
          <w:rFonts w:asciiTheme="minorHAnsi" w:hAnsiTheme="minorHAnsi"/>
          <w:szCs w:val="22"/>
        </w:rPr>
        <w:fldChar w:fldCharType="end"/>
      </w:r>
      <w:r w:rsidRPr="005566BE">
        <w:rPr>
          <w:rFonts w:asciiTheme="minorHAnsi" w:hAnsiTheme="minorHAnsi"/>
          <w:szCs w:val="22"/>
        </w:rPr>
        <w:t>). The displacement of colonising species is a natural part of the meadow progression expected during the recovery of seagrass meadows. This pattern has been observed during past disturbance events (</w:t>
      </w:r>
      <w:hyperlink w:anchor="_ENREF_13" w:tooltip="Birch, 1984 #177" w:history="1">
        <w:r w:rsidR="00E6043D">
          <w:rPr>
            <w:rFonts w:asciiTheme="minorHAnsi" w:hAnsiTheme="minorHAnsi"/>
            <w:szCs w:val="22"/>
          </w:rPr>
          <w:fldChar w:fldCharType="begin"/>
        </w:r>
        <w:r w:rsidR="00E6043D">
          <w:rPr>
            <w:rFonts w:asciiTheme="minorHAnsi" w:hAnsiTheme="minorHAnsi"/>
            <w:szCs w:val="22"/>
          </w:rPr>
          <w:instrText xml:space="preserve"> ADDIN EN.CITE &lt;EndNote&gt;&lt;Cite&gt;&lt;Author&gt;Birch&lt;/Author&gt;&lt;Year&gt;1984&lt;/Year&gt;&lt;RecNum&gt;177&lt;/RecNum&gt;&lt;DisplayText&gt;Birch and Birch 1984&lt;/DisplayText&gt;&lt;record&gt;&lt;rec-number&gt;177&lt;/rec-number&gt;&lt;foreign-keys&gt;&lt;key app="EN" db-id="0eve55x9y5vfd6e9dacxtew4eatve2dzds9a"&gt;177&lt;/key&gt;&lt;/foreign-keys&gt;&lt;ref-type name="Journal Article"&gt;17&lt;/ref-type&gt;&lt;contributors&gt;&lt;authors&gt;&lt;author&gt;Birch, WR&lt;/author&gt;&lt;author&gt;Birch, M&lt;/author&gt;&lt;/authors&gt;&lt;/contributors&gt;&lt;titles&gt;&lt;title&gt;Succession and pattern of tropical intertidal seagrasses in Cockle Bay, Queensland, Australia: a decade of observations&lt;/title&gt;&lt;secondary-title&gt;Aquatic Botany&lt;/secondary-title&gt;&lt;alt-title&gt;Aquat. Bot.&lt;/alt-title&gt;&lt;/titles&gt;&lt;periodical&gt;&lt;full-title&gt;Aquatic Botany&lt;/full-title&gt;&lt;/periodical&gt;&lt;pages&gt;343-367&lt;/pages&gt;&lt;volume&gt;19&lt;/volume&gt;&lt;keywords&gt;&lt;keyword&gt;MCKENZIE 1996&lt;/keyword&gt;&lt;keyword&gt;MOURILYAN&lt;/keyword&gt;&lt;/keywords&gt;&lt;dates&gt;&lt;year&gt;1984&lt;/year&gt;&lt;/dates&gt;&lt;label&gt;130&lt;/label&gt;&lt;urls&gt;&lt;/urls&gt;&lt;custom1&gt;Annex&lt;/custom1&gt;&lt;/record&gt;&lt;/Cite&gt;&lt;/EndNote&gt;</w:instrText>
        </w:r>
        <w:r w:rsidR="00E6043D">
          <w:rPr>
            <w:rFonts w:asciiTheme="minorHAnsi" w:hAnsiTheme="minorHAnsi"/>
            <w:szCs w:val="22"/>
          </w:rPr>
          <w:fldChar w:fldCharType="separate"/>
        </w:r>
        <w:r w:rsidR="00E6043D">
          <w:rPr>
            <w:rFonts w:asciiTheme="minorHAnsi" w:hAnsiTheme="minorHAnsi"/>
            <w:noProof/>
            <w:szCs w:val="22"/>
          </w:rPr>
          <w:t>Birch and Birch 1984</w:t>
        </w:r>
        <w:r w:rsidR="00E6043D">
          <w:rPr>
            <w:rFonts w:asciiTheme="minorHAnsi" w:hAnsiTheme="minorHAnsi"/>
            <w:szCs w:val="22"/>
          </w:rPr>
          <w:fldChar w:fldCharType="end"/>
        </w:r>
      </w:hyperlink>
      <w:r w:rsidRPr="005566BE">
        <w:rPr>
          <w:rFonts w:asciiTheme="minorHAnsi" w:hAnsiTheme="minorHAnsi"/>
          <w:szCs w:val="22"/>
        </w:rPr>
        <w:t xml:space="preserve">), but these results provide the most comprehensive evidence for meadow succession following substantial widespread disturbance events in tropical seagrass </w:t>
      </w:r>
      <w:r w:rsidRPr="00FC378B">
        <w:rPr>
          <w:rFonts w:asciiTheme="minorHAnsi" w:hAnsiTheme="minorHAnsi"/>
          <w:color w:val="000000"/>
          <w:szCs w:val="22"/>
        </w:rPr>
        <w:t>meadows that is known to the authors. Furthermore, this demonstrates the importance of species diversity, in particular diversity of species types, to overall resilience (</w:t>
      </w:r>
      <w:hyperlink w:anchor="_ENREF_231" w:tooltip="Unsworth, 2015 #10447" w:history="1">
        <w:r w:rsidR="00E6043D">
          <w:rPr>
            <w:rFonts w:asciiTheme="minorHAnsi" w:hAnsiTheme="minorHAnsi"/>
            <w:color w:val="000000"/>
            <w:szCs w:val="22"/>
          </w:rPr>
          <w:fldChar w:fldCharType="begin"/>
        </w:r>
        <w:r w:rsidR="00E6043D">
          <w:rPr>
            <w:rFonts w:asciiTheme="minorHAnsi" w:hAnsiTheme="minorHAnsi"/>
            <w:color w:val="000000"/>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E6043D">
          <w:rPr>
            <w:rFonts w:asciiTheme="minorHAnsi" w:hAnsiTheme="minorHAnsi"/>
            <w:color w:val="000000"/>
            <w:szCs w:val="22"/>
          </w:rPr>
          <w:fldChar w:fldCharType="separate"/>
        </w:r>
        <w:r w:rsidR="00E6043D">
          <w:rPr>
            <w:rFonts w:asciiTheme="minorHAnsi" w:hAnsiTheme="minorHAnsi"/>
            <w:noProof/>
            <w:color w:val="000000"/>
            <w:szCs w:val="22"/>
          </w:rPr>
          <w:t>Unsworth</w:t>
        </w:r>
        <w:r w:rsidR="00E6043D" w:rsidRPr="00644A84">
          <w:rPr>
            <w:rFonts w:asciiTheme="minorHAnsi" w:hAnsiTheme="minorHAnsi"/>
            <w:i/>
            <w:noProof/>
            <w:color w:val="000000"/>
            <w:szCs w:val="22"/>
          </w:rPr>
          <w:t>, et al.</w:t>
        </w:r>
        <w:r w:rsidR="00E6043D">
          <w:rPr>
            <w:rFonts w:asciiTheme="minorHAnsi" w:hAnsiTheme="minorHAnsi"/>
            <w:noProof/>
            <w:color w:val="000000"/>
            <w:szCs w:val="22"/>
          </w:rPr>
          <w:t xml:space="preserve"> 2015</w:t>
        </w:r>
        <w:r w:rsidR="00E6043D">
          <w:rPr>
            <w:rFonts w:asciiTheme="minorHAnsi" w:hAnsiTheme="minorHAnsi"/>
            <w:color w:val="000000"/>
            <w:szCs w:val="22"/>
          </w:rPr>
          <w:fldChar w:fldCharType="end"/>
        </w:r>
      </w:hyperlink>
      <w:r w:rsidRPr="00FC378B">
        <w:rPr>
          <w:rFonts w:asciiTheme="minorHAnsi" w:hAnsiTheme="minorHAnsi"/>
          <w:color w:val="000000"/>
          <w:szCs w:val="22"/>
        </w:rPr>
        <w:t xml:space="preserve">). As such, species diversity is being considered for inclusion in the report card metric. </w:t>
      </w:r>
    </w:p>
    <w:p w:rsidR="009817B8" w:rsidRDefault="009817B8" w:rsidP="00A00BC4">
      <w:pPr>
        <w:rPr>
          <w:lang w:val="en-GB"/>
        </w:rPr>
      </w:pPr>
    </w:p>
    <w:p w:rsidR="00716CE2" w:rsidRPr="00A00BC4" w:rsidRDefault="00244499" w:rsidP="00716CE2">
      <w:pPr>
        <w:keepNext/>
        <w:widowControl w:val="0"/>
        <w:jc w:val="center"/>
        <w:rPr>
          <w:lang w:val="en-GB"/>
        </w:rPr>
      </w:pPr>
      <w:r>
        <w:rPr>
          <w:noProof/>
          <w:lang w:eastAsia="en-AU"/>
        </w:rPr>
        <w:lastRenderedPageBreak/>
        <w:drawing>
          <wp:inline distT="0" distB="0" distL="0" distR="0" wp14:anchorId="07AE0123" wp14:editId="396E6046">
            <wp:extent cx="3960000" cy="2336400"/>
            <wp:effectExtent l="0" t="0" r="2540" b="6985"/>
            <wp:docPr id="81" name="Picture 81" descr="GAM plot of seagrass abundance (% cover) for each habitat type across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GBR wide with Habitat_GAM_Jan16.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3960000" cy="2336400"/>
                    </a:xfrm>
                    <a:prstGeom prst="rect">
                      <a:avLst/>
                    </a:prstGeom>
                  </pic:spPr>
                </pic:pic>
              </a:graphicData>
            </a:graphic>
          </wp:inline>
        </w:drawing>
      </w:r>
    </w:p>
    <w:p w:rsidR="00B518CD" w:rsidRPr="003100AA" w:rsidRDefault="00B518CD" w:rsidP="00B518CD">
      <w:pPr>
        <w:rPr>
          <w:i/>
          <w:vanish/>
          <w:specVanish/>
        </w:rPr>
      </w:pPr>
      <w:bookmarkStart w:id="161" w:name="_Ref442456518"/>
      <w:bookmarkStart w:id="162" w:name="_Toc462684856"/>
      <w:r>
        <w:t xml:space="preserve">Figure </w:t>
      </w:r>
      <w:fldSimple w:instr=" SEQ Figure \* ARABIC ">
        <w:r w:rsidR="009C068F">
          <w:rPr>
            <w:noProof/>
          </w:rPr>
          <w:t>16</w:t>
        </w:r>
      </w:fldSimple>
      <w:bookmarkEnd w:id="161"/>
      <w:r>
        <w:t xml:space="preserve">. </w:t>
      </w:r>
      <w:r w:rsidRPr="00AA7D8F">
        <w:rPr>
          <w:i/>
        </w:rPr>
        <w:t>Trends in seagrass abundance (% cover) for each habitat type across the GBR</w:t>
      </w:r>
      <w:r>
        <w:rPr>
          <w:i/>
        </w:rPr>
        <w:t xml:space="preserve"> represented by a GAM plot</w:t>
      </w:r>
      <w:r w:rsidRPr="00AA7D8F">
        <w:rPr>
          <w:i/>
        </w:rPr>
        <w:t>.</w:t>
      </w:r>
      <w:bookmarkEnd w:id="162"/>
      <w:r w:rsidRPr="00AA7D8F">
        <w:rPr>
          <w:i/>
        </w:rPr>
        <w:t xml:space="preserve"> </w:t>
      </w:r>
    </w:p>
    <w:p w:rsidR="00B518CD" w:rsidRPr="003100AA" w:rsidRDefault="00B518CD" w:rsidP="00B518CD">
      <w:pPr>
        <w:rPr>
          <w:lang w:val="en-GB"/>
        </w:rPr>
      </w:pPr>
      <w:r>
        <w:rPr>
          <w:lang w:val="en-GB"/>
        </w:rPr>
        <w:t xml:space="preserve"> </w:t>
      </w:r>
      <w:r w:rsidRPr="00AA7D8F">
        <w:rPr>
          <w:i/>
        </w:rPr>
        <w:t xml:space="preserve">Trends are </w:t>
      </w:r>
      <w:r>
        <w:rPr>
          <w:i/>
        </w:rPr>
        <w:t>dark</w:t>
      </w:r>
      <w:r w:rsidRPr="00AA7D8F">
        <w:rPr>
          <w:i/>
        </w:rPr>
        <w:t xml:space="preserve"> lines with shaded areas defining 95% confidence intervals of those trends.</w:t>
      </w:r>
      <w:r>
        <w:rPr>
          <w:lang w:val="en-GB"/>
        </w:rPr>
        <w:t xml:space="preserve"> </w:t>
      </w:r>
    </w:p>
    <w:p w:rsidR="00B518CD" w:rsidRPr="00AE7DF1" w:rsidRDefault="00B518CD" w:rsidP="00B518CD">
      <w:pPr>
        <w:spacing w:after="0"/>
        <w:rPr>
          <w:color w:val="000000"/>
          <w:szCs w:val="22"/>
        </w:rPr>
      </w:pPr>
    </w:p>
    <w:p w:rsidR="00B518CD" w:rsidRPr="006B4212" w:rsidRDefault="00A00BC4"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5A703EFC" wp14:editId="1F2D366C">
            <wp:extent cx="5760000" cy="1591200"/>
            <wp:effectExtent l="0" t="0" r="0" b="9525"/>
            <wp:docPr id="10155" name="Picture 10155" descr="Panel of four graphs showing proportion of total seagrass abundance composed of species displaying colonising traits (e.g. Halophila ovalis) in each inshore seagrass habitat (sites pooled) for the GBR (regions pooled)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 name="GBR_colonising_2015.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760000" cy="1591200"/>
                    </a:xfrm>
                    <a:prstGeom prst="rect">
                      <a:avLst/>
                    </a:prstGeom>
                  </pic:spPr>
                </pic:pic>
              </a:graphicData>
            </a:graphic>
          </wp:inline>
        </w:drawing>
      </w:r>
    </w:p>
    <w:p w:rsidR="00E57745" w:rsidRPr="00716CE2" w:rsidRDefault="00B518CD" w:rsidP="00E57745">
      <w:pPr>
        <w:rPr>
          <w:i/>
          <w:vanish/>
          <w:szCs w:val="22"/>
          <w:specVanish/>
        </w:rPr>
      </w:pPr>
      <w:bookmarkStart w:id="163" w:name="_Ref442456558"/>
      <w:bookmarkStart w:id="164" w:name="_Toc462684857"/>
      <w:r w:rsidRPr="006B421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17</w:t>
      </w:r>
      <w:r w:rsidR="0073595B">
        <w:rPr>
          <w:color w:val="000000"/>
          <w:szCs w:val="22"/>
        </w:rPr>
        <w:fldChar w:fldCharType="end"/>
      </w:r>
      <w:bookmarkEnd w:id="163"/>
      <w:r w:rsidRPr="006B4212">
        <w:rPr>
          <w:color w:val="000000"/>
          <w:szCs w:val="22"/>
        </w:rPr>
        <w:t xml:space="preserve">. </w:t>
      </w:r>
      <w:r w:rsidRPr="002356D0">
        <w:rPr>
          <w:i/>
          <w:szCs w:val="22"/>
        </w:rPr>
        <w:t xml:space="preserve">Proportion of total seagrass abundance composed of </w:t>
      </w:r>
      <w:r w:rsidR="007D4D28">
        <w:rPr>
          <w:i/>
          <w:szCs w:val="22"/>
        </w:rPr>
        <w:t xml:space="preserve">species displaying colonising traits (e.g. </w:t>
      </w:r>
      <w:proofErr w:type="spellStart"/>
      <w:r w:rsidRPr="002356D0">
        <w:rPr>
          <w:szCs w:val="22"/>
        </w:rPr>
        <w:t>Halophila</w:t>
      </w:r>
      <w:proofErr w:type="spellEnd"/>
      <w:r w:rsidRPr="002356D0">
        <w:rPr>
          <w:szCs w:val="22"/>
        </w:rPr>
        <w:t xml:space="preserve"> </w:t>
      </w:r>
      <w:proofErr w:type="spellStart"/>
      <w:r w:rsidRPr="002356D0">
        <w:rPr>
          <w:szCs w:val="22"/>
        </w:rPr>
        <w:t>ovalis</w:t>
      </w:r>
      <w:proofErr w:type="spellEnd"/>
      <w:r w:rsidRPr="002356D0">
        <w:rPr>
          <w:i/>
          <w:szCs w:val="22"/>
        </w:rPr>
        <w:t>) in a) estuary intertidal, b) coastal intertidal, c) reef intertidal and d) reef subtidal habitats (sites pooled) for the GBR (regions pooled) each monitoring period</w:t>
      </w:r>
      <w:bookmarkEnd w:id="164"/>
    </w:p>
    <w:p w:rsidR="00B518CD" w:rsidRPr="002356D0" w:rsidRDefault="00E57745" w:rsidP="00E57745">
      <w:pPr>
        <w:rPr>
          <w:szCs w:val="22"/>
        </w:rPr>
      </w:pPr>
      <w:r w:rsidRPr="00716CE2">
        <w:rPr>
          <w:i/>
        </w:rPr>
        <w:t>.</w:t>
      </w:r>
      <w:r w:rsidR="00B518CD" w:rsidRPr="002356D0">
        <w:rPr>
          <w:i/>
          <w:szCs w:val="22"/>
        </w:rPr>
        <w:t xml:space="preserve"> Dashed line illustrates </w:t>
      </w:r>
      <w:r w:rsidR="007D4D28">
        <w:rPr>
          <w:i/>
          <w:szCs w:val="22"/>
        </w:rPr>
        <w:t xml:space="preserve">GBR </w:t>
      </w:r>
      <w:r w:rsidR="00B518CD" w:rsidRPr="002356D0">
        <w:rPr>
          <w:i/>
          <w:szCs w:val="22"/>
        </w:rPr>
        <w:t>average proportion of colonising species in each habitat type (</w:t>
      </w:r>
      <w:r w:rsidR="006D4E83">
        <w:rPr>
          <w:i/>
          <w:color w:val="0000FF"/>
          <w:szCs w:val="22"/>
        </w:rPr>
        <w:fldChar w:fldCharType="begin"/>
      </w:r>
      <w:r w:rsidR="006D4E83">
        <w:rPr>
          <w:i/>
          <w:szCs w:val="22"/>
        </w:rPr>
        <w:instrText xml:space="preserve"> REF _Ref442528436 \h </w:instrText>
      </w:r>
      <w:r w:rsidR="006D4E83">
        <w:rPr>
          <w:i/>
          <w:color w:val="0000FF"/>
          <w:szCs w:val="22"/>
        </w:rPr>
      </w:r>
      <w:r w:rsidR="006D4E83">
        <w:rPr>
          <w:i/>
          <w:color w:val="0000FF"/>
          <w:szCs w:val="22"/>
        </w:rPr>
        <w:fldChar w:fldCharType="separate"/>
      </w:r>
      <w:r w:rsidR="009C068F" w:rsidRPr="00517276">
        <w:rPr>
          <w:color w:val="000000"/>
          <w:szCs w:val="22"/>
        </w:rPr>
        <w:t xml:space="preserve">Table </w:t>
      </w:r>
      <w:r w:rsidR="009C068F">
        <w:rPr>
          <w:noProof/>
          <w:color w:val="000000"/>
          <w:szCs w:val="22"/>
        </w:rPr>
        <w:t>32</w:t>
      </w:r>
      <w:r w:rsidR="006D4E83">
        <w:rPr>
          <w:i/>
          <w:color w:val="0000FF"/>
          <w:szCs w:val="22"/>
        </w:rPr>
        <w:fldChar w:fldCharType="end"/>
      </w:r>
      <w:r w:rsidR="00B518CD" w:rsidRPr="002356D0">
        <w:rPr>
          <w:i/>
          <w:szCs w:val="22"/>
        </w:rPr>
        <w:t>).</w:t>
      </w:r>
    </w:p>
    <w:p w:rsidR="00B518CD" w:rsidRPr="00AE7DF1" w:rsidRDefault="00B518CD" w:rsidP="00B518CD">
      <w:pPr>
        <w:spacing w:after="0"/>
        <w:rPr>
          <w:color w:val="000000"/>
          <w:szCs w:val="22"/>
        </w:rPr>
      </w:pPr>
    </w:p>
    <w:p w:rsidR="00A00BC4" w:rsidRPr="00AE7DF1" w:rsidRDefault="00B518CD" w:rsidP="00B518CD">
      <w:pPr>
        <w:autoSpaceDE w:val="0"/>
        <w:autoSpaceDN w:val="0"/>
        <w:adjustRightInd w:val="0"/>
        <w:spacing w:before="0" w:after="0"/>
        <w:rPr>
          <w:rFonts w:cs="Calibri"/>
          <w:color w:val="000000"/>
          <w:szCs w:val="22"/>
          <w:lang w:eastAsia="en-AU"/>
        </w:rPr>
      </w:pPr>
      <w:r w:rsidRPr="00AE7DF1">
        <w:rPr>
          <w:color w:val="000000"/>
          <w:szCs w:val="22"/>
        </w:rPr>
        <w:t xml:space="preserve">Reproductive effort across the GBR, representing per area estimates of the number of reproductive structures </w:t>
      </w:r>
      <w:r w:rsidR="007D4D28">
        <w:rPr>
          <w:color w:val="000000"/>
          <w:szCs w:val="22"/>
        </w:rPr>
        <w:t xml:space="preserve">(spathes, fruits, female and male flowers) </w:t>
      </w:r>
      <w:r w:rsidRPr="00AE7DF1">
        <w:rPr>
          <w:color w:val="000000"/>
          <w:szCs w:val="22"/>
        </w:rPr>
        <w:t xml:space="preserve">produced by any seagrass species during the sampling period, was </w:t>
      </w:r>
      <w:r w:rsidRPr="00AE7DF1">
        <w:rPr>
          <w:rFonts w:cs="Calibri"/>
          <w:color w:val="000000"/>
          <w:szCs w:val="22"/>
          <w:lang w:eastAsia="en-AU"/>
        </w:rPr>
        <w:t>higher in estuary habitats over the long-term, than coastal and reef habitats (</w:t>
      </w:r>
      <w:r w:rsidR="006D4E83">
        <w:rPr>
          <w:rFonts w:cs="Calibri"/>
          <w:color w:val="000000"/>
          <w:szCs w:val="22"/>
          <w:lang w:eastAsia="en-AU"/>
        </w:rPr>
        <w:fldChar w:fldCharType="begin"/>
      </w:r>
      <w:r w:rsidR="006D4E83">
        <w:rPr>
          <w:rFonts w:cs="Calibri"/>
          <w:color w:val="000000"/>
          <w:szCs w:val="22"/>
          <w:lang w:eastAsia="en-AU"/>
        </w:rPr>
        <w:instrText xml:space="preserve"> REF _Ref442528478 \h </w:instrText>
      </w:r>
      <w:r w:rsidR="006D4E83">
        <w:rPr>
          <w:rFonts w:cs="Calibri"/>
          <w:color w:val="000000"/>
          <w:szCs w:val="22"/>
          <w:lang w:eastAsia="en-AU"/>
        </w:rPr>
      </w:r>
      <w:r w:rsidR="006D4E83">
        <w:rPr>
          <w:rFonts w:cs="Calibri"/>
          <w:color w:val="000000"/>
          <w:szCs w:val="22"/>
          <w:lang w:eastAsia="en-AU"/>
        </w:rPr>
        <w:fldChar w:fldCharType="separate"/>
      </w:r>
      <w:r w:rsidR="009C068F" w:rsidRPr="00B307B0">
        <w:rPr>
          <w:color w:val="000000"/>
          <w:szCs w:val="22"/>
        </w:rPr>
        <w:t xml:space="preserve">Figure </w:t>
      </w:r>
      <w:r w:rsidR="009C068F">
        <w:rPr>
          <w:noProof/>
          <w:color w:val="000000"/>
          <w:szCs w:val="22"/>
        </w:rPr>
        <w:t>18</w:t>
      </w:r>
      <w:r w:rsidR="006D4E83">
        <w:rPr>
          <w:rFonts w:cs="Calibri"/>
          <w:color w:val="000000"/>
          <w:szCs w:val="22"/>
          <w:lang w:eastAsia="en-AU"/>
        </w:rPr>
        <w:fldChar w:fldCharType="end"/>
      </w:r>
      <w:r w:rsidRPr="00AE7DF1">
        <w:rPr>
          <w:rFonts w:cs="Calibri"/>
          <w:color w:val="000000"/>
          <w:szCs w:val="22"/>
          <w:lang w:eastAsia="en-AU"/>
        </w:rPr>
        <w:t xml:space="preserve">). Reproductive effort </w:t>
      </w:r>
      <w:r>
        <w:rPr>
          <w:rFonts w:cs="Calibri"/>
          <w:color w:val="000000"/>
          <w:szCs w:val="22"/>
          <w:lang w:eastAsia="en-AU"/>
        </w:rPr>
        <w:t xml:space="preserve">has generally </w:t>
      </w:r>
      <w:r w:rsidRPr="00AE7DF1">
        <w:rPr>
          <w:rFonts w:cs="Calibri"/>
          <w:color w:val="000000"/>
          <w:szCs w:val="22"/>
          <w:lang w:eastAsia="en-AU"/>
        </w:rPr>
        <w:t xml:space="preserve">increased at all habitats </w:t>
      </w:r>
      <w:r>
        <w:rPr>
          <w:rFonts w:cs="Calibri"/>
          <w:color w:val="000000"/>
          <w:szCs w:val="22"/>
          <w:lang w:eastAsia="en-AU"/>
        </w:rPr>
        <w:t>since 2011; however, in 2014-15 there was a small decline in effort</w:t>
      </w:r>
      <w:r w:rsidRPr="00AE7DF1">
        <w:rPr>
          <w:rFonts w:cs="Calibri"/>
          <w:color w:val="000000"/>
          <w:szCs w:val="22"/>
          <w:lang w:eastAsia="en-AU"/>
        </w:rPr>
        <w:t xml:space="preserve"> relative to the previous year in coastal and </w:t>
      </w:r>
      <w:r>
        <w:rPr>
          <w:rFonts w:cs="Calibri"/>
          <w:color w:val="000000"/>
          <w:szCs w:val="22"/>
          <w:lang w:eastAsia="en-AU"/>
        </w:rPr>
        <w:t>reef intertidal</w:t>
      </w:r>
      <w:r w:rsidRPr="00AE7DF1">
        <w:rPr>
          <w:rFonts w:cs="Calibri"/>
          <w:color w:val="000000"/>
          <w:szCs w:val="22"/>
          <w:lang w:eastAsia="en-AU"/>
        </w:rPr>
        <w:t xml:space="preserve"> habitats (</w:t>
      </w:r>
      <w:r w:rsidR="006D4E83">
        <w:rPr>
          <w:rFonts w:cs="Calibri"/>
          <w:color w:val="000000"/>
          <w:szCs w:val="22"/>
          <w:lang w:eastAsia="en-AU"/>
        </w:rPr>
        <w:fldChar w:fldCharType="begin"/>
      </w:r>
      <w:r w:rsidR="006D4E83">
        <w:rPr>
          <w:rFonts w:cs="Calibri"/>
          <w:color w:val="000000"/>
          <w:szCs w:val="22"/>
          <w:lang w:eastAsia="en-AU"/>
        </w:rPr>
        <w:instrText xml:space="preserve"> REF _Ref442528478 \h </w:instrText>
      </w:r>
      <w:r w:rsidR="006D4E83">
        <w:rPr>
          <w:rFonts w:cs="Calibri"/>
          <w:color w:val="000000"/>
          <w:szCs w:val="22"/>
          <w:lang w:eastAsia="en-AU"/>
        </w:rPr>
      </w:r>
      <w:r w:rsidR="006D4E83">
        <w:rPr>
          <w:rFonts w:cs="Calibri"/>
          <w:color w:val="000000"/>
          <w:szCs w:val="22"/>
          <w:lang w:eastAsia="en-AU"/>
        </w:rPr>
        <w:fldChar w:fldCharType="separate"/>
      </w:r>
      <w:r w:rsidR="009C068F" w:rsidRPr="00B307B0">
        <w:rPr>
          <w:color w:val="000000"/>
          <w:szCs w:val="22"/>
        </w:rPr>
        <w:t xml:space="preserve">Figure </w:t>
      </w:r>
      <w:r w:rsidR="009C068F">
        <w:rPr>
          <w:noProof/>
          <w:color w:val="000000"/>
          <w:szCs w:val="22"/>
        </w:rPr>
        <w:t>18</w:t>
      </w:r>
      <w:r w:rsidR="006D4E83">
        <w:rPr>
          <w:rFonts w:cs="Calibri"/>
          <w:color w:val="000000"/>
          <w:szCs w:val="22"/>
          <w:lang w:eastAsia="en-AU"/>
        </w:rPr>
        <w:fldChar w:fldCharType="end"/>
      </w:r>
      <w:r w:rsidRPr="00AE7DF1">
        <w:rPr>
          <w:rFonts w:cs="Calibri"/>
          <w:color w:val="000000"/>
          <w:szCs w:val="22"/>
          <w:lang w:eastAsia="en-AU"/>
        </w:rPr>
        <w:t>).</w:t>
      </w:r>
    </w:p>
    <w:p w:rsidR="00B518CD" w:rsidRPr="00AE7DF1" w:rsidRDefault="00A00BC4" w:rsidP="00B518CD">
      <w:pPr>
        <w:keepNext/>
        <w:widowControl w:val="0"/>
        <w:spacing w:before="0" w:after="0"/>
        <w:jc w:val="center"/>
        <w:rPr>
          <w:noProof/>
          <w:color w:val="000000"/>
          <w:szCs w:val="22"/>
          <w:lang w:eastAsia="en-AU"/>
        </w:rPr>
      </w:pPr>
      <w:r>
        <w:rPr>
          <w:noProof/>
          <w:color w:val="000000"/>
          <w:szCs w:val="22"/>
          <w:lang w:eastAsia="en-AU"/>
        </w:rPr>
        <w:lastRenderedPageBreak/>
        <w:drawing>
          <wp:inline distT="0" distB="0" distL="0" distR="0" wp14:anchorId="248D7DCA" wp14:editId="631F7CD5">
            <wp:extent cx="3960000" cy="2768400"/>
            <wp:effectExtent l="0" t="0" r="2540" b="0"/>
            <wp:docPr id="10156" name="Picture 10156" descr="Panel of four graphs showing seagrass reproductive effort (number of reproductive structures produced by all seagrass species) during the late dry of each monitoring period,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6" name="GBR_repro15.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960000" cy="2768400"/>
                    </a:xfrm>
                    <a:prstGeom prst="rect">
                      <a:avLst/>
                    </a:prstGeom>
                  </pic:spPr>
                </pic:pic>
              </a:graphicData>
            </a:graphic>
          </wp:inline>
        </w:drawing>
      </w:r>
    </w:p>
    <w:p w:rsidR="00B518CD" w:rsidRPr="00B307B0" w:rsidRDefault="00B518CD" w:rsidP="00B518CD">
      <w:pPr>
        <w:rPr>
          <w:i/>
          <w:color w:val="000000"/>
          <w:szCs w:val="22"/>
        </w:rPr>
      </w:pPr>
      <w:bookmarkStart w:id="165" w:name="_Ref442528478"/>
      <w:bookmarkStart w:id="166" w:name="_Toc462684858"/>
      <w:r w:rsidRPr="00B307B0">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18</w:t>
      </w:r>
      <w:r w:rsidR="0073595B">
        <w:rPr>
          <w:color w:val="000000"/>
          <w:szCs w:val="22"/>
        </w:rPr>
        <w:fldChar w:fldCharType="end"/>
      </w:r>
      <w:bookmarkEnd w:id="165"/>
      <w:r w:rsidRPr="00B307B0">
        <w:rPr>
          <w:color w:val="000000"/>
          <w:szCs w:val="22"/>
        </w:rPr>
        <w:t xml:space="preserve">. </w:t>
      </w:r>
      <w:r w:rsidRPr="00B307B0">
        <w:rPr>
          <w:i/>
          <w:color w:val="000000"/>
          <w:szCs w:val="22"/>
        </w:rPr>
        <w:t>Seagrass reproductive effort (number of reproductive structures produced by all seagrass species) during the late dry of each monitoring period, for a) estuary intertidal; b) coast intertidal; c) reef intertidal; d) reef subtidal.</w:t>
      </w:r>
      <w:bookmarkEnd w:id="166"/>
    </w:p>
    <w:p w:rsidR="00B518CD" w:rsidRDefault="00B518CD" w:rsidP="00B518CD">
      <w:pPr>
        <w:spacing w:after="0"/>
        <w:rPr>
          <w:color w:val="000000"/>
          <w:szCs w:val="22"/>
        </w:rPr>
      </w:pPr>
      <w:r>
        <w:rPr>
          <w:color w:val="000000"/>
          <w:szCs w:val="22"/>
        </w:rPr>
        <w:t>R</w:t>
      </w:r>
      <w:r w:rsidRPr="002453C0">
        <w:rPr>
          <w:color w:val="000000"/>
          <w:szCs w:val="22"/>
        </w:rPr>
        <w:t xml:space="preserve">eproductive effort across the GBR NRM regions </w:t>
      </w:r>
      <w:r>
        <w:rPr>
          <w:color w:val="000000"/>
          <w:szCs w:val="22"/>
        </w:rPr>
        <w:t xml:space="preserve">during 2013-14 improved </w:t>
      </w:r>
      <w:r w:rsidRPr="002453C0">
        <w:rPr>
          <w:color w:val="000000"/>
          <w:szCs w:val="22"/>
        </w:rPr>
        <w:t>in the Wet Tropics, Mackay Whitsunday</w:t>
      </w:r>
      <w:r w:rsidR="00ED2BCA">
        <w:rPr>
          <w:color w:val="000000"/>
          <w:szCs w:val="22"/>
        </w:rPr>
        <w:t>,</w:t>
      </w:r>
      <w:r w:rsidRPr="002453C0">
        <w:rPr>
          <w:color w:val="000000"/>
          <w:szCs w:val="22"/>
        </w:rPr>
        <w:t xml:space="preserve"> Fitzroy </w:t>
      </w:r>
      <w:r w:rsidR="00ED2BCA" w:rsidRPr="002453C0">
        <w:rPr>
          <w:color w:val="000000"/>
          <w:szCs w:val="22"/>
        </w:rPr>
        <w:t xml:space="preserve">and </w:t>
      </w:r>
      <w:r w:rsidR="00ED2BCA">
        <w:rPr>
          <w:color w:val="000000"/>
          <w:szCs w:val="22"/>
        </w:rPr>
        <w:t xml:space="preserve">Burnett Mary </w:t>
      </w:r>
      <w:r w:rsidRPr="002453C0">
        <w:rPr>
          <w:color w:val="000000"/>
          <w:szCs w:val="22"/>
        </w:rPr>
        <w:t>(</w:t>
      </w:r>
      <w:r w:rsidR="006D4E83">
        <w:rPr>
          <w:color w:val="000000"/>
          <w:szCs w:val="22"/>
        </w:rPr>
        <w:fldChar w:fldCharType="begin"/>
      </w:r>
      <w:r w:rsidR="006D4E83">
        <w:rPr>
          <w:color w:val="000000"/>
          <w:szCs w:val="22"/>
        </w:rPr>
        <w:instrText xml:space="preserve"> REF _Ref442528511 \h </w:instrText>
      </w:r>
      <w:r w:rsidR="006D4E83">
        <w:rPr>
          <w:color w:val="000000"/>
          <w:szCs w:val="22"/>
        </w:rPr>
      </w:r>
      <w:r w:rsidR="006D4E83">
        <w:rPr>
          <w:color w:val="000000"/>
          <w:szCs w:val="22"/>
        </w:rPr>
        <w:fldChar w:fldCharType="separate"/>
      </w:r>
      <w:r w:rsidR="009C068F" w:rsidRPr="00716CE2">
        <w:t xml:space="preserve">Figure </w:t>
      </w:r>
      <w:r w:rsidR="009C068F">
        <w:rPr>
          <w:noProof/>
        </w:rPr>
        <w:t>19</w:t>
      </w:r>
      <w:r w:rsidR="006D4E83">
        <w:rPr>
          <w:color w:val="000000"/>
          <w:szCs w:val="22"/>
        </w:rPr>
        <w:fldChar w:fldCharType="end"/>
      </w:r>
      <w:r w:rsidRPr="002453C0">
        <w:rPr>
          <w:color w:val="000000"/>
          <w:szCs w:val="22"/>
        </w:rPr>
        <w:t xml:space="preserve">). With the exception of the Burdekin and Mackay Whitsunday, </w:t>
      </w:r>
      <w:proofErr w:type="gramStart"/>
      <w:r w:rsidRPr="002453C0">
        <w:rPr>
          <w:color w:val="000000"/>
          <w:szCs w:val="22"/>
        </w:rPr>
        <w:t>reproductive efforts in all other regions was</w:t>
      </w:r>
      <w:proofErr w:type="gramEnd"/>
      <w:r w:rsidRPr="002453C0">
        <w:rPr>
          <w:color w:val="000000"/>
          <w:szCs w:val="22"/>
        </w:rPr>
        <w:t xml:space="preserve"> classified as very poor in </w:t>
      </w:r>
      <w:r>
        <w:rPr>
          <w:color w:val="000000"/>
          <w:szCs w:val="22"/>
        </w:rPr>
        <w:t>2013-14</w:t>
      </w:r>
      <w:r w:rsidRPr="002453C0">
        <w:rPr>
          <w:color w:val="000000"/>
          <w:szCs w:val="22"/>
        </w:rPr>
        <w:t xml:space="preserve"> (</w:t>
      </w:r>
      <w:r w:rsidR="006D4E83">
        <w:rPr>
          <w:color w:val="000000"/>
          <w:szCs w:val="22"/>
        </w:rPr>
        <w:fldChar w:fldCharType="begin"/>
      </w:r>
      <w:r w:rsidR="006D4E83">
        <w:rPr>
          <w:color w:val="000000"/>
          <w:szCs w:val="22"/>
        </w:rPr>
        <w:instrText xml:space="preserve"> REF _Ref442528511 \h </w:instrText>
      </w:r>
      <w:r w:rsidR="006D4E83">
        <w:rPr>
          <w:color w:val="000000"/>
          <w:szCs w:val="22"/>
        </w:rPr>
      </w:r>
      <w:r w:rsidR="006D4E83">
        <w:rPr>
          <w:color w:val="000000"/>
          <w:szCs w:val="22"/>
        </w:rPr>
        <w:fldChar w:fldCharType="separate"/>
      </w:r>
      <w:r w:rsidR="009C068F" w:rsidRPr="00716CE2">
        <w:t xml:space="preserve">Figure </w:t>
      </w:r>
      <w:r w:rsidR="009C068F">
        <w:rPr>
          <w:noProof/>
        </w:rPr>
        <w:t>19</w:t>
      </w:r>
      <w:r w:rsidR="006D4E83">
        <w:rPr>
          <w:color w:val="000000"/>
          <w:szCs w:val="22"/>
        </w:rPr>
        <w:fldChar w:fldCharType="end"/>
      </w:r>
      <w:r w:rsidRPr="002453C0">
        <w:rPr>
          <w:color w:val="000000"/>
          <w:szCs w:val="22"/>
        </w:rPr>
        <w:t>).</w:t>
      </w:r>
    </w:p>
    <w:p w:rsidR="00B518CD" w:rsidRPr="002453C0" w:rsidRDefault="00B518CD" w:rsidP="00B518CD">
      <w:pPr>
        <w:spacing w:after="0"/>
        <w:rPr>
          <w:color w:val="000000"/>
          <w:szCs w:val="22"/>
        </w:rPr>
      </w:pPr>
    </w:p>
    <w:p w:rsidR="00B518CD" w:rsidRPr="00716CE2" w:rsidRDefault="009D7C6B" w:rsidP="00B518CD">
      <w:pPr>
        <w:keepNext/>
        <w:widowControl w:val="0"/>
        <w:spacing w:before="0" w:after="0"/>
        <w:jc w:val="center"/>
        <w:rPr>
          <w:noProof/>
          <w:szCs w:val="22"/>
          <w:lang w:eastAsia="en-AU"/>
        </w:rPr>
      </w:pPr>
      <w:r>
        <w:rPr>
          <w:noProof/>
          <w:szCs w:val="22"/>
          <w:lang w:eastAsia="en-AU"/>
        </w:rPr>
        <w:drawing>
          <wp:inline distT="0" distB="0" distL="0" distR="0" wp14:anchorId="4A04D809" wp14:editId="36E0B73F">
            <wp:extent cx="5760000" cy="2062800"/>
            <wp:effectExtent l="0" t="0" r="0" b="0"/>
            <wp:docPr id="118" name="Picture 118" descr="Panel of six graphs showing regional report card scores for seagrass reproductive effort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NDEX_repro_2015.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760000" cy="2062800"/>
                    </a:xfrm>
                    <a:prstGeom prst="rect">
                      <a:avLst/>
                    </a:prstGeom>
                  </pic:spPr>
                </pic:pic>
              </a:graphicData>
            </a:graphic>
          </wp:inline>
        </w:drawing>
      </w:r>
    </w:p>
    <w:p w:rsidR="00B518CD" w:rsidRPr="00716CE2" w:rsidRDefault="00B518CD" w:rsidP="00B518CD">
      <w:pPr>
        <w:rPr>
          <w:i/>
          <w:vanish/>
          <w:szCs w:val="22"/>
          <w:specVanish/>
        </w:rPr>
      </w:pPr>
      <w:bookmarkStart w:id="167" w:name="_Ref442528511"/>
      <w:bookmarkStart w:id="168" w:name="_Toc462684859"/>
      <w:r w:rsidRPr="00716CE2">
        <w:t xml:space="preserve">Figure </w:t>
      </w:r>
      <w:fldSimple w:instr=" SEQ Figure \* ARABIC ">
        <w:r w:rsidR="009C068F">
          <w:rPr>
            <w:noProof/>
          </w:rPr>
          <w:t>19</w:t>
        </w:r>
      </w:fldSimple>
      <w:bookmarkEnd w:id="167"/>
      <w:r w:rsidRPr="00716CE2">
        <w:t xml:space="preserve">. </w:t>
      </w:r>
      <w:r w:rsidRPr="00716CE2">
        <w:rPr>
          <w:i/>
        </w:rPr>
        <w:t>Regional report card scores for seagrass reproductive effort over the life of the MMP</w:t>
      </w:r>
      <w:bookmarkEnd w:id="168"/>
    </w:p>
    <w:p w:rsidR="00B518CD" w:rsidRPr="00716CE2" w:rsidRDefault="00B518CD" w:rsidP="00B518CD">
      <w:r w:rsidRPr="00716CE2">
        <w:rPr>
          <w:i/>
        </w:rPr>
        <w:t xml:space="preserve">. </w:t>
      </w:r>
      <w:r w:rsidRPr="00FA7D64">
        <w:rPr>
          <w:i/>
          <w:color w:val="000000"/>
        </w:rPr>
        <w:t>For Paddock to Reef reporting scores are categorised in to a five point scale;</w:t>
      </w:r>
      <w:r w:rsidRPr="00015190">
        <w:rPr>
          <w:i/>
          <w:color w:val="0000FF"/>
        </w:rPr>
        <w:t xml:space="preserve">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2605DA" w:rsidRPr="00243A2E">
        <w:rPr>
          <w:i/>
          <w:color w:val="000000"/>
          <w:szCs w:val="22"/>
        </w:rPr>
        <w:t xml:space="preserve"> NB: Scores</w:t>
      </w:r>
      <w:r w:rsidR="002605DA">
        <w:rPr>
          <w:i/>
          <w:szCs w:val="22"/>
        </w:rPr>
        <w:t xml:space="preserve"> are </w:t>
      </w:r>
      <w:proofErr w:type="spellStart"/>
      <w:r w:rsidR="002605DA">
        <w:rPr>
          <w:i/>
          <w:szCs w:val="22"/>
        </w:rPr>
        <w:t>unitless</w:t>
      </w:r>
      <w:proofErr w:type="spellEnd"/>
      <w:r>
        <w:rPr>
          <w:i/>
          <w:szCs w:val="22"/>
        </w:rPr>
        <w:t>.</w:t>
      </w:r>
    </w:p>
    <w:p w:rsidR="00B518CD" w:rsidRPr="00716CE2" w:rsidRDefault="00B518CD" w:rsidP="00B518CD">
      <w:pPr>
        <w:autoSpaceDE w:val="0"/>
        <w:autoSpaceDN w:val="0"/>
        <w:adjustRightInd w:val="0"/>
        <w:spacing w:before="0" w:after="0"/>
        <w:rPr>
          <w:rFonts w:cs="Calibri"/>
          <w:szCs w:val="22"/>
          <w:lang w:eastAsia="en-AU"/>
        </w:rPr>
      </w:pPr>
    </w:p>
    <w:p w:rsidR="00B518CD" w:rsidRPr="00EB3EF0" w:rsidRDefault="00B518CD" w:rsidP="00B518CD">
      <w:pPr>
        <w:rPr>
          <w:rFonts w:cs="Calibri"/>
          <w:szCs w:val="22"/>
          <w:lang w:eastAsia="en-AU"/>
        </w:rPr>
      </w:pPr>
      <w:r w:rsidRPr="00EB3EF0">
        <w:rPr>
          <w:lang w:val="en-GB"/>
        </w:rPr>
        <w:t xml:space="preserve">Seagrass reproductive effort scores have fluctuated across regions and habitats over the greater monitoring period. </w:t>
      </w:r>
      <w:r w:rsidRPr="00EB3EF0">
        <w:rPr>
          <w:rFonts w:cs="Calibri"/>
          <w:szCs w:val="22"/>
          <w:lang w:val="en-GB" w:eastAsia="en-AU"/>
        </w:rPr>
        <w:t xml:space="preserve">The most variable GBR seagrass habitat in </w:t>
      </w:r>
      <w:r w:rsidRPr="00EB3EF0">
        <w:rPr>
          <w:lang w:val="en-GB"/>
        </w:rPr>
        <w:t xml:space="preserve">reproductive effort </w:t>
      </w:r>
      <w:r w:rsidRPr="00EB3EF0">
        <w:rPr>
          <w:rFonts w:cs="Calibri"/>
          <w:szCs w:val="22"/>
          <w:lang w:val="en-GB" w:eastAsia="en-AU"/>
        </w:rPr>
        <w:t xml:space="preserve">score since monitoring was established was intertidal coast (CV=155.8%) and the least </w:t>
      </w:r>
      <w:r w:rsidR="00EB3EF0" w:rsidRPr="00EB3EF0">
        <w:rPr>
          <w:rFonts w:cs="Calibri"/>
          <w:szCs w:val="22"/>
          <w:lang w:val="en-GB" w:eastAsia="en-AU"/>
        </w:rPr>
        <w:t>variable was subtidal (72.9%).</w:t>
      </w:r>
    </w:p>
    <w:p w:rsidR="00B518CD" w:rsidRDefault="00B518CD" w:rsidP="00B518CD">
      <w:pPr>
        <w:autoSpaceDE w:val="0"/>
        <w:autoSpaceDN w:val="0"/>
        <w:adjustRightInd w:val="0"/>
        <w:spacing w:before="0" w:after="0"/>
        <w:rPr>
          <w:color w:val="000000"/>
          <w:szCs w:val="22"/>
        </w:rPr>
      </w:pPr>
      <w:r w:rsidRPr="006A0C3A">
        <w:rPr>
          <w:rFonts w:cs="Calibri"/>
          <w:color w:val="000000"/>
          <w:szCs w:val="22"/>
          <w:lang w:eastAsia="en-AU"/>
        </w:rPr>
        <w:t>Seed banks across the inshore GBR meadows were higher in late dry and greater in coastal than reef or estuarine habitats over the long-term (8 years) (</w:t>
      </w:r>
      <w:r w:rsidR="00EB3EF0">
        <w:rPr>
          <w:rFonts w:cs="Calibri"/>
          <w:color w:val="000000"/>
          <w:szCs w:val="22"/>
          <w:lang w:eastAsia="en-AU"/>
        </w:rPr>
        <w:fldChar w:fldCharType="begin"/>
      </w:r>
      <w:r w:rsidR="00EB3EF0">
        <w:rPr>
          <w:rFonts w:cs="Calibri"/>
          <w:color w:val="000000"/>
          <w:szCs w:val="22"/>
          <w:lang w:eastAsia="en-AU"/>
        </w:rPr>
        <w:instrText xml:space="preserve"> REF _Ref442528770 \h </w:instrText>
      </w:r>
      <w:r w:rsidR="00EB3EF0">
        <w:rPr>
          <w:rFonts w:cs="Calibri"/>
          <w:color w:val="000000"/>
          <w:szCs w:val="22"/>
          <w:lang w:eastAsia="en-AU"/>
        </w:rPr>
      </w:r>
      <w:r w:rsidR="00EB3EF0">
        <w:rPr>
          <w:rFonts w:cs="Calibri"/>
          <w:color w:val="000000"/>
          <w:szCs w:val="22"/>
          <w:lang w:eastAsia="en-AU"/>
        </w:rPr>
        <w:fldChar w:fldCharType="separate"/>
      </w:r>
      <w:r w:rsidR="009C068F" w:rsidRPr="002E67CF">
        <w:rPr>
          <w:color w:val="000000"/>
          <w:szCs w:val="22"/>
        </w:rPr>
        <w:t xml:space="preserve">Figure </w:t>
      </w:r>
      <w:r w:rsidR="009C068F">
        <w:rPr>
          <w:noProof/>
          <w:color w:val="000000"/>
          <w:szCs w:val="22"/>
        </w:rPr>
        <w:t>20</w:t>
      </w:r>
      <w:r w:rsidR="00EB3EF0">
        <w:rPr>
          <w:rFonts w:cs="Calibri"/>
          <w:color w:val="000000"/>
          <w:szCs w:val="22"/>
          <w:lang w:eastAsia="en-AU"/>
        </w:rPr>
        <w:fldChar w:fldCharType="end"/>
      </w:r>
      <w:r w:rsidRPr="006A0C3A">
        <w:rPr>
          <w:rFonts w:cs="Calibri"/>
          <w:color w:val="000000"/>
          <w:szCs w:val="22"/>
          <w:lang w:eastAsia="en-AU"/>
        </w:rPr>
        <w:t xml:space="preserve">). Coastal seed banks declined between 2008 and 2011, </w:t>
      </w:r>
      <w:r>
        <w:rPr>
          <w:rFonts w:cs="Calibri"/>
          <w:color w:val="000000"/>
          <w:szCs w:val="22"/>
          <w:lang w:eastAsia="en-AU"/>
        </w:rPr>
        <w:t>and subsequently increased</w:t>
      </w:r>
      <w:r w:rsidRPr="006A0C3A">
        <w:rPr>
          <w:rFonts w:cs="Calibri"/>
          <w:color w:val="000000"/>
          <w:szCs w:val="22"/>
          <w:lang w:eastAsia="en-AU"/>
        </w:rPr>
        <w:t xml:space="preserve"> (</w:t>
      </w:r>
      <w:r w:rsidR="004D568E">
        <w:rPr>
          <w:rFonts w:cs="Calibri"/>
          <w:color w:val="000000"/>
          <w:szCs w:val="22"/>
          <w:lang w:eastAsia="en-AU"/>
        </w:rPr>
        <w:fldChar w:fldCharType="begin"/>
      </w:r>
      <w:r w:rsidR="004D568E">
        <w:rPr>
          <w:rFonts w:cs="Calibri"/>
          <w:color w:val="000000"/>
          <w:szCs w:val="22"/>
          <w:lang w:eastAsia="en-AU"/>
        </w:rPr>
        <w:instrText xml:space="preserve"> REF _Ref442528770 \h </w:instrText>
      </w:r>
      <w:r w:rsidR="004D568E">
        <w:rPr>
          <w:rFonts w:cs="Calibri"/>
          <w:color w:val="000000"/>
          <w:szCs w:val="22"/>
          <w:lang w:eastAsia="en-AU"/>
        </w:rPr>
      </w:r>
      <w:r w:rsidR="004D568E">
        <w:rPr>
          <w:rFonts w:cs="Calibri"/>
          <w:color w:val="000000"/>
          <w:szCs w:val="22"/>
          <w:lang w:eastAsia="en-AU"/>
        </w:rPr>
        <w:fldChar w:fldCharType="separate"/>
      </w:r>
      <w:r w:rsidR="009C068F" w:rsidRPr="002E67CF">
        <w:rPr>
          <w:color w:val="000000"/>
          <w:szCs w:val="22"/>
        </w:rPr>
        <w:t xml:space="preserve">Figure </w:t>
      </w:r>
      <w:r w:rsidR="009C068F">
        <w:rPr>
          <w:noProof/>
          <w:color w:val="000000"/>
          <w:szCs w:val="22"/>
        </w:rPr>
        <w:t>20</w:t>
      </w:r>
      <w:r w:rsidR="004D568E">
        <w:rPr>
          <w:rFonts w:cs="Calibri"/>
          <w:color w:val="000000"/>
          <w:szCs w:val="22"/>
          <w:lang w:eastAsia="en-AU"/>
        </w:rPr>
        <w:fldChar w:fldCharType="end"/>
      </w:r>
      <w:r w:rsidRPr="006A0C3A">
        <w:rPr>
          <w:rFonts w:cs="Calibri"/>
          <w:color w:val="000000"/>
          <w:szCs w:val="22"/>
          <w:lang w:eastAsia="en-AU"/>
        </w:rPr>
        <w:t xml:space="preserve">b). </w:t>
      </w:r>
      <w:r>
        <w:rPr>
          <w:rFonts w:cs="Calibri"/>
          <w:color w:val="000000"/>
          <w:szCs w:val="22"/>
          <w:lang w:eastAsia="en-AU"/>
        </w:rPr>
        <w:t>However</w:t>
      </w:r>
      <w:r w:rsidRPr="006A0C3A">
        <w:rPr>
          <w:rFonts w:cs="Calibri"/>
          <w:color w:val="000000"/>
          <w:szCs w:val="22"/>
          <w:lang w:eastAsia="en-AU"/>
        </w:rPr>
        <w:t>,</w:t>
      </w:r>
      <w:r>
        <w:rPr>
          <w:rFonts w:cs="Calibri"/>
          <w:color w:val="000000"/>
          <w:szCs w:val="22"/>
          <w:lang w:eastAsia="en-AU"/>
        </w:rPr>
        <w:t xml:space="preserve"> in 2014-15</w:t>
      </w:r>
      <w:r w:rsidRPr="006A0C3A">
        <w:rPr>
          <w:rFonts w:cs="Calibri"/>
          <w:color w:val="000000"/>
          <w:szCs w:val="22"/>
          <w:lang w:eastAsia="en-AU"/>
        </w:rPr>
        <w:t xml:space="preserve"> seed banks have </w:t>
      </w:r>
      <w:r>
        <w:rPr>
          <w:rFonts w:cs="Calibri"/>
          <w:color w:val="000000"/>
          <w:szCs w:val="22"/>
          <w:lang w:eastAsia="en-AU"/>
        </w:rPr>
        <w:lastRenderedPageBreak/>
        <w:t xml:space="preserve">declined in all habitats </w:t>
      </w:r>
      <w:r w:rsidRPr="006A0C3A">
        <w:rPr>
          <w:rFonts w:cs="Calibri"/>
          <w:color w:val="000000"/>
          <w:szCs w:val="22"/>
          <w:lang w:eastAsia="en-AU"/>
        </w:rPr>
        <w:t>(</w:t>
      </w:r>
      <w:r w:rsidR="004D568E">
        <w:rPr>
          <w:rFonts w:cs="Calibri"/>
          <w:color w:val="000000"/>
          <w:szCs w:val="22"/>
          <w:lang w:eastAsia="en-AU"/>
        </w:rPr>
        <w:fldChar w:fldCharType="begin"/>
      </w:r>
      <w:r w:rsidR="004D568E">
        <w:rPr>
          <w:rFonts w:cs="Calibri"/>
          <w:color w:val="000000"/>
          <w:szCs w:val="22"/>
          <w:lang w:eastAsia="en-AU"/>
        </w:rPr>
        <w:instrText xml:space="preserve"> REF _Ref442528770 \h </w:instrText>
      </w:r>
      <w:r w:rsidR="004D568E">
        <w:rPr>
          <w:rFonts w:cs="Calibri"/>
          <w:color w:val="000000"/>
          <w:szCs w:val="22"/>
          <w:lang w:eastAsia="en-AU"/>
        </w:rPr>
      </w:r>
      <w:r w:rsidR="004D568E">
        <w:rPr>
          <w:rFonts w:cs="Calibri"/>
          <w:color w:val="000000"/>
          <w:szCs w:val="22"/>
          <w:lang w:eastAsia="en-AU"/>
        </w:rPr>
        <w:fldChar w:fldCharType="separate"/>
      </w:r>
      <w:r w:rsidR="009C068F" w:rsidRPr="002E67CF">
        <w:rPr>
          <w:color w:val="000000"/>
          <w:szCs w:val="22"/>
        </w:rPr>
        <w:t xml:space="preserve">Figure </w:t>
      </w:r>
      <w:r w:rsidR="009C068F">
        <w:rPr>
          <w:noProof/>
          <w:color w:val="000000"/>
          <w:szCs w:val="22"/>
        </w:rPr>
        <w:t>20</w:t>
      </w:r>
      <w:r w:rsidR="004D568E">
        <w:rPr>
          <w:rFonts w:cs="Calibri"/>
          <w:color w:val="000000"/>
          <w:szCs w:val="22"/>
          <w:lang w:eastAsia="en-AU"/>
        </w:rPr>
        <w:fldChar w:fldCharType="end"/>
      </w:r>
      <w:r w:rsidRPr="006A0C3A">
        <w:rPr>
          <w:rFonts w:cs="Calibri"/>
          <w:color w:val="000000"/>
          <w:szCs w:val="22"/>
          <w:lang w:eastAsia="en-AU"/>
        </w:rPr>
        <w:t>a)</w:t>
      </w:r>
      <w:r>
        <w:rPr>
          <w:rFonts w:cs="Calibri"/>
          <w:color w:val="000000"/>
          <w:szCs w:val="22"/>
          <w:lang w:eastAsia="en-AU"/>
        </w:rPr>
        <w:t xml:space="preserve">, which have been caused by germination of seed banks, without subsequent replenishment. </w:t>
      </w:r>
      <w:r w:rsidRPr="006A0C3A">
        <w:rPr>
          <w:rFonts w:cs="Calibri"/>
          <w:color w:val="000000"/>
          <w:szCs w:val="22"/>
          <w:lang w:eastAsia="en-AU"/>
        </w:rPr>
        <w:t xml:space="preserve">This suggests that have a </w:t>
      </w:r>
      <w:r>
        <w:rPr>
          <w:color w:val="000000"/>
          <w:szCs w:val="22"/>
        </w:rPr>
        <w:t>reduced</w:t>
      </w:r>
      <w:r w:rsidRPr="006A0C3A">
        <w:rPr>
          <w:color w:val="000000"/>
          <w:szCs w:val="22"/>
        </w:rPr>
        <w:t xml:space="preserve"> capacity to recover from disturbances</w:t>
      </w:r>
      <w:r>
        <w:rPr>
          <w:color w:val="000000"/>
          <w:szCs w:val="22"/>
        </w:rPr>
        <w:t xml:space="preserve"> in 2014-15, compared to the previous year</w:t>
      </w:r>
      <w:r w:rsidRPr="006A0C3A">
        <w:rPr>
          <w:color w:val="000000"/>
          <w:szCs w:val="22"/>
        </w:rPr>
        <w:t xml:space="preserve">. </w:t>
      </w:r>
      <w:r>
        <w:rPr>
          <w:color w:val="000000"/>
          <w:szCs w:val="22"/>
        </w:rPr>
        <w:t xml:space="preserve">Seed banks are not currently included as a metric in the report card; however, given their importance as a feature of resilience in seagrasses of the GBR, they are being considered for future inclusion as an indicator in the reproduction metric. </w:t>
      </w:r>
    </w:p>
    <w:p w:rsidR="00A00BC4" w:rsidRPr="006A0C3A" w:rsidRDefault="00A00BC4" w:rsidP="00B518CD">
      <w:pPr>
        <w:autoSpaceDE w:val="0"/>
        <w:autoSpaceDN w:val="0"/>
        <w:adjustRightInd w:val="0"/>
        <w:spacing w:before="0" w:after="0"/>
        <w:rPr>
          <w:rFonts w:cs="Calibri"/>
          <w:color w:val="000000"/>
          <w:szCs w:val="22"/>
          <w:lang w:eastAsia="en-AU"/>
        </w:rPr>
      </w:pPr>
    </w:p>
    <w:p w:rsidR="00B518CD" w:rsidRPr="002E67CF" w:rsidRDefault="00A00BC4"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65E2CDE4" wp14:editId="49019425">
            <wp:extent cx="3960000" cy="2811600"/>
            <wp:effectExtent l="0" t="0" r="2540" b="8255"/>
            <wp:docPr id="10158" name="Picture 10158" descr="Panel of four graphs showing average seeds banks (seeds per square metre of sediment surface, all sites and species pooled) in GBR seagrass habit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8" name="GBR_seed_banks_2015.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960000" cy="2811600"/>
                    </a:xfrm>
                    <a:prstGeom prst="rect">
                      <a:avLst/>
                    </a:prstGeom>
                  </pic:spPr>
                </pic:pic>
              </a:graphicData>
            </a:graphic>
          </wp:inline>
        </w:drawing>
      </w:r>
    </w:p>
    <w:p w:rsidR="00B518CD" w:rsidRPr="002E67CF" w:rsidRDefault="00B518CD" w:rsidP="00B518CD">
      <w:pPr>
        <w:rPr>
          <w:i/>
          <w:color w:val="000000"/>
          <w:szCs w:val="22"/>
        </w:rPr>
      </w:pPr>
      <w:bookmarkStart w:id="169" w:name="_Ref442528770"/>
      <w:bookmarkStart w:id="170" w:name="_Toc462684860"/>
      <w:r w:rsidRPr="002E67CF">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20</w:t>
      </w:r>
      <w:r w:rsidR="0073595B">
        <w:rPr>
          <w:color w:val="000000"/>
          <w:szCs w:val="22"/>
        </w:rPr>
        <w:fldChar w:fldCharType="end"/>
      </w:r>
      <w:bookmarkEnd w:id="169"/>
      <w:r w:rsidRPr="002E67CF">
        <w:rPr>
          <w:color w:val="000000"/>
          <w:szCs w:val="22"/>
        </w:rPr>
        <w:t xml:space="preserve">. </w:t>
      </w:r>
      <w:r w:rsidRPr="002E67CF">
        <w:rPr>
          <w:i/>
          <w:color w:val="000000"/>
          <w:szCs w:val="22"/>
        </w:rPr>
        <w:t xml:space="preserve">Average seeds banks (seeds per square metre of sediment surface, all </w:t>
      </w:r>
      <w:r>
        <w:rPr>
          <w:i/>
          <w:color w:val="000000"/>
          <w:szCs w:val="22"/>
        </w:rPr>
        <w:t xml:space="preserve">sites and </w:t>
      </w:r>
      <w:r w:rsidRPr="002E67CF">
        <w:rPr>
          <w:i/>
          <w:color w:val="000000"/>
          <w:szCs w:val="22"/>
        </w:rPr>
        <w:t>species pooled) in GBR seagrass habitats: a) estuary intertidal; b) coast intertidal; c) reef intertidal; d) reef subtidal.</w:t>
      </w:r>
      <w:bookmarkEnd w:id="170"/>
    </w:p>
    <w:p w:rsidR="00B518CD" w:rsidRPr="00BA12BB" w:rsidRDefault="007C798D" w:rsidP="007C798D">
      <w:pPr>
        <w:pStyle w:val="Heading3"/>
        <w:numPr>
          <w:ilvl w:val="2"/>
          <w:numId w:val="9"/>
        </w:numPr>
        <w:rPr>
          <w:rFonts w:ascii="Arial" w:hAnsi="Arial" w:cs="Arial"/>
          <w:szCs w:val="26"/>
        </w:rPr>
      </w:pPr>
      <w:bookmarkStart w:id="171" w:name="_Toc462047335"/>
      <w:r w:rsidRPr="007C798D">
        <w:rPr>
          <w:rFonts w:ascii="Arial" w:hAnsi="Arial" w:cs="Arial"/>
          <w:szCs w:val="26"/>
        </w:rPr>
        <w:t>Indicators of environmental condition</w:t>
      </w:r>
      <w:bookmarkEnd w:id="171"/>
    </w:p>
    <w:p w:rsidR="005132EF" w:rsidRPr="00BA12BB" w:rsidRDefault="005132EF" w:rsidP="00BA12BB">
      <w:pPr>
        <w:pStyle w:val="Heading4"/>
        <w:numPr>
          <w:ilvl w:val="0"/>
          <w:numId w:val="0"/>
        </w:numPr>
        <w:rPr>
          <w:rFonts w:ascii="Arial" w:hAnsi="Arial" w:cs="Arial"/>
          <w:sz w:val="24"/>
          <w:szCs w:val="24"/>
        </w:rPr>
      </w:pPr>
      <w:bookmarkStart w:id="172" w:name="_Toc184101965"/>
      <w:bookmarkEnd w:id="123"/>
      <w:bookmarkEnd w:id="124"/>
      <w:bookmarkEnd w:id="125"/>
      <w:r w:rsidRPr="00BA12BB">
        <w:rPr>
          <w:rFonts w:ascii="Arial" w:hAnsi="Arial" w:cs="Arial"/>
          <w:sz w:val="24"/>
          <w:szCs w:val="24"/>
        </w:rPr>
        <w:t>Seagrass tissue nutrients</w:t>
      </w:r>
      <w:bookmarkEnd w:id="172"/>
    </w:p>
    <w:p w:rsidR="002E6480" w:rsidRPr="0082027D" w:rsidRDefault="002E6480" w:rsidP="002E6480">
      <w:pPr>
        <w:rPr>
          <w:color w:val="000000"/>
          <w:szCs w:val="22"/>
        </w:rPr>
      </w:pPr>
      <w:r w:rsidRPr="00933003">
        <w:rPr>
          <w:color w:val="000000"/>
          <w:szCs w:val="22"/>
        </w:rPr>
        <w:t>Tissue nutrient concentrations are measured in the late dry (usually October) of the reporting</w:t>
      </w:r>
      <w:r>
        <w:rPr>
          <w:color w:val="000000"/>
          <w:szCs w:val="22"/>
        </w:rPr>
        <w:t xml:space="preserve"> period and </w:t>
      </w:r>
      <w:r w:rsidRPr="0082027D">
        <w:rPr>
          <w:color w:val="000000"/>
          <w:szCs w:val="22"/>
        </w:rPr>
        <w:t>differed both across and within habitats between years. It was necessary at some sites (</w:t>
      </w:r>
      <w:r>
        <w:rPr>
          <w:color w:val="000000"/>
          <w:szCs w:val="22"/>
        </w:rPr>
        <w:t xml:space="preserve">see </w:t>
      </w:r>
      <w:r w:rsidR="00376DBC">
        <w:rPr>
          <w:color w:val="000000"/>
          <w:szCs w:val="22"/>
        </w:rPr>
        <w:fldChar w:fldCharType="begin"/>
      </w:r>
      <w:r w:rsidR="00376DBC">
        <w:rPr>
          <w:color w:val="000000"/>
          <w:szCs w:val="22"/>
        </w:rPr>
        <w:instrText xml:space="preserve"> REF _Ref236539751 \h </w:instrText>
      </w:r>
      <w:r w:rsidR="00376DBC">
        <w:rPr>
          <w:color w:val="000000"/>
          <w:szCs w:val="22"/>
        </w:rPr>
      </w:r>
      <w:r w:rsidR="00376DBC">
        <w:rPr>
          <w:color w:val="000000"/>
          <w:szCs w:val="22"/>
        </w:rPr>
        <w:fldChar w:fldCharType="separate"/>
      </w:r>
      <w:r w:rsidR="009C068F" w:rsidRPr="00015190">
        <w:rPr>
          <w:color w:val="000000"/>
          <w:szCs w:val="22"/>
        </w:rPr>
        <w:t xml:space="preserve">Table </w:t>
      </w:r>
      <w:r w:rsidR="009C068F">
        <w:rPr>
          <w:noProof/>
          <w:color w:val="000000"/>
          <w:szCs w:val="22"/>
        </w:rPr>
        <w:t>3</w:t>
      </w:r>
      <w:r w:rsidR="00376DBC">
        <w:rPr>
          <w:color w:val="000000"/>
          <w:szCs w:val="22"/>
        </w:rPr>
        <w:fldChar w:fldCharType="end"/>
      </w:r>
      <w:r w:rsidRPr="0082027D">
        <w:rPr>
          <w:color w:val="000000"/>
          <w:szCs w:val="22"/>
        </w:rPr>
        <w:t xml:space="preserve">) to pool across foundation species as the presence of individual species </w:t>
      </w:r>
      <w:r>
        <w:rPr>
          <w:color w:val="000000"/>
          <w:szCs w:val="22"/>
        </w:rPr>
        <w:t>has not remained</w:t>
      </w:r>
      <w:r w:rsidRPr="0082027D">
        <w:rPr>
          <w:color w:val="000000"/>
          <w:szCs w:val="22"/>
        </w:rPr>
        <w:t xml:space="preserve"> constant over time at all locations since monitoring was established. As tissue nutrient ratios between co-occurring foundation species are not significantly different</w:t>
      </w:r>
      <w:r w:rsidR="007C798D">
        <w:rPr>
          <w:color w:val="000000"/>
          <w:szCs w:val="22"/>
        </w:rPr>
        <w:t xml:space="preserve"> in this region</w:t>
      </w:r>
      <w:r w:rsidRPr="0082027D">
        <w:rPr>
          <w:color w:val="000000"/>
          <w:szCs w:val="22"/>
        </w:rPr>
        <w:t xml:space="preserve"> (</w:t>
      </w:r>
      <w:hyperlink w:anchor="_ENREF_169" w:tooltip="McKenzie, 2012 #9287" w:history="1">
        <w:r w:rsidR="00E6043D">
          <w:rPr>
            <w:color w:val="000000"/>
            <w:szCs w:val="22"/>
          </w:rPr>
          <w:fldChar w:fldCharType="begin"/>
        </w:r>
        <w:r w:rsidR="00E6043D">
          <w:rPr>
            <w:color w:val="000000"/>
            <w:szCs w:val="22"/>
          </w:rPr>
          <w:instrText xml:space="preserve"> ADDIN EN.CITE &lt;EndNote&gt;&lt;Cite&gt;&lt;Author&gt;McKenzie&lt;/Author&gt;&lt;Year&gt;2012&lt;/Year&gt;&lt;RecNum&gt;9287&lt;/RecNum&gt;&lt;DisplayText&gt;McKenzie&lt;style face="italic"&gt;, et al.&lt;/style&gt; 2012b&lt;/DisplayText&gt;&lt;record&gt;&lt;rec-number&gt;9287&lt;/rec-number&gt;&lt;foreign-keys&gt;&lt;key app="EN" db-id="0eve55x9y5vfd6e9dacxtew4eatve2dzds9a"&gt;9287&lt;/key&gt;&lt;/foreign-keys&gt;&lt;ref-type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E6043D">
          <w:rPr>
            <w:color w:val="000000"/>
            <w:szCs w:val="22"/>
          </w:rPr>
          <w:fldChar w:fldCharType="separate"/>
        </w:r>
        <w:r w:rsidR="00E6043D">
          <w:rPr>
            <w:noProof/>
            <w:color w:val="000000"/>
            <w:szCs w:val="22"/>
          </w:rPr>
          <w:t>McKenzie</w:t>
        </w:r>
        <w:r w:rsidR="00E6043D" w:rsidRPr="00644A84">
          <w:rPr>
            <w:i/>
            <w:noProof/>
            <w:color w:val="000000"/>
            <w:szCs w:val="22"/>
          </w:rPr>
          <w:t>, et al.</w:t>
        </w:r>
        <w:r w:rsidR="00E6043D">
          <w:rPr>
            <w:noProof/>
            <w:color w:val="000000"/>
            <w:szCs w:val="22"/>
          </w:rPr>
          <w:t xml:space="preserve"> 2012b</w:t>
        </w:r>
        <w:r w:rsidR="00E6043D">
          <w:rPr>
            <w:color w:val="000000"/>
            <w:szCs w:val="22"/>
          </w:rPr>
          <w:fldChar w:fldCharType="end"/>
        </w:r>
      </w:hyperlink>
      <w:r w:rsidRPr="0082027D">
        <w:rPr>
          <w:color w:val="000000"/>
          <w:szCs w:val="22"/>
        </w:rPr>
        <w:t xml:space="preserve">), by pooling across species and habitat types, some trends are apparent. </w:t>
      </w:r>
    </w:p>
    <w:p w:rsidR="006D184F" w:rsidRPr="00166D50" w:rsidRDefault="006D184F" w:rsidP="006D184F">
      <w:pPr>
        <w:rPr>
          <w:szCs w:val="22"/>
        </w:rPr>
      </w:pPr>
      <w:r w:rsidRPr="00376DBC">
        <w:rPr>
          <w:szCs w:val="22"/>
        </w:rPr>
        <w:t>Since 2005, median tissue nitrogen concentrations for all habitats have exceeded the global value of 1.8% (</w:t>
      </w:r>
      <w:hyperlink w:anchor="_ENREF_96" w:tooltip="Duarte, 1990 #1954" w:history="1">
        <w:r w:rsidR="00E6043D" w:rsidRPr="00376DBC">
          <w:rPr>
            <w:szCs w:val="22"/>
          </w:rPr>
          <w:fldChar w:fldCharType="begin"/>
        </w:r>
        <w:r w:rsidR="00E6043D" w:rsidRPr="00376DBC">
          <w:rPr>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E6043D" w:rsidRPr="00376DBC">
          <w:rPr>
            <w:szCs w:val="22"/>
          </w:rPr>
          <w:fldChar w:fldCharType="separate"/>
        </w:r>
        <w:r w:rsidR="00E6043D" w:rsidRPr="00376DBC">
          <w:rPr>
            <w:noProof/>
            <w:szCs w:val="22"/>
          </w:rPr>
          <w:t>Duarte 1990</w:t>
        </w:r>
        <w:r w:rsidR="00E6043D" w:rsidRPr="00376DBC">
          <w:rPr>
            <w:szCs w:val="22"/>
          </w:rPr>
          <w:fldChar w:fldCharType="end"/>
        </w:r>
      </w:hyperlink>
      <w:r w:rsidRPr="00376DBC">
        <w:rPr>
          <w:szCs w:val="22"/>
        </w:rPr>
        <w:t xml:space="preserve">; </w:t>
      </w:r>
      <w:hyperlink w:anchor="_ENREF_215" w:tooltip="Schaffelke, 2005 #3782" w:history="1">
        <w:r w:rsidR="00E6043D" w:rsidRPr="00376DBC">
          <w:rPr>
            <w:szCs w:val="22"/>
          </w:rPr>
          <w:fldChar w:fldCharType="begin"/>
        </w:r>
        <w:r w:rsidR="00E6043D" w:rsidRPr="00376DBC">
          <w:rPr>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E6043D" w:rsidRPr="00376DBC">
          <w:rPr>
            <w:szCs w:val="22"/>
          </w:rPr>
          <w:fldChar w:fldCharType="separate"/>
        </w:r>
        <w:r w:rsidR="00E6043D" w:rsidRPr="00376DBC">
          <w:rPr>
            <w:noProof/>
            <w:szCs w:val="22"/>
          </w:rPr>
          <w:t>Schaffelke</w:t>
        </w:r>
        <w:r w:rsidR="00E6043D" w:rsidRPr="00376DBC">
          <w:rPr>
            <w:i/>
            <w:noProof/>
            <w:szCs w:val="22"/>
          </w:rPr>
          <w:t xml:space="preserve"> et al.</w:t>
        </w:r>
        <w:r w:rsidR="00E6043D" w:rsidRPr="00376DBC">
          <w:rPr>
            <w:noProof/>
            <w:szCs w:val="22"/>
          </w:rPr>
          <w:t xml:space="preserve"> 2005</w:t>
        </w:r>
        <w:r w:rsidR="00E6043D" w:rsidRPr="00376DBC">
          <w:rPr>
            <w:szCs w:val="22"/>
          </w:rPr>
          <w:fldChar w:fldCharType="end"/>
        </w:r>
      </w:hyperlink>
      <w:r w:rsidRPr="00376DBC">
        <w:rPr>
          <w:szCs w:val="22"/>
        </w:rPr>
        <w:t>) (</w:t>
      </w:r>
      <w:r w:rsidRPr="00376DBC">
        <w:fldChar w:fldCharType="begin"/>
      </w:r>
      <w:r w:rsidRPr="00376DBC">
        <w:instrText xml:space="preserve"> REF _Ref271613914 \h  \* MERGEFORMAT </w:instrText>
      </w:r>
      <w:r w:rsidRPr="00376DBC">
        <w:fldChar w:fldCharType="separate"/>
      </w:r>
      <w:r w:rsidR="009C068F" w:rsidRPr="009C068F">
        <w:rPr>
          <w:szCs w:val="22"/>
        </w:rPr>
        <w:t xml:space="preserve">Figure </w:t>
      </w:r>
      <w:r w:rsidR="009C068F" w:rsidRPr="009C068F">
        <w:rPr>
          <w:noProof/>
          <w:szCs w:val="22"/>
        </w:rPr>
        <w:t>21</w:t>
      </w:r>
      <w:r w:rsidRPr="00376DBC">
        <w:fldChar w:fldCharType="end"/>
      </w:r>
      <w:r w:rsidRPr="00376DBC">
        <w:rPr>
          <w:szCs w:val="22"/>
        </w:rPr>
        <w:t>). During 2014-15, seagrass leaf %N, with the exception of subtidal habitats, increased relative to the previous monitoring period (</w:t>
      </w:r>
      <w:r w:rsidR="00376DBC" w:rsidRPr="00376DBC">
        <w:fldChar w:fldCharType="begin"/>
      </w:r>
      <w:r w:rsidR="00376DBC" w:rsidRPr="00376DBC">
        <w:instrText xml:space="preserve"> REF _Ref271613914 \h  \* MERGEFORMAT </w:instrText>
      </w:r>
      <w:r w:rsidR="00376DBC" w:rsidRPr="00376DBC">
        <w:fldChar w:fldCharType="separate"/>
      </w:r>
      <w:r w:rsidR="009C068F" w:rsidRPr="009C068F">
        <w:rPr>
          <w:szCs w:val="22"/>
        </w:rPr>
        <w:t xml:space="preserve">Figure </w:t>
      </w:r>
      <w:r w:rsidR="009C068F" w:rsidRPr="009C068F">
        <w:rPr>
          <w:noProof/>
          <w:szCs w:val="22"/>
        </w:rPr>
        <w:t>21</w:t>
      </w:r>
      <w:r w:rsidR="00376DBC" w:rsidRPr="00376DBC">
        <w:fldChar w:fldCharType="end"/>
      </w:r>
      <w:r w:rsidRPr="00376DBC">
        <w:rPr>
          <w:szCs w:val="22"/>
        </w:rPr>
        <w:t xml:space="preserve">). With the exception of estuarine seagrass, median leaf tissue phosphorus concentrations for all habitats either </w:t>
      </w:r>
      <w:r w:rsidRPr="00166D50">
        <w:rPr>
          <w:szCs w:val="22"/>
        </w:rPr>
        <w:t>remained or increased above the global value of 0.2% (</w:t>
      </w:r>
      <w:hyperlink w:anchor="_ENREF_96" w:tooltip="Duarte, 1990 #1954" w:history="1">
        <w:r w:rsidR="00E6043D">
          <w:rPr>
            <w:szCs w:val="22"/>
          </w:rPr>
          <w:fldChar w:fldCharType="begin"/>
        </w:r>
        <w:r w:rsidR="00E6043D">
          <w:rPr>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E6043D">
          <w:rPr>
            <w:szCs w:val="22"/>
          </w:rPr>
          <w:fldChar w:fldCharType="separate"/>
        </w:r>
        <w:r w:rsidR="00E6043D">
          <w:rPr>
            <w:noProof/>
            <w:szCs w:val="22"/>
          </w:rPr>
          <w:t>Duarte 1990</w:t>
        </w:r>
        <w:r w:rsidR="00E6043D">
          <w:rPr>
            <w:szCs w:val="22"/>
          </w:rPr>
          <w:fldChar w:fldCharType="end"/>
        </w:r>
      </w:hyperlink>
      <w:r w:rsidRPr="00166D50">
        <w:rPr>
          <w:szCs w:val="22"/>
        </w:rPr>
        <w:t xml:space="preserve">; </w:t>
      </w:r>
      <w:hyperlink w:anchor="_ENREF_215" w:tooltip="Schaffelke, 2005 #3782" w:history="1">
        <w:r w:rsidR="00E6043D">
          <w:rPr>
            <w:szCs w:val="22"/>
          </w:rPr>
          <w:fldChar w:fldCharType="begin"/>
        </w:r>
        <w:r w:rsidR="00E6043D">
          <w:rPr>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E6043D">
          <w:rPr>
            <w:szCs w:val="22"/>
          </w:rPr>
          <w:fldChar w:fldCharType="separate"/>
        </w:r>
        <w:r w:rsidR="00E6043D">
          <w:rPr>
            <w:noProof/>
            <w:szCs w:val="22"/>
          </w:rPr>
          <w:t>Schaffelke</w:t>
        </w:r>
        <w:r w:rsidR="00E6043D" w:rsidRPr="00644A84">
          <w:rPr>
            <w:i/>
            <w:noProof/>
            <w:szCs w:val="22"/>
          </w:rPr>
          <w:t>, et al.</w:t>
        </w:r>
        <w:r w:rsidR="00E6043D">
          <w:rPr>
            <w:noProof/>
            <w:szCs w:val="22"/>
          </w:rPr>
          <w:t xml:space="preserve"> 2005</w:t>
        </w:r>
        <w:r w:rsidR="00E6043D">
          <w:rPr>
            <w:szCs w:val="22"/>
          </w:rPr>
          <w:fldChar w:fldCharType="end"/>
        </w:r>
      </w:hyperlink>
      <w:r w:rsidRPr="00166D50">
        <w:rPr>
          <w:szCs w:val="22"/>
        </w:rPr>
        <w:t>) in 2014 (</w:t>
      </w:r>
      <w:r w:rsidRPr="00166D50">
        <w:fldChar w:fldCharType="begin"/>
      </w:r>
      <w:r w:rsidRPr="00166D50">
        <w:instrText xml:space="preserve"> REF _Ref271613914 \h  \* MERGEFORMAT </w:instrText>
      </w:r>
      <w:r w:rsidRPr="00166D50">
        <w:fldChar w:fldCharType="separate"/>
      </w:r>
      <w:r w:rsidR="009C068F" w:rsidRPr="009C068F">
        <w:rPr>
          <w:szCs w:val="22"/>
        </w:rPr>
        <w:t xml:space="preserve">Figure </w:t>
      </w:r>
      <w:r w:rsidR="009C068F" w:rsidRPr="009C068F">
        <w:rPr>
          <w:noProof/>
          <w:szCs w:val="22"/>
        </w:rPr>
        <w:t>21</w:t>
      </w:r>
      <w:r w:rsidRPr="00166D50">
        <w:fldChar w:fldCharType="end"/>
      </w:r>
      <w:r w:rsidRPr="00166D50">
        <w:rPr>
          <w:szCs w:val="22"/>
        </w:rPr>
        <w:t>). For the first time since 2009, leaf tissue %P fell below the global median at estuarine habitats (</w:t>
      </w:r>
      <w:r w:rsidR="00376DBC" w:rsidRPr="00166D50">
        <w:fldChar w:fldCharType="begin"/>
      </w:r>
      <w:r w:rsidR="00376DBC" w:rsidRPr="00166D50">
        <w:instrText xml:space="preserve"> REF _Ref271613914 \h  \* MERGEFORMAT </w:instrText>
      </w:r>
      <w:r w:rsidR="00376DBC" w:rsidRPr="00166D50">
        <w:fldChar w:fldCharType="separate"/>
      </w:r>
      <w:r w:rsidR="009C068F" w:rsidRPr="009C068F">
        <w:rPr>
          <w:szCs w:val="22"/>
        </w:rPr>
        <w:t xml:space="preserve">Figure </w:t>
      </w:r>
      <w:r w:rsidR="009C068F" w:rsidRPr="009C068F">
        <w:rPr>
          <w:noProof/>
          <w:szCs w:val="22"/>
        </w:rPr>
        <w:t>21</w:t>
      </w:r>
      <w:r w:rsidR="00376DBC" w:rsidRPr="00166D50">
        <w:fldChar w:fldCharType="end"/>
      </w:r>
      <w:r w:rsidRPr="00166D50">
        <w:rPr>
          <w:szCs w:val="22"/>
        </w:rPr>
        <w:t>).These findings indicate that nutrients were unlikely to be limiting seagrass growth, however, some concerns have been raised as to accuracy of the global tissue nutrient values (</w:t>
      </w:r>
      <w:hyperlink w:anchor="_ENREF_215" w:tooltip="Schaffelke, 2005 #3782" w:history="1">
        <w:r w:rsidR="00E6043D">
          <w:rPr>
            <w:szCs w:val="22"/>
          </w:rPr>
          <w:fldChar w:fldCharType="begin"/>
        </w:r>
        <w:r w:rsidR="00E6043D">
          <w:rPr>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E6043D">
          <w:rPr>
            <w:szCs w:val="22"/>
          </w:rPr>
          <w:fldChar w:fldCharType="separate"/>
        </w:r>
        <w:r w:rsidR="00E6043D">
          <w:rPr>
            <w:noProof/>
            <w:szCs w:val="22"/>
          </w:rPr>
          <w:t>Schaffelke</w:t>
        </w:r>
        <w:r w:rsidR="00E6043D" w:rsidRPr="00644A84">
          <w:rPr>
            <w:i/>
            <w:noProof/>
            <w:szCs w:val="22"/>
          </w:rPr>
          <w:t>, et al.</w:t>
        </w:r>
        <w:r w:rsidR="00E6043D">
          <w:rPr>
            <w:noProof/>
            <w:szCs w:val="22"/>
          </w:rPr>
          <w:t xml:space="preserve"> 2005</w:t>
        </w:r>
        <w:r w:rsidR="00E6043D">
          <w:rPr>
            <w:szCs w:val="22"/>
          </w:rPr>
          <w:fldChar w:fldCharType="end"/>
        </w:r>
      </w:hyperlink>
      <w:r w:rsidRPr="00166D50">
        <w:rPr>
          <w:szCs w:val="22"/>
        </w:rPr>
        <w:t>). Furthermore, nutrient levels were unlikely to be physiologically “toxic”, as this tends to occur only at very high nutrient concentrations (</w:t>
      </w:r>
      <w:hyperlink w:anchor="_ENREF_25" w:tooltip="Burkholder, 2007 #9094" w:history="1">
        <w:r w:rsidR="00E6043D">
          <w:rPr>
            <w:szCs w:val="22"/>
          </w:rPr>
          <w:fldChar w:fldCharType="begin"/>
        </w:r>
        <w:r w:rsidR="00E6043D">
          <w:rPr>
            <w:szCs w:val="22"/>
          </w:rPr>
          <w:instrText xml:space="preserve"> ADDIN EN.CITE &lt;EndNote&gt;&lt;Cite&gt;&lt;Author&gt;Burkholder&lt;/Author&gt;&lt;Year&gt;2007&lt;/Year&gt;&lt;RecNum&gt;9094&lt;/RecNum&gt;&lt;DisplayText&gt;Burkholder&lt;style face="italic"&gt; et al.&lt;/style&gt; 2007&lt;/DisplayText&gt;&lt;record&gt;&lt;rec-number&gt;9094&lt;/rec-number&gt;&lt;foreign-keys&gt;&lt;key app="EN" db-id="0eve55x9y5vfd6e9dacxtew4eatve2dzds9a"&gt;9094&lt;/key&gt;&lt;/foreign-keys&gt;&lt;ref-type name="Journal Article"&gt;17&lt;/ref-type&gt;&lt;contributors&gt;&lt;authors&gt;&lt;author&gt;Burkholder, JoAnn M. &lt;/author&gt;&lt;author&gt;Tomasko, David A. &lt;/author&gt;&lt;author&gt;Touchette, Brant W. &lt;/author&gt;&lt;/authors&gt;&lt;/contributors&gt;&lt;titles&gt;&lt;title&gt;Seagrasses and eutrophication&lt;/title&gt;&lt;secondary-title&gt;Journal of Experimental Marine Biology and Ecology&lt;/secondary-title&gt;&lt;/titles&gt;&lt;periodical&gt;&lt;full-title&gt;Journal of Experimental Marine Biology and Ecology&lt;/full-title&gt;&lt;/periodical&gt;&lt;pages&gt;46–72&lt;/pages&gt;&lt;volume&gt;350&lt;/volume&gt;&lt;dates&gt;&lt;year&gt;2007&lt;/year&gt;&lt;/dates&gt;&lt;urls&gt;&lt;/urls&gt;&lt;/record&gt;&lt;/Cite&gt;&lt;/EndNote&gt;</w:instrText>
        </w:r>
        <w:r w:rsidR="00E6043D">
          <w:rPr>
            <w:szCs w:val="22"/>
          </w:rPr>
          <w:fldChar w:fldCharType="separate"/>
        </w:r>
        <w:r w:rsidR="00E6043D">
          <w:rPr>
            <w:noProof/>
            <w:szCs w:val="22"/>
          </w:rPr>
          <w:t>Burkholder</w:t>
        </w:r>
        <w:r w:rsidR="00E6043D" w:rsidRPr="00644A84">
          <w:rPr>
            <w:i/>
            <w:noProof/>
            <w:szCs w:val="22"/>
          </w:rPr>
          <w:t xml:space="preserve"> et al.</w:t>
        </w:r>
        <w:r w:rsidR="00E6043D">
          <w:rPr>
            <w:noProof/>
            <w:szCs w:val="22"/>
          </w:rPr>
          <w:t xml:space="preserve"> 2007</w:t>
        </w:r>
        <w:r w:rsidR="00E6043D">
          <w:rPr>
            <w:szCs w:val="22"/>
          </w:rPr>
          <w:fldChar w:fldCharType="end"/>
        </w:r>
      </w:hyperlink>
      <w:r w:rsidRPr="00166D50">
        <w:rPr>
          <w:szCs w:val="22"/>
        </w:rPr>
        <w:t>)</w:t>
      </w:r>
      <w:r w:rsidR="00744CF0">
        <w:rPr>
          <w:szCs w:val="22"/>
        </w:rPr>
        <w:t xml:space="preserve">. </w:t>
      </w:r>
      <w:r w:rsidR="00975D8F">
        <w:rPr>
          <w:szCs w:val="22"/>
        </w:rPr>
        <w:t>For example, a</w:t>
      </w:r>
      <w:r w:rsidR="00744CF0" w:rsidRPr="00744CF0">
        <w:rPr>
          <w:szCs w:val="22"/>
        </w:rPr>
        <w:t xml:space="preserve">mmonium toxicity has been reported at concentrations greater than </w:t>
      </w:r>
      <w:r w:rsidR="00744CF0">
        <w:rPr>
          <w:szCs w:val="22"/>
        </w:rPr>
        <w:t>25 µ</w:t>
      </w:r>
      <w:proofErr w:type="spellStart"/>
      <w:r w:rsidR="00744CF0">
        <w:rPr>
          <w:szCs w:val="22"/>
        </w:rPr>
        <w:t>mol</w:t>
      </w:r>
      <w:proofErr w:type="spellEnd"/>
      <w:r w:rsidR="00744CF0">
        <w:rPr>
          <w:szCs w:val="22"/>
        </w:rPr>
        <w:t xml:space="preserve"> L</w:t>
      </w:r>
      <w:r w:rsidR="00744CF0" w:rsidRPr="00744CF0">
        <w:rPr>
          <w:szCs w:val="22"/>
          <w:vertAlign w:val="superscript"/>
        </w:rPr>
        <w:t>-1</w:t>
      </w:r>
      <w:r w:rsidR="00744CF0" w:rsidRPr="00166D50">
        <w:rPr>
          <w:szCs w:val="22"/>
        </w:rPr>
        <w:t xml:space="preserve"> </w:t>
      </w:r>
      <w:r w:rsidR="00744CF0">
        <w:rPr>
          <w:szCs w:val="22"/>
        </w:rPr>
        <w:t>(</w:t>
      </w:r>
      <w:hyperlink w:anchor="_ENREF_234" w:tooltip="van Katwijk, 1997 #1697" w:history="1">
        <w:r w:rsidR="00E6043D">
          <w:rPr>
            <w:szCs w:val="22"/>
          </w:rPr>
          <w:fldChar w:fldCharType="begin"/>
        </w:r>
        <w:r w:rsidR="00E6043D">
          <w:rPr>
            <w:szCs w:val="22"/>
          </w:rPr>
          <w:instrText xml:space="preserve"> ADDIN EN.CITE &lt;EndNote&gt;&lt;Cite&gt;&lt;Author&gt;van Katwijk&lt;/Author&gt;&lt;Year&gt;1997&lt;/Year&gt;&lt;RecNum&gt;1697&lt;/RecNum&gt;&lt;DisplayText&gt;van Katwijk&lt;style face="italic"&gt; et al.&lt;/style&gt; 1997&lt;/DisplayText&gt;&lt;record&gt;&lt;rec-number&gt;1697&lt;/rec-number&gt;&lt;foreign-keys&gt;&lt;key app="EN" db-id="0eve55x9y5vfd6e9dacxtew4eatve2dzds9a"&gt;1697&lt;/key&gt;&lt;/foreign-keys&gt;&lt;ref-type name="Journal Article"&gt;17&lt;/ref-type&gt;&lt;contributors&gt;&lt;authors&gt;&lt;author&gt;van Katwijk, M. M.&lt;/author&gt;&lt;author&gt;Vergeer, L. H. T.&lt;/author&gt;&lt;author&gt;Schmitz, G. H. W.&lt;/author&gt;&lt;author&gt;Roelofs, J. G. M.&lt;/author&gt;&lt;/authors&gt;&lt;/contributors&gt;&lt;titles&gt;&lt;title&gt;&lt;style face="normal" font="default" size="100%"&gt;Ammonium toxicity in eelgrass &lt;/style&gt;&lt;style face="italic" font="default" size="100%"&gt;Zostera marina&lt;/style&gt;&lt;/title&gt;&lt;secondary-title&gt;Marine Ecology Progress Series&lt;/secondary-title&gt;&lt;alt-title&gt;Mar. Ecol. Prog. Ser.&lt;/alt-title&gt;&lt;/titles&gt;&lt;periodical&gt;&lt;full-title&gt;Marine Ecology Progress Series&lt;/full-title&gt;&lt;/periodical&gt;&lt;pages&gt;159-173&lt;/pages&gt;&lt;volume&gt;157&lt;/volume&gt;&lt;keywords&gt;&lt;keyword&gt;EUTROPHICATION&lt;/keyword&gt;&lt;keyword&gt;NITROGEN&lt;/keyword&gt;&lt;keyword&gt;SEAGRASS&lt;/keyword&gt;&lt;/keywords&gt;&lt;dates&gt;&lt;year&gt;1997&lt;/year&gt;&lt;pub-dates&gt;&lt;date&gt;October 16&lt;/date&gt;&lt;/pub-dates&gt;&lt;/dates&gt;&lt;label&gt;1786&lt;/label&gt;&lt;urls&gt;&lt;/urls&gt;&lt;custom1&gt;Annex&lt;/custom1&gt;&lt;/record&gt;&lt;/Cite&gt;&lt;/EndNote&gt;</w:instrText>
        </w:r>
        <w:r w:rsidR="00E6043D">
          <w:rPr>
            <w:szCs w:val="22"/>
          </w:rPr>
          <w:fldChar w:fldCharType="separate"/>
        </w:r>
        <w:r w:rsidR="00E6043D">
          <w:rPr>
            <w:noProof/>
            <w:szCs w:val="22"/>
          </w:rPr>
          <w:t>van Katwijk</w:t>
        </w:r>
        <w:r w:rsidR="00E6043D" w:rsidRPr="00C64CB8">
          <w:rPr>
            <w:i/>
            <w:noProof/>
            <w:szCs w:val="22"/>
          </w:rPr>
          <w:t xml:space="preserve"> et al.</w:t>
        </w:r>
        <w:r w:rsidR="00E6043D">
          <w:rPr>
            <w:noProof/>
            <w:szCs w:val="22"/>
          </w:rPr>
          <w:t xml:space="preserve"> 1997</w:t>
        </w:r>
        <w:r w:rsidR="00E6043D">
          <w:rPr>
            <w:szCs w:val="22"/>
          </w:rPr>
          <w:fldChar w:fldCharType="end"/>
        </w:r>
      </w:hyperlink>
      <w:r w:rsidR="00744CF0">
        <w:rPr>
          <w:szCs w:val="22"/>
        </w:rPr>
        <w:t>)</w:t>
      </w:r>
      <w:r w:rsidR="00744CF0" w:rsidRPr="00744CF0">
        <w:rPr>
          <w:szCs w:val="22"/>
        </w:rPr>
        <w:t xml:space="preserve">, </w:t>
      </w:r>
      <w:r w:rsidR="00744CF0">
        <w:rPr>
          <w:szCs w:val="22"/>
        </w:rPr>
        <w:t xml:space="preserve">however </w:t>
      </w:r>
      <w:r w:rsidR="00744CF0" w:rsidRPr="00744CF0">
        <w:rPr>
          <w:szCs w:val="22"/>
        </w:rPr>
        <w:t xml:space="preserve">the GBR long-term (1989 to 2015) average </w:t>
      </w:r>
      <w:r w:rsidR="00744CF0">
        <w:rPr>
          <w:szCs w:val="22"/>
        </w:rPr>
        <w:t>a</w:t>
      </w:r>
      <w:r w:rsidR="00744CF0" w:rsidRPr="00744CF0">
        <w:rPr>
          <w:szCs w:val="22"/>
        </w:rPr>
        <w:t xml:space="preserve">mmonium </w:t>
      </w:r>
      <w:r w:rsidR="00744CF0">
        <w:rPr>
          <w:szCs w:val="22"/>
        </w:rPr>
        <w:t>concentration</w:t>
      </w:r>
      <w:r w:rsidR="00744CF0" w:rsidRPr="00744CF0">
        <w:rPr>
          <w:szCs w:val="22"/>
        </w:rPr>
        <w:t xml:space="preserve"> is 0.04 ±0.06 </w:t>
      </w:r>
      <w:r w:rsidR="00744CF0">
        <w:rPr>
          <w:szCs w:val="22"/>
        </w:rPr>
        <w:t>µ</w:t>
      </w:r>
      <w:proofErr w:type="spellStart"/>
      <w:r w:rsidR="00744CF0">
        <w:rPr>
          <w:szCs w:val="22"/>
        </w:rPr>
        <w:t>mol</w:t>
      </w:r>
      <w:proofErr w:type="spellEnd"/>
      <w:r w:rsidR="00744CF0">
        <w:rPr>
          <w:szCs w:val="22"/>
        </w:rPr>
        <w:t xml:space="preserve"> L</w:t>
      </w:r>
      <w:r w:rsidR="00744CF0" w:rsidRPr="00744CF0">
        <w:rPr>
          <w:szCs w:val="22"/>
          <w:vertAlign w:val="superscript"/>
        </w:rPr>
        <w:t>-1</w:t>
      </w:r>
      <w:r w:rsidR="00744CF0" w:rsidRPr="00166D50">
        <w:rPr>
          <w:szCs w:val="22"/>
        </w:rPr>
        <w:t xml:space="preserve"> </w:t>
      </w:r>
      <w:r w:rsidR="00744CF0" w:rsidRPr="00744CF0">
        <w:rPr>
          <w:szCs w:val="22"/>
        </w:rPr>
        <w:t>(</w:t>
      </w:r>
      <w:hyperlink w:anchor="_ENREF_151" w:tooltip="Lønborg, 2015 #10475" w:history="1">
        <w:r w:rsidR="00E6043D">
          <w:rPr>
            <w:szCs w:val="22"/>
          </w:rPr>
          <w:fldChar w:fldCharType="begin"/>
        </w:r>
        <w:r w:rsidR="00E6043D">
          <w:rPr>
            <w:szCs w:val="22"/>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szCs w:val="22"/>
          </w:rPr>
          <w:fldChar w:fldCharType="separate"/>
        </w:r>
        <w:r w:rsidR="00E6043D">
          <w:rPr>
            <w:noProof/>
            <w:szCs w:val="22"/>
          </w:rPr>
          <w:t>Lønborg</w:t>
        </w:r>
        <w:r w:rsidR="00E6043D" w:rsidRPr="00C64CB8">
          <w:rPr>
            <w:i/>
            <w:noProof/>
            <w:szCs w:val="22"/>
          </w:rPr>
          <w:t>, et al.</w:t>
        </w:r>
        <w:r w:rsidR="00E6043D">
          <w:rPr>
            <w:noProof/>
            <w:szCs w:val="22"/>
          </w:rPr>
          <w:t xml:space="preserve"> 2015</w:t>
        </w:r>
        <w:r w:rsidR="00E6043D">
          <w:rPr>
            <w:szCs w:val="22"/>
          </w:rPr>
          <w:fldChar w:fldCharType="end"/>
        </w:r>
      </w:hyperlink>
      <w:r w:rsidR="00744CF0" w:rsidRPr="00744CF0">
        <w:rPr>
          <w:szCs w:val="22"/>
        </w:rPr>
        <w:t>)</w:t>
      </w:r>
      <w:r w:rsidR="00744CF0">
        <w:rPr>
          <w:szCs w:val="22"/>
        </w:rPr>
        <w:t>.</w:t>
      </w:r>
    </w:p>
    <w:p w:rsidR="006D184F" w:rsidRPr="00A07CCD" w:rsidRDefault="006D184F" w:rsidP="006D184F">
      <w:pPr>
        <w:keepNext/>
        <w:jc w:val="center"/>
        <w:rPr>
          <w:color w:val="000000"/>
          <w:szCs w:val="22"/>
        </w:rPr>
      </w:pPr>
      <w:r>
        <w:rPr>
          <w:noProof/>
          <w:color w:val="000000"/>
          <w:szCs w:val="22"/>
          <w:lang w:eastAsia="en-AU"/>
        </w:rPr>
        <w:lastRenderedPageBreak/>
        <w:drawing>
          <wp:inline distT="0" distB="0" distL="0" distR="0" wp14:anchorId="5C9D33FE" wp14:editId="15E08E56">
            <wp:extent cx="3960000" cy="1922400"/>
            <wp:effectExtent l="0" t="0" r="2540" b="1905"/>
            <wp:docPr id="10159" name="Picture 10159" descr="Panel of two graphs showing median tissue nutrient concentrations (±Standard Error) in seagrass leaves for each habitat type (species pooled) over the entire monitoring progra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9" name="GBR_N_P_yr_Dec15.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3960000" cy="1922400"/>
                    </a:xfrm>
                    <a:prstGeom prst="rect">
                      <a:avLst/>
                    </a:prstGeom>
                  </pic:spPr>
                </pic:pic>
              </a:graphicData>
            </a:graphic>
          </wp:inline>
        </w:drawing>
      </w:r>
    </w:p>
    <w:p w:rsidR="006D184F" w:rsidRPr="00A07CCD" w:rsidRDefault="006D184F" w:rsidP="006D184F">
      <w:pPr>
        <w:rPr>
          <w:i/>
          <w:vanish/>
          <w:color w:val="000000"/>
          <w:szCs w:val="22"/>
          <w:specVanish/>
        </w:rPr>
      </w:pPr>
      <w:bookmarkStart w:id="173" w:name="_Ref271613914"/>
      <w:bookmarkStart w:id="174" w:name="_Toc431493810"/>
      <w:bookmarkStart w:id="175" w:name="_Toc462684861"/>
      <w:r w:rsidRPr="00A07CCD">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21</w:t>
      </w:r>
      <w:r w:rsidR="0073595B">
        <w:rPr>
          <w:color w:val="000000"/>
        </w:rPr>
        <w:fldChar w:fldCharType="end"/>
      </w:r>
      <w:bookmarkEnd w:id="173"/>
      <w:r w:rsidRPr="00A07CCD">
        <w:rPr>
          <w:color w:val="000000"/>
        </w:rPr>
        <w:t xml:space="preserve">. </w:t>
      </w:r>
      <w:r w:rsidRPr="00A07CCD">
        <w:rPr>
          <w:i/>
          <w:color w:val="000000"/>
        </w:rPr>
        <w:t>Median tissue nutrient concentrations (±Standard Error) in seagrass leaves for each habitat type (species pooled) over the entire monitoring program.</w:t>
      </w:r>
      <w:bookmarkEnd w:id="174"/>
      <w:bookmarkEnd w:id="175"/>
      <w:r w:rsidRPr="00A07CCD">
        <w:rPr>
          <w:i/>
          <w:color w:val="000000"/>
        </w:rPr>
        <w:t xml:space="preserve"> </w:t>
      </w:r>
    </w:p>
    <w:p w:rsidR="006D184F" w:rsidRDefault="006D184F" w:rsidP="006D184F">
      <w:pPr>
        <w:rPr>
          <w:color w:val="000000"/>
          <w:szCs w:val="22"/>
        </w:rPr>
      </w:pPr>
      <w:r w:rsidRPr="00A07CCD">
        <w:rPr>
          <w:i/>
          <w:color w:val="000000"/>
        </w:rPr>
        <w:t>Dashed lines indicate global median values of 1.8% and 0.2% for tissue nitrogen and phosphorus, respectively (</w:t>
      </w:r>
      <w:hyperlink w:anchor="_ENREF_96" w:tooltip="Duarte, 1990 #1954" w:history="1">
        <w:r w:rsidR="00E6043D">
          <w:rPr>
            <w:i/>
            <w:color w:val="000000"/>
          </w:rPr>
          <w:fldChar w:fldCharType="begin"/>
        </w:r>
        <w:r w:rsidR="00E6043D">
          <w:rPr>
            <w:i/>
            <w:color w:val="000000"/>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E6043D">
          <w:rPr>
            <w:i/>
            <w:color w:val="000000"/>
          </w:rPr>
          <w:fldChar w:fldCharType="separate"/>
        </w:r>
        <w:r w:rsidR="00E6043D">
          <w:rPr>
            <w:i/>
            <w:noProof/>
            <w:color w:val="000000"/>
          </w:rPr>
          <w:t>Duarte 1990</w:t>
        </w:r>
        <w:r w:rsidR="00E6043D">
          <w:rPr>
            <w:i/>
            <w:color w:val="000000"/>
          </w:rPr>
          <w:fldChar w:fldCharType="end"/>
        </w:r>
      </w:hyperlink>
      <w:r w:rsidRPr="00A07CCD">
        <w:rPr>
          <w:i/>
          <w:color w:val="000000"/>
        </w:rPr>
        <w:t>).</w:t>
      </w:r>
      <w:r w:rsidRPr="00A07CCD">
        <w:rPr>
          <w:color w:val="000000"/>
        </w:rPr>
        <w:t xml:space="preserve"> </w:t>
      </w:r>
    </w:p>
    <w:p w:rsidR="00112B83" w:rsidRPr="00F428D6" w:rsidRDefault="002E6480" w:rsidP="00F428D6">
      <w:pPr>
        <w:rPr>
          <w:szCs w:val="22"/>
        </w:rPr>
      </w:pPr>
      <w:r w:rsidRPr="00F428D6">
        <w:rPr>
          <w:szCs w:val="22"/>
        </w:rPr>
        <w:t>Since 2007, all three intertidal habitat types (coast, reef and estuary) had C</w:t>
      </w:r>
      <w:proofErr w:type="gramStart"/>
      <w:r w:rsidRPr="00F428D6">
        <w:rPr>
          <w:szCs w:val="22"/>
        </w:rPr>
        <w:t>:N</w:t>
      </w:r>
      <w:proofErr w:type="gramEnd"/>
      <w:r w:rsidRPr="00F428D6">
        <w:rPr>
          <w:szCs w:val="22"/>
        </w:rPr>
        <w:t xml:space="preserve"> ratios &lt;20, however, after 2011, the ratios have been gradually increasing (</w:t>
      </w:r>
      <w:r w:rsidRPr="00F428D6">
        <w:rPr>
          <w:szCs w:val="22"/>
        </w:rPr>
        <w:fldChar w:fldCharType="begin"/>
      </w:r>
      <w:r w:rsidRPr="00F428D6">
        <w:rPr>
          <w:szCs w:val="22"/>
        </w:rPr>
        <w:instrText xml:space="preserve"> REF _Ref271287568 \h  \* MERGEFORMAT </w:instrText>
      </w:r>
      <w:r w:rsidRPr="00F428D6">
        <w:rPr>
          <w:szCs w:val="22"/>
        </w:rPr>
      </w:r>
      <w:r w:rsidRPr="00F428D6">
        <w:rPr>
          <w:szCs w:val="22"/>
        </w:rPr>
        <w:fldChar w:fldCharType="separate"/>
      </w:r>
      <w:r w:rsidR="009C068F" w:rsidRPr="009C068F">
        <w:t xml:space="preserve">Figure </w:t>
      </w:r>
      <w:r w:rsidR="009C068F" w:rsidRPr="009C068F">
        <w:rPr>
          <w:noProof/>
        </w:rPr>
        <w:t>22</w:t>
      </w:r>
      <w:r w:rsidRPr="00F428D6">
        <w:rPr>
          <w:szCs w:val="22"/>
        </w:rPr>
        <w:fldChar w:fldCharType="end"/>
      </w:r>
      <w:r w:rsidRPr="00F428D6">
        <w:rPr>
          <w:szCs w:val="22"/>
        </w:rPr>
        <w:t xml:space="preserve">) until 2014-15 when C:N </w:t>
      </w:r>
      <w:r w:rsidR="00376DBC" w:rsidRPr="00F428D6">
        <w:rPr>
          <w:szCs w:val="22"/>
        </w:rPr>
        <w:t>either</w:t>
      </w:r>
      <w:r w:rsidRPr="00F428D6">
        <w:rPr>
          <w:szCs w:val="22"/>
        </w:rPr>
        <w:t xml:space="preserve"> stab</w:t>
      </w:r>
      <w:r w:rsidR="00376DBC" w:rsidRPr="00F428D6">
        <w:rPr>
          <w:szCs w:val="22"/>
        </w:rPr>
        <w:t>ilised</w:t>
      </w:r>
      <w:r w:rsidRPr="00F428D6">
        <w:rPr>
          <w:szCs w:val="22"/>
        </w:rPr>
        <w:t xml:space="preserve"> (reef subtidal), or declined (all other habitats). This </w:t>
      </w:r>
      <w:r w:rsidR="00376DBC" w:rsidRPr="00F428D6">
        <w:rPr>
          <w:szCs w:val="22"/>
        </w:rPr>
        <w:t xml:space="preserve">C:N </w:t>
      </w:r>
      <w:r w:rsidRPr="00F428D6">
        <w:rPr>
          <w:szCs w:val="22"/>
        </w:rPr>
        <w:t xml:space="preserve">decline was associated with an increase in tissue N content (%N, see </w:t>
      </w:r>
      <w:r w:rsidR="00376DBC" w:rsidRPr="00F428D6">
        <w:rPr>
          <w:szCs w:val="22"/>
        </w:rPr>
        <w:t>A</w:t>
      </w:r>
      <w:r w:rsidRPr="00F428D6">
        <w:rPr>
          <w:szCs w:val="22"/>
        </w:rPr>
        <w:t>ppendix 4</w:t>
      </w:r>
      <w:r w:rsidR="00376DBC" w:rsidRPr="00F428D6">
        <w:rPr>
          <w:szCs w:val="22"/>
        </w:rPr>
        <w:t xml:space="preserve">, </w:t>
      </w:r>
      <w:r w:rsidR="00376DBC" w:rsidRPr="00F428D6">
        <w:rPr>
          <w:szCs w:val="22"/>
        </w:rPr>
        <w:fldChar w:fldCharType="begin"/>
      </w:r>
      <w:r w:rsidR="00376DBC" w:rsidRPr="00F428D6">
        <w:rPr>
          <w:szCs w:val="22"/>
        </w:rPr>
        <w:instrText xml:space="preserve"> REF _Ref442529366 \h </w:instrText>
      </w:r>
      <w:r w:rsidR="00376DBC" w:rsidRPr="00F428D6">
        <w:rPr>
          <w:szCs w:val="22"/>
        </w:rPr>
      </w:r>
      <w:r w:rsidR="00376DBC" w:rsidRPr="00F428D6">
        <w:rPr>
          <w:szCs w:val="22"/>
        </w:rPr>
        <w:fldChar w:fldCharType="separate"/>
      </w:r>
      <w:r w:rsidR="009C068F">
        <w:rPr>
          <w:szCs w:val="22"/>
        </w:rPr>
        <w:t xml:space="preserve">Table </w:t>
      </w:r>
      <w:r w:rsidR="009C068F">
        <w:rPr>
          <w:noProof/>
          <w:szCs w:val="22"/>
        </w:rPr>
        <w:t>49</w:t>
      </w:r>
      <w:r w:rsidR="00376DBC" w:rsidRPr="00F428D6">
        <w:rPr>
          <w:szCs w:val="22"/>
        </w:rPr>
        <w:fldChar w:fldCharType="end"/>
      </w:r>
      <w:r w:rsidRPr="00F428D6">
        <w:rPr>
          <w:szCs w:val="22"/>
        </w:rPr>
        <w:t xml:space="preserve">) and may have resulted from slightly higher N availability; however, as annual discharge and plume exposure were generally low in 2014-15, this was unlikely to be a source of increased N. </w:t>
      </w:r>
      <w:r w:rsidR="00112B83">
        <w:rPr>
          <w:szCs w:val="22"/>
        </w:rPr>
        <w:t>Average l</w:t>
      </w:r>
      <w:r w:rsidR="00F428D6" w:rsidRPr="00F428D6">
        <w:rPr>
          <w:szCs w:val="22"/>
        </w:rPr>
        <w:t>eaf tissue</w:t>
      </w:r>
      <w:r w:rsidR="00F428D6">
        <w:rPr>
          <w:szCs w:val="22"/>
        </w:rPr>
        <w:t xml:space="preserve"> </w:t>
      </w:r>
      <w:r w:rsidR="00F428D6" w:rsidRPr="00F428D6">
        <w:rPr>
          <w:szCs w:val="22"/>
        </w:rPr>
        <w:t>δ</w:t>
      </w:r>
      <w:r w:rsidR="00F428D6" w:rsidRPr="00F428D6">
        <w:rPr>
          <w:szCs w:val="22"/>
          <w:vertAlign w:val="superscript"/>
        </w:rPr>
        <w:t>15</w:t>
      </w:r>
      <w:r w:rsidR="00F428D6" w:rsidRPr="00F428D6">
        <w:rPr>
          <w:szCs w:val="22"/>
        </w:rPr>
        <w:t xml:space="preserve">N values </w:t>
      </w:r>
      <w:r w:rsidR="00F428D6">
        <w:rPr>
          <w:szCs w:val="22"/>
        </w:rPr>
        <w:t xml:space="preserve">increased </w:t>
      </w:r>
      <w:r w:rsidR="00F428D6">
        <w:rPr>
          <w:color w:val="000000"/>
          <w:szCs w:val="22"/>
        </w:rPr>
        <w:t xml:space="preserve">at coast and reef subtidal in 2014-15, and across all habitats was </w:t>
      </w:r>
      <w:r w:rsidR="00F428D6" w:rsidRPr="00F428D6">
        <w:rPr>
          <w:szCs w:val="22"/>
        </w:rPr>
        <w:t>between 0.</w:t>
      </w:r>
      <w:r w:rsidR="00112B83">
        <w:rPr>
          <w:szCs w:val="22"/>
        </w:rPr>
        <w:t>6</w:t>
      </w:r>
      <w:r w:rsidR="00F428D6" w:rsidRPr="00F428D6">
        <w:rPr>
          <w:szCs w:val="22"/>
        </w:rPr>
        <w:t xml:space="preserve">‰ and </w:t>
      </w:r>
      <w:r w:rsidR="00112B83">
        <w:rPr>
          <w:szCs w:val="22"/>
        </w:rPr>
        <w:t>3</w:t>
      </w:r>
      <w:r w:rsidR="00F428D6" w:rsidRPr="00F428D6">
        <w:rPr>
          <w:szCs w:val="22"/>
        </w:rPr>
        <w:t>‰ (</w:t>
      </w:r>
      <w:r w:rsidR="00112B83">
        <w:rPr>
          <w:szCs w:val="22"/>
        </w:rPr>
        <w:fldChar w:fldCharType="begin"/>
      </w:r>
      <w:r w:rsidR="00112B83">
        <w:rPr>
          <w:szCs w:val="22"/>
        </w:rPr>
        <w:instrText xml:space="preserve"> REF _Ref380930844 \h </w:instrText>
      </w:r>
      <w:r w:rsidR="00112B83">
        <w:rPr>
          <w:szCs w:val="22"/>
        </w:rPr>
      </w:r>
      <w:r w:rsidR="00112B83">
        <w:rPr>
          <w:szCs w:val="22"/>
        </w:rPr>
        <w:fldChar w:fldCharType="separate"/>
      </w:r>
      <w:r w:rsidR="009C068F" w:rsidRPr="006B4212">
        <w:rPr>
          <w:color w:val="000000"/>
        </w:rPr>
        <w:t xml:space="preserve">Figure </w:t>
      </w:r>
      <w:r w:rsidR="009C068F">
        <w:rPr>
          <w:noProof/>
          <w:color w:val="000000"/>
        </w:rPr>
        <w:t>23</w:t>
      </w:r>
      <w:r w:rsidR="00112B83">
        <w:rPr>
          <w:szCs w:val="22"/>
        </w:rPr>
        <w:fldChar w:fldCharType="end"/>
      </w:r>
      <w:r w:rsidR="00F428D6" w:rsidRPr="00F428D6">
        <w:rPr>
          <w:szCs w:val="22"/>
        </w:rPr>
        <w:t xml:space="preserve">), suggesting the primary source of N was </w:t>
      </w:r>
      <w:r w:rsidR="00F428D6">
        <w:rPr>
          <w:szCs w:val="22"/>
        </w:rPr>
        <w:t xml:space="preserve">influence by </w:t>
      </w:r>
      <w:r w:rsidR="00F428D6" w:rsidRPr="00F428D6">
        <w:rPr>
          <w:szCs w:val="22"/>
        </w:rPr>
        <w:t>fertiliser</w:t>
      </w:r>
      <w:r w:rsidR="00F428D6">
        <w:rPr>
          <w:szCs w:val="22"/>
        </w:rPr>
        <w:t xml:space="preserve"> and/or sewage</w:t>
      </w:r>
      <w:r w:rsidR="00AB701F">
        <w:rPr>
          <w:szCs w:val="22"/>
        </w:rPr>
        <w:t xml:space="preserve"> (</w:t>
      </w:r>
      <w:hyperlink w:anchor="_ENREF_228" w:tooltip="Udy, 1997 #9791" w:history="1">
        <w:r w:rsidR="00E6043D">
          <w:rPr>
            <w:szCs w:val="22"/>
          </w:rPr>
          <w:fldChar w:fldCharType="begin"/>
        </w:r>
        <w:r w:rsidR="00E6043D">
          <w:rPr>
            <w:szCs w:val="22"/>
          </w:rPr>
          <w:instrText xml:space="preserve"> ADDIN EN.CITE &lt;EndNote&gt;&lt;Cite&gt;&lt;Author&gt;Udy&lt;/Author&gt;&lt;Year&gt;1997&lt;/Year&gt;&lt;RecNum&gt;9791&lt;/RecNum&gt;&lt;DisplayText&gt;Udy and Dennison 1997b&lt;/DisplayText&gt;&lt;record&gt;&lt;rec-number&gt;9791&lt;/rec-number&gt;&lt;foreign-keys&gt;&lt;key app="EN" db-id="0eve55x9y5vfd6e9dacxtew4eatve2dzds9a"&gt;9791&lt;/key&gt;&lt;/foreign-keys&gt;&lt;ref-type name="Journal Article"&gt;17&lt;/ref-type&gt;&lt;contributors&gt;&lt;authors&gt;&lt;author&gt;Udy,James W.&lt;/author&gt;&lt;author&gt;Dennison,William C.&lt;/author&gt;&lt;/authors&gt;&lt;/contributors&gt;&lt;titles&gt;&lt;title&gt;Physiological responses of seagrasses used to identify anthropogenic nutrient inputs&lt;/title&gt;&lt;secondary-title&gt;Marine and Freshwater Research&lt;/secondary-title&gt;&lt;/titles&gt;&lt;periodical&gt;&lt;full-title&gt;Marine and Freshwater Research&lt;/full-title&gt;&lt;/periodical&gt;&lt;pages&gt;605-614&lt;/pages&gt;&lt;volume&gt;48&lt;/volume&gt;&lt;number&gt;7&lt;/number&gt;&lt;dates&gt;&lt;year&gt;1997&lt;/year&gt;&lt;/dates&gt;&lt;urls&gt;&lt;related-urls&gt;&lt;url&gt;http://www.publish.csiro.au/paper/MF97001&lt;/url&gt;&lt;/related-urls&gt;&lt;/urls&gt;&lt;electronic-resource-num&gt;http://dx.doi.org/10.1071/MF97001&lt;/electronic-resource-num&gt;&lt;/record&gt;&lt;/Cite&gt;&lt;/EndNote&gt;</w:instrText>
        </w:r>
        <w:r w:rsidR="00E6043D">
          <w:rPr>
            <w:szCs w:val="22"/>
          </w:rPr>
          <w:fldChar w:fldCharType="separate"/>
        </w:r>
        <w:r w:rsidR="00E6043D">
          <w:rPr>
            <w:noProof/>
            <w:szCs w:val="22"/>
          </w:rPr>
          <w:t>Udy and Dennison 1997b</w:t>
        </w:r>
        <w:r w:rsidR="00E6043D">
          <w:rPr>
            <w:szCs w:val="22"/>
          </w:rPr>
          <w:fldChar w:fldCharType="end"/>
        </w:r>
      </w:hyperlink>
      <w:r w:rsidR="00AB701F">
        <w:rPr>
          <w:szCs w:val="22"/>
        </w:rPr>
        <w:t>, see also Appendix A2.</w:t>
      </w:r>
      <w:r w:rsidR="00E762DA">
        <w:rPr>
          <w:szCs w:val="22"/>
        </w:rPr>
        <w:t>3</w:t>
      </w:r>
      <w:r w:rsidR="00AB701F">
        <w:rPr>
          <w:szCs w:val="22"/>
        </w:rPr>
        <w:t>)</w:t>
      </w:r>
      <w:r w:rsidR="00F428D6" w:rsidRPr="00F428D6">
        <w:rPr>
          <w:szCs w:val="22"/>
        </w:rPr>
        <w:t>.</w:t>
      </w:r>
      <w:r w:rsidR="00112B83">
        <w:rPr>
          <w:szCs w:val="22"/>
        </w:rPr>
        <w:t xml:space="preserve"> </w:t>
      </w:r>
      <w:r w:rsidRPr="00F428D6">
        <w:rPr>
          <w:szCs w:val="22"/>
        </w:rPr>
        <w:t>Below average daily light, which was found in most meadows (</w:t>
      </w:r>
      <w:r w:rsidR="00F428D6" w:rsidRPr="00F428D6">
        <w:rPr>
          <w:szCs w:val="22"/>
        </w:rPr>
        <w:fldChar w:fldCharType="begin"/>
      </w:r>
      <w:r w:rsidR="00F428D6" w:rsidRPr="00F428D6">
        <w:rPr>
          <w:szCs w:val="22"/>
        </w:rPr>
        <w:instrText xml:space="preserve"> REF _Ref442455429 \h </w:instrText>
      </w:r>
      <w:r w:rsidR="00F428D6" w:rsidRPr="00F428D6">
        <w:rPr>
          <w:szCs w:val="22"/>
        </w:rPr>
      </w:r>
      <w:r w:rsidR="00F428D6" w:rsidRPr="00F428D6">
        <w:rPr>
          <w:szCs w:val="22"/>
        </w:rPr>
        <w:fldChar w:fldCharType="separate"/>
      </w:r>
      <w:r w:rsidR="009C068F" w:rsidRPr="009E22D8">
        <w:t xml:space="preserve">Figure </w:t>
      </w:r>
      <w:r w:rsidR="009C068F">
        <w:rPr>
          <w:noProof/>
        </w:rPr>
        <w:t>10</w:t>
      </w:r>
      <w:r w:rsidR="00F428D6" w:rsidRPr="00F428D6">
        <w:rPr>
          <w:szCs w:val="22"/>
        </w:rPr>
        <w:fldChar w:fldCharType="end"/>
      </w:r>
      <w:r w:rsidRPr="00F428D6">
        <w:rPr>
          <w:szCs w:val="22"/>
        </w:rPr>
        <w:t>), may also have contributed to lower C incorp</w:t>
      </w:r>
      <w:r w:rsidR="00F428D6" w:rsidRPr="00F428D6">
        <w:rPr>
          <w:szCs w:val="22"/>
        </w:rPr>
        <w:t>oration relative to N uptake</w:t>
      </w:r>
      <w:r w:rsidR="00391310">
        <w:rPr>
          <w:szCs w:val="22"/>
        </w:rPr>
        <w:t>. The less negative l</w:t>
      </w:r>
      <w:r w:rsidR="00391310" w:rsidRPr="00F428D6">
        <w:rPr>
          <w:szCs w:val="22"/>
        </w:rPr>
        <w:t>eaf tissue</w:t>
      </w:r>
      <w:r w:rsidR="00391310">
        <w:rPr>
          <w:szCs w:val="22"/>
        </w:rPr>
        <w:t xml:space="preserve"> </w:t>
      </w:r>
      <w:r w:rsidR="00391310" w:rsidRPr="00F428D6">
        <w:rPr>
          <w:szCs w:val="22"/>
        </w:rPr>
        <w:t>δ</w:t>
      </w:r>
      <w:r w:rsidR="00391310" w:rsidRPr="00F428D6">
        <w:rPr>
          <w:szCs w:val="22"/>
          <w:vertAlign w:val="superscript"/>
        </w:rPr>
        <w:t>1</w:t>
      </w:r>
      <w:r w:rsidR="00391310">
        <w:rPr>
          <w:szCs w:val="22"/>
          <w:vertAlign w:val="superscript"/>
        </w:rPr>
        <w:t>3</w:t>
      </w:r>
      <w:r w:rsidR="00391310">
        <w:rPr>
          <w:szCs w:val="22"/>
        </w:rPr>
        <w:t>C</w:t>
      </w:r>
      <w:r w:rsidR="00391310" w:rsidRPr="00F428D6">
        <w:rPr>
          <w:szCs w:val="22"/>
        </w:rPr>
        <w:t xml:space="preserve"> values</w:t>
      </w:r>
      <w:r w:rsidR="00391310">
        <w:rPr>
          <w:szCs w:val="22"/>
        </w:rPr>
        <w:t xml:space="preserve"> also suggest lower </w:t>
      </w:r>
      <w:r w:rsidR="00391310" w:rsidRPr="00F428D6">
        <w:rPr>
          <w:szCs w:val="22"/>
        </w:rPr>
        <w:t xml:space="preserve">C </w:t>
      </w:r>
      <w:r w:rsidR="00B229A4">
        <w:rPr>
          <w:szCs w:val="22"/>
        </w:rPr>
        <w:t>uptake</w:t>
      </w:r>
      <w:r w:rsidR="00E762DA">
        <w:rPr>
          <w:szCs w:val="22"/>
        </w:rPr>
        <w:t xml:space="preserve"> (</w:t>
      </w:r>
      <w:hyperlink w:anchor="_ENREF_118" w:tooltip="Grice, 1996 #1346" w:history="1">
        <w:r w:rsidR="00E6043D">
          <w:rPr>
            <w:szCs w:val="22"/>
          </w:rPr>
          <w:fldChar w:fldCharType="begin"/>
        </w:r>
        <w:r w:rsidR="00E6043D">
          <w:rPr>
            <w:szCs w:val="22"/>
          </w:rPr>
          <w:instrText xml:space="preserve"> ADDIN EN.CITE &lt;EndNote&gt;&lt;Cite&gt;&lt;Author&gt;Grice&lt;/Author&gt;&lt;Year&gt;1996&lt;/Year&gt;&lt;RecNum&gt;1346&lt;/RecNum&gt;&lt;DisplayText&gt;Grice&lt;style face="italic"&gt;, et al.&lt;/style&gt; 1996&lt;/DisplayText&gt;&lt;record&gt;&lt;rec-number&gt;1346&lt;/rec-number&gt;&lt;foreign-keys&gt;&lt;key app="EN" db-id="0eve55x9y5vfd6e9dacxtew4eatve2dzds9a"&gt;1346&lt;/key&gt;&lt;/foreign-keys&gt;&lt;ref-type name="Journal Article"&gt;17&lt;/ref-type&gt;&lt;contributors&gt;&lt;authors&gt;&lt;author&gt;Grice, AM&lt;/author&gt;&lt;author&gt;Loneragan, NR&lt;/author&gt;&lt;author&gt;Dennison, WC&lt;/author&gt;&lt;/authors&gt;&lt;/contributors&gt;&lt;titles&gt;&lt;title&gt;Light intensity and the interactions between physiology, morphology and stable isotope ratios in five species of seagrass&lt;/title&gt;&lt;secondary-title&gt;Journal of Experimental Marine Biology and Ecology&lt;/secondary-title&gt;&lt;alt-title&gt;J. Exp. Mar. Biol. Ecol.&lt;/alt-title&gt;&lt;/titles&gt;&lt;periodical&gt;&lt;full-title&gt;Journal of Experimental Marine Biology and Ecology&lt;/full-title&gt;&lt;/periodical&gt;&lt;pages&gt;91-110&lt;/pages&gt;&lt;volume&gt;195&lt;/volume&gt;&lt;keywords&gt;&lt;keyword&gt;Carbon, Light, Nitrogen, Seagrass, Stable isotope ratio&lt;/keyword&gt;&lt;/keywords&gt;&lt;dates&gt;&lt;year&gt;1996&lt;/year&gt;&lt;/dates&gt;&lt;urls&gt;&lt;/urls&gt;&lt;custom1&gt;Len McKenzie Collection&lt;/custom1&gt;&lt;/record&gt;&lt;/Cite&gt;&lt;/EndNote&gt;</w:instrText>
        </w:r>
        <w:r w:rsidR="00E6043D">
          <w:rPr>
            <w:szCs w:val="22"/>
          </w:rPr>
          <w:fldChar w:fldCharType="separate"/>
        </w:r>
        <w:r w:rsidR="00E6043D">
          <w:rPr>
            <w:noProof/>
            <w:szCs w:val="22"/>
          </w:rPr>
          <w:t>Grice</w:t>
        </w:r>
        <w:r w:rsidR="00E6043D" w:rsidRPr="00C64CB8">
          <w:rPr>
            <w:i/>
            <w:noProof/>
            <w:szCs w:val="22"/>
          </w:rPr>
          <w:t>, et al.</w:t>
        </w:r>
        <w:r w:rsidR="00E6043D">
          <w:rPr>
            <w:noProof/>
            <w:szCs w:val="22"/>
          </w:rPr>
          <w:t xml:space="preserve"> 1996</w:t>
        </w:r>
        <w:r w:rsidR="00E6043D">
          <w:rPr>
            <w:szCs w:val="22"/>
          </w:rPr>
          <w:fldChar w:fldCharType="end"/>
        </w:r>
      </w:hyperlink>
      <w:r w:rsidR="00E762DA">
        <w:rPr>
          <w:szCs w:val="22"/>
        </w:rPr>
        <w:t>, see also Appendix A2.3)</w:t>
      </w:r>
      <w:r w:rsidR="00391310">
        <w:rPr>
          <w:szCs w:val="22"/>
        </w:rPr>
        <w:t>, particularly in reef (intertidal and subtidal) habitats in 2014-15 (</w:t>
      </w:r>
      <w:r w:rsidR="00391310">
        <w:rPr>
          <w:szCs w:val="22"/>
        </w:rPr>
        <w:fldChar w:fldCharType="begin"/>
      </w:r>
      <w:r w:rsidR="00391310">
        <w:rPr>
          <w:szCs w:val="22"/>
        </w:rPr>
        <w:instrText xml:space="preserve"> REF _Ref380930844 \h </w:instrText>
      </w:r>
      <w:r w:rsidR="00391310">
        <w:rPr>
          <w:szCs w:val="22"/>
        </w:rPr>
      </w:r>
      <w:r w:rsidR="00391310">
        <w:rPr>
          <w:szCs w:val="22"/>
        </w:rPr>
        <w:fldChar w:fldCharType="separate"/>
      </w:r>
      <w:r w:rsidR="009C068F" w:rsidRPr="006B4212">
        <w:rPr>
          <w:color w:val="000000"/>
        </w:rPr>
        <w:t xml:space="preserve">Figure </w:t>
      </w:r>
      <w:r w:rsidR="009C068F">
        <w:rPr>
          <w:noProof/>
          <w:color w:val="000000"/>
        </w:rPr>
        <w:t>23</w:t>
      </w:r>
      <w:r w:rsidR="00391310">
        <w:rPr>
          <w:szCs w:val="22"/>
        </w:rPr>
        <w:fldChar w:fldCharType="end"/>
      </w:r>
      <w:r w:rsidR="00391310">
        <w:rPr>
          <w:szCs w:val="22"/>
        </w:rPr>
        <w:t>).</w:t>
      </w:r>
    </w:p>
    <w:p w:rsidR="00F428D6" w:rsidRPr="00B229A4" w:rsidRDefault="00F428D6" w:rsidP="00F428D6">
      <w:pPr>
        <w:rPr>
          <w:szCs w:val="22"/>
        </w:rPr>
      </w:pPr>
      <w:r w:rsidRPr="00B229A4">
        <w:rPr>
          <w:noProof/>
          <w:szCs w:val="22"/>
          <w:lang w:eastAsia="en-AU"/>
        </w:rPr>
        <w:drawing>
          <wp:inline distT="0" distB="0" distL="0" distR="0" wp14:anchorId="62C144C5" wp14:editId="2B781701">
            <wp:extent cx="5759450" cy="1337310"/>
            <wp:effectExtent l="0" t="0" r="0" b="0"/>
            <wp:docPr id="7" name="Picture 7" descr="Panel of four graphs showing annual elemental ratios (atomic) of seagrass leaf tissue C:N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CN_yr_Dec15.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759450" cy="1337310"/>
                    </a:xfrm>
                    <a:prstGeom prst="rect">
                      <a:avLst/>
                    </a:prstGeom>
                  </pic:spPr>
                </pic:pic>
              </a:graphicData>
            </a:graphic>
          </wp:inline>
        </w:drawing>
      </w:r>
    </w:p>
    <w:p w:rsidR="00F428D6" w:rsidRPr="009A66FC" w:rsidRDefault="00F428D6" w:rsidP="00F428D6">
      <w:pPr>
        <w:rPr>
          <w:i/>
          <w:iCs/>
          <w:vanish/>
          <w:color w:val="000000"/>
          <w:szCs w:val="22"/>
          <w:lang w:eastAsia="en-AU"/>
          <w:specVanish/>
        </w:rPr>
      </w:pPr>
      <w:bookmarkStart w:id="176" w:name="_Ref271287568"/>
      <w:bookmarkStart w:id="177" w:name="_Toc431493811"/>
      <w:bookmarkStart w:id="178" w:name="_Toc462684862"/>
      <w:r w:rsidRPr="009A66FC">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22</w:t>
      </w:r>
      <w:r>
        <w:rPr>
          <w:color w:val="000000"/>
        </w:rPr>
        <w:fldChar w:fldCharType="end"/>
      </w:r>
      <w:bookmarkEnd w:id="176"/>
      <w:r w:rsidRPr="009A66FC">
        <w:rPr>
          <w:color w:val="000000"/>
        </w:rPr>
        <w:t xml:space="preserve">. </w:t>
      </w:r>
      <w:r w:rsidRPr="009A66FC">
        <w:rPr>
          <w:i/>
          <w:color w:val="000000"/>
          <w:lang w:eastAsia="en-AU"/>
        </w:rPr>
        <w:t>Elemental ratios (atomic) of seagrass leaf tissue C</w:t>
      </w:r>
      <w:proofErr w:type="gramStart"/>
      <w:r w:rsidRPr="009A66FC">
        <w:rPr>
          <w:i/>
          <w:color w:val="000000"/>
          <w:lang w:eastAsia="en-AU"/>
        </w:rPr>
        <w:t>:N</w:t>
      </w:r>
      <w:proofErr w:type="gramEnd"/>
      <w:r w:rsidRPr="009A66FC">
        <w:rPr>
          <w:i/>
          <w:color w:val="000000"/>
          <w:lang w:eastAsia="en-AU"/>
        </w:rPr>
        <w:t xml:space="preserve"> for each habitat each year</w:t>
      </w:r>
      <w:bookmarkEnd w:id="177"/>
      <w:bookmarkEnd w:id="178"/>
      <w:r w:rsidRPr="009A66FC">
        <w:rPr>
          <w:i/>
          <w:color w:val="000000"/>
          <w:lang w:eastAsia="en-AU"/>
        </w:rPr>
        <w:t xml:space="preserve"> </w:t>
      </w:r>
    </w:p>
    <w:p w:rsidR="00F428D6" w:rsidRPr="009A66FC" w:rsidRDefault="00F428D6" w:rsidP="00F428D6">
      <w:pPr>
        <w:rPr>
          <w:color w:val="000000"/>
          <w:lang w:eastAsia="en-AU"/>
        </w:rPr>
      </w:pPr>
      <w:r w:rsidRPr="009A66FC">
        <w:rPr>
          <w:i/>
          <w:color w:val="000000"/>
          <w:lang w:eastAsia="en-AU"/>
        </w:rPr>
        <w:t xml:space="preserve"> (</w:t>
      </w:r>
      <w:proofErr w:type="gramStart"/>
      <w:r w:rsidRPr="009A66FC">
        <w:rPr>
          <w:i/>
          <w:color w:val="000000"/>
          <w:lang w:eastAsia="en-AU"/>
        </w:rPr>
        <w:t>foundation</w:t>
      </w:r>
      <w:proofErr w:type="gramEnd"/>
      <w:r w:rsidRPr="009A66FC">
        <w:rPr>
          <w:i/>
          <w:color w:val="000000"/>
          <w:lang w:eastAsia="en-AU"/>
        </w:rPr>
        <w:t xml:space="preserve"> species pooled). Horizontal dashed line on the C</w:t>
      </w:r>
      <w:proofErr w:type="gramStart"/>
      <w:r w:rsidRPr="009A66FC">
        <w:rPr>
          <w:i/>
          <w:color w:val="000000"/>
          <w:lang w:eastAsia="en-AU"/>
        </w:rPr>
        <w:t>:N</w:t>
      </w:r>
      <w:proofErr w:type="gramEnd"/>
      <w:r w:rsidRPr="009A66FC">
        <w:rPr>
          <w:i/>
          <w:color w:val="000000"/>
          <w:lang w:eastAsia="en-AU"/>
        </w:rPr>
        <w:t xml:space="preserve"> ratio panel represents the accepted </w:t>
      </w:r>
      <w:r w:rsidRPr="009A66FC">
        <w:rPr>
          <w:i/>
          <w:color w:val="000000"/>
        </w:rPr>
        <w:t xml:space="preserve">guideline </w:t>
      </w:r>
      <w:r w:rsidRPr="009A66FC">
        <w:rPr>
          <w:i/>
          <w:color w:val="000000"/>
          <w:lang w:eastAsia="en-AU"/>
        </w:rPr>
        <w:t xml:space="preserve">seagrass “Redfield” ratio </w:t>
      </w:r>
      <w:r w:rsidRPr="009A66FC">
        <w:rPr>
          <w:i/>
          <w:color w:val="000000"/>
        </w:rPr>
        <w:t>of 20:1 (</w:t>
      </w:r>
      <w:r>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Pr>
          <w:i/>
          <w:color w:val="000000"/>
        </w:rPr>
        <w:instrText xml:space="preserve"> ADDIN EN.CITE </w:instrText>
      </w:r>
      <w:r>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Pr>
          <w:i/>
          <w:color w:val="000000"/>
        </w:rPr>
        <w:instrText xml:space="preserve"> ADDIN EN.CITE.DATA </w:instrText>
      </w:r>
      <w:r>
        <w:rPr>
          <w:i/>
          <w:color w:val="000000"/>
        </w:rPr>
      </w:r>
      <w:r>
        <w:rPr>
          <w:i/>
          <w:color w:val="000000"/>
        </w:rPr>
        <w:fldChar w:fldCharType="end"/>
      </w:r>
      <w:r>
        <w:rPr>
          <w:i/>
          <w:color w:val="000000"/>
        </w:rPr>
      </w:r>
      <w:r>
        <w:rPr>
          <w:i/>
          <w:color w:val="000000"/>
        </w:rPr>
        <w:fldChar w:fldCharType="separate"/>
      </w:r>
      <w:hyperlink w:anchor="_ENREF_2" w:tooltip="Abal, 1994 #7405" w:history="1">
        <w:r w:rsidR="00E6043D">
          <w:rPr>
            <w:i/>
            <w:noProof/>
            <w:color w:val="000000"/>
          </w:rPr>
          <w:t>Abal, et al. 1994</w:t>
        </w:r>
      </w:hyperlink>
      <w:r>
        <w:rPr>
          <w:i/>
          <w:noProof/>
          <w:color w:val="000000"/>
        </w:rPr>
        <w:t xml:space="preserve">; </w:t>
      </w:r>
      <w:hyperlink w:anchor="_ENREF_118" w:tooltip="Grice, 1996 #1346" w:history="1">
        <w:r w:rsidR="00E6043D">
          <w:rPr>
            <w:i/>
            <w:noProof/>
            <w:color w:val="000000"/>
          </w:rPr>
          <w:t>Grice, et al. 1996</w:t>
        </w:r>
      </w:hyperlink>
      <w:r>
        <w:rPr>
          <w:i/>
          <w:color w:val="000000"/>
        </w:rPr>
        <w:fldChar w:fldCharType="end"/>
      </w:r>
      <w:r w:rsidRPr="009A66FC">
        <w:rPr>
          <w:i/>
          <w:color w:val="000000"/>
        </w:rPr>
        <w:t>)</w:t>
      </w:r>
      <w:r w:rsidRPr="009A66FC">
        <w:rPr>
          <w:i/>
          <w:color w:val="000000"/>
          <w:lang w:eastAsia="en-AU"/>
        </w:rPr>
        <w:t>. C</w:t>
      </w:r>
      <w:proofErr w:type="gramStart"/>
      <w:r w:rsidRPr="009A66FC">
        <w:rPr>
          <w:i/>
          <w:color w:val="000000"/>
          <w:lang w:eastAsia="en-AU"/>
        </w:rPr>
        <w:t>:N</w:t>
      </w:r>
      <w:proofErr w:type="gramEnd"/>
      <w:r w:rsidRPr="009A66FC">
        <w:rPr>
          <w:i/>
          <w:color w:val="000000"/>
          <w:lang w:eastAsia="en-AU"/>
        </w:rPr>
        <w:t xml:space="preserve"> ratios below this line may </w:t>
      </w:r>
      <w:r w:rsidRPr="009A66FC">
        <w:rPr>
          <w:i/>
          <w:color w:val="000000"/>
        </w:rPr>
        <w:t>indicate reduced light availability and/or N enrichment</w:t>
      </w:r>
      <w:r w:rsidRPr="009A66FC">
        <w:rPr>
          <w:i/>
          <w:color w:val="000000"/>
          <w:lang w:eastAsia="en-AU"/>
        </w:rPr>
        <w:t>.</w:t>
      </w:r>
      <w:r w:rsidRPr="009A66FC">
        <w:rPr>
          <w:color w:val="000000"/>
          <w:lang w:eastAsia="en-AU"/>
        </w:rPr>
        <w:t xml:space="preserve"> </w:t>
      </w:r>
    </w:p>
    <w:p w:rsidR="00F428D6" w:rsidRDefault="00F428D6" w:rsidP="00F428D6">
      <w:pPr>
        <w:rPr>
          <w:color w:val="000000"/>
          <w:szCs w:val="22"/>
        </w:rPr>
      </w:pPr>
    </w:p>
    <w:p w:rsidR="00166D50" w:rsidRDefault="00166D50" w:rsidP="00166D50">
      <w:pPr>
        <w:rPr>
          <w:color w:val="000000"/>
          <w:szCs w:val="22"/>
        </w:rPr>
      </w:pPr>
      <w:r w:rsidRPr="007B244E">
        <w:rPr>
          <w:color w:val="000000"/>
          <w:szCs w:val="22"/>
        </w:rPr>
        <w:t xml:space="preserve">Intertidal seagrass habitats across the GBR were consistently </w:t>
      </w:r>
      <w:r>
        <w:rPr>
          <w:color w:val="000000"/>
          <w:szCs w:val="22"/>
        </w:rPr>
        <w:t>improved</w:t>
      </w:r>
      <w:r w:rsidRPr="007B244E">
        <w:rPr>
          <w:color w:val="000000"/>
          <w:szCs w:val="22"/>
        </w:rPr>
        <w:t xml:space="preserve"> in </w:t>
      </w:r>
      <w:r>
        <w:rPr>
          <w:color w:val="000000"/>
          <w:szCs w:val="22"/>
        </w:rPr>
        <w:t>phosphorus (P)</w:t>
      </w:r>
      <w:r w:rsidRPr="007B244E">
        <w:rPr>
          <w:color w:val="000000"/>
          <w:szCs w:val="22"/>
        </w:rPr>
        <w:t xml:space="preserve"> relative to carbon </w:t>
      </w:r>
      <w:r>
        <w:rPr>
          <w:color w:val="000000"/>
          <w:szCs w:val="22"/>
        </w:rPr>
        <w:t>(</w:t>
      </w:r>
      <w:r w:rsidRPr="007B244E">
        <w:rPr>
          <w:color w:val="000000"/>
          <w:szCs w:val="22"/>
        </w:rPr>
        <w:t>C</w:t>
      </w:r>
      <w:proofErr w:type="gramStart"/>
      <w:r w:rsidRPr="007B244E">
        <w:rPr>
          <w:color w:val="000000"/>
          <w:szCs w:val="22"/>
        </w:rPr>
        <w:t>:P</w:t>
      </w:r>
      <w:proofErr w:type="gramEnd"/>
      <w:r>
        <w:rPr>
          <w:color w:val="000000"/>
          <w:szCs w:val="22"/>
        </w:rPr>
        <w:t>)</w:t>
      </w:r>
      <w:r w:rsidRPr="007B244E">
        <w:rPr>
          <w:color w:val="000000"/>
          <w:szCs w:val="22"/>
        </w:rPr>
        <w:t xml:space="preserve"> </w:t>
      </w:r>
      <w:r>
        <w:rPr>
          <w:color w:val="000000"/>
          <w:szCs w:val="22"/>
        </w:rPr>
        <w:t>and N relative to P (N:P)</w:t>
      </w:r>
      <w:r w:rsidRPr="007B244E">
        <w:rPr>
          <w:color w:val="000000"/>
          <w:szCs w:val="22"/>
        </w:rPr>
        <w:t xml:space="preserve"> </w:t>
      </w:r>
      <w:r>
        <w:rPr>
          <w:color w:val="000000"/>
          <w:szCs w:val="22"/>
        </w:rPr>
        <w:t>increasing</w:t>
      </w:r>
      <w:r w:rsidRPr="007B244E">
        <w:rPr>
          <w:color w:val="000000"/>
          <w:szCs w:val="22"/>
        </w:rPr>
        <w:t xml:space="preserve"> (</w:t>
      </w:r>
      <w:r w:rsidR="00F428D6">
        <w:rPr>
          <w:color w:val="000000"/>
          <w:szCs w:val="22"/>
        </w:rPr>
        <w:fldChar w:fldCharType="begin"/>
      </w:r>
      <w:r w:rsidR="00F428D6">
        <w:rPr>
          <w:color w:val="000000"/>
          <w:szCs w:val="22"/>
        </w:rPr>
        <w:instrText xml:space="preserve"> REF _Ref442529454 \h </w:instrText>
      </w:r>
      <w:r w:rsidR="00F428D6">
        <w:rPr>
          <w:color w:val="000000"/>
          <w:szCs w:val="22"/>
        </w:rPr>
      </w:r>
      <w:r w:rsidR="00F428D6">
        <w:rPr>
          <w:color w:val="000000"/>
          <w:szCs w:val="22"/>
        </w:rPr>
        <w:fldChar w:fldCharType="separate"/>
      </w:r>
      <w:r w:rsidR="009C068F" w:rsidRPr="009A66FC">
        <w:rPr>
          <w:color w:val="000000"/>
        </w:rPr>
        <w:t xml:space="preserve">Figure </w:t>
      </w:r>
      <w:r w:rsidR="009C068F">
        <w:rPr>
          <w:noProof/>
          <w:color w:val="000000"/>
        </w:rPr>
        <w:t>24</w:t>
      </w:r>
      <w:r w:rsidR="00F428D6">
        <w:rPr>
          <w:color w:val="000000"/>
          <w:szCs w:val="22"/>
        </w:rPr>
        <w:fldChar w:fldCharType="end"/>
      </w:r>
      <w:r w:rsidRPr="007B244E">
        <w:rPr>
          <w:color w:val="000000"/>
          <w:szCs w:val="22"/>
        </w:rPr>
        <w:t>)</w:t>
      </w:r>
      <w:r>
        <w:rPr>
          <w:color w:val="000000"/>
          <w:szCs w:val="22"/>
        </w:rPr>
        <w:t>, indicating a reduction in supply of P, relative to demand. Furthermore</w:t>
      </w:r>
      <w:r w:rsidRPr="007B244E">
        <w:rPr>
          <w:color w:val="000000"/>
          <w:szCs w:val="22"/>
        </w:rPr>
        <w:t xml:space="preserve"> leaf tissue N</w:t>
      </w:r>
      <w:proofErr w:type="gramStart"/>
      <w:r w:rsidRPr="007B244E">
        <w:rPr>
          <w:color w:val="000000"/>
          <w:szCs w:val="22"/>
        </w:rPr>
        <w:t>:P</w:t>
      </w:r>
      <w:proofErr w:type="gramEnd"/>
      <w:r w:rsidRPr="007B244E">
        <w:rPr>
          <w:color w:val="000000"/>
          <w:szCs w:val="22"/>
        </w:rPr>
        <w:t xml:space="preserve"> ratios </w:t>
      </w:r>
      <w:r>
        <w:rPr>
          <w:color w:val="000000"/>
          <w:szCs w:val="22"/>
        </w:rPr>
        <w:t>were around</w:t>
      </w:r>
      <w:r w:rsidRPr="007B244E">
        <w:rPr>
          <w:color w:val="000000"/>
          <w:szCs w:val="22"/>
        </w:rPr>
        <w:t xml:space="preserve"> 30, which </w:t>
      </w:r>
      <w:r>
        <w:rPr>
          <w:color w:val="000000"/>
          <w:szCs w:val="22"/>
        </w:rPr>
        <w:t xml:space="preserve">provides additional evidence of elevated N in the environment, the source of which is not apparent. </w:t>
      </w:r>
      <w:r w:rsidRPr="007B244E">
        <w:rPr>
          <w:color w:val="000000"/>
          <w:szCs w:val="22"/>
        </w:rPr>
        <w:t>Conversely, the leaf tissue molar N</w:t>
      </w:r>
      <w:proofErr w:type="gramStart"/>
      <w:r w:rsidRPr="007B244E">
        <w:rPr>
          <w:color w:val="000000"/>
          <w:szCs w:val="22"/>
        </w:rPr>
        <w:t>:P</w:t>
      </w:r>
      <w:proofErr w:type="gramEnd"/>
      <w:r w:rsidRPr="007B244E">
        <w:rPr>
          <w:color w:val="000000"/>
          <w:szCs w:val="22"/>
        </w:rPr>
        <w:t xml:space="preserve"> ratios remaining below 25 in reef subtidal habitats, suggests enrichment in P</w:t>
      </w:r>
      <w:r>
        <w:rPr>
          <w:color w:val="000000"/>
          <w:szCs w:val="22"/>
        </w:rPr>
        <w:t xml:space="preserve"> or N deficiency </w:t>
      </w:r>
      <w:r w:rsidRPr="007B244E">
        <w:rPr>
          <w:color w:val="000000"/>
          <w:szCs w:val="22"/>
        </w:rPr>
        <w:t>(</w:t>
      </w:r>
      <w:r w:rsidR="00F428D6">
        <w:rPr>
          <w:color w:val="000000"/>
          <w:szCs w:val="22"/>
        </w:rPr>
        <w:fldChar w:fldCharType="begin"/>
      </w:r>
      <w:r w:rsidR="00F428D6">
        <w:rPr>
          <w:color w:val="000000"/>
          <w:szCs w:val="22"/>
        </w:rPr>
        <w:instrText xml:space="preserve"> REF _Ref442529454 \h </w:instrText>
      </w:r>
      <w:r w:rsidR="00F428D6">
        <w:rPr>
          <w:color w:val="000000"/>
          <w:szCs w:val="22"/>
        </w:rPr>
      </w:r>
      <w:r w:rsidR="00F428D6">
        <w:rPr>
          <w:color w:val="000000"/>
          <w:szCs w:val="22"/>
        </w:rPr>
        <w:fldChar w:fldCharType="separate"/>
      </w:r>
      <w:r w:rsidR="009C068F" w:rsidRPr="009A66FC">
        <w:rPr>
          <w:color w:val="000000"/>
        </w:rPr>
        <w:t xml:space="preserve">Figure </w:t>
      </w:r>
      <w:r w:rsidR="009C068F">
        <w:rPr>
          <w:noProof/>
          <w:color w:val="000000"/>
        </w:rPr>
        <w:t>24</w:t>
      </w:r>
      <w:r w:rsidR="00F428D6">
        <w:rPr>
          <w:color w:val="000000"/>
          <w:szCs w:val="22"/>
        </w:rPr>
        <w:fldChar w:fldCharType="end"/>
      </w:r>
      <w:r w:rsidR="00F428D6">
        <w:rPr>
          <w:color w:val="000000"/>
          <w:szCs w:val="22"/>
        </w:rPr>
        <w:t xml:space="preserve">). </w:t>
      </w:r>
      <w:r>
        <w:rPr>
          <w:color w:val="000000"/>
          <w:szCs w:val="22"/>
        </w:rPr>
        <w:t>The C</w:t>
      </w:r>
      <w:proofErr w:type="gramStart"/>
      <w:r>
        <w:rPr>
          <w:color w:val="000000"/>
          <w:szCs w:val="22"/>
        </w:rPr>
        <w:t>:P</w:t>
      </w:r>
      <w:proofErr w:type="gramEnd"/>
      <w:r>
        <w:rPr>
          <w:color w:val="000000"/>
          <w:szCs w:val="22"/>
        </w:rPr>
        <w:t xml:space="preserve"> and N:P ratios are important for describing changes in nutrient availability relative to growth requirements. Therefore, these ratios will be considered for future inclusion as part of the tissue nutrients metrics in the GBR report card. </w:t>
      </w:r>
    </w:p>
    <w:p w:rsidR="00112B83" w:rsidRDefault="00112B83" w:rsidP="00112B83">
      <w:pPr>
        <w:rPr>
          <w:rFonts w:eastAsia="SimSun"/>
          <w:szCs w:val="20"/>
          <w:lang w:val="en-GB"/>
        </w:rPr>
      </w:pPr>
    </w:p>
    <w:p w:rsidR="00112B83" w:rsidRDefault="00112B83" w:rsidP="00112B83">
      <w:pPr>
        <w:jc w:val="center"/>
        <w:rPr>
          <w:color w:val="000000"/>
          <w:szCs w:val="22"/>
        </w:rPr>
      </w:pPr>
      <w:r>
        <w:rPr>
          <w:noProof/>
          <w:color w:val="000000"/>
          <w:szCs w:val="22"/>
          <w:lang w:eastAsia="en-AU"/>
        </w:rPr>
        <w:lastRenderedPageBreak/>
        <w:drawing>
          <wp:inline distT="0" distB="0" distL="0" distR="0" wp14:anchorId="3917483F" wp14:editId="4D3B6C48">
            <wp:extent cx="4179138" cy="3728720"/>
            <wp:effectExtent l="0" t="0" r="0" b="5080"/>
            <wp:docPr id="9" name="Picture 9" descr="Set of eight boxplot graphs showing annual seagrass leaf tissue delta13C and delta15N concentrations from each GBR seagrass habitat (locations pooled) in the late dry from 2011 to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d15N_d13C_2015.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4179543" cy="3729081"/>
                    </a:xfrm>
                    <a:prstGeom prst="rect">
                      <a:avLst/>
                    </a:prstGeom>
                  </pic:spPr>
                </pic:pic>
              </a:graphicData>
            </a:graphic>
          </wp:inline>
        </w:drawing>
      </w:r>
    </w:p>
    <w:p w:rsidR="00112B83" w:rsidRPr="006B4212" w:rsidRDefault="00112B83" w:rsidP="00112B83">
      <w:pPr>
        <w:rPr>
          <w:i/>
          <w:vanish/>
          <w:color w:val="000000"/>
          <w:szCs w:val="22"/>
          <w:specVanish/>
        </w:rPr>
      </w:pPr>
      <w:bookmarkStart w:id="179" w:name="_Ref380930844"/>
      <w:bookmarkStart w:id="180" w:name="_Toc431493814"/>
      <w:bookmarkStart w:id="181" w:name="_Toc462684863"/>
      <w:r w:rsidRPr="006B4212">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23</w:t>
      </w:r>
      <w:r>
        <w:rPr>
          <w:color w:val="000000"/>
        </w:rPr>
        <w:fldChar w:fldCharType="end"/>
      </w:r>
      <w:bookmarkEnd w:id="179"/>
      <w:r w:rsidRPr="006B4212">
        <w:rPr>
          <w:color w:val="000000"/>
        </w:rPr>
        <w:t xml:space="preserve">. </w:t>
      </w:r>
      <w:r w:rsidRPr="006B4212">
        <w:rPr>
          <w:i/>
          <w:color w:val="000000"/>
        </w:rPr>
        <w:t>Seagrass leaf tissue δ</w:t>
      </w:r>
      <w:r w:rsidRPr="006B4212">
        <w:rPr>
          <w:i/>
          <w:color w:val="000000"/>
          <w:vertAlign w:val="superscript"/>
        </w:rPr>
        <w:t>13</w:t>
      </w:r>
      <w:r w:rsidRPr="006B4212">
        <w:rPr>
          <w:i/>
          <w:color w:val="000000"/>
        </w:rPr>
        <w:t>C</w:t>
      </w:r>
      <w:r w:rsidRPr="006B4212">
        <w:rPr>
          <w:i/>
          <w:color w:val="000000"/>
          <w:lang w:val="en-US"/>
        </w:rPr>
        <w:t xml:space="preserve"> and </w:t>
      </w:r>
      <w:r w:rsidRPr="006B4212">
        <w:rPr>
          <w:i/>
          <w:color w:val="000000"/>
        </w:rPr>
        <w:t>δ</w:t>
      </w:r>
      <w:r w:rsidRPr="006B4212">
        <w:rPr>
          <w:i/>
          <w:color w:val="000000"/>
          <w:vertAlign w:val="superscript"/>
        </w:rPr>
        <w:t>15</w:t>
      </w:r>
      <w:r w:rsidRPr="006B4212">
        <w:rPr>
          <w:i/>
          <w:color w:val="000000"/>
        </w:rPr>
        <w:t>N</w:t>
      </w:r>
      <w:r w:rsidRPr="006B4212">
        <w:rPr>
          <w:i/>
          <w:color w:val="000000"/>
          <w:lang w:val="en-US"/>
        </w:rPr>
        <w:t xml:space="preserve"> concentrations from each GBR seagrass habitat (locations pooled) in the late dry </w:t>
      </w:r>
      <w:r w:rsidR="00E57745">
        <w:rPr>
          <w:i/>
          <w:color w:val="000000"/>
          <w:lang w:val="en-US"/>
        </w:rPr>
        <w:t xml:space="preserve">from </w:t>
      </w:r>
      <w:r w:rsidRPr="006B4212">
        <w:rPr>
          <w:i/>
          <w:color w:val="000000"/>
          <w:lang w:val="en-US"/>
        </w:rPr>
        <w:t xml:space="preserve">2011 </w:t>
      </w:r>
      <w:r w:rsidR="00E57745">
        <w:rPr>
          <w:i/>
          <w:color w:val="000000"/>
          <w:lang w:val="en-US"/>
        </w:rPr>
        <w:t>to</w:t>
      </w:r>
      <w:r w:rsidRPr="006B4212">
        <w:rPr>
          <w:i/>
          <w:color w:val="000000"/>
          <w:lang w:val="en-US"/>
        </w:rPr>
        <w:t xml:space="preserve"> 201</w:t>
      </w:r>
      <w:r>
        <w:rPr>
          <w:i/>
          <w:color w:val="000000"/>
          <w:lang w:val="en-US"/>
        </w:rPr>
        <w:t>4</w:t>
      </w:r>
      <w:bookmarkEnd w:id="180"/>
      <w:bookmarkEnd w:id="181"/>
    </w:p>
    <w:p w:rsidR="00112B83" w:rsidRDefault="00112B83" w:rsidP="00112B83">
      <w:pPr>
        <w:rPr>
          <w:i/>
          <w:color w:val="000000"/>
        </w:rPr>
      </w:pPr>
      <w:r w:rsidRPr="006B4212">
        <w:rPr>
          <w:i/>
          <w:color w:val="000000"/>
          <w:lang w:val="en-US"/>
        </w:rPr>
        <w:t xml:space="preserve">. </w:t>
      </w:r>
      <w:r w:rsidRPr="006B4212">
        <w:rPr>
          <w:i/>
          <w:color w:val="000000"/>
        </w:rPr>
        <w:t>The box represents the interquartile range of values, where the boundary of the box closest to zero indicates the 25</w:t>
      </w:r>
      <w:r w:rsidRPr="000B53BD">
        <w:rPr>
          <w:i/>
          <w:color w:val="000000"/>
          <w:vertAlign w:val="superscript"/>
        </w:rPr>
        <w:t>th</w:t>
      </w:r>
      <w:r w:rsidRPr="006B4212">
        <w:rPr>
          <w:i/>
          <w:color w:val="000000"/>
        </w:rPr>
        <w:t xml:space="preserve"> percentile, a line within the box marks the median, and the boundary of the box farthest from zero indicates the 75</w:t>
      </w:r>
      <w:r w:rsidRPr="000B53BD">
        <w:rPr>
          <w:i/>
          <w:color w:val="000000"/>
          <w:vertAlign w:val="superscript"/>
        </w:rPr>
        <w:t>th</w:t>
      </w:r>
      <w:r w:rsidRPr="006B4212">
        <w:rPr>
          <w:i/>
          <w:color w:val="000000"/>
        </w:rPr>
        <w:t xml:space="preserve"> percentile. Whiskers (error bars) above and below the box indicate the 90</w:t>
      </w:r>
      <w:r w:rsidRPr="000B53BD">
        <w:rPr>
          <w:i/>
          <w:color w:val="000000"/>
          <w:vertAlign w:val="superscript"/>
        </w:rPr>
        <w:t>th</w:t>
      </w:r>
      <w:r w:rsidRPr="006B4212">
        <w:rPr>
          <w:i/>
          <w:color w:val="000000"/>
        </w:rPr>
        <w:t xml:space="preserve"> and 10</w:t>
      </w:r>
      <w:r w:rsidRPr="000B53BD">
        <w:rPr>
          <w:i/>
          <w:color w:val="000000"/>
          <w:vertAlign w:val="superscript"/>
        </w:rPr>
        <w:t>th</w:t>
      </w:r>
      <w:r w:rsidRPr="006B4212">
        <w:rPr>
          <w:i/>
          <w:color w:val="000000"/>
        </w:rPr>
        <w:t xml:space="preserve"> percentiles, and the black dots represent outlying points. </w:t>
      </w:r>
    </w:p>
    <w:p w:rsidR="0032403D" w:rsidRDefault="0032403D" w:rsidP="009817B8">
      <w:pPr>
        <w:rPr>
          <w:color w:val="000000"/>
          <w:szCs w:val="22"/>
        </w:rPr>
      </w:pPr>
      <w:r>
        <w:rPr>
          <w:noProof/>
          <w:color w:val="000000"/>
          <w:szCs w:val="22"/>
          <w:lang w:eastAsia="en-AU"/>
        </w:rPr>
        <w:drawing>
          <wp:inline distT="0" distB="0" distL="0" distR="0" wp14:anchorId="7BB5E65C" wp14:editId="0C536052">
            <wp:extent cx="5759450" cy="2468880"/>
            <wp:effectExtent l="0" t="0" r="0" b="7620"/>
            <wp:docPr id="6" name="Picture 6" descr="Set of eight scatter plots with straight lines and markers showing elemental ratios (atomic) of seagrass leaf tissue C:P and N:P for each habitat from 2005 to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CNP_yr_Dec15.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759450" cy="2468880"/>
                    </a:xfrm>
                    <a:prstGeom prst="rect">
                      <a:avLst/>
                    </a:prstGeom>
                  </pic:spPr>
                </pic:pic>
              </a:graphicData>
            </a:graphic>
          </wp:inline>
        </w:drawing>
      </w:r>
    </w:p>
    <w:p w:rsidR="0032403D" w:rsidRPr="009A66FC" w:rsidRDefault="0032403D" w:rsidP="0032403D">
      <w:pPr>
        <w:rPr>
          <w:i/>
          <w:iCs/>
          <w:vanish/>
          <w:color w:val="000000"/>
          <w:szCs w:val="22"/>
          <w:lang w:eastAsia="en-AU"/>
          <w:specVanish/>
        </w:rPr>
      </w:pPr>
      <w:bookmarkStart w:id="182" w:name="_Ref442529454"/>
      <w:bookmarkStart w:id="183" w:name="_Toc462684864"/>
      <w:r w:rsidRPr="009A66FC">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24</w:t>
      </w:r>
      <w:r w:rsidR="0073595B">
        <w:rPr>
          <w:color w:val="000000"/>
        </w:rPr>
        <w:fldChar w:fldCharType="end"/>
      </w:r>
      <w:bookmarkEnd w:id="182"/>
      <w:r w:rsidRPr="009A66FC">
        <w:rPr>
          <w:color w:val="000000"/>
        </w:rPr>
        <w:t xml:space="preserve">. </w:t>
      </w:r>
      <w:r w:rsidRPr="009A66FC">
        <w:rPr>
          <w:i/>
          <w:color w:val="000000"/>
          <w:lang w:eastAsia="en-AU"/>
        </w:rPr>
        <w:t xml:space="preserve">Elemental ratios (atomic) of seagrass leaf tissue </w:t>
      </w:r>
      <w:r>
        <w:rPr>
          <w:i/>
          <w:color w:val="000000"/>
          <w:lang w:eastAsia="en-AU"/>
        </w:rPr>
        <w:t>C</w:t>
      </w:r>
      <w:proofErr w:type="gramStart"/>
      <w:r w:rsidRPr="009A66FC">
        <w:rPr>
          <w:i/>
          <w:color w:val="000000"/>
          <w:lang w:eastAsia="en-AU"/>
        </w:rPr>
        <w:t>:P</w:t>
      </w:r>
      <w:proofErr w:type="gramEnd"/>
      <w:r w:rsidRPr="009A66FC">
        <w:rPr>
          <w:i/>
          <w:color w:val="000000"/>
          <w:lang w:eastAsia="en-AU"/>
        </w:rPr>
        <w:t xml:space="preserve"> and </w:t>
      </w:r>
      <w:r>
        <w:rPr>
          <w:i/>
          <w:color w:val="000000"/>
          <w:lang w:eastAsia="en-AU"/>
        </w:rPr>
        <w:t>N</w:t>
      </w:r>
      <w:r w:rsidRPr="009A66FC">
        <w:rPr>
          <w:i/>
          <w:color w:val="000000"/>
          <w:lang w:eastAsia="en-AU"/>
        </w:rPr>
        <w:t>:P for each habitat each year</w:t>
      </w:r>
      <w:bookmarkEnd w:id="183"/>
      <w:r w:rsidRPr="009A66FC">
        <w:rPr>
          <w:i/>
          <w:color w:val="000000"/>
          <w:lang w:eastAsia="en-AU"/>
        </w:rPr>
        <w:t xml:space="preserve"> </w:t>
      </w:r>
    </w:p>
    <w:p w:rsidR="0032403D" w:rsidRPr="009A66FC" w:rsidRDefault="0032403D" w:rsidP="0032403D">
      <w:pPr>
        <w:rPr>
          <w:color w:val="000000"/>
          <w:lang w:eastAsia="en-AU"/>
        </w:rPr>
      </w:pPr>
      <w:r w:rsidRPr="009A66FC">
        <w:rPr>
          <w:i/>
          <w:color w:val="000000"/>
          <w:lang w:eastAsia="en-AU"/>
        </w:rPr>
        <w:t xml:space="preserve"> (</w:t>
      </w:r>
      <w:proofErr w:type="gramStart"/>
      <w:r w:rsidRPr="009A66FC">
        <w:rPr>
          <w:i/>
          <w:color w:val="000000"/>
          <w:lang w:eastAsia="en-AU"/>
        </w:rPr>
        <w:t>foundation</w:t>
      </w:r>
      <w:proofErr w:type="gramEnd"/>
      <w:r w:rsidRPr="009A66FC">
        <w:rPr>
          <w:i/>
          <w:color w:val="000000"/>
          <w:lang w:eastAsia="en-AU"/>
        </w:rPr>
        <w:t xml:space="preserve"> species pooled) </w:t>
      </w:r>
      <w:proofErr w:type="gramStart"/>
      <w:r w:rsidRPr="009A66FC">
        <w:rPr>
          <w:i/>
          <w:color w:val="000000"/>
          <w:lang w:eastAsia="en-AU"/>
        </w:rPr>
        <w:t>(± Standard Error).</w:t>
      </w:r>
      <w:proofErr w:type="gramEnd"/>
      <w:r w:rsidRPr="009A66FC">
        <w:rPr>
          <w:i/>
          <w:color w:val="000000"/>
          <w:lang w:eastAsia="en-AU"/>
        </w:rPr>
        <w:t xml:space="preserve"> Horizontal shaded band on the N:P ratio panel represents the range of value associated with N:P balance ratio in the plant tissues, i.e. a seagrass “Redfield” ratio (</w:t>
      </w:r>
      <w:r w:rsidR="00644A84">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
          <w:color w:val="000000"/>
          <w:lang w:eastAsia="en-AU"/>
        </w:rPr>
        <w:instrText xml:space="preserve"> ADDIN EN.CITE </w:instrText>
      </w:r>
      <w:r w:rsidR="00644A84">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
          <w:color w:val="000000"/>
          <w:lang w:eastAsia="en-AU"/>
        </w:rPr>
        <w:instrText xml:space="preserve"> ADDIN EN.CITE.DATA </w:instrText>
      </w:r>
      <w:r w:rsidR="00644A84">
        <w:rPr>
          <w:i/>
          <w:color w:val="000000"/>
          <w:lang w:eastAsia="en-AU"/>
        </w:rPr>
      </w:r>
      <w:r w:rsidR="00644A84">
        <w:rPr>
          <w:i/>
          <w:color w:val="000000"/>
          <w:lang w:eastAsia="en-AU"/>
        </w:rPr>
        <w:fldChar w:fldCharType="end"/>
      </w:r>
      <w:r w:rsidR="00644A84">
        <w:rPr>
          <w:i/>
          <w:color w:val="000000"/>
          <w:lang w:eastAsia="en-AU"/>
        </w:rPr>
      </w:r>
      <w:r w:rsidR="00644A84">
        <w:rPr>
          <w:i/>
          <w:color w:val="000000"/>
          <w:lang w:eastAsia="en-AU"/>
        </w:rPr>
        <w:fldChar w:fldCharType="separate"/>
      </w:r>
      <w:hyperlink w:anchor="_ENREF_9" w:tooltip="Atkinson, 1983 #6292" w:history="1">
        <w:r w:rsidR="00E6043D">
          <w:rPr>
            <w:i/>
            <w:noProof/>
            <w:color w:val="000000"/>
            <w:lang w:eastAsia="en-AU"/>
          </w:rPr>
          <w:t>Atkinson and Smith 1983</w:t>
        </w:r>
      </w:hyperlink>
      <w:r w:rsidR="00644A84">
        <w:rPr>
          <w:i/>
          <w:noProof/>
          <w:color w:val="000000"/>
          <w:lang w:eastAsia="en-AU"/>
        </w:rPr>
        <w:t xml:space="preserve">; </w:t>
      </w:r>
      <w:hyperlink w:anchor="_ENREF_96" w:tooltip="Duarte, 1990 #1954" w:history="1">
        <w:r w:rsidR="00E6043D">
          <w:rPr>
            <w:i/>
            <w:noProof/>
            <w:color w:val="000000"/>
            <w:lang w:eastAsia="en-AU"/>
          </w:rPr>
          <w:t>Duarte 1990</w:t>
        </w:r>
      </w:hyperlink>
      <w:r w:rsidR="00644A84">
        <w:rPr>
          <w:i/>
          <w:noProof/>
          <w:color w:val="000000"/>
          <w:lang w:eastAsia="en-AU"/>
        </w:rPr>
        <w:t xml:space="preserve">; </w:t>
      </w:r>
      <w:hyperlink w:anchor="_ENREF_112" w:tooltip="Fourqurean, 1992 #9493" w:history="1">
        <w:r w:rsidR="00E6043D">
          <w:rPr>
            <w:i/>
            <w:noProof/>
            <w:color w:val="000000"/>
            <w:lang w:eastAsia="en-AU"/>
          </w:rPr>
          <w:t>Fourqurean, et al. 1992b</w:t>
        </w:r>
      </w:hyperlink>
      <w:r w:rsidR="00644A84">
        <w:rPr>
          <w:i/>
          <w:color w:val="000000"/>
          <w:lang w:eastAsia="en-AU"/>
        </w:rPr>
        <w:fldChar w:fldCharType="end"/>
      </w:r>
      <w:r w:rsidRPr="009A66FC">
        <w:rPr>
          <w:i/>
          <w:color w:val="000000"/>
          <w:lang w:eastAsia="en-AU"/>
        </w:rPr>
        <w:t xml:space="preserve">; </w:t>
      </w:r>
      <w:hyperlink w:anchor="_ENREF_106" w:tooltip="Fourqurean, 2001 #9492" w:history="1">
        <w:r w:rsidR="00E6043D">
          <w:rPr>
            <w:i/>
            <w:color w:val="000000"/>
            <w:lang w:eastAsia="en-AU"/>
          </w:rPr>
          <w:fldChar w:fldCharType="begin"/>
        </w:r>
        <w:r w:rsidR="00E6043D">
          <w:rPr>
            <w:i/>
            <w:color w:val="000000"/>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E6043D">
          <w:rPr>
            <w:i/>
            <w:color w:val="000000"/>
            <w:lang w:eastAsia="en-AU"/>
          </w:rPr>
          <w:fldChar w:fldCharType="separate"/>
        </w:r>
        <w:r w:rsidR="00E6043D">
          <w:rPr>
            <w:i/>
            <w:noProof/>
            <w:color w:val="000000"/>
            <w:lang w:eastAsia="en-AU"/>
          </w:rPr>
          <w:t>Fourqurean and Cai 2001</w:t>
        </w:r>
        <w:r w:rsidR="00E6043D">
          <w:rPr>
            <w:i/>
            <w:color w:val="000000"/>
            <w:lang w:eastAsia="en-AU"/>
          </w:rPr>
          <w:fldChar w:fldCharType="end"/>
        </w:r>
      </w:hyperlink>
      <w:r w:rsidRPr="009A66FC">
        <w:rPr>
          <w:i/>
          <w:color w:val="000000"/>
          <w:lang w:eastAsia="en-AU"/>
        </w:rPr>
        <w:t>). N</w:t>
      </w:r>
      <w:proofErr w:type="gramStart"/>
      <w:r w:rsidRPr="009A66FC">
        <w:rPr>
          <w:i/>
          <w:color w:val="000000"/>
          <w:lang w:eastAsia="en-AU"/>
        </w:rPr>
        <w:t>:P</w:t>
      </w:r>
      <w:proofErr w:type="gramEnd"/>
      <w:r w:rsidRPr="009A66FC">
        <w:rPr>
          <w:i/>
          <w:color w:val="000000"/>
          <w:lang w:eastAsia="en-AU"/>
        </w:rPr>
        <w:t xml:space="preserve"> ratio above this band indicates P limitation, below indicates N limitation and within indicates replete. Horizontal dashed line on the C</w:t>
      </w:r>
      <w:proofErr w:type="gramStart"/>
      <w:r w:rsidRPr="009A66FC">
        <w:rPr>
          <w:i/>
          <w:color w:val="000000"/>
          <w:lang w:eastAsia="en-AU"/>
        </w:rPr>
        <w:t>:P</w:t>
      </w:r>
      <w:proofErr w:type="gramEnd"/>
      <w:r w:rsidRPr="009A66FC">
        <w:rPr>
          <w:i/>
          <w:color w:val="000000"/>
          <w:lang w:eastAsia="en-AU"/>
        </w:rPr>
        <w:t xml:space="preserve"> panel at 500 represents the value associated with C:P balance ratio in the plant tissues, C:P values &lt;500 may indicate nutrient rich habitats (large P pool).</w:t>
      </w:r>
      <w:r w:rsidRPr="009A66FC">
        <w:rPr>
          <w:color w:val="000000"/>
          <w:lang w:eastAsia="en-AU"/>
        </w:rPr>
        <w:t xml:space="preserve"> </w:t>
      </w:r>
    </w:p>
    <w:p w:rsidR="0032403D" w:rsidRDefault="0032403D" w:rsidP="00A15E1A">
      <w:pPr>
        <w:rPr>
          <w:szCs w:val="22"/>
        </w:rPr>
      </w:pPr>
      <w:r w:rsidRPr="00061E92">
        <w:rPr>
          <w:szCs w:val="22"/>
        </w:rPr>
        <w:lastRenderedPageBreak/>
        <w:t>Seagrass nutrient status scores (using only C</w:t>
      </w:r>
      <w:proofErr w:type="gramStart"/>
      <w:r w:rsidRPr="00061E92">
        <w:rPr>
          <w:szCs w:val="22"/>
        </w:rPr>
        <w:t>:N</w:t>
      </w:r>
      <w:proofErr w:type="gramEnd"/>
      <w:r w:rsidRPr="00061E92">
        <w:rPr>
          <w:szCs w:val="22"/>
        </w:rPr>
        <w:t>) were reduced in most NRMs in the 2014-15 year, compared to previous years</w:t>
      </w:r>
      <w:r>
        <w:rPr>
          <w:szCs w:val="22"/>
        </w:rPr>
        <w:t xml:space="preserve"> </w:t>
      </w:r>
      <w:r w:rsidRPr="00061E92">
        <w:rPr>
          <w:szCs w:val="22"/>
        </w:rPr>
        <w:t>(</w:t>
      </w:r>
      <w:r w:rsidRPr="00061E92">
        <w:rPr>
          <w:szCs w:val="22"/>
        </w:rPr>
        <w:fldChar w:fldCharType="begin"/>
      </w:r>
      <w:r w:rsidRPr="00061E92">
        <w:rPr>
          <w:szCs w:val="22"/>
        </w:rPr>
        <w:instrText xml:space="preserve"> REF _Ref382141759 \h  \* MERGEFORMAT </w:instrText>
      </w:r>
      <w:r w:rsidRPr="00061E92">
        <w:rPr>
          <w:szCs w:val="22"/>
        </w:rPr>
      </w:r>
      <w:r w:rsidRPr="00061E92">
        <w:rPr>
          <w:szCs w:val="22"/>
        </w:rPr>
        <w:fldChar w:fldCharType="separate"/>
      </w:r>
      <w:r w:rsidR="009C068F" w:rsidRPr="009C068F">
        <w:t xml:space="preserve">Figure </w:t>
      </w:r>
      <w:r w:rsidR="009C068F" w:rsidRPr="009C068F">
        <w:rPr>
          <w:noProof/>
        </w:rPr>
        <w:t>25</w:t>
      </w:r>
      <w:r w:rsidRPr="00061E92">
        <w:rPr>
          <w:szCs w:val="22"/>
        </w:rPr>
        <w:fldChar w:fldCharType="end"/>
      </w:r>
      <w:r w:rsidRPr="00061E92">
        <w:rPr>
          <w:szCs w:val="22"/>
        </w:rPr>
        <w:t>). In particular, the Fitzroy and Burnett Mary scores were decreased in category to poor and moderate, respectively.  Nutrient status remained poor in Cape York, Wet Tropics and Mackay Whitsunday, and remained good in the Burdekin, despite small drops in the score (</w:t>
      </w:r>
      <w:r w:rsidRPr="00061E92">
        <w:rPr>
          <w:szCs w:val="22"/>
        </w:rPr>
        <w:fldChar w:fldCharType="begin"/>
      </w:r>
      <w:r w:rsidRPr="00061E92">
        <w:rPr>
          <w:szCs w:val="22"/>
        </w:rPr>
        <w:instrText xml:space="preserve"> REF _Ref382141759 \h  \* MERGEFORMAT </w:instrText>
      </w:r>
      <w:r w:rsidRPr="00061E92">
        <w:rPr>
          <w:szCs w:val="22"/>
        </w:rPr>
      </w:r>
      <w:r w:rsidRPr="00061E92">
        <w:rPr>
          <w:szCs w:val="22"/>
        </w:rPr>
        <w:fldChar w:fldCharType="separate"/>
      </w:r>
      <w:r w:rsidR="009C068F" w:rsidRPr="009C068F">
        <w:t xml:space="preserve">Figure </w:t>
      </w:r>
      <w:r w:rsidR="009C068F" w:rsidRPr="009C068F">
        <w:rPr>
          <w:noProof/>
        </w:rPr>
        <w:t>25</w:t>
      </w:r>
      <w:r w:rsidRPr="00061E92">
        <w:rPr>
          <w:szCs w:val="22"/>
        </w:rPr>
        <w:fldChar w:fldCharType="end"/>
      </w:r>
      <w:r w:rsidRPr="00061E92">
        <w:rPr>
          <w:szCs w:val="22"/>
        </w:rPr>
        <w:t>).</w:t>
      </w:r>
    </w:p>
    <w:p w:rsidR="009817B8" w:rsidRDefault="009817B8" w:rsidP="00A15E1A">
      <w:pPr>
        <w:rPr>
          <w:color w:val="000000"/>
          <w:szCs w:val="22"/>
        </w:rPr>
      </w:pPr>
    </w:p>
    <w:p w:rsidR="0032403D" w:rsidRDefault="00DF47C4" w:rsidP="00993358">
      <w:pPr>
        <w:keepNext/>
        <w:widowControl w:val="0"/>
        <w:spacing w:after="0"/>
        <w:jc w:val="center"/>
        <w:rPr>
          <w:color w:val="000000"/>
          <w:szCs w:val="22"/>
        </w:rPr>
      </w:pPr>
      <w:r>
        <w:rPr>
          <w:noProof/>
          <w:color w:val="000000"/>
          <w:szCs w:val="22"/>
          <w:lang w:eastAsia="en-AU"/>
        </w:rPr>
        <w:drawing>
          <wp:inline distT="0" distB="0" distL="0" distR="0" wp14:anchorId="75A2D7DE" wp14:editId="034054B1">
            <wp:extent cx="5760000" cy="2062800"/>
            <wp:effectExtent l="0" t="0" r="0" b="0"/>
            <wp:docPr id="119" name="Picture 119" descr="Set of six scatter plots with straight lines and markers showing regional report card scores for seagrass leaf tissue nutrient status (C: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NDEX_CN_2015.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760000" cy="2062800"/>
                    </a:xfrm>
                    <a:prstGeom prst="rect">
                      <a:avLst/>
                    </a:prstGeom>
                  </pic:spPr>
                </pic:pic>
              </a:graphicData>
            </a:graphic>
          </wp:inline>
        </w:drawing>
      </w:r>
    </w:p>
    <w:p w:rsidR="00545457" w:rsidRPr="00003FCC" w:rsidRDefault="00ED31CD" w:rsidP="00545457">
      <w:pPr>
        <w:rPr>
          <w:i/>
          <w:vanish/>
          <w:color w:val="000000"/>
          <w:szCs w:val="22"/>
          <w:specVanish/>
        </w:rPr>
      </w:pPr>
      <w:bookmarkStart w:id="184" w:name="_Ref382141759"/>
      <w:bookmarkStart w:id="185" w:name="_Toc431493812"/>
      <w:bookmarkStart w:id="186" w:name="_Toc462684865"/>
      <w:r w:rsidRPr="00003FCC">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25</w:t>
      </w:r>
      <w:r w:rsidR="0073595B">
        <w:rPr>
          <w:color w:val="000000"/>
        </w:rPr>
        <w:fldChar w:fldCharType="end"/>
      </w:r>
      <w:bookmarkEnd w:id="184"/>
      <w:r w:rsidRPr="00003FCC">
        <w:rPr>
          <w:color w:val="000000"/>
        </w:rPr>
        <w:t xml:space="preserve">. </w:t>
      </w:r>
      <w:r w:rsidR="00E815D5" w:rsidRPr="00003FCC">
        <w:rPr>
          <w:i/>
          <w:color w:val="000000"/>
        </w:rPr>
        <w:t>Regional report card scores for seagrass leaf tissue nutrient status (C</w:t>
      </w:r>
      <w:proofErr w:type="gramStart"/>
      <w:r w:rsidR="00E815D5" w:rsidRPr="00003FCC">
        <w:rPr>
          <w:i/>
          <w:color w:val="000000"/>
        </w:rPr>
        <w:t>:N</w:t>
      </w:r>
      <w:proofErr w:type="gramEnd"/>
      <w:r w:rsidR="00E815D5" w:rsidRPr="00003FCC">
        <w:rPr>
          <w:i/>
          <w:color w:val="000000"/>
        </w:rPr>
        <w:t xml:space="preserve">) </w:t>
      </w:r>
      <w:r w:rsidRPr="00003FCC">
        <w:rPr>
          <w:i/>
          <w:color w:val="000000"/>
        </w:rPr>
        <w:t>over the life of the MMP</w:t>
      </w:r>
      <w:bookmarkEnd w:id="185"/>
      <w:bookmarkEnd w:id="186"/>
    </w:p>
    <w:p w:rsidR="00531604" w:rsidRDefault="00ED31CD" w:rsidP="00531604">
      <w:pPr>
        <w:rPr>
          <w:i/>
          <w:szCs w:val="22"/>
        </w:rPr>
      </w:pPr>
      <w:r w:rsidRPr="00003FCC">
        <w:rPr>
          <w:i/>
          <w:color w:val="000000"/>
        </w:rPr>
        <w:t>. For Paddock to Reef reporting scores are categorised in to a five point scale;</w:t>
      </w:r>
      <w:r w:rsidRPr="00015190">
        <w:rPr>
          <w:i/>
          <w:color w:val="0000FF"/>
        </w:rPr>
        <w:t xml:space="preserve">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p>
    <w:p w:rsidR="009817B8" w:rsidRDefault="009817B8" w:rsidP="00531604">
      <w:pPr>
        <w:rPr>
          <w:color w:val="000000"/>
          <w:szCs w:val="22"/>
          <w:lang w:val="en-GB"/>
        </w:rPr>
      </w:pPr>
    </w:p>
    <w:p w:rsidR="00531604" w:rsidRDefault="00531604" w:rsidP="00531604">
      <w:pPr>
        <w:pStyle w:val="Heading4"/>
        <w:numPr>
          <w:ilvl w:val="0"/>
          <w:numId w:val="0"/>
        </w:numPr>
        <w:tabs>
          <w:tab w:val="left" w:pos="720"/>
        </w:tabs>
        <w:rPr>
          <w:rFonts w:ascii="Arial" w:hAnsi="Arial" w:cs="Arial"/>
          <w:sz w:val="24"/>
          <w:szCs w:val="24"/>
        </w:rPr>
      </w:pPr>
      <w:r>
        <w:rPr>
          <w:rFonts w:ascii="Arial" w:hAnsi="Arial" w:cs="Arial"/>
          <w:sz w:val="24"/>
          <w:szCs w:val="24"/>
        </w:rPr>
        <w:t>Seagrass meadow sediments</w:t>
      </w:r>
    </w:p>
    <w:p w:rsidR="00531604" w:rsidRDefault="001E64C8" w:rsidP="00531604">
      <w:pPr>
        <w:rPr>
          <w:color w:val="000000"/>
          <w:szCs w:val="22"/>
          <w:lang w:val="en-GB"/>
        </w:rPr>
      </w:pPr>
      <w:r>
        <w:rPr>
          <w:color w:val="000000"/>
          <w:szCs w:val="22"/>
          <w:lang w:val="en-GB"/>
        </w:rPr>
        <w:t>Estuarine seagrass habitats across the GBR had a greater proportion of fine sediments (i.e. mud) than other habitats</w:t>
      </w:r>
      <w:r w:rsidR="00800235">
        <w:rPr>
          <w:color w:val="000000"/>
          <w:szCs w:val="22"/>
          <w:lang w:val="en-GB"/>
        </w:rPr>
        <w:t xml:space="preserve"> (</w:t>
      </w:r>
      <w:r w:rsidR="00112B83">
        <w:rPr>
          <w:color w:val="000000"/>
          <w:szCs w:val="22"/>
          <w:lang w:val="en-GB"/>
        </w:rPr>
        <w:fldChar w:fldCharType="begin"/>
      </w:r>
      <w:r w:rsidR="00112B83">
        <w:rPr>
          <w:color w:val="000000"/>
          <w:szCs w:val="22"/>
          <w:lang w:val="en-GB"/>
        </w:rPr>
        <w:instrText xml:space="preserve"> REF _Ref442530421 \h </w:instrText>
      </w:r>
      <w:r w:rsidR="00112B83">
        <w:rPr>
          <w:color w:val="000000"/>
          <w:szCs w:val="22"/>
          <w:lang w:val="en-GB"/>
        </w:rPr>
      </w:r>
      <w:r w:rsidR="00112B83">
        <w:rPr>
          <w:color w:val="000000"/>
          <w:szCs w:val="22"/>
          <w:lang w:val="en-GB"/>
        </w:rPr>
        <w:fldChar w:fldCharType="separate"/>
      </w:r>
      <w:r w:rsidR="009C068F">
        <w:t xml:space="preserve">Table </w:t>
      </w:r>
      <w:r w:rsidR="009C068F">
        <w:rPr>
          <w:noProof/>
        </w:rPr>
        <w:t>11</w:t>
      </w:r>
      <w:r w:rsidR="00112B83">
        <w:rPr>
          <w:color w:val="000000"/>
          <w:szCs w:val="22"/>
          <w:lang w:val="en-GB"/>
        </w:rPr>
        <w:fldChar w:fldCharType="end"/>
      </w:r>
      <w:r w:rsidR="00800235">
        <w:rPr>
          <w:color w:val="000000"/>
          <w:szCs w:val="22"/>
          <w:lang w:val="en-GB"/>
        </w:rPr>
        <w:t>)</w:t>
      </w:r>
      <w:r>
        <w:rPr>
          <w:color w:val="000000"/>
          <w:szCs w:val="22"/>
          <w:lang w:val="en-GB"/>
        </w:rPr>
        <w:t xml:space="preserve">. </w:t>
      </w:r>
      <w:r w:rsidR="00800235">
        <w:rPr>
          <w:color w:val="000000"/>
          <w:szCs w:val="22"/>
          <w:lang w:val="en-GB"/>
        </w:rPr>
        <w:t>Sediments as coastal habitats were predominately medium and fine sands, while reef habitats (intertidal and subtidal) were dominated by medium sands (</w:t>
      </w:r>
      <w:r w:rsidR="00112B83">
        <w:rPr>
          <w:color w:val="000000"/>
          <w:szCs w:val="22"/>
          <w:lang w:val="en-GB"/>
        </w:rPr>
        <w:fldChar w:fldCharType="begin"/>
      </w:r>
      <w:r w:rsidR="00112B83">
        <w:rPr>
          <w:color w:val="000000"/>
          <w:szCs w:val="22"/>
          <w:lang w:val="en-GB"/>
        </w:rPr>
        <w:instrText xml:space="preserve"> REF _Ref442530421 \h </w:instrText>
      </w:r>
      <w:r w:rsidR="00112B83">
        <w:rPr>
          <w:color w:val="000000"/>
          <w:szCs w:val="22"/>
          <w:lang w:val="en-GB"/>
        </w:rPr>
      </w:r>
      <w:r w:rsidR="00112B83">
        <w:rPr>
          <w:color w:val="000000"/>
          <w:szCs w:val="22"/>
          <w:lang w:val="en-GB"/>
        </w:rPr>
        <w:fldChar w:fldCharType="separate"/>
      </w:r>
      <w:r w:rsidR="009C068F">
        <w:t xml:space="preserve">Table </w:t>
      </w:r>
      <w:r w:rsidR="009C068F">
        <w:rPr>
          <w:noProof/>
        </w:rPr>
        <w:t>11</w:t>
      </w:r>
      <w:r w:rsidR="00112B83">
        <w:rPr>
          <w:color w:val="000000"/>
          <w:szCs w:val="22"/>
          <w:lang w:val="en-GB"/>
        </w:rPr>
        <w:fldChar w:fldCharType="end"/>
      </w:r>
      <w:r w:rsidR="00800235">
        <w:rPr>
          <w:color w:val="000000"/>
          <w:szCs w:val="22"/>
          <w:lang w:val="en-GB"/>
        </w:rPr>
        <w:t>).</w:t>
      </w:r>
    </w:p>
    <w:p w:rsidR="001E64C8" w:rsidRPr="001E64C8" w:rsidRDefault="001E64C8" w:rsidP="001E64C8">
      <w:pPr>
        <w:jc w:val="center"/>
        <w:rPr>
          <w:i/>
        </w:rPr>
      </w:pPr>
      <w:bookmarkStart w:id="187" w:name="_Ref442530421"/>
      <w:bookmarkStart w:id="188" w:name="_Toc462685080"/>
      <w:r>
        <w:t xml:space="preserve">Table </w:t>
      </w:r>
      <w:fldSimple w:instr=" SEQ Table \* ARABIC ">
        <w:r w:rsidR="009C068F">
          <w:rPr>
            <w:noProof/>
          </w:rPr>
          <w:t>11</w:t>
        </w:r>
      </w:fldSimple>
      <w:bookmarkEnd w:id="187"/>
      <w:r>
        <w:t xml:space="preserve">. </w:t>
      </w:r>
      <w:r w:rsidRPr="001E64C8">
        <w:rPr>
          <w:i/>
        </w:rPr>
        <w:t xml:space="preserve">Long-term average </w:t>
      </w:r>
      <w:proofErr w:type="gramStart"/>
      <w:r w:rsidRPr="001E64C8">
        <w:rPr>
          <w:i/>
        </w:rPr>
        <w:t>( ±</w:t>
      </w:r>
      <w:proofErr w:type="gramEnd"/>
      <w:r w:rsidRPr="001E64C8">
        <w:rPr>
          <w:i/>
        </w:rPr>
        <w:t xml:space="preserve">SE) sediment composition for each </w:t>
      </w:r>
      <w:r>
        <w:rPr>
          <w:i/>
        </w:rPr>
        <w:t xml:space="preserve">seagrass </w:t>
      </w:r>
      <w:r w:rsidRPr="001E64C8">
        <w:rPr>
          <w:i/>
        </w:rPr>
        <w:t>habitat (pooled across regions and time)</w:t>
      </w:r>
      <w:r>
        <w:rPr>
          <w:i/>
        </w:rPr>
        <w:t xml:space="preserve"> monitoring within the GBR (1999-2015)</w:t>
      </w:r>
      <w:bookmarkEnd w:id="188"/>
    </w:p>
    <w:tbl>
      <w:tblPr>
        <w:tblW w:w="8540" w:type="dxa"/>
        <w:jc w:val="center"/>
        <w:tblLook w:val="04A0" w:firstRow="1" w:lastRow="0" w:firstColumn="1" w:lastColumn="0" w:noHBand="0" w:noVBand="1"/>
      </w:tblPr>
      <w:tblGrid>
        <w:gridCol w:w="2040"/>
        <w:gridCol w:w="1300"/>
        <w:gridCol w:w="1300"/>
        <w:gridCol w:w="1300"/>
        <w:gridCol w:w="1300"/>
        <w:gridCol w:w="1300"/>
      </w:tblGrid>
      <w:tr w:rsidR="001E64C8" w:rsidRPr="008F3176" w:rsidTr="001E64C8">
        <w:trPr>
          <w:trHeight w:val="288"/>
          <w:jc w:val="center"/>
        </w:trPr>
        <w:tc>
          <w:tcPr>
            <w:tcW w:w="2040" w:type="dxa"/>
            <w:tcBorders>
              <w:top w:val="single" w:sz="4" w:space="0" w:color="auto"/>
              <w:bottom w:val="single" w:sz="4" w:space="0" w:color="auto"/>
            </w:tcBorders>
            <w:shd w:val="clear" w:color="auto" w:fill="BBE0E3"/>
            <w:noWrap/>
            <w:vAlign w:val="center"/>
            <w:hideMark/>
          </w:tcPr>
          <w:p w:rsidR="001E64C8" w:rsidRPr="008F3176" w:rsidRDefault="001E64C8" w:rsidP="001E64C8">
            <w:pPr>
              <w:spacing w:before="0" w:after="0" w:line="200" w:lineRule="exact"/>
              <w:jc w:val="center"/>
              <w:rPr>
                <w:color w:val="000000"/>
                <w:lang w:eastAsia="en-AU"/>
              </w:rPr>
            </w:pPr>
            <w:r w:rsidRPr="008F3176">
              <w:rPr>
                <w:color w:val="000000"/>
                <w:lang w:eastAsia="en-AU"/>
              </w:rPr>
              <w:t>Habitat</w:t>
            </w:r>
          </w:p>
        </w:tc>
        <w:tc>
          <w:tcPr>
            <w:tcW w:w="1300" w:type="dxa"/>
            <w:tcBorders>
              <w:top w:val="single" w:sz="4" w:space="0" w:color="auto"/>
              <w:bottom w:val="single" w:sz="4" w:space="0" w:color="auto"/>
            </w:tcBorders>
            <w:shd w:val="clear" w:color="auto" w:fill="BBE0E3"/>
            <w:noWrap/>
            <w:vAlign w:val="center"/>
            <w:hideMark/>
          </w:tcPr>
          <w:p w:rsidR="001E64C8" w:rsidRPr="008F3176" w:rsidRDefault="001E64C8" w:rsidP="001E64C8">
            <w:pPr>
              <w:spacing w:before="0" w:after="0" w:line="200" w:lineRule="exact"/>
              <w:jc w:val="center"/>
              <w:rPr>
                <w:color w:val="000000"/>
                <w:lang w:eastAsia="en-AU"/>
              </w:rPr>
            </w:pPr>
            <w:r w:rsidRPr="008F3176">
              <w:rPr>
                <w:color w:val="000000"/>
                <w:lang w:eastAsia="en-AU"/>
              </w:rPr>
              <w:t>Mud</w:t>
            </w:r>
          </w:p>
        </w:tc>
        <w:tc>
          <w:tcPr>
            <w:tcW w:w="1300" w:type="dxa"/>
            <w:tcBorders>
              <w:top w:val="single" w:sz="4" w:space="0" w:color="auto"/>
              <w:bottom w:val="single" w:sz="4" w:space="0" w:color="auto"/>
            </w:tcBorders>
            <w:shd w:val="clear" w:color="auto" w:fill="BBE0E3"/>
            <w:noWrap/>
            <w:vAlign w:val="center"/>
            <w:hideMark/>
          </w:tcPr>
          <w:p w:rsidR="001E64C8" w:rsidRPr="008F3176" w:rsidRDefault="001E64C8" w:rsidP="001E64C8">
            <w:pPr>
              <w:spacing w:before="0" w:after="0" w:line="200" w:lineRule="exact"/>
              <w:jc w:val="center"/>
              <w:rPr>
                <w:color w:val="000000"/>
                <w:lang w:eastAsia="en-AU"/>
              </w:rPr>
            </w:pPr>
            <w:r w:rsidRPr="008F3176">
              <w:rPr>
                <w:color w:val="000000"/>
                <w:lang w:eastAsia="en-AU"/>
              </w:rPr>
              <w:t>Fine sand</w:t>
            </w:r>
          </w:p>
        </w:tc>
        <w:tc>
          <w:tcPr>
            <w:tcW w:w="1300" w:type="dxa"/>
            <w:tcBorders>
              <w:top w:val="single" w:sz="4" w:space="0" w:color="auto"/>
              <w:bottom w:val="single" w:sz="4" w:space="0" w:color="auto"/>
            </w:tcBorders>
            <w:shd w:val="clear" w:color="auto" w:fill="BBE0E3"/>
            <w:noWrap/>
            <w:vAlign w:val="center"/>
            <w:hideMark/>
          </w:tcPr>
          <w:p w:rsidR="001E64C8" w:rsidRPr="008F3176" w:rsidRDefault="001E64C8" w:rsidP="001E64C8">
            <w:pPr>
              <w:spacing w:before="0" w:after="0" w:line="200" w:lineRule="exact"/>
              <w:jc w:val="center"/>
              <w:rPr>
                <w:color w:val="000000"/>
                <w:lang w:eastAsia="en-AU"/>
              </w:rPr>
            </w:pPr>
            <w:r w:rsidRPr="008F3176">
              <w:rPr>
                <w:color w:val="000000"/>
                <w:lang w:eastAsia="en-AU"/>
              </w:rPr>
              <w:t>Sand</w:t>
            </w:r>
          </w:p>
        </w:tc>
        <w:tc>
          <w:tcPr>
            <w:tcW w:w="1300" w:type="dxa"/>
            <w:tcBorders>
              <w:top w:val="single" w:sz="4" w:space="0" w:color="auto"/>
              <w:bottom w:val="single" w:sz="4" w:space="0" w:color="auto"/>
            </w:tcBorders>
            <w:shd w:val="clear" w:color="auto" w:fill="BBE0E3"/>
            <w:noWrap/>
            <w:vAlign w:val="center"/>
            <w:hideMark/>
          </w:tcPr>
          <w:p w:rsidR="001E64C8" w:rsidRPr="008F3176" w:rsidRDefault="001E64C8" w:rsidP="001E64C8">
            <w:pPr>
              <w:spacing w:before="0" w:after="0" w:line="200" w:lineRule="exact"/>
              <w:jc w:val="center"/>
              <w:rPr>
                <w:color w:val="000000"/>
                <w:lang w:eastAsia="en-AU"/>
              </w:rPr>
            </w:pPr>
            <w:r w:rsidRPr="008F3176">
              <w:rPr>
                <w:color w:val="000000"/>
                <w:lang w:eastAsia="en-AU"/>
              </w:rPr>
              <w:t>Coarse sand</w:t>
            </w:r>
          </w:p>
        </w:tc>
        <w:tc>
          <w:tcPr>
            <w:tcW w:w="1300" w:type="dxa"/>
            <w:tcBorders>
              <w:top w:val="single" w:sz="4" w:space="0" w:color="auto"/>
              <w:bottom w:val="single" w:sz="4" w:space="0" w:color="auto"/>
            </w:tcBorders>
            <w:shd w:val="clear" w:color="auto" w:fill="BBE0E3"/>
            <w:noWrap/>
            <w:vAlign w:val="center"/>
            <w:hideMark/>
          </w:tcPr>
          <w:p w:rsidR="001E64C8" w:rsidRPr="008F3176" w:rsidRDefault="001E64C8" w:rsidP="001E64C8">
            <w:pPr>
              <w:spacing w:before="0" w:after="0" w:line="200" w:lineRule="exact"/>
              <w:jc w:val="center"/>
              <w:rPr>
                <w:color w:val="000000"/>
                <w:lang w:eastAsia="en-AU"/>
              </w:rPr>
            </w:pPr>
            <w:r w:rsidRPr="008F3176">
              <w:rPr>
                <w:color w:val="000000"/>
                <w:lang w:eastAsia="en-AU"/>
              </w:rPr>
              <w:t>Gravel</w:t>
            </w:r>
          </w:p>
        </w:tc>
      </w:tr>
      <w:tr w:rsidR="001E64C8" w:rsidRPr="002D0437" w:rsidTr="001E64C8">
        <w:trPr>
          <w:trHeight w:val="288"/>
          <w:jc w:val="center"/>
        </w:trPr>
        <w:tc>
          <w:tcPr>
            <w:tcW w:w="2040" w:type="dxa"/>
            <w:tcBorders>
              <w:top w:val="single" w:sz="4" w:space="0" w:color="auto"/>
            </w:tcBorders>
            <w:shd w:val="clear" w:color="auto" w:fill="E7F3F4"/>
            <w:noWrap/>
            <w:vAlign w:val="bottom"/>
            <w:hideMark/>
          </w:tcPr>
          <w:p w:rsidR="001E64C8" w:rsidRPr="002D0437" w:rsidRDefault="001E64C8" w:rsidP="00800235">
            <w:pPr>
              <w:spacing w:before="0" w:after="0" w:line="200" w:lineRule="exact"/>
              <w:rPr>
                <w:color w:val="000000"/>
                <w:lang w:eastAsia="en-AU"/>
              </w:rPr>
            </w:pPr>
            <w:r w:rsidRPr="002D0437">
              <w:rPr>
                <w:color w:val="000000"/>
                <w:lang w:eastAsia="en-AU"/>
              </w:rPr>
              <w:t>estuarine intertidal</w:t>
            </w:r>
          </w:p>
        </w:tc>
        <w:tc>
          <w:tcPr>
            <w:tcW w:w="1300" w:type="dxa"/>
            <w:tcBorders>
              <w:top w:val="single" w:sz="4" w:space="0" w:color="auto"/>
            </w:tcBorders>
            <w:shd w:val="clear" w:color="auto" w:fill="E7F3F4"/>
            <w:noWrap/>
            <w:vAlign w:val="bottom"/>
            <w:hideMark/>
          </w:tcPr>
          <w:p w:rsidR="001E64C8" w:rsidRPr="002D0437" w:rsidRDefault="002D0437" w:rsidP="002D0437">
            <w:pPr>
              <w:spacing w:before="0" w:after="0" w:line="200" w:lineRule="exact"/>
              <w:jc w:val="center"/>
              <w:rPr>
                <w:color w:val="000000"/>
                <w:lang w:eastAsia="en-AU"/>
              </w:rPr>
            </w:pPr>
            <w:r w:rsidRPr="002D0437">
              <w:rPr>
                <w:color w:val="000000"/>
                <w:lang w:eastAsia="en-AU"/>
              </w:rPr>
              <w:t>51.2</w:t>
            </w:r>
            <w:r w:rsidR="00F52241" w:rsidRPr="002D0437">
              <w:rPr>
                <w:color w:val="000000"/>
                <w:lang w:eastAsia="en-AU"/>
              </w:rPr>
              <w:t> ±</w:t>
            </w:r>
            <w:r w:rsidRPr="002D0437">
              <w:rPr>
                <w:color w:val="000000"/>
                <w:lang w:eastAsia="en-AU"/>
              </w:rPr>
              <w:t>7.5</w:t>
            </w:r>
          </w:p>
        </w:tc>
        <w:tc>
          <w:tcPr>
            <w:tcW w:w="1300" w:type="dxa"/>
            <w:tcBorders>
              <w:top w:val="single" w:sz="4" w:space="0" w:color="auto"/>
            </w:tcBorders>
            <w:shd w:val="clear" w:color="auto" w:fill="E7F3F4"/>
            <w:noWrap/>
            <w:vAlign w:val="bottom"/>
            <w:hideMark/>
          </w:tcPr>
          <w:p w:rsidR="001E64C8" w:rsidRPr="002D0437" w:rsidRDefault="002D0437" w:rsidP="002D0437">
            <w:pPr>
              <w:spacing w:before="0" w:after="0" w:line="200" w:lineRule="exact"/>
              <w:jc w:val="center"/>
              <w:rPr>
                <w:color w:val="000000"/>
                <w:lang w:eastAsia="en-AU"/>
              </w:rPr>
            </w:pPr>
            <w:r w:rsidRPr="002D0437">
              <w:rPr>
                <w:color w:val="000000"/>
                <w:lang w:eastAsia="en-AU"/>
              </w:rPr>
              <w:t>19.6</w:t>
            </w:r>
            <w:r w:rsidR="001E64C8" w:rsidRPr="002D0437">
              <w:rPr>
                <w:color w:val="000000"/>
                <w:lang w:eastAsia="en-AU"/>
              </w:rPr>
              <w:t> ±</w:t>
            </w:r>
            <w:r w:rsidRPr="002D0437">
              <w:rPr>
                <w:color w:val="000000"/>
                <w:lang w:eastAsia="en-AU"/>
              </w:rPr>
              <w:t>5.6</w:t>
            </w:r>
          </w:p>
        </w:tc>
        <w:tc>
          <w:tcPr>
            <w:tcW w:w="1300" w:type="dxa"/>
            <w:tcBorders>
              <w:top w:val="single" w:sz="4" w:space="0" w:color="auto"/>
            </w:tcBorders>
            <w:shd w:val="clear" w:color="auto" w:fill="E7F3F4"/>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2</w:t>
            </w:r>
            <w:r w:rsidR="002D0437" w:rsidRPr="002D0437">
              <w:rPr>
                <w:color w:val="000000"/>
                <w:lang w:eastAsia="en-AU"/>
              </w:rPr>
              <w:t>6.3</w:t>
            </w:r>
            <w:r w:rsidRPr="002D0437">
              <w:rPr>
                <w:color w:val="000000"/>
                <w:lang w:eastAsia="en-AU"/>
              </w:rPr>
              <w:t> ±</w:t>
            </w:r>
            <w:r w:rsidR="002D0437" w:rsidRPr="002D0437">
              <w:rPr>
                <w:color w:val="000000"/>
                <w:lang w:eastAsia="en-AU"/>
              </w:rPr>
              <w:t>6.3</w:t>
            </w:r>
          </w:p>
        </w:tc>
        <w:tc>
          <w:tcPr>
            <w:tcW w:w="1300" w:type="dxa"/>
            <w:tcBorders>
              <w:top w:val="single" w:sz="4" w:space="0" w:color="auto"/>
            </w:tcBorders>
            <w:shd w:val="clear" w:color="auto" w:fill="E7F3F4"/>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0.2 ±0.</w:t>
            </w:r>
            <w:r w:rsidR="002D0437" w:rsidRPr="002D0437">
              <w:rPr>
                <w:color w:val="000000"/>
                <w:lang w:eastAsia="en-AU"/>
              </w:rPr>
              <w:t>6</w:t>
            </w:r>
          </w:p>
        </w:tc>
        <w:tc>
          <w:tcPr>
            <w:tcW w:w="1300" w:type="dxa"/>
            <w:tcBorders>
              <w:top w:val="single" w:sz="4" w:space="0" w:color="auto"/>
            </w:tcBorders>
            <w:shd w:val="clear" w:color="auto" w:fill="E7F3F4"/>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2.</w:t>
            </w:r>
            <w:r w:rsidR="002D0437" w:rsidRPr="002D0437">
              <w:rPr>
                <w:color w:val="000000"/>
                <w:lang w:eastAsia="en-AU"/>
              </w:rPr>
              <w:t>8</w:t>
            </w:r>
            <w:r w:rsidRPr="002D0437">
              <w:rPr>
                <w:color w:val="000000"/>
                <w:lang w:eastAsia="en-AU"/>
              </w:rPr>
              <w:t> ±</w:t>
            </w:r>
            <w:r w:rsidR="002D0437" w:rsidRPr="002D0437">
              <w:rPr>
                <w:color w:val="000000"/>
                <w:lang w:eastAsia="en-AU"/>
              </w:rPr>
              <w:t>2.4</w:t>
            </w:r>
          </w:p>
        </w:tc>
      </w:tr>
      <w:tr w:rsidR="001E64C8" w:rsidRPr="002D0437" w:rsidTr="001E64C8">
        <w:trPr>
          <w:trHeight w:val="288"/>
          <w:jc w:val="center"/>
        </w:trPr>
        <w:tc>
          <w:tcPr>
            <w:tcW w:w="2040" w:type="dxa"/>
            <w:shd w:val="clear" w:color="auto" w:fill="F3F9FA"/>
            <w:noWrap/>
            <w:vAlign w:val="bottom"/>
            <w:hideMark/>
          </w:tcPr>
          <w:p w:rsidR="001E64C8" w:rsidRPr="002D0437" w:rsidRDefault="001E64C8" w:rsidP="001E64C8">
            <w:pPr>
              <w:spacing w:before="0" w:after="0" w:line="200" w:lineRule="exact"/>
              <w:rPr>
                <w:color w:val="000000"/>
                <w:lang w:eastAsia="en-AU"/>
              </w:rPr>
            </w:pPr>
            <w:r w:rsidRPr="002D0437">
              <w:rPr>
                <w:color w:val="000000"/>
                <w:lang w:eastAsia="en-AU"/>
              </w:rPr>
              <w:t>coastal intertidal</w:t>
            </w:r>
          </w:p>
        </w:tc>
        <w:tc>
          <w:tcPr>
            <w:tcW w:w="1300" w:type="dxa"/>
            <w:shd w:val="clear" w:color="auto" w:fill="F3F9FA"/>
            <w:noWrap/>
            <w:vAlign w:val="bottom"/>
            <w:hideMark/>
          </w:tcPr>
          <w:p w:rsidR="001E64C8" w:rsidRPr="002D0437" w:rsidRDefault="002D0437" w:rsidP="002D0437">
            <w:pPr>
              <w:spacing w:before="0" w:after="0" w:line="200" w:lineRule="exact"/>
              <w:jc w:val="center"/>
              <w:rPr>
                <w:color w:val="000000"/>
                <w:lang w:eastAsia="en-AU"/>
              </w:rPr>
            </w:pPr>
            <w:r w:rsidRPr="002D0437">
              <w:rPr>
                <w:color w:val="000000"/>
                <w:lang w:eastAsia="en-AU"/>
              </w:rPr>
              <w:t>26.4</w:t>
            </w:r>
            <w:r w:rsidR="00F52241" w:rsidRPr="002D0437">
              <w:rPr>
                <w:color w:val="000000"/>
                <w:lang w:eastAsia="en-AU"/>
              </w:rPr>
              <w:t> ±</w:t>
            </w:r>
            <w:r w:rsidRPr="002D0437">
              <w:rPr>
                <w:color w:val="000000"/>
                <w:lang w:eastAsia="en-AU"/>
              </w:rPr>
              <w:t>7.4</w:t>
            </w:r>
          </w:p>
        </w:tc>
        <w:tc>
          <w:tcPr>
            <w:tcW w:w="1300" w:type="dxa"/>
            <w:shd w:val="clear" w:color="auto" w:fill="F3F9FA"/>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3</w:t>
            </w:r>
            <w:r w:rsidR="002D0437" w:rsidRPr="002D0437">
              <w:rPr>
                <w:color w:val="000000"/>
                <w:lang w:eastAsia="en-AU"/>
              </w:rPr>
              <w:t>4.4</w:t>
            </w:r>
            <w:r w:rsidRPr="002D0437">
              <w:rPr>
                <w:color w:val="000000"/>
                <w:lang w:eastAsia="en-AU"/>
              </w:rPr>
              <w:t> ±</w:t>
            </w:r>
            <w:r w:rsidR="002D0437" w:rsidRPr="002D0437">
              <w:rPr>
                <w:color w:val="000000"/>
                <w:lang w:eastAsia="en-AU"/>
              </w:rPr>
              <w:t>8.5</w:t>
            </w:r>
          </w:p>
        </w:tc>
        <w:tc>
          <w:tcPr>
            <w:tcW w:w="1300" w:type="dxa"/>
            <w:shd w:val="clear" w:color="auto" w:fill="F3F9FA"/>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3</w:t>
            </w:r>
            <w:r w:rsidR="002D0437" w:rsidRPr="002D0437">
              <w:rPr>
                <w:color w:val="000000"/>
                <w:lang w:eastAsia="en-AU"/>
              </w:rPr>
              <w:t>4.6</w:t>
            </w:r>
            <w:r w:rsidRPr="002D0437">
              <w:rPr>
                <w:color w:val="000000"/>
                <w:lang w:eastAsia="en-AU"/>
              </w:rPr>
              <w:t> ±</w:t>
            </w:r>
            <w:r w:rsidR="002D0437" w:rsidRPr="002D0437">
              <w:rPr>
                <w:color w:val="000000"/>
                <w:lang w:eastAsia="en-AU"/>
              </w:rPr>
              <w:t>8.2</w:t>
            </w:r>
          </w:p>
        </w:tc>
        <w:tc>
          <w:tcPr>
            <w:tcW w:w="1300" w:type="dxa"/>
            <w:shd w:val="clear" w:color="auto" w:fill="F3F9FA"/>
            <w:noWrap/>
            <w:vAlign w:val="bottom"/>
            <w:hideMark/>
          </w:tcPr>
          <w:p w:rsidR="001E64C8" w:rsidRPr="002D0437" w:rsidRDefault="001E64C8" w:rsidP="001E64C8">
            <w:pPr>
              <w:spacing w:before="0" w:after="0" w:line="200" w:lineRule="exact"/>
              <w:jc w:val="center"/>
              <w:rPr>
                <w:color w:val="000000"/>
                <w:lang w:eastAsia="en-AU"/>
              </w:rPr>
            </w:pPr>
            <w:r w:rsidRPr="002D0437">
              <w:rPr>
                <w:color w:val="000000"/>
                <w:lang w:eastAsia="en-AU"/>
              </w:rPr>
              <w:t>0.4 ±0.6</w:t>
            </w:r>
          </w:p>
        </w:tc>
        <w:tc>
          <w:tcPr>
            <w:tcW w:w="1300" w:type="dxa"/>
            <w:shd w:val="clear" w:color="auto" w:fill="F3F9FA"/>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4.3 ±</w:t>
            </w:r>
            <w:r w:rsidR="002D0437" w:rsidRPr="002D0437">
              <w:rPr>
                <w:color w:val="000000"/>
                <w:lang w:eastAsia="en-AU"/>
              </w:rPr>
              <w:t>3.2</w:t>
            </w:r>
          </w:p>
        </w:tc>
      </w:tr>
      <w:tr w:rsidR="001E64C8" w:rsidRPr="002D0437" w:rsidTr="001E64C8">
        <w:trPr>
          <w:trHeight w:val="288"/>
          <w:jc w:val="center"/>
        </w:trPr>
        <w:tc>
          <w:tcPr>
            <w:tcW w:w="2040" w:type="dxa"/>
            <w:shd w:val="clear" w:color="auto" w:fill="E7F3F4"/>
            <w:noWrap/>
            <w:vAlign w:val="bottom"/>
            <w:hideMark/>
          </w:tcPr>
          <w:p w:rsidR="001E64C8" w:rsidRPr="002D0437" w:rsidRDefault="001E64C8" w:rsidP="001E64C8">
            <w:pPr>
              <w:spacing w:before="0" w:after="0" w:line="200" w:lineRule="exact"/>
              <w:rPr>
                <w:color w:val="000000"/>
                <w:lang w:eastAsia="en-AU"/>
              </w:rPr>
            </w:pPr>
            <w:r w:rsidRPr="002D0437">
              <w:rPr>
                <w:color w:val="000000"/>
                <w:lang w:eastAsia="en-AU"/>
              </w:rPr>
              <w:t>reef intertidal</w:t>
            </w:r>
          </w:p>
        </w:tc>
        <w:tc>
          <w:tcPr>
            <w:tcW w:w="1300" w:type="dxa"/>
            <w:shd w:val="clear" w:color="auto" w:fill="E7F3F4"/>
            <w:noWrap/>
            <w:vAlign w:val="bottom"/>
            <w:hideMark/>
          </w:tcPr>
          <w:p w:rsidR="001E64C8" w:rsidRPr="002D0437" w:rsidRDefault="00F52241" w:rsidP="002D0437">
            <w:pPr>
              <w:spacing w:before="0" w:after="0" w:line="200" w:lineRule="exact"/>
              <w:jc w:val="center"/>
              <w:rPr>
                <w:color w:val="000000"/>
                <w:lang w:eastAsia="en-AU"/>
              </w:rPr>
            </w:pPr>
            <w:r w:rsidRPr="002D0437">
              <w:rPr>
                <w:color w:val="000000"/>
                <w:lang w:eastAsia="en-AU"/>
              </w:rPr>
              <w:t>5.</w:t>
            </w:r>
            <w:r w:rsidR="002D0437" w:rsidRPr="002D0437">
              <w:rPr>
                <w:color w:val="000000"/>
                <w:lang w:eastAsia="en-AU"/>
              </w:rPr>
              <w:t>2</w:t>
            </w:r>
            <w:r w:rsidRPr="002D0437">
              <w:rPr>
                <w:color w:val="000000"/>
                <w:lang w:eastAsia="en-AU"/>
              </w:rPr>
              <w:t> ±</w:t>
            </w:r>
            <w:r w:rsidR="002D0437" w:rsidRPr="002D0437">
              <w:rPr>
                <w:color w:val="000000"/>
                <w:lang w:eastAsia="en-AU"/>
              </w:rPr>
              <w:t>5.0</w:t>
            </w:r>
          </w:p>
        </w:tc>
        <w:tc>
          <w:tcPr>
            <w:tcW w:w="1300" w:type="dxa"/>
            <w:shd w:val="clear" w:color="auto" w:fill="E7F3F4"/>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8.</w:t>
            </w:r>
            <w:r w:rsidR="002D0437" w:rsidRPr="002D0437">
              <w:rPr>
                <w:color w:val="000000"/>
                <w:lang w:eastAsia="en-AU"/>
              </w:rPr>
              <w:t>1</w:t>
            </w:r>
            <w:r w:rsidRPr="002D0437">
              <w:rPr>
                <w:color w:val="000000"/>
                <w:lang w:eastAsia="en-AU"/>
              </w:rPr>
              <w:t> ±</w:t>
            </w:r>
            <w:r w:rsidR="002D0437" w:rsidRPr="002D0437">
              <w:rPr>
                <w:color w:val="000000"/>
                <w:lang w:eastAsia="en-AU"/>
              </w:rPr>
              <w:t>3.0</w:t>
            </w:r>
          </w:p>
        </w:tc>
        <w:tc>
          <w:tcPr>
            <w:tcW w:w="1300" w:type="dxa"/>
            <w:shd w:val="clear" w:color="auto" w:fill="E7F3F4"/>
            <w:noWrap/>
            <w:vAlign w:val="bottom"/>
            <w:hideMark/>
          </w:tcPr>
          <w:p w:rsidR="001E64C8" w:rsidRPr="002D0437" w:rsidRDefault="002D0437" w:rsidP="002D0437">
            <w:pPr>
              <w:spacing w:before="0" w:after="0" w:line="200" w:lineRule="exact"/>
              <w:jc w:val="center"/>
              <w:rPr>
                <w:color w:val="000000"/>
                <w:lang w:eastAsia="en-AU"/>
              </w:rPr>
            </w:pPr>
            <w:r w:rsidRPr="002D0437">
              <w:rPr>
                <w:color w:val="000000"/>
                <w:lang w:eastAsia="en-AU"/>
              </w:rPr>
              <w:t>42.8</w:t>
            </w:r>
            <w:r w:rsidR="001E64C8" w:rsidRPr="002D0437">
              <w:rPr>
                <w:color w:val="000000"/>
                <w:lang w:eastAsia="en-AU"/>
              </w:rPr>
              <w:t> ±</w:t>
            </w:r>
            <w:r w:rsidRPr="002D0437">
              <w:rPr>
                <w:color w:val="000000"/>
                <w:lang w:eastAsia="en-AU"/>
              </w:rPr>
              <w:t>8.2</w:t>
            </w:r>
          </w:p>
        </w:tc>
        <w:tc>
          <w:tcPr>
            <w:tcW w:w="1300" w:type="dxa"/>
            <w:shd w:val="clear" w:color="auto" w:fill="E7F3F4"/>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2</w:t>
            </w:r>
            <w:r w:rsidR="002D0437" w:rsidRPr="002D0437">
              <w:rPr>
                <w:color w:val="000000"/>
                <w:lang w:eastAsia="en-AU"/>
              </w:rPr>
              <w:t>5.5</w:t>
            </w:r>
            <w:r w:rsidRPr="002D0437">
              <w:rPr>
                <w:color w:val="000000"/>
                <w:lang w:eastAsia="en-AU"/>
              </w:rPr>
              <w:t> ±</w:t>
            </w:r>
            <w:r w:rsidR="002D0437" w:rsidRPr="002D0437">
              <w:rPr>
                <w:color w:val="000000"/>
                <w:lang w:eastAsia="en-AU"/>
              </w:rPr>
              <w:t>5.5</w:t>
            </w:r>
          </w:p>
        </w:tc>
        <w:tc>
          <w:tcPr>
            <w:tcW w:w="1300" w:type="dxa"/>
            <w:shd w:val="clear" w:color="auto" w:fill="E7F3F4"/>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1</w:t>
            </w:r>
            <w:r w:rsidR="002D0437" w:rsidRPr="002D0437">
              <w:rPr>
                <w:color w:val="000000"/>
                <w:lang w:eastAsia="en-AU"/>
              </w:rPr>
              <w:t>8.4</w:t>
            </w:r>
            <w:r w:rsidRPr="002D0437">
              <w:rPr>
                <w:color w:val="000000"/>
                <w:lang w:eastAsia="en-AU"/>
              </w:rPr>
              <w:t> ±</w:t>
            </w:r>
            <w:r w:rsidR="002D0437" w:rsidRPr="002D0437">
              <w:rPr>
                <w:color w:val="000000"/>
                <w:lang w:eastAsia="en-AU"/>
              </w:rPr>
              <w:t>6.2</w:t>
            </w:r>
          </w:p>
        </w:tc>
      </w:tr>
      <w:tr w:rsidR="001E64C8" w:rsidRPr="008F3176" w:rsidTr="001E64C8">
        <w:trPr>
          <w:trHeight w:val="288"/>
          <w:jc w:val="center"/>
        </w:trPr>
        <w:tc>
          <w:tcPr>
            <w:tcW w:w="2040" w:type="dxa"/>
            <w:tcBorders>
              <w:bottom w:val="single" w:sz="4" w:space="0" w:color="auto"/>
            </w:tcBorders>
            <w:shd w:val="clear" w:color="auto" w:fill="F3F9FA"/>
            <w:noWrap/>
            <w:vAlign w:val="bottom"/>
            <w:hideMark/>
          </w:tcPr>
          <w:p w:rsidR="001E64C8" w:rsidRPr="002D0437" w:rsidRDefault="001E64C8" w:rsidP="001E64C8">
            <w:pPr>
              <w:spacing w:before="0" w:after="0" w:line="200" w:lineRule="exact"/>
              <w:rPr>
                <w:color w:val="000000"/>
                <w:lang w:eastAsia="en-AU"/>
              </w:rPr>
            </w:pPr>
            <w:r w:rsidRPr="002D0437">
              <w:rPr>
                <w:color w:val="000000"/>
                <w:lang w:eastAsia="en-AU"/>
              </w:rPr>
              <w:t>reef subtidal</w:t>
            </w:r>
          </w:p>
        </w:tc>
        <w:tc>
          <w:tcPr>
            <w:tcW w:w="1300" w:type="dxa"/>
            <w:tcBorders>
              <w:bottom w:val="single" w:sz="4" w:space="0" w:color="auto"/>
            </w:tcBorders>
            <w:shd w:val="clear" w:color="auto" w:fill="F3F9FA"/>
            <w:noWrap/>
            <w:vAlign w:val="bottom"/>
            <w:hideMark/>
          </w:tcPr>
          <w:p w:rsidR="001E64C8" w:rsidRPr="002D0437" w:rsidRDefault="002D0437" w:rsidP="002D0437">
            <w:pPr>
              <w:spacing w:before="0" w:after="0" w:line="200" w:lineRule="exact"/>
              <w:jc w:val="center"/>
              <w:rPr>
                <w:color w:val="000000"/>
                <w:lang w:eastAsia="en-AU"/>
              </w:rPr>
            </w:pPr>
            <w:r w:rsidRPr="002D0437">
              <w:rPr>
                <w:color w:val="000000"/>
                <w:lang w:eastAsia="en-AU"/>
              </w:rPr>
              <w:t>2.1</w:t>
            </w:r>
            <w:r w:rsidR="00F52241" w:rsidRPr="002D0437">
              <w:rPr>
                <w:color w:val="000000"/>
                <w:lang w:eastAsia="en-AU"/>
              </w:rPr>
              <w:t> ±</w:t>
            </w:r>
            <w:r w:rsidRPr="002D0437">
              <w:rPr>
                <w:color w:val="000000"/>
                <w:lang w:eastAsia="en-AU"/>
              </w:rPr>
              <w:t>0.1</w:t>
            </w:r>
          </w:p>
        </w:tc>
        <w:tc>
          <w:tcPr>
            <w:tcW w:w="1300" w:type="dxa"/>
            <w:tcBorders>
              <w:bottom w:val="single" w:sz="4" w:space="0" w:color="auto"/>
            </w:tcBorders>
            <w:shd w:val="clear" w:color="auto" w:fill="F3F9FA"/>
            <w:noWrap/>
            <w:vAlign w:val="bottom"/>
            <w:hideMark/>
          </w:tcPr>
          <w:p w:rsidR="001E64C8" w:rsidRPr="002D0437" w:rsidRDefault="002D0437" w:rsidP="001E64C8">
            <w:pPr>
              <w:spacing w:before="0" w:after="0" w:line="200" w:lineRule="exact"/>
              <w:jc w:val="center"/>
              <w:rPr>
                <w:color w:val="000000"/>
                <w:lang w:eastAsia="en-AU"/>
              </w:rPr>
            </w:pPr>
            <w:r w:rsidRPr="002D0437">
              <w:rPr>
                <w:color w:val="000000"/>
                <w:lang w:eastAsia="en-AU"/>
              </w:rPr>
              <w:t>20.9</w:t>
            </w:r>
            <w:r w:rsidR="001E64C8" w:rsidRPr="002D0437">
              <w:rPr>
                <w:color w:val="000000"/>
                <w:lang w:eastAsia="en-AU"/>
              </w:rPr>
              <w:t> ±1.4</w:t>
            </w:r>
          </w:p>
        </w:tc>
        <w:tc>
          <w:tcPr>
            <w:tcW w:w="1300" w:type="dxa"/>
            <w:tcBorders>
              <w:bottom w:val="single" w:sz="4" w:space="0" w:color="auto"/>
            </w:tcBorders>
            <w:shd w:val="clear" w:color="auto" w:fill="F3F9FA"/>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6</w:t>
            </w:r>
            <w:r w:rsidR="002D0437" w:rsidRPr="002D0437">
              <w:rPr>
                <w:color w:val="000000"/>
                <w:lang w:eastAsia="en-AU"/>
              </w:rPr>
              <w:t>5.1</w:t>
            </w:r>
            <w:r w:rsidRPr="002D0437">
              <w:rPr>
                <w:color w:val="000000"/>
                <w:lang w:eastAsia="en-AU"/>
              </w:rPr>
              <w:t> ±5.0</w:t>
            </w:r>
          </w:p>
        </w:tc>
        <w:tc>
          <w:tcPr>
            <w:tcW w:w="1300" w:type="dxa"/>
            <w:tcBorders>
              <w:bottom w:val="single" w:sz="4" w:space="0" w:color="auto"/>
            </w:tcBorders>
            <w:shd w:val="clear" w:color="auto" w:fill="F3F9FA"/>
            <w:noWrap/>
            <w:vAlign w:val="bottom"/>
            <w:hideMark/>
          </w:tcPr>
          <w:p w:rsidR="001E64C8" w:rsidRPr="002D0437" w:rsidRDefault="002D0437" w:rsidP="002D0437">
            <w:pPr>
              <w:spacing w:before="0" w:after="0" w:line="200" w:lineRule="exact"/>
              <w:jc w:val="center"/>
              <w:rPr>
                <w:color w:val="000000"/>
                <w:lang w:eastAsia="en-AU"/>
              </w:rPr>
            </w:pPr>
            <w:r w:rsidRPr="002D0437">
              <w:rPr>
                <w:color w:val="000000"/>
                <w:lang w:eastAsia="en-AU"/>
              </w:rPr>
              <w:t>3.1</w:t>
            </w:r>
            <w:r w:rsidR="001E64C8" w:rsidRPr="002D0437">
              <w:rPr>
                <w:color w:val="000000"/>
                <w:lang w:eastAsia="en-AU"/>
              </w:rPr>
              <w:t> ±0.8</w:t>
            </w:r>
          </w:p>
        </w:tc>
        <w:tc>
          <w:tcPr>
            <w:tcW w:w="1300" w:type="dxa"/>
            <w:tcBorders>
              <w:bottom w:val="single" w:sz="4" w:space="0" w:color="auto"/>
            </w:tcBorders>
            <w:shd w:val="clear" w:color="auto" w:fill="F3F9FA"/>
            <w:noWrap/>
            <w:vAlign w:val="bottom"/>
            <w:hideMark/>
          </w:tcPr>
          <w:p w:rsidR="001E64C8" w:rsidRPr="002D0437" w:rsidRDefault="001E64C8" w:rsidP="002D0437">
            <w:pPr>
              <w:spacing w:before="0" w:after="0" w:line="200" w:lineRule="exact"/>
              <w:jc w:val="center"/>
              <w:rPr>
                <w:color w:val="000000"/>
                <w:lang w:eastAsia="en-AU"/>
              </w:rPr>
            </w:pPr>
            <w:r w:rsidRPr="002D0437">
              <w:rPr>
                <w:color w:val="000000"/>
                <w:lang w:eastAsia="en-AU"/>
              </w:rPr>
              <w:t>8.</w:t>
            </w:r>
            <w:r w:rsidR="002D0437" w:rsidRPr="002D0437">
              <w:rPr>
                <w:color w:val="000000"/>
                <w:lang w:eastAsia="en-AU"/>
              </w:rPr>
              <w:t>8</w:t>
            </w:r>
            <w:r w:rsidRPr="002D0437">
              <w:rPr>
                <w:color w:val="000000"/>
                <w:lang w:eastAsia="en-AU"/>
              </w:rPr>
              <w:t> ±5.0</w:t>
            </w:r>
          </w:p>
        </w:tc>
      </w:tr>
    </w:tbl>
    <w:p w:rsidR="009817B8" w:rsidRDefault="009817B8" w:rsidP="00531604">
      <w:pPr>
        <w:rPr>
          <w:color w:val="000000"/>
          <w:szCs w:val="22"/>
          <w:lang w:val="en-GB"/>
        </w:rPr>
      </w:pPr>
    </w:p>
    <w:p w:rsidR="001E64C8" w:rsidRDefault="00800235" w:rsidP="00531604">
      <w:pPr>
        <w:rPr>
          <w:color w:val="000000"/>
          <w:szCs w:val="22"/>
          <w:lang w:val="en-GB"/>
        </w:rPr>
      </w:pPr>
      <w:r>
        <w:rPr>
          <w:color w:val="000000"/>
          <w:szCs w:val="22"/>
          <w:lang w:val="en-GB"/>
        </w:rPr>
        <w:t>Since monitoring was established, the composition of sediments has fluctuated at all habitats, with the proportion of mud declining below the long-term average at estuary and coastal habitats immediately following periods of physical disturbance from storms (e.g. tropical cyclones) in 2006 and/or 2011. Conversely, the proportion of mud increased above the long-term average at reef (intertidal and subtidal) habitats during periods of extreme climatic events (e.g. tropical cyclones and/or flood events)</w:t>
      </w:r>
      <w:r w:rsidR="00E731A8">
        <w:rPr>
          <w:color w:val="000000"/>
          <w:szCs w:val="22"/>
          <w:lang w:val="en-GB"/>
        </w:rPr>
        <w:t>. During the 2014-15 monitoring period, the proportion mud increased at estuarine habitats, but decreased across all other habitats relative to the previous year</w:t>
      </w:r>
      <w:r w:rsidR="00112B83">
        <w:rPr>
          <w:color w:val="000000"/>
          <w:szCs w:val="22"/>
          <w:lang w:val="en-GB"/>
        </w:rPr>
        <w:t xml:space="preserve"> (</w:t>
      </w:r>
      <w:r w:rsidR="00112B83">
        <w:rPr>
          <w:color w:val="000000"/>
          <w:szCs w:val="22"/>
          <w:lang w:val="en-GB"/>
        </w:rPr>
        <w:fldChar w:fldCharType="begin"/>
      </w:r>
      <w:r w:rsidR="00112B83">
        <w:rPr>
          <w:color w:val="000000"/>
          <w:szCs w:val="22"/>
          <w:lang w:val="en-GB"/>
        </w:rPr>
        <w:instrText xml:space="preserve"> REF _Ref442530463 \h </w:instrText>
      </w:r>
      <w:r w:rsidR="00112B83">
        <w:rPr>
          <w:color w:val="000000"/>
          <w:szCs w:val="22"/>
          <w:lang w:val="en-GB"/>
        </w:rPr>
      </w:r>
      <w:r w:rsidR="00112B83">
        <w:rPr>
          <w:color w:val="000000"/>
          <w:szCs w:val="22"/>
          <w:lang w:val="en-GB"/>
        </w:rPr>
        <w:fldChar w:fldCharType="separate"/>
      </w:r>
      <w:r w:rsidR="009C068F">
        <w:t xml:space="preserve">Figure </w:t>
      </w:r>
      <w:r w:rsidR="009C068F">
        <w:rPr>
          <w:noProof/>
        </w:rPr>
        <w:t>26</w:t>
      </w:r>
      <w:r w:rsidR="00112B83">
        <w:rPr>
          <w:color w:val="000000"/>
          <w:szCs w:val="22"/>
          <w:lang w:val="en-GB"/>
        </w:rPr>
        <w:fldChar w:fldCharType="end"/>
      </w:r>
      <w:r w:rsidR="00112B83">
        <w:rPr>
          <w:color w:val="000000"/>
          <w:szCs w:val="22"/>
          <w:lang w:val="en-GB"/>
        </w:rPr>
        <w:t>)</w:t>
      </w:r>
      <w:r w:rsidR="00E731A8">
        <w:rPr>
          <w:color w:val="000000"/>
          <w:szCs w:val="22"/>
          <w:lang w:val="en-GB"/>
        </w:rPr>
        <w:t>.</w:t>
      </w:r>
    </w:p>
    <w:p w:rsidR="0007459F" w:rsidRPr="0007459F" w:rsidRDefault="00800235" w:rsidP="0007459F">
      <w:pPr>
        <w:keepNext/>
        <w:widowControl w:val="0"/>
        <w:spacing w:after="0"/>
        <w:jc w:val="center"/>
        <w:rPr>
          <w:lang w:val="en-GB"/>
        </w:rPr>
      </w:pPr>
      <w:r w:rsidRPr="0007459F">
        <w:rPr>
          <w:noProof/>
          <w:lang w:eastAsia="en-AU"/>
        </w:rPr>
        <w:lastRenderedPageBreak/>
        <w:drawing>
          <wp:inline distT="0" distB="0" distL="0" distR="0" wp14:anchorId="55FDB349" wp14:editId="00D3DF14">
            <wp:extent cx="5759450" cy="1591310"/>
            <wp:effectExtent l="0" t="0" r="0" b="8890"/>
            <wp:docPr id="135" name="Picture 135" descr="Set of four area plots showing proportion of sediment composed of mud (grain size less than 63µm) at GBR seagrass monitoring habitats from 1999-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GBR_proportion_mud_2015.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759450" cy="1591310"/>
                    </a:xfrm>
                    <a:prstGeom prst="rect">
                      <a:avLst/>
                    </a:prstGeom>
                  </pic:spPr>
                </pic:pic>
              </a:graphicData>
            </a:graphic>
          </wp:inline>
        </w:drawing>
      </w:r>
    </w:p>
    <w:p w:rsidR="00531604" w:rsidRDefault="00E9595E" w:rsidP="00664E43">
      <w:pPr>
        <w:keepNext/>
        <w:widowControl w:val="0"/>
        <w:rPr>
          <w:color w:val="000000"/>
          <w:szCs w:val="22"/>
        </w:rPr>
      </w:pPr>
      <w:bookmarkStart w:id="189" w:name="_Ref442530463"/>
      <w:bookmarkStart w:id="190" w:name="_Toc462684866"/>
      <w:r>
        <w:t xml:space="preserve">Figure </w:t>
      </w:r>
      <w:fldSimple w:instr=" SEQ Figure \* ARABIC ">
        <w:r w:rsidR="009C068F">
          <w:rPr>
            <w:noProof/>
          </w:rPr>
          <w:t>26</w:t>
        </w:r>
      </w:fldSimple>
      <w:bookmarkEnd w:id="189"/>
      <w:r>
        <w:t xml:space="preserve">. </w:t>
      </w:r>
      <w:r w:rsidRPr="00664E43">
        <w:rPr>
          <w:i/>
        </w:rPr>
        <w:t>Proportion of sediment composed of mud (grain size &lt;63µm) at GBR seagrass monitoring habitats from 1999-2015.</w:t>
      </w:r>
      <w:bookmarkEnd w:id="190"/>
      <w:r w:rsidRPr="00664E43">
        <w:rPr>
          <w:i/>
        </w:rPr>
        <w:t xml:space="preserve"> </w:t>
      </w:r>
    </w:p>
    <w:p w:rsidR="00531604" w:rsidRPr="00531604" w:rsidRDefault="00531604" w:rsidP="00531604">
      <w:pPr>
        <w:rPr>
          <w:lang w:val="en-GB"/>
        </w:rPr>
      </w:pPr>
    </w:p>
    <w:p w:rsidR="005132EF" w:rsidRPr="00BA12BB" w:rsidRDefault="005132EF" w:rsidP="00BA12BB">
      <w:pPr>
        <w:pStyle w:val="Heading4"/>
        <w:numPr>
          <w:ilvl w:val="0"/>
          <w:numId w:val="0"/>
        </w:numPr>
        <w:rPr>
          <w:rFonts w:ascii="Arial" w:hAnsi="Arial" w:cs="Arial"/>
          <w:sz w:val="24"/>
          <w:szCs w:val="24"/>
        </w:rPr>
      </w:pPr>
      <w:bookmarkStart w:id="191" w:name="_Toc184101966"/>
      <w:r w:rsidRPr="00BA12BB">
        <w:rPr>
          <w:rFonts w:ascii="Arial" w:hAnsi="Arial" w:cs="Arial"/>
          <w:sz w:val="24"/>
          <w:szCs w:val="24"/>
        </w:rPr>
        <w:t xml:space="preserve">Epiphytes and </w:t>
      </w:r>
      <w:proofErr w:type="spellStart"/>
      <w:r w:rsidR="00655F8E" w:rsidRPr="00BA12BB">
        <w:rPr>
          <w:rFonts w:ascii="Arial" w:hAnsi="Arial" w:cs="Arial"/>
          <w:sz w:val="24"/>
          <w:szCs w:val="24"/>
        </w:rPr>
        <w:t>macroalgae</w:t>
      </w:r>
      <w:bookmarkEnd w:id="191"/>
      <w:proofErr w:type="spellEnd"/>
    </w:p>
    <w:p w:rsidR="00222E08" w:rsidRPr="00E731A8" w:rsidRDefault="005132EF" w:rsidP="00222E08">
      <w:pPr>
        <w:rPr>
          <w:szCs w:val="22"/>
        </w:rPr>
      </w:pPr>
      <w:r w:rsidRPr="00E731A8">
        <w:rPr>
          <w:szCs w:val="22"/>
        </w:rPr>
        <w:t xml:space="preserve">Epiphyte </w:t>
      </w:r>
      <w:r w:rsidR="005D356D" w:rsidRPr="00E731A8">
        <w:rPr>
          <w:szCs w:val="22"/>
        </w:rPr>
        <w:t xml:space="preserve">cover on seagrass leaves </w:t>
      </w:r>
      <w:r w:rsidR="00D5409B" w:rsidRPr="00E731A8">
        <w:rPr>
          <w:szCs w:val="22"/>
        </w:rPr>
        <w:t xml:space="preserve">across the GBR </w:t>
      </w:r>
      <w:r w:rsidR="00222E08" w:rsidRPr="00E731A8">
        <w:rPr>
          <w:szCs w:val="22"/>
        </w:rPr>
        <w:t xml:space="preserve">was higher in the </w:t>
      </w:r>
      <w:r w:rsidR="00D5409B" w:rsidRPr="00E731A8">
        <w:rPr>
          <w:szCs w:val="22"/>
        </w:rPr>
        <w:t>wet</w:t>
      </w:r>
      <w:r w:rsidR="00222E08" w:rsidRPr="00E731A8">
        <w:rPr>
          <w:szCs w:val="22"/>
        </w:rPr>
        <w:t xml:space="preserve"> than the </w:t>
      </w:r>
      <w:r w:rsidR="00D5409B" w:rsidRPr="00E731A8">
        <w:rPr>
          <w:szCs w:val="22"/>
        </w:rPr>
        <w:t>dry season across all seagrass habitats in 201</w:t>
      </w:r>
      <w:r w:rsidR="00E731A8" w:rsidRPr="00E731A8">
        <w:rPr>
          <w:szCs w:val="22"/>
        </w:rPr>
        <w:t>4</w:t>
      </w:r>
      <w:r w:rsidR="00D5409B" w:rsidRPr="00E731A8">
        <w:rPr>
          <w:szCs w:val="22"/>
        </w:rPr>
        <w:t>-1</w:t>
      </w:r>
      <w:r w:rsidR="00E731A8" w:rsidRPr="00E731A8">
        <w:rPr>
          <w:szCs w:val="22"/>
        </w:rPr>
        <w:t>5</w:t>
      </w:r>
      <w:r w:rsidR="00D5409B" w:rsidRPr="00E731A8">
        <w:rPr>
          <w:szCs w:val="22"/>
        </w:rPr>
        <w:t xml:space="preserve">. Epiphyte cover at intertidal estuary </w:t>
      </w:r>
      <w:r w:rsidR="00E731A8" w:rsidRPr="00E731A8">
        <w:rPr>
          <w:szCs w:val="22"/>
        </w:rPr>
        <w:t>habitats de</w:t>
      </w:r>
      <w:r w:rsidR="00D5409B" w:rsidRPr="00E731A8">
        <w:rPr>
          <w:szCs w:val="22"/>
        </w:rPr>
        <w:t xml:space="preserve">creased </w:t>
      </w:r>
      <w:r w:rsidR="00E731A8" w:rsidRPr="00E731A8">
        <w:rPr>
          <w:szCs w:val="22"/>
        </w:rPr>
        <w:t>below</w:t>
      </w:r>
      <w:r w:rsidR="00D5409B" w:rsidRPr="00E731A8">
        <w:rPr>
          <w:szCs w:val="22"/>
        </w:rPr>
        <w:t xml:space="preserve"> </w:t>
      </w:r>
      <w:r w:rsidR="00E731A8" w:rsidRPr="00E731A8">
        <w:rPr>
          <w:szCs w:val="22"/>
        </w:rPr>
        <w:t xml:space="preserve">the GBR long-term average in </w:t>
      </w:r>
      <w:r w:rsidR="00D5409B" w:rsidRPr="00E731A8">
        <w:rPr>
          <w:szCs w:val="22"/>
        </w:rPr>
        <w:t>201</w:t>
      </w:r>
      <w:r w:rsidR="00E731A8" w:rsidRPr="00E731A8">
        <w:rPr>
          <w:szCs w:val="22"/>
        </w:rPr>
        <w:t>4</w:t>
      </w:r>
      <w:r w:rsidR="00D5409B" w:rsidRPr="00E731A8">
        <w:rPr>
          <w:szCs w:val="22"/>
        </w:rPr>
        <w:t>-1</w:t>
      </w:r>
      <w:r w:rsidR="00E731A8" w:rsidRPr="00E731A8">
        <w:rPr>
          <w:szCs w:val="22"/>
        </w:rPr>
        <w:t>5</w:t>
      </w:r>
      <w:r w:rsidR="00D5409B" w:rsidRPr="00E731A8">
        <w:rPr>
          <w:szCs w:val="22"/>
        </w:rPr>
        <w:t xml:space="preserve"> (</w:t>
      </w:r>
      <w:r w:rsidR="00D5409B" w:rsidRPr="00E731A8">
        <w:rPr>
          <w:szCs w:val="22"/>
        </w:rPr>
        <w:fldChar w:fldCharType="begin"/>
      </w:r>
      <w:r w:rsidR="00D5409B" w:rsidRPr="00E731A8">
        <w:rPr>
          <w:szCs w:val="22"/>
        </w:rPr>
        <w:instrText xml:space="preserve"> REF _Ref379615757 \h  \* MERGEFORMAT </w:instrText>
      </w:r>
      <w:r w:rsidR="00D5409B" w:rsidRPr="00E731A8">
        <w:rPr>
          <w:szCs w:val="22"/>
        </w:rPr>
      </w:r>
      <w:r w:rsidR="00D5409B" w:rsidRPr="00E731A8">
        <w:rPr>
          <w:szCs w:val="22"/>
        </w:rPr>
        <w:fldChar w:fldCharType="separate"/>
      </w:r>
      <w:r w:rsidR="009C068F" w:rsidRPr="00E731A8">
        <w:t xml:space="preserve">Figure </w:t>
      </w:r>
      <w:r w:rsidR="009C068F">
        <w:rPr>
          <w:noProof/>
        </w:rPr>
        <w:t>27</w:t>
      </w:r>
      <w:r w:rsidR="00D5409B" w:rsidRPr="00E731A8">
        <w:rPr>
          <w:szCs w:val="22"/>
        </w:rPr>
        <w:fldChar w:fldCharType="end"/>
      </w:r>
      <w:r w:rsidR="00D5409B" w:rsidRPr="00E731A8">
        <w:rPr>
          <w:szCs w:val="22"/>
        </w:rPr>
        <w:t xml:space="preserve">). </w:t>
      </w:r>
      <w:r w:rsidR="00E731A8" w:rsidRPr="00E731A8">
        <w:rPr>
          <w:szCs w:val="22"/>
        </w:rPr>
        <w:t>Conversely</w:t>
      </w:r>
      <w:r w:rsidR="00222E08" w:rsidRPr="00E731A8">
        <w:rPr>
          <w:szCs w:val="22"/>
        </w:rPr>
        <w:t xml:space="preserve">, epiphyte cover </w:t>
      </w:r>
      <w:r w:rsidR="00D5409B" w:rsidRPr="00E731A8">
        <w:rPr>
          <w:szCs w:val="22"/>
        </w:rPr>
        <w:t>increased</w:t>
      </w:r>
      <w:r w:rsidR="00222E08" w:rsidRPr="00E731A8">
        <w:rPr>
          <w:szCs w:val="22"/>
        </w:rPr>
        <w:t xml:space="preserve"> </w:t>
      </w:r>
      <w:r w:rsidR="00E731A8" w:rsidRPr="00E731A8">
        <w:rPr>
          <w:szCs w:val="22"/>
        </w:rPr>
        <w:t xml:space="preserve">at all other </w:t>
      </w:r>
      <w:r w:rsidR="00222E08" w:rsidRPr="00E731A8">
        <w:rPr>
          <w:szCs w:val="22"/>
        </w:rPr>
        <w:t xml:space="preserve">habitats in </w:t>
      </w:r>
      <w:r w:rsidR="00EC364C" w:rsidRPr="00E731A8">
        <w:rPr>
          <w:szCs w:val="22"/>
        </w:rPr>
        <w:t>201</w:t>
      </w:r>
      <w:r w:rsidR="00E731A8" w:rsidRPr="00E731A8">
        <w:rPr>
          <w:szCs w:val="22"/>
        </w:rPr>
        <w:t>4</w:t>
      </w:r>
      <w:r w:rsidR="00EC364C" w:rsidRPr="00E731A8">
        <w:rPr>
          <w:szCs w:val="22"/>
        </w:rPr>
        <w:t>-1</w:t>
      </w:r>
      <w:r w:rsidR="00E731A8" w:rsidRPr="00E731A8">
        <w:rPr>
          <w:szCs w:val="22"/>
        </w:rPr>
        <w:t>5</w:t>
      </w:r>
      <w:r w:rsidR="00222E08" w:rsidRPr="00E731A8">
        <w:rPr>
          <w:szCs w:val="22"/>
        </w:rPr>
        <w:t xml:space="preserve">, </w:t>
      </w:r>
      <w:r w:rsidR="00D5409B" w:rsidRPr="00E731A8">
        <w:rPr>
          <w:szCs w:val="22"/>
        </w:rPr>
        <w:t xml:space="preserve">but </w:t>
      </w:r>
      <w:r w:rsidR="00E731A8" w:rsidRPr="00E731A8">
        <w:rPr>
          <w:szCs w:val="22"/>
        </w:rPr>
        <w:t>remained close to</w:t>
      </w:r>
      <w:r w:rsidR="00222E08" w:rsidRPr="00E731A8">
        <w:rPr>
          <w:szCs w:val="22"/>
        </w:rPr>
        <w:t xml:space="preserve"> the GBR long-term average (</w:t>
      </w:r>
      <w:r w:rsidR="00222E08" w:rsidRPr="00E731A8">
        <w:rPr>
          <w:szCs w:val="22"/>
        </w:rPr>
        <w:fldChar w:fldCharType="begin"/>
      </w:r>
      <w:r w:rsidR="00222E08" w:rsidRPr="00E731A8">
        <w:rPr>
          <w:szCs w:val="22"/>
        </w:rPr>
        <w:instrText xml:space="preserve"> REF _Ref379615757 \h </w:instrText>
      </w:r>
      <w:r w:rsidR="00015190" w:rsidRPr="00E731A8">
        <w:rPr>
          <w:szCs w:val="22"/>
        </w:rPr>
        <w:instrText xml:space="preserve"> \* MERGEFORMAT </w:instrText>
      </w:r>
      <w:r w:rsidR="00222E08" w:rsidRPr="00E731A8">
        <w:rPr>
          <w:szCs w:val="22"/>
        </w:rPr>
      </w:r>
      <w:r w:rsidR="00222E08" w:rsidRPr="00E731A8">
        <w:rPr>
          <w:szCs w:val="22"/>
        </w:rPr>
        <w:fldChar w:fldCharType="separate"/>
      </w:r>
      <w:r w:rsidR="009C068F" w:rsidRPr="00E731A8">
        <w:t xml:space="preserve">Figure </w:t>
      </w:r>
      <w:r w:rsidR="009C068F">
        <w:rPr>
          <w:noProof/>
        </w:rPr>
        <w:t>27</w:t>
      </w:r>
      <w:r w:rsidR="00222E08" w:rsidRPr="00E731A8">
        <w:rPr>
          <w:szCs w:val="22"/>
        </w:rPr>
        <w:fldChar w:fldCharType="end"/>
      </w:r>
      <w:r w:rsidR="00222E08" w:rsidRPr="00E731A8">
        <w:rPr>
          <w:szCs w:val="22"/>
        </w:rPr>
        <w:t xml:space="preserve">). </w:t>
      </w:r>
    </w:p>
    <w:p w:rsidR="005D356D" w:rsidRPr="00E731A8" w:rsidRDefault="008426F1" w:rsidP="0046050B">
      <w:pPr>
        <w:keepNext/>
        <w:spacing w:before="0" w:after="0"/>
        <w:jc w:val="center"/>
        <w:rPr>
          <w:szCs w:val="22"/>
        </w:rPr>
      </w:pPr>
      <w:r>
        <w:rPr>
          <w:noProof/>
          <w:szCs w:val="22"/>
          <w:lang w:eastAsia="en-AU"/>
        </w:rPr>
        <w:drawing>
          <wp:inline distT="0" distB="0" distL="0" distR="0" wp14:anchorId="5B21A76E" wp14:editId="35210466">
            <wp:extent cx="5040000" cy="3564000"/>
            <wp:effectExtent l="0" t="0" r="8255" b="0"/>
            <wp:docPr id="8" name="Picture 8" descr="Set of four scatter plots with straight lines and markers showing epiphyte abundance (% cover) relative to the long-term average for each GBR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BR_epi_difference_2015.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040000" cy="3564000"/>
                    </a:xfrm>
                    <a:prstGeom prst="rect">
                      <a:avLst/>
                    </a:prstGeom>
                  </pic:spPr>
                </pic:pic>
              </a:graphicData>
            </a:graphic>
          </wp:inline>
        </w:drawing>
      </w:r>
    </w:p>
    <w:p w:rsidR="00545457" w:rsidRPr="00E731A8" w:rsidRDefault="005D356D" w:rsidP="0046050B">
      <w:pPr>
        <w:spacing w:before="60"/>
        <w:rPr>
          <w:i/>
          <w:vanish/>
          <w:szCs w:val="22"/>
          <w:specVanish/>
        </w:rPr>
      </w:pPr>
      <w:bookmarkStart w:id="192" w:name="_Ref379615757"/>
      <w:bookmarkStart w:id="193" w:name="_Toc431493815"/>
      <w:bookmarkStart w:id="194" w:name="_Toc462684867"/>
      <w:r w:rsidRPr="00E731A8">
        <w:t xml:space="preserve">Figure </w:t>
      </w:r>
      <w:fldSimple w:instr=" SEQ Figure \* ARABIC ">
        <w:r w:rsidR="009C068F">
          <w:rPr>
            <w:noProof/>
          </w:rPr>
          <w:t>27</w:t>
        </w:r>
      </w:fldSimple>
      <w:bookmarkEnd w:id="192"/>
      <w:r w:rsidRPr="00E731A8">
        <w:t xml:space="preserve">. </w:t>
      </w:r>
      <w:r w:rsidRPr="00E731A8">
        <w:rPr>
          <w:i/>
        </w:rPr>
        <w:t>Epiphyte abundance (% cover) relative to the long-term average for each GBR seagrass habitat</w:t>
      </w:r>
      <w:bookmarkEnd w:id="193"/>
      <w:bookmarkEnd w:id="194"/>
      <w:r w:rsidRPr="00E731A8">
        <w:rPr>
          <w:i/>
        </w:rPr>
        <w:t xml:space="preserve"> </w:t>
      </w:r>
    </w:p>
    <w:p w:rsidR="001C56F3" w:rsidRPr="00E731A8" w:rsidRDefault="00545457" w:rsidP="0046050B">
      <w:pPr>
        <w:spacing w:before="60"/>
        <w:rPr>
          <w:szCs w:val="22"/>
        </w:rPr>
      </w:pPr>
      <w:r w:rsidRPr="00E731A8">
        <w:rPr>
          <w:i/>
        </w:rPr>
        <w:t xml:space="preserve"> </w:t>
      </w:r>
      <w:r w:rsidR="005D356D" w:rsidRPr="00E731A8">
        <w:rPr>
          <w:i/>
        </w:rPr>
        <w:t>(</w:t>
      </w:r>
      <w:proofErr w:type="gramStart"/>
      <w:r w:rsidR="005D356D" w:rsidRPr="00E731A8">
        <w:rPr>
          <w:i/>
        </w:rPr>
        <w:t>sites</w:t>
      </w:r>
      <w:proofErr w:type="gramEnd"/>
      <w:r w:rsidR="005D356D" w:rsidRPr="00E731A8">
        <w:rPr>
          <w:i/>
        </w:rPr>
        <w:t xml:space="preserve"> pooled, ±SE). GBR long-term average; estuarine = </w:t>
      </w:r>
      <w:r w:rsidR="00294B25" w:rsidRPr="00E731A8">
        <w:rPr>
          <w:i/>
          <w:szCs w:val="22"/>
        </w:rPr>
        <w:t>16.2</w:t>
      </w:r>
      <w:r w:rsidR="00294B25" w:rsidRPr="00E731A8">
        <w:rPr>
          <w:i/>
        </w:rPr>
        <w:t> ±</w:t>
      </w:r>
      <w:r w:rsidR="00294B25" w:rsidRPr="00E731A8">
        <w:rPr>
          <w:i/>
          <w:szCs w:val="22"/>
        </w:rPr>
        <w:t>8.4</w:t>
      </w:r>
      <w:r w:rsidR="005D356D" w:rsidRPr="00E731A8">
        <w:rPr>
          <w:i/>
        </w:rPr>
        <w:t>% coastal=</w:t>
      </w:r>
      <w:r w:rsidR="00294B25" w:rsidRPr="00E731A8">
        <w:rPr>
          <w:i/>
          <w:szCs w:val="22"/>
        </w:rPr>
        <w:t>15.1</w:t>
      </w:r>
      <w:r w:rsidR="00294B25" w:rsidRPr="00E731A8">
        <w:rPr>
          <w:i/>
        </w:rPr>
        <w:t> ±</w:t>
      </w:r>
      <w:r w:rsidR="00294B25" w:rsidRPr="00E731A8">
        <w:rPr>
          <w:i/>
          <w:szCs w:val="22"/>
        </w:rPr>
        <w:t>3.1</w:t>
      </w:r>
      <w:r w:rsidR="005D356D" w:rsidRPr="00E731A8">
        <w:rPr>
          <w:i/>
        </w:rPr>
        <w:t xml:space="preserve">%, reef = </w:t>
      </w:r>
      <w:r w:rsidR="00294B25" w:rsidRPr="00E731A8">
        <w:rPr>
          <w:i/>
          <w:szCs w:val="22"/>
        </w:rPr>
        <w:t>20.2</w:t>
      </w:r>
      <w:r w:rsidR="00294B25" w:rsidRPr="00E731A8">
        <w:rPr>
          <w:i/>
        </w:rPr>
        <w:t> ±</w:t>
      </w:r>
      <w:r w:rsidR="00294B25" w:rsidRPr="00E731A8">
        <w:rPr>
          <w:i/>
          <w:szCs w:val="22"/>
        </w:rPr>
        <w:t>3.3</w:t>
      </w:r>
      <w:r w:rsidR="005D356D" w:rsidRPr="00E731A8">
        <w:rPr>
          <w:i/>
        </w:rPr>
        <w:t xml:space="preserve">%, subtidal= </w:t>
      </w:r>
      <w:r w:rsidR="00294B25" w:rsidRPr="00E731A8">
        <w:rPr>
          <w:i/>
          <w:szCs w:val="22"/>
        </w:rPr>
        <w:t>7.7</w:t>
      </w:r>
      <w:r w:rsidR="00294B25" w:rsidRPr="00E731A8">
        <w:rPr>
          <w:i/>
        </w:rPr>
        <w:t> ±</w:t>
      </w:r>
      <w:r w:rsidR="00294B25" w:rsidRPr="00E731A8">
        <w:rPr>
          <w:i/>
          <w:szCs w:val="22"/>
        </w:rPr>
        <w:t>1.6</w:t>
      </w:r>
      <w:r w:rsidR="005D356D" w:rsidRPr="00E731A8">
        <w:rPr>
          <w:i/>
        </w:rPr>
        <w:t>%.</w:t>
      </w:r>
      <w:r w:rsidRPr="00E731A8">
        <w:rPr>
          <w:i/>
        </w:rPr>
        <w:t xml:space="preserve"> </w:t>
      </w:r>
    </w:p>
    <w:p w:rsidR="001C56F3" w:rsidRPr="00E731A8" w:rsidRDefault="00655F8E" w:rsidP="00034AD4">
      <w:pPr>
        <w:rPr>
          <w:szCs w:val="22"/>
        </w:rPr>
      </w:pPr>
      <w:proofErr w:type="spellStart"/>
      <w:r w:rsidRPr="00E731A8">
        <w:rPr>
          <w:szCs w:val="22"/>
        </w:rPr>
        <w:t>Macroalgae</w:t>
      </w:r>
      <w:proofErr w:type="spellEnd"/>
      <w:r w:rsidR="005132EF" w:rsidRPr="00E731A8">
        <w:rPr>
          <w:szCs w:val="22"/>
        </w:rPr>
        <w:t xml:space="preserve"> abundance </w:t>
      </w:r>
      <w:r w:rsidR="00604B78" w:rsidRPr="00E731A8">
        <w:rPr>
          <w:szCs w:val="22"/>
        </w:rPr>
        <w:t xml:space="preserve">changed little and </w:t>
      </w:r>
      <w:r w:rsidR="00222E08" w:rsidRPr="00E731A8">
        <w:rPr>
          <w:szCs w:val="22"/>
        </w:rPr>
        <w:t>remained</w:t>
      </w:r>
      <w:r w:rsidR="00604B78" w:rsidRPr="00E731A8">
        <w:rPr>
          <w:szCs w:val="22"/>
        </w:rPr>
        <w:t xml:space="preserve"> low either at or </w:t>
      </w:r>
      <w:r w:rsidR="001B4B58" w:rsidRPr="00E731A8">
        <w:rPr>
          <w:szCs w:val="22"/>
        </w:rPr>
        <w:t>below</w:t>
      </w:r>
      <w:r w:rsidR="00604B78" w:rsidRPr="00E731A8">
        <w:rPr>
          <w:szCs w:val="22"/>
        </w:rPr>
        <w:t xml:space="preserve"> </w:t>
      </w:r>
      <w:r w:rsidR="005132EF" w:rsidRPr="00E731A8">
        <w:rPr>
          <w:szCs w:val="22"/>
        </w:rPr>
        <w:t xml:space="preserve">the GBR long-term average during the </w:t>
      </w:r>
      <w:r w:rsidR="00EC364C" w:rsidRPr="00E731A8">
        <w:rPr>
          <w:szCs w:val="22"/>
        </w:rPr>
        <w:t>201</w:t>
      </w:r>
      <w:r w:rsidR="00E731A8" w:rsidRPr="00E731A8">
        <w:rPr>
          <w:szCs w:val="22"/>
        </w:rPr>
        <w:t>4</w:t>
      </w:r>
      <w:r w:rsidR="00EC364C" w:rsidRPr="00E731A8">
        <w:rPr>
          <w:szCs w:val="22"/>
        </w:rPr>
        <w:t>-1</w:t>
      </w:r>
      <w:r w:rsidR="00E731A8" w:rsidRPr="00E731A8">
        <w:rPr>
          <w:szCs w:val="22"/>
        </w:rPr>
        <w:t>5</w:t>
      </w:r>
      <w:r w:rsidR="005132EF" w:rsidRPr="00E731A8">
        <w:rPr>
          <w:szCs w:val="22"/>
        </w:rPr>
        <w:t xml:space="preserve"> monitoring period (</w:t>
      </w:r>
      <w:r w:rsidR="00F63096" w:rsidRPr="00E731A8">
        <w:rPr>
          <w:szCs w:val="22"/>
        </w:rPr>
        <w:fldChar w:fldCharType="begin"/>
      </w:r>
      <w:r w:rsidR="00F63096" w:rsidRPr="00E731A8">
        <w:rPr>
          <w:szCs w:val="22"/>
        </w:rPr>
        <w:instrText xml:space="preserve"> REF _Ref271537893 \h </w:instrText>
      </w:r>
      <w:r w:rsidR="00222E08" w:rsidRPr="00E731A8">
        <w:rPr>
          <w:szCs w:val="22"/>
        </w:rPr>
        <w:instrText xml:space="preserve"> \* MERGEFORMAT </w:instrText>
      </w:r>
      <w:r w:rsidR="00F63096" w:rsidRPr="00E731A8">
        <w:rPr>
          <w:szCs w:val="22"/>
        </w:rPr>
      </w:r>
      <w:r w:rsidR="00F63096" w:rsidRPr="00E731A8">
        <w:rPr>
          <w:szCs w:val="22"/>
        </w:rPr>
        <w:fldChar w:fldCharType="separate"/>
      </w:r>
      <w:r w:rsidR="009C068F" w:rsidRPr="009C068F">
        <w:rPr>
          <w:szCs w:val="22"/>
        </w:rPr>
        <w:t xml:space="preserve">Figure </w:t>
      </w:r>
      <w:r w:rsidR="009C068F" w:rsidRPr="009C068F">
        <w:rPr>
          <w:noProof/>
          <w:szCs w:val="22"/>
        </w:rPr>
        <w:t>28</w:t>
      </w:r>
      <w:r w:rsidR="00F63096" w:rsidRPr="00E731A8">
        <w:rPr>
          <w:szCs w:val="22"/>
        </w:rPr>
        <w:fldChar w:fldCharType="end"/>
      </w:r>
      <w:r w:rsidR="005132EF" w:rsidRPr="00E731A8">
        <w:rPr>
          <w:szCs w:val="22"/>
        </w:rPr>
        <w:t xml:space="preserve">). </w:t>
      </w:r>
      <w:r w:rsidR="00E731A8" w:rsidRPr="00E731A8">
        <w:rPr>
          <w:szCs w:val="22"/>
        </w:rPr>
        <w:t>A gradual increase at subtidal habitats during the late dry season over the last 3 years may suggest elevated nutrients at most sites.</w:t>
      </w:r>
    </w:p>
    <w:p w:rsidR="005132EF" w:rsidRPr="00294B25" w:rsidRDefault="008426F1" w:rsidP="0046050B">
      <w:pPr>
        <w:keepNext/>
        <w:spacing w:before="0" w:after="0"/>
        <w:jc w:val="center"/>
        <w:rPr>
          <w:noProof/>
          <w:color w:val="000000"/>
          <w:lang w:eastAsia="en-AU"/>
        </w:rPr>
      </w:pPr>
      <w:r>
        <w:rPr>
          <w:noProof/>
          <w:color w:val="000000"/>
          <w:lang w:eastAsia="en-AU"/>
        </w:rPr>
        <w:lastRenderedPageBreak/>
        <w:drawing>
          <wp:inline distT="0" distB="0" distL="0" distR="0" wp14:anchorId="4EB28F66" wp14:editId="33342DCC">
            <wp:extent cx="5040000" cy="3560400"/>
            <wp:effectExtent l="0" t="0" r="8255" b="2540"/>
            <wp:docPr id="15" name="Picture 15" descr="Set of four scatter plots with straight lines and markers showing macro algae abundance (% cover) relative to the long-term average for each GBR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BR_algae_difference_2015.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040000" cy="3560400"/>
                    </a:xfrm>
                    <a:prstGeom prst="rect">
                      <a:avLst/>
                    </a:prstGeom>
                  </pic:spPr>
                </pic:pic>
              </a:graphicData>
            </a:graphic>
          </wp:inline>
        </w:drawing>
      </w:r>
    </w:p>
    <w:p w:rsidR="00C6227E" w:rsidRPr="00E731A8" w:rsidRDefault="005132EF" w:rsidP="0046050B">
      <w:pPr>
        <w:spacing w:before="60" w:after="0"/>
        <w:rPr>
          <w:i/>
          <w:vanish/>
          <w:szCs w:val="22"/>
          <w:specVanish/>
        </w:rPr>
      </w:pPr>
      <w:bookmarkStart w:id="195" w:name="_Ref271537893"/>
      <w:bookmarkStart w:id="196" w:name="_Toc431493816"/>
      <w:bookmarkStart w:id="197" w:name="_Toc462684868"/>
      <w:r w:rsidRPr="00E731A8">
        <w:t xml:space="preserve">Figure </w:t>
      </w:r>
      <w:fldSimple w:instr=" SEQ Figure \* ARABIC ">
        <w:r w:rsidR="009C068F">
          <w:rPr>
            <w:noProof/>
          </w:rPr>
          <w:t>28</w:t>
        </w:r>
      </w:fldSimple>
      <w:bookmarkEnd w:id="195"/>
      <w:r w:rsidRPr="00E731A8">
        <w:t xml:space="preserve">. </w:t>
      </w:r>
      <w:proofErr w:type="spellStart"/>
      <w:r w:rsidR="00655F8E" w:rsidRPr="00E731A8">
        <w:rPr>
          <w:i/>
        </w:rPr>
        <w:t>Macroalgae</w:t>
      </w:r>
      <w:proofErr w:type="spellEnd"/>
      <w:r w:rsidRPr="00E731A8">
        <w:rPr>
          <w:i/>
        </w:rPr>
        <w:t xml:space="preserve"> abundance (% cover) </w:t>
      </w:r>
      <w:r w:rsidR="00184906" w:rsidRPr="00E731A8">
        <w:rPr>
          <w:i/>
        </w:rPr>
        <w:t xml:space="preserve">relative to the long-term average for each </w:t>
      </w:r>
      <w:r w:rsidR="00C6227E" w:rsidRPr="00E731A8">
        <w:rPr>
          <w:i/>
        </w:rPr>
        <w:t xml:space="preserve">inshore </w:t>
      </w:r>
      <w:r w:rsidR="00184906" w:rsidRPr="00E731A8">
        <w:rPr>
          <w:i/>
        </w:rPr>
        <w:t>GBR seagrass habitat</w:t>
      </w:r>
      <w:bookmarkEnd w:id="196"/>
      <w:bookmarkEnd w:id="197"/>
    </w:p>
    <w:p w:rsidR="00FA4C72" w:rsidRPr="00DD6755" w:rsidRDefault="00184906" w:rsidP="0046050B">
      <w:pPr>
        <w:spacing w:before="60" w:after="0"/>
        <w:rPr>
          <w:highlight w:val="yellow"/>
        </w:rPr>
      </w:pPr>
      <w:r w:rsidRPr="00E731A8">
        <w:rPr>
          <w:i/>
        </w:rPr>
        <w:t xml:space="preserve"> (</w:t>
      </w:r>
      <w:proofErr w:type="gramStart"/>
      <w:r w:rsidRPr="00E731A8">
        <w:rPr>
          <w:i/>
        </w:rPr>
        <w:t>sites</w:t>
      </w:r>
      <w:proofErr w:type="gramEnd"/>
      <w:r w:rsidRPr="00E731A8">
        <w:rPr>
          <w:i/>
        </w:rPr>
        <w:t xml:space="preserve"> pooled, ±SE). GBR long-term average; </w:t>
      </w:r>
      <w:r w:rsidR="005132EF" w:rsidRPr="00E731A8">
        <w:rPr>
          <w:i/>
        </w:rPr>
        <w:t xml:space="preserve">estuarine = </w:t>
      </w:r>
      <w:r w:rsidR="00294B25" w:rsidRPr="00E731A8">
        <w:rPr>
          <w:i/>
        </w:rPr>
        <w:t>2.5 ±1.0</w:t>
      </w:r>
      <w:r w:rsidR="005132EF" w:rsidRPr="00E731A8">
        <w:rPr>
          <w:i/>
        </w:rPr>
        <w:t>%, coastal=</w:t>
      </w:r>
      <w:r w:rsidR="00294B25" w:rsidRPr="00E731A8">
        <w:rPr>
          <w:i/>
        </w:rPr>
        <w:t>3.2 ±1.4</w:t>
      </w:r>
      <w:r w:rsidR="005132EF" w:rsidRPr="00E731A8">
        <w:rPr>
          <w:i/>
        </w:rPr>
        <w:t xml:space="preserve">%, reef = </w:t>
      </w:r>
      <w:r w:rsidR="00294B25" w:rsidRPr="00E731A8">
        <w:rPr>
          <w:i/>
        </w:rPr>
        <w:t>6.2 ±1.8</w:t>
      </w:r>
      <w:r w:rsidR="005132EF" w:rsidRPr="00E731A8">
        <w:rPr>
          <w:i/>
        </w:rPr>
        <w:t>%</w:t>
      </w:r>
      <w:r w:rsidRPr="00E731A8">
        <w:rPr>
          <w:i/>
        </w:rPr>
        <w:t xml:space="preserve">, subtidal = </w:t>
      </w:r>
      <w:r w:rsidR="00294B25" w:rsidRPr="00E731A8">
        <w:rPr>
          <w:i/>
        </w:rPr>
        <w:t>4.7 ±2.0</w:t>
      </w:r>
      <w:r w:rsidRPr="00E731A8">
        <w:rPr>
          <w:i/>
        </w:rPr>
        <w:t>%</w:t>
      </w:r>
      <w:r w:rsidR="005132EF" w:rsidRPr="00E731A8">
        <w:rPr>
          <w:i/>
        </w:rPr>
        <w:t>.</w:t>
      </w:r>
      <w:r w:rsidR="00C6227E" w:rsidRPr="00E731A8">
        <w:rPr>
          <w:i/>
        </w:rPr>
        <w:t xml:space="preserve"> </w:t>
      </w:r>
    </w:p>
    <w:p w:rsidR="00AB6175" w:rsidRPr="001F473C" w:rsidRDefault="000535CA" w:rsidP="00926892">
      <w:pPr>
        <w:pStyle w:val="Heading2"/>
        <w:numPr>
          <w:ilvl w:val="1"/>
          <w:numId w:val="9"/>
        </w:numPr>
        <w:rPr>
          <w:rFonts w:ascii="Century Gothic" w:hAnsi="Century Gothic"/>
          <w:color w:val="000000"/>
        </w:rPr>
      </w:pPr>
      <w:r w:rsidRPr="00015190">
        <w:rPr>
          <w:color w:val="0000FF"/>
        </w:rPr>
        <w:br w:type="page"/>
      </w:r>
      <w:bookmarkStart w:id="198" w:name="_Toc431493758"/>
      <w:bookmarkStart w:id="199" w:name="_Toc462047336"/>
      <w:bookmarkStart w:id="200" w:name="_Toc175991058"/>
      <w:bookmarkStart w:id="201" w:name="_Toc232845904"/>
      <w:bookmarkStart w:id="202" w:name="_Toc184101968"/>
      <w:smartTag w:uri="urn:schemas-microsoft-com:office:smarttags" w:element="place">
        <w:r w:rsidR="00AB6175" w:rsidRPr="001F473C">
          <w:rPr>
            <w:rFonts w:ascii="Century Gothic" w:hAnsi="Century Gothic"/>
            <w:color w:val="000000"/>
          </w:rPr>
          <w:lastRenderedPageBreak/>
          <w:t>Cape York</w:t>
        </w:r>
      </w:smartTag>
      <w:bookmarkEnd w:id="198"/>
      <w:bookmarkEnd w:id="199"/>
    </w:p>
    <w:p w:rsidR="005132EF" w:rsidRPr="00BD0604" w:rsidRDefault="00EC364C" w:rsidP="00926892">
      <w:pPr>
        <w:pStyle w:val="Heading3"/>
        <w:numPr>
          <w:ilvl w:val="2"/>
          <w:numId w:val="9"/>
        </w:numPr>
        <w:rPr>
          <w:rFonts w:ascii="Arial" w:hAnsi="Arial" w:cs="Arial"/>
          <w:color w:val="000000"/>
        </w:rPr>
      </w:pPr>
      <w:bookmarkStart w:id="203" w:name="_Toc184101969"/>
      <w:bookmarkStart w:id="204" w:name="_Toc431493759"/>
      <w:bookmarkStart w:id="205" w:name="_Toc462047337"/>
      <w:bookmarkEnd w:id="200"/>
      <w:bookmarkEnd w:id="201"/>
      <w:bookmarkEnd w:id="202"/>
      <w:r w:rsidRPr="00BD0604">
        <w:rPr>
          <w:rFonts w:ascii="Arial" w:hAnsi="Arial" w:cs="Arial"/>
          <w:color w:val="000000"/>
        </w:rPr>
        <w:t>201</w:t>
      </w:r>
      <w:r w:rsidR="00716CE2">
        <w:rPr>
          <w:rFonts w:ascii="Arial" w:hAnsi="Arial" w:cs="Arial"/>
          <w:color w:val="000000"/>
        </w:rPr>
        <w:t>4</w:t>
      </w:r>
      <w:r w:rsidRPr="00BD0604">
        <w:rPr>
          <w:rFonts w:ascii="Arial" w:hAnsi="Arial" w:cs="Arial"/>
          <w:color w:val="000000"/>
        </w:rPr>
        <w:t>-1</w:t>
      </w:r>
      <w:r w:rsidR="00716CE2">
        <w:rPr>
          <w:rFonts w:ascii="Arial" w:hAnsi="Arial" w:cs="Arial"/>
          <w:color w:val="000000"/>
        </w:rPr>
        <w:t>5</w:t>
      </w:r>
      <w:r w:rsidR="005132EF" w:rsidRPr="00BD0604">
        <w:rPr>
          <w:rFonts w:ascii="Arial" w:hAnsi="Arial" w:cs="Arial"/>
          <w:color w:val="000000"/>
        </w:rPr>
        <w:t xml:space="preserve"> Summary</w:t>
      </w:r>
      <w:bookmarkEnd w:id="203"/>
      <w:bookmarkEnd w:id="204"/>
      <w:bookmarkEnd w:id="205"/>
    </w:p>
    <w:p w:rsidR="00906FE6" w:rsidRPr="00F70D76" w:rsidRDefault="00906FE6" w:rsidP="00017151">
      <w:pPr>
        <w:spacing w:after="0"/>
        <w:rPr>
          <w:rFonts w:asciiTheme="minorHAnsi" w:hAnsiTheme="minorHAnsi"/>
          <w:szCs w:val="22"/>
        </w:rPr>
      </w:pPr>
      <w:bookmarkStart w:id="206" w:name="_Toc431493761"/>
      <w:bookmarkStart w:id="207" w:name="_Toc175991060"/>
      <w:bookmarkStart w:id="208" w:name="_Toc232845906"/>
      <w:r w:rsidRPr="00F70D76">
        <w:rPr>
          <w:rFonts w:asciiTheme="minorHAnsi" w:hAnsiTheme="minorHAnsi"/>
          <w:color w:val="000000"/>
          <w:szCs w:val="22"/>
        </w:rPr>
        <w:t xml:space="preserve">Waters entering the GBR lagoon from Cape York catchments are perceived to be </w:t>
      </w:r>
      <w:r w:rsidR="00017151">
        <w:rPr>
          <w:rFonts w:asciiTheme="minorHAnsi" w:hAnsiTheme="minorHAnsi"/>
          <w:color w:val="000000"/>
          <w:szCs w:val="22"/>
        </w:rPr>
        <w:t xml:space="preserve">of a high quality, with low </w:t>
      </w:r>
      <w:r w:rsidR="00017151">
        <w:rPr>
          <w:szCs w:val="22"/>
        </w:rPr>
        <w:t>levels of suspended sediments, nutrients and pesticides</w:t>
      </w:r>
      <w:r w:rsidRPr="00F70D76">
        <w:rPr>
          <w:rFonts w:asciiTheme="minorHAnsi" w:hAnsiTheme="minorHAnsi"/>
          <w:color w:val="000000"/>
          <w:szCs w:val="22"/>
        </w:rPr>
        <w:t xml:space="preserve">. Seagrass growth on reef and coastal habitats in the region appears primarily controlled by physical disturbance from waves/swell and associated sediment movement, with pulsed terrigenous runoff from seasonal rains affecting some coastal regions. In February 2015, </w:t>
      </w:r>
      <w:r w:rsidR="009E002A">
        <w:rPr>
          <w:rFonts w:asciiTheme="minorHAnsi" w:hAnsiTheme="minorHAnsi"/>
          <w:color w:val="000000"/>
          <w:szCs w:val="22"/>
        </w:rPr>
        <w:t xml:space="preserve">the tropical depression which later formed into </w:t>
      </w:r>
      <w:r w:rsidRPr="00F70D76">
        <w:rPr>
          <w:rFonts w:asciiTheme="minorHAnsi" w:hAnsiTheme="minorHAnsi"/>
          <w:color w:val="000000"/>
          <w:szCs w:val="22"/>
        </w:rPr>
        <w:t xml:space="preserve">TC Lam crossed the coast near Lockhart River; just south of the Piper Reef and Shelburne Bay sites. There was a high frequency of exposure to green secondary flood plume water at seagrass sites in 2014-15, which indicates the possibility of some nutrient enrichment. However, within-canopy daily light remained above average for the year (annual average), and amongst the highest in the GBR, though in early 2015, coastal </w:t>
      </w:r>
      <w:r w:rsidR="00F758CA" w:rsidRPr="00F70D76">
        <w:rPr>
          <w:rFonts w:asciiTheme="minorHAnsi" w:hAnsiTheme="minorHAnsi"/>
          <w:color w:val="000000"/>
          <w:szCs w:val="22"/>
        </w:rPr>
        <w:t>locations</w:t>
      </w:r>
      <w:r w:rsidRPr="00F70D76">
        <w:rPr>
          <w:rFonts w:asciiTheme="minorHAnsi" w:hAnsiTheme="minorHAnsi"/>
          <w:color w:val="000000"/>
          <w:szCs w:val="22"/>
        </w:rPr>
        <w:t xml:space="preserve"> (BY, SR) had low light levels, in particular after the crossing of TC </w:t>
      </w:r>
      <w:r w:rsidR="009E002A">
        <w:rPr>
          <w:rFonts w:asciiTheme="minorHAnsi" w:hAnsiTheme="minorHAnsi"/>
          <w:color w:val="000000"/>
          <w:szCs w:val="22"/>
        </w:rPr>
        <w:t>Nathan in March</w:t>
      </w:r>
      <w:r w:rsidRPr="00F70D76">
        <w:rPr>
          <w:rFonts w:asciiTheme="minorHAnsi" w:hAnsiTheme="minorHAnsi"/>
          <w:color w:val="000000"/>
          <w:szCs w:val="22"/>
        </w:rPr>
        <w:t>. This was also a time of frequent temperature threshold exceedance, and the combination of low light levels and high temperatures can impair growth</w:t>
      </w:r>
      <w:r w:rsidRPr="00F70D76">
        <w:rPr>
          <w:rFonts w:asciiTheme="minorHAnsi" w:hAnsiTheme="minorHAnsi"/>
          <w:szCs w:val="22"/>
        </w:rPr>
        <w:t>. No extreme (&gt;40°C) within-canopy seawater temperatures were experienced over the monitoring period and annual daytime tidal exposure was the lowest in 3 years (below median).</w:t>
      </w:r>
    </w:p>
    <w:p w:rsidR="00906FE6" w:rsidRDefault="00906FE6" w:rsidP="006E32D4">
      <w:pPr>
        <w:spacing w:after="0"/>
        <w:rPr>
          <w:color w:val="000000"/>
          <w:szCs w:val="22"/>
        </w:rPr>
      </w:pPr>
      <w:r w:rsidRPr="00F70D76">
        <w:rPr>
          <w:rFonts w:asciiTheme="minorHAnsi" w:hAnsiTheme="minorHAnsi"/>
          <w:color w:val="000000"/>
          <w:szCs w:val="22"/>
        </w:rPr>
        <w:t xml:space="preserve">One location in Cape York (Archer Point) has been monitored since 2005, while locations further north have only been monitored from 2011 (after the climatic events that caused declines throughout the developing GBR coast). This makes it difficult to assess long-term trends </w:t>
      </w:r>
      <w:r w:rsidR="007C3ABF">
        <w:rPr>
          <w:rFonts w:asciiTheme="minorHAnsi" w:hAnsiTheme="minorHAnsi"/>
          <w:color w:val="000000"/>
          <w:szCs w:val="22"/>
        </w:rPr>
        <w:t>across</w:t>
      </w:r>
      <w:r w:rsidRPr="00F70D76">
        <w:rPr>
          <w:rFonts w:asciiTheme="minorHAnsi" w:hAnsiTheme="minorHAnsi"/>
          <w:color w:val="000000"/>
          <w:szCs w:val="22"/>
        </w:rPr>
        <w:t xml:space="preserve"> Cape York. Seagrass abundance, as well as changes in abundance</w:t>
      </w:r>
      <w:r w:rsidR="00FB2602">
        <w:rPr>
          <w:rFonts w:asciiTheme="minorHAnsi" w:hAnsiTheme="minorHAnsi"/>
          <w:color w:val="000000"/>
          <w:szCs w:val="22"/>
        </w:rPr>
        <w:t>,</w:t>
      </w:r>
      <w:r w:rsidRPr="00F70D76">
        <w:rPr>
          <w:rFonts w:asciiTheme="minorHAnsi" w:hAnsiTheme="minorHAnsi"/>
          <w:color w:val="000000"/>
          <w:szCs w:val="22"/>
        </w:rPr>
        <w:t xml:space="preserve"> varied among sites within the region in 2014-15. In general, seagrass abundance increased</w:t>
      </w:r>
      <w:r w:rsidR="007C3ABF">
        <w:rPr>
          <w:rFonts w:asciiTheme="minorHAnsi" w:hAnsiTheme="minorHAnsi"/>
          <w:color w:val="000000"/>
          <w:szCs w:val="22"/>
        </w:rPr>
        <w:t xml:space="preserve"> relative to the previous period</w:t>
      </w:r>
      <w:r w:rsidRPr="00F70D76">
        <w:rPr>
          <w:rFonts w:asciiTheme="minorHAnsi" w:hAnsiTheme="minorHAnsi"/>
          <w:color w:val="000000"/>
          <w:szCs w:val="22"/>
        </w:rPr>
        <w:t>, except at one reef (Piper Reef) and one coastal (Shelburne Bay) location</w:t>
      </w:r>
      <w:r w:rsidR="007C3ABF">
        <w:rPr>
          <w:rFonts w:asciiTheme="minorHAnsi" w:hAnsiTheme="minorHAnsi"/>
          <w:color w:val="000000"/>
          <w:szCs w:val="22"/>
        </w:rPr>
        <w:t>;</w:t>
      </w:r>
      <w:r w:rsidRPr="00F70D76">
        <w:rPr>
          <w:rFonts w:asciiTheme="minorHAnsi" w:hAnsiTheme="minorHAnsi"/>
          <w:color w:val="000000"/>
          <w:szCs w:val="22"/>
        </w:rPr>
        <w:t xml:space="preserve"> which were closer to the path of </w:t>
      </w:r>
      <w:r w:rsidR="009E002A">
        <w:rPr>
          <w:rFonts w:asciiTheme="minorHAnsi" w:hAnsiTheme="minorHAnsi"/>
          <w:color w:val="000000"/>
          <w:szCs w:val="22"/>
        </w:rPr>
        <w:t xml:space="preserve">the tropical depression which strengthened into </w:t>
      </w:r>
      <w:r w:rsidRPr="00F70D76">
        <w:rPr>
          <w:rFonts w:asciiTheme="minorHAnsi" w:hAnsiTheme="minorHAnsi"/>
          <w:color w:val="000000"/>
          <w:szCs w:val="22"/>
        </w:rPr>
        <w:t xml:space="preserve">TC Lam, and may have been physically disturbed by the event. The low seed bank and very poor reproductive effort at reef sites further indicates that they have low capacity to recover following such disturbance. In contrast, coastal seagrass meadows may have greater resilience on account of their good abundance and dense seed banks. Seagrass leaf tissue nutrients (C:N) were below 20 and indicate high available N relative to C uptake. On account of their moderate abundance, it appears seagrass across the Cape York NRM region were able to resist the </w:t>
      </w:r>
      <w:r w:rsidR="007C3ABF">
        <w:rPr>
          <w:rFonts w:asciiTheme="minorHAnsi" w:hAnsiTheme="minorHAnsi"/>
          <w:color w:val="000000"/>
          <w:szCs w:val="22"/>
        </w:rPr>
        <w:t>less than favourable</w:t>
      </w:r>
      <w:r w:rsidRPr="00F70D76">
        <w:rPr>
          <w:rFonts w:asciiTheme="minorHAnsi" w:hAnsiTheme="minorHAnsi"/>
          <w:color w:val="000000"/>
          <w:szCs w:val="22"/>
        </w:rPr>
        <w:t xml:space="preserve"> environmental conditions of 201</w:t>
      </w:r>
      <w:r w:rsidR="00716CE2" w:rsidRPr="00F70D76">
        <w:rPr>
          <w:rFonts w:asciiTheme="minorHAnsi" w:hAnsiTheme="minorHAnsi"/>
          <w:color w:val="000000"/>
          <w:szCs w:val="22"/>
        </w:rPr>
        <w:t>4</w:t>
      </w:r>
      <w:r w:rsidRPr="00F70D76">
        <w:rPr>
          <w:rFonts w:asciiTheme="minorHAnsi" w:hAnsiTheme="minorHAnsi"/>
          <w:color w:val="000000"/>
          <w:szCs w:val="22"/>
        </w:rPr>
        <w:t>-1</w:t>
      </w:r>
      <w:r w:rsidR="00716CE2" w:rsidRPr="00F70D76">
        <w:rPr>
          <w:rFonts w:asciiTheme="minorHAnsi" w:hAnsiTheme="minorHAnsi"/>
          <w:color w:val="000000"/>
          <w:szCs w:val="22"/>
        </w:rPr>
        <w:t>5</w:t>
      </w:r>
      <w:r w:rsidRPr="00F70D76">
        <w:rPr>
          <w:rFonts w:asciiTheme="minorHAnsi" w:hAnsiTheme="minorHAnsi"/>
          <w:color w:val="000000"/>
          <w:szCs w:val="22"/>
        </w:rPr>
        <w:t xml:space="preserve">, and rather than decline, the regional seagrass state improved slightly over the last 12 months, but remains </w:t>
      </w:r>
      <w:r w:rsidRPr="00F70D76">
        <w:rPr>
          <w:rFonts w:asciiTheme="minorHAnsi" w:hAnsiTheme="minorHAnsi"/>
          <w:b/>
          <w:color w:val="000000"/>
          <w:szCs w:val="22"/>
        </w:rPr>
        <w:t>poor</w:t>
      </w:r>
      <w:r w:rsidRPr="00F70D76">
        <w:rPr>
          <w:rFonts w:asciiTheme="minorHAnsi" w:hAnsiTheme="minorHAnsi"/>
          <w:color w:val="000000"/>
          <w:szCs w:val="22"/>
        </w:rPr>
        <w:t xml:space="preserve"> (</w:t>
      </w:r>
      <w:r w:rsidR="006E32D4">
        <w:rPr>
          <w:rFonts w:asciiTheme="minorHAnsi" w:hAnsiTheme="minorHAnsi"/>
          <w:color w:val="000000"/>
          <w:szCs w:val="22"/>
        </w:rPr>
        <w:fldChar w:fldCharType="begin"/>
      </w:r>
      <w:r w:rsidR="006E32D4">
        <w:rPr>
          <w:rFonts w:asciiTheme="minorHAnsi" w:hAnsiTheme="minorHAnsi"/>
          <w:color w:val="000000"/>
          <w:szCs w:val="22"/>
        </w:rPr>
        <w:instrText xml:space="preserve"> REF _Ref385233470 \h </w:instrText>
      </w:r>
      <w:r w:rsidR="006E32D4">
        <w:rPr>
          <w:rFonts w:asciiTheme="minorHAnsi" w:hAnsiTheme="minorHAnsi"/>
          <w:color w:val="000000"/>
          <w:szCs w:val="22"/>
        </w:rPr>
      </w:r>
      <w:r w:rsidR="006E32D4">
        <w:rPr>
          <w:rFonts w:asciiTheme="minorHAnsi" w:hAnsiTheme="minorHAnsi"/>
          <w:color w:val="000000"/>
          <w:szCs w:val="22"/>
        </w:rPr>
        <w:fldChar w:fldCharType="separate"/>
      </w:r>
      <w:r w:rsidR="009C068F" w:rsidRPr="00120417">
        <w:rPr>
          <w:color w:val="000000"/>
        </w:rPr>
        <w:t xml:space="preserve">Figure </w:t>
      </w:r>
      <w:r w:rsidR="009C068F">
        <w:rPr>
          <w:noProof/>
          <w:color w:val="000000"/>
        </w:rPr>
        <w:t>29</w:t>
      </w:r>
      <w:r w:rsidR="006E32D4">
        <w:rPr>
          <w:rFonts w:asciiTheme="minorHAnsi" w:hAnsiTheme="minorHAnsi"/>
          <w:color w:val="000000"/>
          <w:szCs w:val="22"/>
        </w:rPr>
        <w:fldChar w:fldCharType="end"/>
      </w:r>
      <w:r w:rsidRPr="00F70D76">
        <w:rPr>
          <w:rFonts w:asciiTheme="minorHAnsi" w:hAnsiTheme="minorHAnsi"/>
          <w:color w:val="000000"/>
          <w:szCs w:val="22"/>
        </w:rPr>
        <w:t>).</w:t>
      </w:r>
    </w:p>
    <w:p w:rsidR="006E32D4" w:rsidRDefault="006E32D4" w:rsidP="006E32D4">
      <w:pPr>
        <w:spacing w:before="240" w:after="0"/>
        <w:jc w:val="center"/>
        <w:rPr>
          <w:color w:val="000000"/>
          <w:szCs w:val="22"/>
        </w:rPr>
      </w:pPr>
      <w:r>
        <w:rPr>
          <w:noProof/>
          <w:color w:val="000000"/>
          <w:szCs w:val="22"/>
          <w:lang w:eastAsia="en-AU"/>
        </w:rPr>
        <w:drawing>
          <wp:inline distT="0" distB="0" distL="0" distR="0" wp14:anchorId="73CDBA9B" wp14:editId="367CC1CC">
            <wp:extent cx="4614890" cy="2475259"/>
            <wp:effectExtent l="0" t="0" r="0" b="1270"/>
            <wp:docPr id="120" name="Picture 120" descr="Panel of four scatter plots with straight lines and markers showing report card of seagrass condition (indicators and index) for the Cape York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NDEX_CY_2015.pn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617701" cy="2476767"/>
                    </a:xfrm>
                    <a:prstGeom prst="rect">
                      <a:avLst/>
                    </a:prstGeom>
                  </pic:spPr>
                </pic:pic>
              </a:graphicData>
            </a:graphic>
          </wp:inline>
        </w:drawing>
      </w:r>
    </w:p>
    <w:p w:rsidR="006E32D4" w:rsidRPr="00120417" w:rsidRDefault="006E32D4" w:rsidP="006E32D4">
      <w:pPr>
        <w:rPr>
          <w:i/>
          <w:vanish/>
          <w:color w:val="000000"/>
          <w:szCs w:val="22"/>
          <w:specVanish/>
        </w:rPr>
      </w:pPr>
      <w:bookmarkStart w:id="209" w:name="_Ref385233470"/>
      <w:bookmarkStart w:id="210" w:name="_Toc431493825"/>
      <w:bookmarkStart w:id="211" w:name="_Toc462684869"/>
      <w:r w:rsidRPr="00120417">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29</w:t>
      </w:r>
      <w:r>
        <w:rPr>
          <w:color w:val="000000"/>
        </w:rPr>
        <w:fldChar w:fldCharType="end"/>
      </w:r>
      <w:bookmarkEnd w:id="209"/>
      <w:r w:rsidRPr="00120417">
        <w:rPr>
          <w:color w:val="000000"/>
        </w:rPr>
        <w:t xml:space="preserve">. </w:t>
      </w:r>
      <w:r w:rsidRPr="00120417">
        <w:rPr>
          <w:i/>
          <w:color w:val="000000"/>
          <w:szCs w:val="22"/>
        </w:rPr>
        <w:t xml:space="preserve">Report card of seagrass </w:t>
      </w:r>
      <w:r>
        <w:rPr>
          <w:i/>
          <w:color w:val="000000"/>
          <w:szCs w:val="22"/>
        </w:rPr>
        <w:t>condition</w:t>
      </w:r>
      <w:r w:rsidRPr="00120417">
        <w:rPr>
          <w:i/>
          <w:color w:val="000000"/>
          <w:szCs w:val="22"/>
        </w:rPr>
        <w:t xml:space="preserve"> </w:t>
      </w:r>
      <w:r>
        <w:rPr>
          <w:i/>
          <w:color w:val="000000"/>
          <w:szCs w:val="22"/>
        </w:rPr>
        <w:t>(</w:t>
      </w:r>
      <w:r w:rsidRPr="00120417">
        <w:rPr>
          <w:i/>
          <w:color w:val="000000"/>
          <w:szCs w:val="22"/>
        </w:rPr>
        <w:t>indicators and index</w:t>
      </w:r>
      <w:r>
        <w:rPr>
          <w:i/>
          <w:color w:val="000000"/>
          <w:szCs w:val="22"/>
        </w:rPr>
        <w:t>)</w:t>
      </w:r>
      <w:r w:rsidRPr="00120417">
        <w:rPr>
          <w:i/>
          <w:color w:val="000000"/>
          <w:szCs w:val="22"/>
        </w:rPr>
        <w:t xml:space="preserve"> for the Cape York NRM region</w:t>
      </w:r>
      <w:bookmarkEnd w:id="210"/>
      <w:bookmarkEnd w:id="211"/>
    </w:p>
    <w:p w:rsidR="006E32D4" w:rsidRPr="00120417" w:rsidRDefault="006E32D4" w:rsidP="006E32D4">
      <w:pPr>
        <w:rPr>
          <w:i/>
          <w:color w:val="000000"/>
          <w:szCs w:val="22"/>
        </w:rPr>
      </w:pPr>
      <w:r w:rsidRPr="00120417">
        <w:rPr>
          <w:i/>
          <w:color w:val="000000"/>
          <w:szCs w:val="22"/>
        </w:rPr>
        <w:t xml:space="preserve"> (average</w:t>
      </w:r>
      <w:r>
        <w:rPr>
          <w:i/>
          <w:color w:val="000000"/>
          <w:szCs w:val="22"/>
        </w:rPr>
        <w:t>d</w:t>
      </w:r>
      <w:r w:rsidRPr="00120417">
        <w:rPr>
          <w:i/>
          <w:color w:val="000000"/>
          <w:szCs w:val="22"/>
        </w:rPr>
        <w:t xml:space="preserve">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w:t>
      </w:r>
      <w:r w:rsidRPr="00E237C6">
        <w:rPr>
          <w:i/>
          <w:szCs w:val="22"/>
        </w:rPr>
        <w:lastRenderedPageBreak/>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w:t>
      </w:r>
      <w:proofErr w:type="spellStart"/>
      <w:r>
        <w:rPr>
          <w:i/>
          <w:szCs w:val="22"/>
        </w:rPr>
        <w:t>unitless</w:t>
      </w:r>
      <w:proofErr w:type="spellEnd"/>
      <w:r w:rsidRPr="00E237C6">
        <w:rPr>
          <w:i/>
          <w:szCs w:val="22"/>
        </w:rPr>
        <w:t>.</w:t>
      </w:r>
    </w:p>
    <w:p w:rsidR="00BB52BF" w:rsidRPr="000C1040" w:rsidRDefault="00BB52BF" w:rsidP="00926892">
      <w:pPr>
        <w:pStyle w:val="Heading3"/>
        <w:numPr>
          <w:ilvl w:val="2"/>
          <w:numId w:val="9"/>
        </w:numPr>
        <w:rPr>
          <w:rFonts w:ascii="Arial" w:hAnsi="Arial" w:cs="Arial"/>
          <w:color w:val="000000"/>
        </w:rPr>
      </w:pPr>
      <w:bookmarkStart w:id="212" w:name="_Toc462047338"/>
      <w:r w:rsidRPr="000C1040">
        <w:rPr>
          <w:rFonts w:ascii="Arial" w:hAnsi="Arial" w:cs="Arial"/>
          <w:color w:val="000000"/>
        </w:rPr>
        <w:t>Climate and environmental pressures</w:t>
      </w:r>
      <w:bookmarkEnd w:id="212"/>
    </w:p>
    <w:p w:rsidR="00906FE6" w:rsidRDefault="003A06A4" w:rsidP="00906FE6">
      <w:pPr>
        <w:rPr>
          <w:color w:val="000000"/>
          <w:szCs w:val="22"/>
        </w:rPr>
      </w:pPr>
      <w:r w:rsidRPr="00685BA0">
        <w:t xml:space="preserve">Rainfall </w:t>
      </w:r>
      <w:r w:rsidR="00685BA0" w:rsidRPr="00685BA0">
        <w:t>was below the long-term average and river discharge in 2014-15 was less than half that of the previous year, with flows close to the long-term median</w:t>
      </w:r>
      <w:r w:rsidR="002B494C">
        <w:t xml:space="preserve"> (</w:t>
      </w:r>
      <w:r w:rsidR="002B494C">
        <w:fldChar w:fldCharType="begin"/>
      </w:r>
      <w:r w:rsidR="002B494C">
        <w:instrText xml:space="preserve"> REF _Ref442423803 \h </w:instrText>
      </w:r>
      <w:r w:rsidR="002B494C">
        <w:fldChar w:fldCharType="separate"/>
      </w:r>
      <w:r w:rsidR="009C068F">
        <w:t xml:space="preserve">Table </w:t>
      </w:r>
      <w:r w:rsidR="009C068F">
        <w:rPr>
          <w:noProof/>
        </w:rPr>
        <w:t>12</w:t>
      </w:r>
      <w:r w:rsidR="002B494C">
        <w:fldChar w:fldCharType="end"/>
      </w:r>
      <w:r w:rsidR="002B494C">
        <w:t>)</w:t>
      </w:r>
      <w:r w:rsidR="00685BA0" w:rsidRPr="00685BA0">
        <w:t xml:space="preserve">. However, wind was above the long-term average and may have continued to resuspend fine sediments with nutrients absorbed to their </w:t>
      </w:r>
      <w:r w:rsidR="00685BA0">
        <w:t xml:space="preserve">surface. </w:t>
      </w:r>
      <w:r w:rsidR="00906FE6">
        <w:t xml:space="preserve">The inshore waters of Cape York had predominantly secondary water type, and some primary type exposure through the wet season (December-April, </w:t>
      </w:r>
      <w:r w:rsidR="002B494C">
        <w:rPr>
          <w:highlight w:val="yellow"/>
        </w:rPr>
        <w:fldChar w:fldCharType="begin"/>
      </w:r>
      <w:r w:rsidR="002B494C">
        <w:instrText xml:space="preserve"> REF _Ref442423831 \h </w:instrText>
      </w:r>
      <w:r w:rsidR="002B494C">
        <w:rPr>
          <w:highlight w:val="yellow"/>
        </w:rPr>
      </w:r>
      <w:r w:rsidR="002B494C">
        <w:rPr>
          <w:highlight w:val="yellow"/>
        </w:rPr>
        <w:fldChar w:fldCharType="separate"/>
      </w:r>
      <w:r w:rsidR="009C068F">
        <w:t xml:space="preserve">Figure </w:t>
      </w:r>
      <w:r w:rsidR="009C068F">
        <w:rPr>
          <w:noProof/>
        </w:rPr>
        <w:t>30</w:t>
      </w:r>
      <w:r w:rsidR="002B494C">
        <w:rPr>
          <w:highlight w:val="yellow"/>
        </w:rPr>
        <w:fldChar w:fldCharType="end"/>
      </w:r>
      <w:r w:rsidR="00906FE6">
        <w:t>), resulting in a frequency of exposure to both (</w:t>
      </w:r>
      <w:proofErr w:type="gramStart"/>
      <w:r w:rsidR="00906FE6" w:rsidRPr="003A06A4">
        <w:rPr>
          <w:i/>
        </w:rPr>
        <w:t>f</w:t>
      </w:r>
      <w:r w:rsidR="00906FE6" w:rsidRPr="003A06A4">
        <w:rPr>
          <w:vertAlign w:val="subscript"/>
        </w:rPr>
        <w:t>(</w:t>
      </w:r>
      <w:proofErr w:type="gramEnd"/>
      <w:r w:rsidR="00906FE6" w:rsidRPr="003A06A4">
        <w:rPr>
          <w:vertAlign w:val="subscript"/>
        </w:rPr>
        <w:t>P+S)</w:t>
      </w:r>
      <w:r w:rsidR="00906FE6">
        <w:t>) ranging from 33 to 100% of weeks at seagrass monitoring sites (</w:t>
      </w:r>
      <w:r w:rsidR="002B494C">
        <w:rPr>
          <w:highlight w:val="yellow"/>
        </w:rPr>
        <w:fldChar w:fldCharType="begin"/>
      </w:r>
      <w:r w:rsidR="002B494C">
        <w:instrText xml:space="preserve"> REF _Ref442423849 \h </w:instrText>
      </w:r>
      <w:r w:rsidR="002B494C">
        <w:rPr>
          <w:highlight w:val="yellow"/>
        </w:rPr>
      </w:r>
      <w:r w:rsidR="002B494C">
        <w:rPr>
          <w:highlight w:val="yellow"/>
        </w:rPr>
        <w:fldChar w:fldCharType="separate"/>
      </w:r>
      <w:r w:rsidR="009C068F">
        <w:t xml:space="preserve">Table </w:t>
      </w:r>
      <w:r w:rsidR="009C068F">
        <w:rPr>
          <w:noProof/>
        </w:rPr>
        <w:t>13</w:t>
      </w:r>
      <w:r w:rsidR="002B494C">
        <w:rPr>
          <w:highlight w:val="yellow"/>
        </w:rPr>
        <w:fldChar w:fldCharType="end"/>
      </w:r>
      <w:r w:rsidR="00906FE6">
        <w:t xml:space="preserve">). </w:t>
      </w:r>
    </w:p>
    <w:p w:rsidR="00906FE6" w:rsidRPr="008925B3" w:rsidRDefault="008925B3" w:rsidP="002B494C">
      <w:pPr>
        <w:jc w:val="center"/>
        <w:rPr>
          <w:i/>
        </w:rPr>
      </w:pPr>
      <w:bookmarkStart w:id="213" w:name="_Ref442423803"/>
      <w:bookmarkStart w:id="214" w:name="_Toc462685081"/>
      <w:r>
        <w:t xml:space="preserve">Table </w:t>
      </w:r>
      <w:fldSimple w:instr=" SEQ Table \* ARABIC ">
        <w:r w:rsidR="009C068F">
          <w:rPr>
            <w:noProof/>
          </w:rPr>
          <w:t>12</w:t>
        </w:r>
      </w:fldSimple>
      <w:bookmarkEnd w:id="213"/>
      <w:r>
        <w:t xml:space="preserve">.  </w:t>
      </w:r>
      <w:r w:rsidR="00906FE6" w:rsidRPr="008925B3">
        <w:rPr>
          <w:i/>
        </w:rPr>
        <w:t xml:space="preserve">Summary of environmental conditions at monitoring sites in Cape York </w:t>
      </w:r>
      <w:r>
        <w:rPr>
          <w:i/>
        </w:rPr>
        <w:t xml:space="preserve">region </w:t>
      </w:r>
      <w:r w:rsidR="00906FE6" w:rsidRPr="008925B3">
        <w:rPr>
          <w:i/>
        </w:rPr>
        <w:t>in 2014-15 compared to the long-term average (long-term range indicated for each data set).</w:t>
      </w:r>
      <w:bookmarkEnd w:id="214"/>
    </w:p>
    <w:tbl>
      <w:tblPr>
        <w:tblW w:w="0" w:type="auto"/>
        <w:jc w:val="center"/>
        <w:tblBorders>
          <w:bottom w:val="single" w:sz="4" w:space="0" w:color="auto"/>
        </w:tblBorders>
        <w:tblLook w:val="04A0" w:firstRow="1" w:lastRow="0" w:firstColumn="1" w:lastColumn="0" w:noHBand="0" w:noVBand="1"/>
      </w:tblPr>
      <w:tblGrid>
        <w:gridCol w:w="3652"/>
        <w:gridCol w:w="2268"/>
        <w:gridCol w:w="1712"/>
      </w:tblGrid>
      <w:tr w:rsidR="00906FE6" w:rsidRPr="008925B3" w:rsidTr="0059610E">
        <w:trPr>
          <w:trHeight w:val="227"/>
          <w:jc w:val="center"/>
        </w:trPr>
        <w:tc>
          <w:tcPr>
            <w:tcW w:w="3652" w:type="dxa"/>
            <w:tcBorders>
              <w:top w:val="single" w:sz="4" w:space="0" w:color="auto"/>
              <w:bottom w:val="single" w:sz="4" w:space="0" w:color="auto"/>
            </w:tcBorders>
            <w:shd w:val="clear" w:color="auto" w:fill="BBE0E3"/>
          </w:tcPr>
          <w:p w:rsidR="00906FE6" w:rsidRPr="008925B3" w:rsidRDefault="00906FE6"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rsidR="00906FE6" w:rsidRPr="008925B3" w:rsidRDefault="00906FE6" w:rsidP="0059610E">
            <w:pPr>
              <w:spacing w:before="0" w:after="0"/>
              <w:rPr>
                <w:b/>
                <w:sz w:val="18"/>
                <w:szCs w:val="18"/>
              </w:rPr>
            </w:pPr>
            <w:r w:rsidRPr="008925B3">
              <w:rPr>
                <w:b/>
                <w:sz w:val="18"/>
                <w:szCs w:val="18"/>
              </w:rPr>
              <w:t>Long-term average</w:t>
            </w:r>
          </w:p>
        </w:tc>
        <w:tc>
          <w:tcPr>
            <w:tcW w:w="1712" w:type="dxa"/>
            <w:tcBorders>
              <w:top w:val="single" w:sz="4" w:space="0" w:color="auto"/>
              <w:bottom w:val="single" w:sz="4" w:space="0" w:color="auto"/>
            </w:tcBorders>
            <w:shd w:val="clear" w:color="auto" w:fill="BBE0E3"/>
          </w:tcPr>
          <w:p w:rsidR="00906FE6" w:rsidRPr="008925B3" w:rsidRDefault="00906FE6" w:rsidP="0059610E">
            <w:pPr>
              <w:spacing w:before="0" w:after="0"/>
              <w:rPr>
                <w:b/>
                <w:sz w:val="18"/>
                <w:szCs w:val="18"/>
              </w:rPr>
            </w:pPr>
            <w:r w:rsidRPr="008925B3">
              <w:rPr>
                <w:b/>
                <w:sz w:val="18"/>
                <w:szCs w:val="18"/>
              </w:rPr>
              <w:t>2014-15</w:t>
            </w:r>
          </w:p>
        </w:tc>
      </w:tr>
      <w:tr w:rsidR="00906FE6" w:rsidTr="0059610E">
        <w:trPr>
          <w:trHeight w:val="227"/>
          <w:jc w:val="center"/>
        </w:trPr>
        <w:tc>
          <w:tcPr>
            <w:tcW w:w="3652" w:type="dxa"/>
            <w:shd w:val="clear" w:color="auto" w:fill="E7F3F4"/>
          </w:tcPr>
          <w:p w:rsidR="00906FE6" w:rsidRPr="008D1B84" w:rsidRDefault="00906FE6" w:rsidP="0059610E">
            <w:pPr>
              <w:spacing w:before="0" w:after="0"/>
              <w:rPr>
                <w:sz w:val="18"/>
                <w:szCs w:val="18"/>
              </w:rPr>
            </w:pPr>
            <w:r w:rsidRPr="008D1B84">
              <w:rPr>
                <w:sz w:val="18"/>
                <w:szCs w:val="18"/>
              </w:rPr>
              <w:t>Rainfall</w:t>
            </w:r>
            <w:r>
              <w:rPr>
                <w:sz w:val="18"/>
                <w:szCs w:val="18"/>
              </w:rPr>
              <w:t xml:space="preserve"> (1956-2015)</w:t>
            </w:r>
          </w:p>
        </w:tc>
        <w:tc>
          <w:tcPr>
            <w:tcW w:w="2268" w:type="dxa"/>
            <w:shd w:val="clear" w:color="auto" w:fill="E7F3F4"/>
          </w:tcPr>
          <w:p w:rsidR="00906FE6" w:rsidRPr="003E5A31" w:rsidRDefault="00906FE6" w:rsidP="0059610E">
            <w:pPr>
              <w:spacing w:before="0" w:after="0"/>
              <w:rPr>
                <w:sz w:val="18"/>
                <w:szCs w:val="18"/>
              </w:rPr>
            </w:pPr>
            <w:r w:rsidRPr="003E5A31">
              <w:rPr>
                <w:sz w:val="18"/>
                <w:szCs w:val="18"/>
              </w:rPr>
              <w:t>1,558 mm</w:t>
            </w:r>
          </w:p>
        </w:tc>
        <w:tc>
          <w:tcPr>
            <w:tcW w:w="1712" w:type="dxa"/>
            <w:shd w:val="clear" w:color="auto" w:fill="E7F3F4"/>
          </w:tcPr>
          <w:p w:rsidR="00906FE6" w:rsidRPr="003E5A31" w:rsidRDefault="00906FE6" w:rsidP="0059610E">
            <w:pPr>
              <w:spacing w:before="0" w:after="0"/>
              <w:rPr>
                <w:sz w:val="18"/>
                <w:szCs w:val="18"/>
              </w:rPr>
            </w:pPr>
            <w:r w:rsidRPr="003E5A31">
              <w:rPr>
                <w:sz w:val="18"/>
                <w:szCs w:val="18"/>
              </w:rPr>
              <w:t>1,344 mm</w:t>
            </w:r>
          </w:p>
        </w:tc>
      </w:tr>
      <w:tr w:rsidR="00906FE6" w:rsidTr="0059610E">
        <w:trPr>
          <w:trHeight w:val="227"/>
          <w:jc w:val="center"/>
        </w:trPr>
        <w:tc>
          <w:tcPr>
            <w:tcW w:w="3652" w:type="dxa"/>
            <w:shd w:val="clear" w:color="auto" w:fill="E7F3F4"/>
          </w:tcPr>
          <w:p w:rsidR="00906FE6" w:rsidRPr="00715400" w:rsidRDefault="00906FE6" w:rsidP="0059610E">
            <w:pPr>
              <w:spacing w:before="0" w:after="0"/>
              <w:rPr>
                <w:sz w:val="18"/>
                <w:szCs w:val="18"/>
              </w:rPr>
            </w:pPr>
            <w:r w:rsidRPr="00715400">
              <w:rPr>
                <w:sz w:val="18"/>
                <w:szCs w:val="18"/>
              </w:rPr>
              <w:t>River discharge (1970-2015)</w:t>
            </w:r>
          </w:p>
        </w:tc>
        <w:tc>
          <w:tcPr>
            <w:tcW w:w="2268" w:type="dxa"/>
            <w:shd w:val="clear" w:color="auto" w:fill="E7F3F4"/>
          </w:tcPr>
          <w:p w:rsidR="00906FE6" w:rsidRPr="00715400" w:rsidRDefault="00715400" w:rsidP="0059610E">
            <w:pPr>
              <w:spacing w:before="0" w:after="0"/>
              <w:rPr>
                <w:sz w:val="18"/>
                <w:szCs w:val="18"/>
              </w:rPr>
            </w:pPr>
            <w:r w:rsidRPr="00715400">
              <w:rPr>
                <w:sz w:val="18"/>
                <w:szCs w:val="18"/>
              </w:rPr>
              <w:t xml:space="preserve">4,048,660 </w:t>
            </w:r>
            <w:r w:rsidR="00906FE6" w:rsidRPr="00715400">
              <w:rPr>
                <w:sz w:val="18"/>
                <w:szCs w:val="18"/>
              </w:rPr>
              <w:t>L yr</w:t>
            </w:r>
            <w:r w:rsidR="00906FE6" w:rsidRPr="00715400">
              <w:rPr>
                <w:sz w:val="18"/>
                <w:szCs w:val="18"/>
                <w:vertAlign w:val="superscript"/>
              </w:rPr>
              <w:t>-1</w:t>
            </w:r>
          </w:p>
        </w:tc>
        <w:tc>
          <w:tcPr>
            <w:tcW w:w="1712" w:type="dxa"/>
            <w:shd w:val="clear" w:color="auto" w:fill="E7F3F4"/>
          </w:tcPr>
          <w:p w:rsidR="00906FE6" w:rsidRPr="003E5A31" w:rsidRDefault="00906FE6" w:rsidP="0059610E">
            <w:pPr>
              <w:spacing w:before="0" w:after="0"/>
              <w:rPr>
                <w:sz w:val="18"/>
                <w:szCs w:val="18"/>
              </w:rPr>
            </w:pPr>
            <w:r w:rsidRPr="00715400">
              <w:rPr>
                <w:sz w:val="18"/>
                <w:szCs w:val="18"/>
              </w:rPr>
              <w:t>2,349,470 L yr</w:t>
            </w:r>
            <w:r w:rsidRPr="00715400">
              <w:rPr>
                <w:sz w:val="18"/>
                <w:szCs w:val="18"/>
                <w:vertAlign w:val="superscript"/>
              </w:rPr>
              <w:t>-1</w:t>
            </w:r>
          </w:p>
        </w:tc>
      </w:tr>
      <w:tr w:rsidR="00906FE6" w:rsidTr="0059610E">
        <w:trPr>
          <w:trHeight w:val="227"/>
          <w:jc w:val="center"/>
        </w:trPr>
        <w:tc>
          <w:tcPr>
            <w:tcW w:w="3652" w:type="dxa"/>
            <w:shd w:val="clear" w:color="auto" w:fill="E7F3F4"/>
          </w:tcPr>
          <w:p w:rsidR="00906FE6" w:rsidRDefault="00906FE6" w:rsidP="0059610E">
            <w:pPr>
              <w:spacing w:before="0" w:after="0"/>
              <w:rPr>
                <w:sz w:val="18"/>
                <w:szCs w:val="18"/>
              </w:rPr>
            </w:pPr>
            <w:r>
              <w:rPr>
                <w:sz w:val="18"/>
                <w:szCs w:val="18"/>
              </w:rPr>
              <w:t>Flood p</w:t>
            </w:r>
            <w:r w:rsidRPr="008D1B84">
              <w:rPr>
                <w:sz w:val="18"/>
                <w:szCs w:val="18"/>
              </w:rPr>
              <w:t>lume exposure (2006-2015)</w:t>
            </w:r>
          </w:p>
        </w:tc>
        <w:tc>
          <w:tcPr>
            <w:tcW w:w="2268" w:type="dxa"/>
            <w:shd w:val="clear" w:color="auto" w:fill="E7F3F4"/>
          </w:tcPr>
          <w:p w:rsidR="00906FE6" w:rsidRPr="005F2FC2" w:rsidRDefault="00906FE6" w:rsidP="0059610E">
            <w:pPr>
              <w:spacing w:before="0" w:after="0"/>
              <w:rPr>
                <w:i/>
                <w:sz w:val="16"/>
                <w:szCs w:val="16"/>
              </w:rPr>
            </w:pPr>
            <w:r w:rsidRPr="005F2FC2">
              <w:rPr>
                <w:i/>
                <w:sz w:val="16"/>
                <w:szCs w:val="16"/>
              </w:rPr>
              <w:t>unavailable</w:t>
            </w:r>
          </w:p>
        </w:tc>
        <w:tc>
          <w:tcPr>
            <w:tcW w:w="1712" w:type="dxa"/>
            <w:shd w:val="clear" w:color="auto" w:fill="E7F3F4"/>
          </w:tcPr>
          <w:p w:rsidR="00906FE6" w:rsidRPr="003E5A31" w:rsidRDefault="00906FE6" w:rsidP="0059610E">
            <w:pPr>
              <w:spacing w:before="0" w:after="0"/>
              <w:rPr>
                <w:sz w:val="18"/>
                <w:szCs w:val="18"/>
              </w:rPr>
            </w:pPr>
            <w:r>
              <w:rPr>
                <w:sz w:val="18"/>
                <w:szCs w:val="18"/>
              </w:rPr>
              <w:t>82.4%</w:t>
            </w:r>
          </w:p>
        </w:tc>
      </w:tr>
      <w:tr w:rsidR="00906FE6" w:rsidTr="0059610E">
        <w:trPr>
          <w:trHeight w:val="227"/>
          <w:jc w:val="center"/>
        </w:trPr>
        <w:tc>
          <w:tcPr>
            <w:tcW w:w="3652" w:type="dxa"/>
            <w:shd w:val="clear" w:color="auto" w:fill="E7F3F4"/>
          </w:tcPr>
          <w:p w:rsidR="00906FE6" w:rsidRPr="008D1B84" w:rsidRDefault="00906FE6" w:rsidP="0059610E">
            <w:pPr>
              <w:spacing w:before="0" w:after="0"/>
              <w:rPr>
                <w:sz w:val="18"/>
                <w:szCs w:val="18"/>
              </w:rPr>
            </w:pPr>
            <w:r>
              <w:rPr>
                <w:sz w:val="18"/>
                <w:szCs w:val="18"/>
              </w:rPr>
              <w:t>Daytime tidal exposure (2011-2015)</w:t>
            </w:r>
          </w:p>
        </w:tc>
        <w:tc>
          <w:tcPr>
            <w:tcW w:w="2268" w:type="dxa"/>
            <w:shd w:val="clear" w:color="auto" w:fill="E7F3F4"/>
          </w:tcPr>
          <w:p w:rsidR="00906FE6" w:rsidRPr="003E5A31" w:rsidRDefault="00906FE6" w:rsidP="0059610E">
            <w:pPr>
              <w:spacing w:before="0" w:after="0"/>
              <w:rPr>
                <w:sz w:val="18"/>
                <w:szCs w:val="18"/>
              </w:rPr>
            </w:pPr>
            <w:r>
              <w:rPr>
                <w:sz w:val="18"/>
                <w:szCs w:val="18"/>
              </w:rPr>
              <w:t>65.21 hrs yr</w:t>
            </w:r>
            <w:r w:rsidRPr="003E5A31">
              <w:rPr>
                <w:sz w:val="18"/>
                <w:szCs w:val="18"/>
                <w:vertAlign w:val="superscript"/>
              </w:rPr>
              <w:t>-1</w:t>
            </w:r>
          </w:p>
        </w:tc>
        <w:tc>
          <w:tcPr>
            <w:tcW w:w="1712" w:type="dxa"/>
            <w:shd w:val="clear" w:color="auto" w:fill="E7F3F4"/>
          </w:tcPr>
          <w:p w:rsidR="00906FE6" w:rsidRPr="003E5A31" w:rsidRDefault="00906FE6" w:rsidP="0059610E">
            <w:pPr>
              <w:spacing w:before="0" w:after="0"/>
              <w:rPr>
                <w:sz w:val="18"/>
                <w:szCs w:val="18"/>
              </w:rPr>
            </w:pPr>
            <w:r>
              <w:rPr>
                <w:sz w:val="18"/>
                <w:szCs w:val="18"/>
              </w:rPr>
              <w:t>49.67 hrs yr</w:t>
            </w:r>
            <w:r w:rsidRPr="003E5A31">
              <w:rPr>
                <w:sz w:val="18"/>
                <w:szCs w:val="18"/>
                <w:vertAlign w:val="superscript"/>
              </w:rPr>
              <w:t>-1</w:t>
            </w:r>
          </w:p>
        </w:tc>
      </w:tr>
      <w:tr w:rsidR="00906FE6" w:rsidTr="0059610E">
        <w:trPr>
          <w:trHeight w:val="227"/>
          <w:jc w:val="center"/>
        </w:trPr>
        <w:tc>
          <w:tcPr>
            <w:tcW w:w="3652" w:type="dxa"/>
            <w:tcBorders>
              <w:bottom w:val="single" w:sz="4" w:space="0" w:color="auto"/>
            </w:tcBorders>
            <w:shd w:val="clear" w:color="auto" w:fill="E7F3F4"/>
          </w:tcPr>
          <w:p w:rsidR="00906FE6" w:rsidRPr="008D1B84" w:rsidRDefault="00906FE6" w:rsidP="0059610E">
            <w:pPr>
              <w:spacing w:before="0" w:after="0"/>
              <w:rPr>
                <w:sz w:val="18"/>
                <w:szCs w:val="18"/>
              </w:rPr>
            </w:pPr>
            <w:r w:rsidRPr="008D1B84">
              <w:rPr>
                <w:sz w:val="18"/>
                <w:szCs w:val="18"/>
              </w:rPr>
              <w:t>Wind</w:t>
            </w:r>
            <w:r>
              <w:rPr>
                <w:sz w:val="18"/>
                <w:szCs w:val="18"/>
              </w:rPr>
              <w:t xml:space="preserve"> (2002-2015)</w:t>
            </w:r>
          </w:p>
        </w:tc>
        <w:tc>
          <w:tcPr>
            <w:tcW w:w="2268" w:type="dxa"/>
            <w:tcBorders>
              <w:bottom w:val="single" w:sz="4" w:space="0" w:color="auto"/>
            </w:tcBorders>
            <w:shd w:val="clear" w:color="auto" w:fill="E7F3F4"/>
          </w:tcPr>
          <w:p w:rsidR="00906FE6" w:rsidRPr="003E5A31" w:rsidRDefault="00906FE6" w:rsidP="0059610E">
            <w:pPr>
              <w:spacing w:before="0" w:after="0"/>
              <w:rPr>
                <w:sz w:val="18"/>
                <w:szCs w:val="18"/>
              </w:rPr>
            </w:pPr>
            <w:r>
              <w:rPr>
                <w:sz w:val="18"/>
                <w:szCs w:val="18"/>
              </w:rPr>
              <w:t>93.3 days yr</w:t>
            </w:r>
            <w:r w:rsidRPr="003E5A31">
              <w:rPr>
                <w:sz w:val="18"/>
                <w:szCs w:val="18"/>
                <w:vertAlign w:val="superscript"/>
              </w:rPr>
              <w:t>-1</w:t>
            </w:r>
          </w:p>
        </w:tc>
        <w:tc>
          <w:tcPr>
            <w:tcW w:w="1712" w:type="dxa"/>
            <w:tcBorders>
              <w:bottom w:val="single" w:sz="4" w:space="0" w:color="auto"/>
            </w:tcBorders>
            <w:shd w:val="clear" w:color="auto" w:fill="E7F3F4"/>
          </w:tcPr>
          <w:p w:rsidR="00906FE6" w:rsidRPr="003E5A31" w:rsidRDefault="00906FE6" w:rsidP="0059610E">
            <w:pPr>
              <w:spacing w:before="0" w:after="0"/>
              <w:rPr>
                <w:sz w:val="18"/>
                <w:szCs w:val="18"/>
              </w:rPr>
            </w:pPr>
            <w:r>
              <w:rPr>
                <w:sz w:val="18"/>
                <w:szCs w:val="18"/>
              </w:rPr>
              <w:t>144.7 days yr</w:t>
            </w:r>
            <w:r w:rsidRPr="003E5A31">
              <w:rPr>
                <w:sz w:val="18"/>
                <w:szCs w:val="18"/>
                <w:vertAlign w:val="superscript"/>
              </w:rPr>
              <w:t>-1</w:t>
            </w:r>
          </w:p>
        </w:tc>
      </w:tr>
      <w:tr w:rsidR="00906FE6" w:rsidTr="0059610E">
        <w:trPr>
          <w:trHeight w:val="227"/>
          <w:jc w:val="center"/>
        </w:trPr>
        <w:tc>
          <w:tcPr>
            <w:tcW w:w="3652" w:type="dxa"/>
            <w:shd w:val="clear" w:color="auto" w:fill="F3F9FA"/>
          </w:tcPr>
          <w:p w:rsidR="00906FE6" w:rsidRPr="008D1B84" w:rsidRDefault="00906FE6" w:rsidP="0059610E">
            <w:pPr>
              <w:spacing w:before="0" w:after="0"/>
              <w:rPr>
                <w:sz w:val="18"/>
                <w:szCs w:val="18"/>
              </w:rPr>
            </w:pPr>
            <w:r w:rsidRPr="008D1B84">
              <w:rPr>
                <w:sz w:val="18"/>
                <w:szCs w:val="18"/>
              </w:rPr>
              <w:t>Within canopy temperature (201</w:t>
            </w:r>
            <w:r>
              <w:rPr>
                <w:sz w:val="18"/>
                <w:szCs w:val="18"/>
              </w:rPr>
              <w:t>1</w:t>
            </w:r>
            <w:r w:rsidRPr="008D1B84">
              <w:rPr>
                <w:sz w:val="18"/>
                <w:szCs w:val="18"/>
              </w:rPr>
              <w:t>-2015)</w:t>
            </w:r>
          </w:p>
        </w:tc>
        <w:tc>
          <w:tcPr>
            <w:tcW w:w="2268" w:type="dxa"/>
            <w:shd w:val="clear" w:color="auto" w:fill="F3F9FA"/>
          </w:tcPr>
          <w:p w:rsidR="00906FE6" w:rsidRPr="003E5A31" w:rsidRDefault="00906FE6" w:rsidP="0059610E">
            <w:pPr>
              <w:spacing w:before="0" w:after="0"/>
              <w:rPr>
                <w:sz w:val="18"/>
                <w:szCs w:val="18"/>
              </w:rPr>
            </w:pPr>
            <w:r>
              <w:rPr>
                <w:sz w:val="18"/>
                <w:szCs w:val="18"/>
              </w:rPr>
              <w:t>26.6</w:t>
            </w:r>
            <w:r w:rsidRPr="003E5A31">
              <w:rPr>
                <w:sz w:val="18"/>
                <w:szCs w:val="18"/>
              </w:rPr>
              <w:t xml:space="preserve">°C </w:t>
            </w:r>
            <w:r w:rsidRPr="006577FA">
              <w:rPr>
                <w:i/>
                <w:sz w:val="18"/>
                <w:szCs w:val="18"/>
              </w:rPr>
              <w:t>(40.5°C)</w:t>
            </w:r>
          </w:p>
        </w:tc>
        <w:tc>
          <w:tcPr>
            <w:tcW w:w="1712" w:type="dxa"/>
            <w:shd w:val="clear" w:color="auto" w:fill="F3F9FA"/>
          </w:tcPr>
          <w:p w:rsidR="00906FE6" w:rsidRPr="003E5A31" w:rsidRDefault="00906FE6" w:rsidP="0059610E">
            <w:pPr>
              <w:spacing w:before="0" w:after="0"/>
              <w:rPr>
                <w:sz w:val="18"/>
                <w:szCs w:val="18"/>
              </w:rPr>
            </w:pPr>
            <w:r>
              <w:rPr>
                <w:sz w:val="18"/>
                <w:szCs w:val="18"/>
              </w:rPr>
              <w:t>27.2</w:t>
            </w:r>
            <w:r w:rsidRPr="003E5A31">
              <w:rPr>
                <w:sz w:val="18"/>
                <w:szCs w:val="18"/>
              </w:rPr>
              <w:t xml:space="preserve">°C </w:t>
            </w:r>
            <w:r w:rsidRPr="006577FA">
              <w:rPr>
                <w:i/>
                <w:sz w:val="18"/>
                <w:szCs w:val="18"/>
              </w:rPr>
              <w:t>(39.1°C)</w:t>
            </w:r>
          </w:p>
        </w:tc>
      </w:tr>
      <w:tr w:rsidR="00906FE6" w:rsidTr="0059610E">
        <w:trPr>
          <w:trHeight w:val="227"/>
          <w:jc w:val="center"/>
        </w:trPr>
        <w:tc>
          <w:tcPr>
            <w:tcW w:w="3652" w:type="dxa"/>
            <w:shd w:val="clear" w:color="auto" w:fill="F3F9FA"/>
          </w:tcPr>
          <w:p w:rsidR="00906FE6" w:rsidRPr="008D1B84" w:rsidRDefault="00906FE6" w:rsidP="0059610E">
            <w:pPr>
              <w:spacing w:before="0" w:after="0"/>
              <w:rPr>
                <w:sz w:val="18"/>
                <w:szCs w:val="18"/>
              </w:rPr>
            </w:pPr>
            <w:r w:rsidRPr="008D1B84">
              <w:rPr>
                <w:sz w:val="18"/>
                <w:szCs w:val="18"/>
              </w:rPr>
              <w:t>Within canopy light (2012-2015)</w:t>
            </w:r>
          </w:p>
        </w:tc>
        <w:tc>
          <w:tcPr>
            <w:tcW w:w="2268" w:type="dxa"/>
            <w:shd w:val="clear" w:color="auto" w:fill="F3F9FA"/>
          </w:tcPr>
          <w:p w:rsidR="00906FE6" w:rsidRPr="003E5A31" w:rsidRDefault="00906FE6" w:rsidP="0059610E">
            <w:pPr>
              <w:spacing w:before="0" w:after="0"/>
              <w:rPr>
                <w:sz w:val="18"/>
                <w:szCs w:val="18"/>
              </w:rPr>
            </w:pPr>
            <w:r w:rsidRPr="003E5A31">
              <w:rPr>
                <w:sz w:val="18"/>
                <w:szCs w:val="18"/>
              </w:rPr>
              <w:t xml:space="preserve">18.6 </w:t>
            </w:r>
            <w:proofErr w:type="spellStart"/>
            <w:r w:rsidRPr="003E5A31">
              <w:rPr>
                <w:sz w:val="18"/>
                <w:szCs w:val="18"/>
              </w:rPr>
              <w:t>mol</w:t>
            </w:r>
            <w:proofErr w:type="spellEnd"/>
            <w:r w:rsidRPr="003E5A31">
              <w:rPr>
                <w:sz w:val="18"/>
                <w:szCs w:val="18"/>
              </w:rPr>
              <w:t xml:space="preserve"> m</w:t>
            </w:r>
            <w:r w:rsidRPr="003E5A31">
              <w:rPr>
                <w:sz w:val="18"/>
                <w:szCs w:val="18"/>
                <w:vertAlign w:val="superscript"/>
              </w:rPr>
              <w:t>-2</w:t>
            </w:r>
            <w:r w:rsidRPr="003E5A31">
              <w:rPr>
                <w:sz w:val="18"/>
                <w:szCs w:val="18"/>
              </w:rPr>
              <w:t xml:space="preserve"> d</w:t>
            </w:r>
            <w:r w:rsidRPr="003E5A31">
              <w:rPr>
                <w:sz w:val="18"/>
                <w:szCs w:val="18"/>
                <w:vertAlign w:val="superscript"/>
              </w:rPr>
              <w:t>-1</w:t>
            </w:r>
          </w:p>
        </w:tc>
        <w:tc>
          <w:tcPr>
            <w:tcW w:w="1712" w:type="dxa"/>
            <w:shd w:val="clear" w:color="auto" w:fill="F3F9FA"/>
          </w:tcPr>
          <w:p w:rsidR="00906FE6" w:rsidRPr="003E5A31" w:rsidRDefault="00906FE6" w:rsidP="0059610E">
            <w:pPr>
              <w:spacing w:before="0" w:after="0"/>
              <w:rPr>
                <w:sz w:val="18"/>
                <w:szCs w:val="18"/>
              </w:rPr>
            </w:pPr>
            <w:r w:rsidRPr="003E5A31">
              <w:rPr>
                <w:sz w:val="18"/>
                <w:szCs w:val="18"/>
              </w:rPr>
              <w:t xml:space="preserve">19.3 </w:t>
            </w:r>
            <w:proofErr w:type="spellStart"/>
            <w:r w:rsidRPr="003E5A31">
              <w:rPr>
                <w:sz w:val="18"/>
                <w:szCs w:val="18"/>
              </w:rPr>
              <w:t>mol</w:t>
            </w:r>
            <w:proofErr w:type="spellEnd"/>
            <w:r w:rsidRPr="003E5A31">
              <w:rPr>
                <w:sz w:val="18"/>
                <w:szCs w:val="18"/>
              </w:rPr>
              <w:t xml:space="preserve"> m</w:t>
            </w:r>
            <w:r w:rsidRPr="003E5A31">
              <w:rPr>
                <w:sz w:val="18"/>
                <w:szCs w:val="18"/>
                <w:vertAlign w:val="superscript"/>
              </w:rPr>
              <w:t>-2</w:t>
            </w:r>
            <w:r w:rsidRPr="003E5A31">
              <w:rPr>
                <w:sz w:val="18"/>
                <w:szCs w:val="18"/>
              </w:rPr>
              <w:t xml:space="preserve"> d</w:t>
            </w:r>
            <w:r w:rsidRPr="003E5A31">
              <w:rPr>
                <w:sz w:val="18"/>
                <w:szCs w:val="18"/>
                <w:vertAlign w:val="superscript"/>
              </w:rPr>
              <w:t>-1</w:t>
            </w:r>
          </w:p>
        </w:tc>
      </w:tr>
    </w:tbl>
    <w:p w:rsidR="008925B3" w:rsidRPr="005515AE" w:rsidRDefault="008925B3" w:rsidP="008925B3">
      <w:pPr>
        <w:spacing w:before="0" w:after="0"/>
        <w:rPr>
          <w:color w:val="000000"/>
          <w:sz w:val="10"/>
          <w:szCs w:val="10"/>
        </w:rPr>
      </w:pPr>
    </w:p>
    <w:p w:rsidR="008925B3" w:rsidRDefault="00906FE6" w:rsidP="00906FE6">
      <w:pPr>
        <w:rPr>
          <w:color w:val="000000"/>
          <w:szCs w:val="22"/>
        </w:rPr>
      </w:pPr>
      <w:r>
        <w:rPr>
          <w:noProof/>
          <w:color w:val="000000"/>
          <w:szCs w:val="22"/>
          <w:lang w:eastAsia="en-AU"/>
        </w:rPr>
        <w:drawing>
          <wp:anchor distT="0" distB="0" distL="114300" distR="114300" simplePos="0" relativeHeight="251677696" behindDoc="0" locked="0" layoutInCell="1" allowOverlap="1" wp14:anchorId="6B2381C1" wp14:editId="4C35B05D">
            <wp:simplePos x="0" y="0"/>
            <wp:positionH relativeFrom="column">
              <wp:posOffset>1211</wp:posOffset>
            </wp:positionH>
            <wp:positionV relativeFrom="paragraph">
              <wp:posOffset>77057</wp:posOffset>
            </wp:positionV>
            <wp:extent cx="2340000" cy="3351600"/>
            <wp:effectExtent l="0" t="0" r="3175" b="1270"/>
            <wp:wrapSquare wrapText="right"/>
            <wp:docPr id="10" name="Picture 10" descr="Compostie graph showing the location of each seagrass monitoring site and the frequency of exposure to plume water in the Cape York NRM, wet season (December 2014 – Apri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e York sites_legend.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340000" cy="3351600"/>
                    </a:xfrm>
                    <a:prstGeom prst="rect">
                      <a:avLst/>
                    </a:prstGeom>
                  </pic:spPr>
                </pic:pic>
              </a:graphicData>
            </a:graphic>
            <wp14:sizeRelH relativeFrom="margin">
              <wp14:pctWidth>0</wp14:pctWidth>
            </wp14:sizeRelH>
            <wp14:sizeRelV relativeFrom="margin">
              <wp14:pctHeight>0</wp14:pctHeight>
            </wp14:sizeRelV>
          </wp:anchor>
        </w:drawing>
      </w:r>
    </w:p>
    <w:p w:rsidR="008925B3" w:rsidRPr="008925B3" w:rsidRDefault="008925B3" w:rsidP="008925B3">
      <w:pPr>
        <w:rPr>
          <w:i/>
          <w:vanish/>
          <w:specVanish/>
        </w:rPr>
      </w:pPr>
      <w:bookmarkStart w:id="215" w:name="_Ref442423831"/>
      <w:bookmarkStart w:id="216" w:name="_Toc462684870"/>
      <w:r>
        <w:t xml:space="preserve">Figure </w:t>
      </w:r>
      <w:fldSimple w:instr=" SEQ Figure \* ARABIC ">
        <w:r w:rsidR="009C068F">
          <w:rPr>
            <w:noProof/>
          </w:rPr>
          <w:t>30</w:t>
        </w:r>
      </w:fldSimple>
      <w:bookmarkEnd w:id="215"/>
      <w:r>
        <w:t xml:space="preserve">.  </w:t>
      </w:r>
      <w:r w:rsidR="00906FE6" w:rsidRPr="008925B3">
        <w:rPr>
          <w:i/>
        </w:rPr>
        <w:t>Frequency of exposure to plume water in the Cape York NRM, wet season (December 2014 – April 2015) composite.</w:t>
      </w:r>
      <w:bookmarkEnd w:id="216"/>
    </w:p>
    <w:p w:rsidR="00906FE6" w:rsidRDefault="00906FE6" w:rsidP="00906FE6">
      <w:pPr>
        <w:rPr>
          <w:color w:val="000000"/>
          <w:szCs w:val="22"/>
        </w:rPr>
      </w:pPr>
      <w:r w:rsidRPr="008925B3">
        <w:rPr>
          <w:i/>
        </w:rPr>
        <w:t xml:space="preserve"> Frequency calculated as number of weeks in wet season exposed to primary or secondary water (colour classes 1 – 5). Each colour class category is described by mean water quality values for TSS, CDOM, chlorophyll a and </w:t>
      </w:r>
      <w:proofErr w:type="spellStart"/>
      <w:r w:rsidRPr="008925B3">
        <w:rPr>
          <w:i/>
        </w:rPr>
        <w:t>K</w:t>
      </w:r>
      <w:r w:rsidRPr="007C3ABF">
        <w:rPr>
          <w:i/>
          <w:vertAlign w:val="subscript"/>
        </w:rPr>
        <w:t>d</w:t>
      </w:r>
      <w:proofErr w:type="spellEnd"/>
      <w:r w:rsidRPr="008925B3">
        <w:rPr>
          <w:i/>
        </w:rPr>
        <w:t xml:space="preserve"> (PAR) (</w:t>
      </w:r>
      <w:hyperlink w:anchor="_ENREF_94" w:tooltip="Devlin, 2015 #10405" w:history="1">
        <w:r w:rsidR="00E6043D">
          <w:rPr>
            <w:i/>
          </w:rPr>
          <w:fldChar w:fldCharType="begin"/>
        </w:r>
        <w:r w:rsidR="00E6043D">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043D">
          <w:rPr>
            <w:i/>
          </w:rPr>
          <w:fldChar w:fldCharType="separate"/>
        </w:r>
        <w:r w:rsidR="00E6043D">
          <w:rPr>
            <w:i/>
            <w:noProof/>
          </w:rPr>
          <w:t>Devlin, et al. 2015</w:t>
        </w:r>
        <w:r w:rsidR="00E6043D">
          <w:rPr>
            <w:i/>
          </w:rPr>
          <w:fldChar w:fldCharType="end"/>
        </w:r>
      </w:hyperlink>
      <w:r w:rsidRPr="008925B3">
        <w:rPr>
          <w:i/>
        </w:rPr>
        <w:t xml:space="preserve">; </w:t>
      </w:r>
      <w:hyperlink w:anchor="_ENREF_151" w:tooltip="Lønborg, 2015 #10475" w:history="1">
        <w:r w:rsidR="00E6043D">
          <w:rPr>
            <w:i/>
          </w:rPr>
          <w:fldChar w:fldCharType="begin"/>
        </w:r>
        <w:r w:rsidR="00E6043D">
          <w:rPr>
            <w:i/>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i/>
          </w:rPr>
          <w:fldChar w:fldCharType="separate"/>
        </w:r>
        <w:r w:rsidR="00E6043D">
          <w:rPr>
            <w:i/>
            <w:noProof/>
          </w:rPr>
          <w:t>Lønborg, et al. 2015</w:t>
        </w:r>
        <w:r w:rsidR="00E6043D">
          <w:rPr>
            <w:i/>
          </w:rPr>
          <w:fldChar w:fldCharType="end"/>
        </w:r>
      </w:hyperlink>
      <w:r w:rsidRPr="008925B3">
        <w:rPr>
          <w:i/>
        </w:rPr>
        <w:t>).</w:t>
      </w:r>
      <w:r w:rsidR="007C3ABF">
        <w:rPr>
          <w:i/>
        </w:rPr>
        <w:t xml:space="preserve"> For site details, see Tables 3 &amp; 4.</w:t>
      </w:r>
    </w:p>
    <w:p w:rsidR="008925B3" w:rsidRDefault="008925B3" w:rsidP="00906FE6">
      <w:pPr>
        <w:rPr>
          <w:color w:val="000000"/>
          <w:szCs w:val="22"/>
        </w:rPr>
      </w:pPr>
    </w:p>
    <w:p w:rsidR="008925B3" w:rsidRDefault="008925B3" w:rsidP="00906FE6">
      <w:pPr>
        <w:rPr>
          <w:color w:val="000000"/>
          <w:szCs w:val="22"/>
        </w:rPr>
      </w:pPr>
    </w:p>
    <w:p w:rsidR="008925B3" w:rsidRDefault="008925B3" w:rsidP="00906FE6">
      <w:pPr>
        <w:rPr>
          <w:color w:val="000000"/>
          <w:szCs w:val="22"/>
        </w:rPr>
      </w:pPr>
    </w:p>
    <w:p w:rsidR="008925B3" w:rsidRDefault="008925B3" w:rsidP="00906FE6">
      <w:pPr>
        <w:rPr>
          <w:color w:val="000000"/>
          <w:szCs w:val="22"/>
        </w:rPr>
      </w:pPr>
    </w:p>
    <w:p w:rsidR="008925B3" w:rsidRDefault="008925B3" w:rsidP="00906FE6">
      <w:pPr>
        <w:rPr>
          <w:color w:val="000000"/>
          <w:szCs w:val="22"/>
        </w:rPr>
      </w:pPr>
    </w:p>
    <w:p w:rsidR="007C3ABF" w:rsidRDefault="007C3ABF" w:rsidP="00906FE6">
      <w:pPr>
        <w:rPr>
          <w:color w:val="000000"/>
          <w:szCs w:val="22"/>
        </w:rPr>
      </w:pPr>
    </w:p>
    <w:p w:rsidR="008925B3" w:rsidRDefault="008925B3" w:rsidP="00906FE6">
      <w:pPr>
        <w:rPr>
          <w:color w:val="000000"/>
          <w:szCs w:val="22"/>
        </w:rPr>
      </w:pPr>
    </w:p>
    <w:p w:rsidR="008925B3" w:rsidRPr="008925B3" w:rsidRDefault="008925B3" w:rsidP="008925B3">
      <w:pPr>
        <w:rPr>
          <w:i/>
          <w:vanish/>
          <w:specVanish/>
        </w:rPr>
      </w:pPr>
      <w:bookmarkStart w:id="217" w:name="_Ref442423849"/>
      <w:bookmarkStart w:id="218" w:name="_Toc462685082"/>
      <w:r>
        <w:t xml:space="preserve">Table </w:t>
      </w:r>
      <w:fldSimple w:instr=" SEQ Table \* ARABIC ">
        <w:r w:rsidR="009C068F">
          <w:rPr>
            <w:noProof/>
          </w:rPr>
          <w:t>13</w:t>
        </w:r>
      </w:fldSimple>
      <w:bookmarkEnd w:id="217"/>
      <w:r>
        <w:t xml:space="preserve">.  </w:t>
      </w:r>
      <w:r w:rsidR="00906FE6" w:rsidRPr="008925B3">
        <w:rPr>
          <w:i/>
        </w:rPr>
        <w:t xml:space="preserve">Water type at each </w:t>
      </w:r>
      <w:r w:rsidR="009526BE">
        <w:rPr>
          <w:i/>
        </w:rPr>
        <w:t>site</w:t>
      </w:r>
      <w:r w:rsidR="00906FE6" w:rsidRPr="008925B3">
        <w:rPr>
          <w:i/>
        </w:rPr>
        <w:t xml:space="preserve"> (</w:t>
      </w:r>
      <w:proofErr w:type="spellStart"/>
      <w:r w:rsidR="00906FE6" w:rsidRPr="008925B3">
        <w:rPr>
          <w:i/>
        </w:rPr>
        <w:t>Loc</w:t>
      </w:r>
      <w:proofErr w:type="spellEnd"/>
      <w:r w:rsidR="00906FE6" w:rsidRPr="008925B3">
        <w:rPr>
          <w:i/>
        </w:rPr>
        <w:t>) derive</w:t>
      </w:r>
      <w:r>
        <w:rPr>
          <w:i/>
        </w:rPr>
        <w:t>d from MODIS true colour images</w:t>
      </w:r>
      <w:bookmarkEnd w:id="218"/>
    </w:p>
    <w:p w:rsidR="00906FE6" w:rsidRPr="008925B3" w:rsidRDefault="008925B3" w:rsidP="008925B3">
      <w:pPr>
        <w:rPr>
          <w:i/>
        </w:rPr>
      </w:pPr>
      <w:r>
        <w:rPr>
          <w:i/>
        </w:rPr>
        <w:t xml:space="preserve"> </w:t>
      </w:r>
      <w:r w:rsidR="00906FE6" w:rsidRPr="008925B3">
        <w:rPr>
          <w:i/>
        </w:rPr>
        <w:t>as colour classes of turbid primary water (class 1 – 4, red/brown), nutrient/chlorophyll-enriched secondary water (class 5, green), and tertiary (some freshwater/CDOM influence) or no plume influence (class 6 and 7 respectively, blue), for 22 weeks from December 2014 – April 2015. Also shown, median wet season colour class (Med), frequency of primary water as f</w:t>
      </w:r>
      <w:r w:rsidR="00906FE6" w:rsidRPr="008925B3">
        <w:rPr>
          <w:i/>
          <w:vertAlign w:val="subscript"/>
        </w:rPr>
        <w:t>(P)</w:t>
      </w:r>
      <w:r w:rsidR="00906FE6" w:rsidRPr="008925B3">
        <w:rPr>
          <w:i/>
        </w:rPr>
        <w:t>, the frequency of secondary water as f</w:t>
      </w:r>
      <w:r w:rsidR="00906FE6" w:rsidRPr="008925B3">
        <w:rPr>
          <w:i/>
          <w:vertAlign w:val="subscript"/>
        </w:rPr>
        <w:t>(S)</w:t>
      </w:r>
      <w:r w:rsidR="00906FE6" w:rsidRPr="008925B3">
        <w:rPr>
          <w:i/>
        </w:rPr>
        <w:t>, and the frequency of primary or secondary as f</w:t>
      </w:r>
      <w:r w:rsidR="00906FE6" w:rsidRPr="008925B3">
        <w:rPr>
          <w:i/>
          <w:vertAlign w:val="subscript"/>
        </w:rPr>
        <w:t>(P+S)</w:t>
      </w:r>
      <w:r w:rsidR="00906FE6" w:rsidRPr="008925B3">
        <w:rPr>
          <w:i/>
        </w:rPr>
        <w:t>. *denotes data</w:t>
      </w:r>
      <w:r w:rsidR="009526BE">
        <w:rPr>
          <w:i/>
        </w:rPr>
        <w:t xml:space="preserve"> obtained from adjacent pixel.</w:t>
      </w:r>
    </w:p>
    <w:p w:rsidR="00906FE6" w:rsidRDefault="00906FE6" w:rsidP="00906FE6">
      <w:pPr>
        <w:rPr>
          <w:color w:val="000000"/>
          <w:szCs w:val="22"/>
        </w:rPr>
      </w:pPr>
      <w:r w:rsidRPr="00305623">
        <w:rPr>
          <w:noProof/>
          <w:lang w:eastAsia="en-AU"/>
        </w:rPr>
        <w:lastRenderedPageBreak/>
        <w:drawing>
          <wp:inline distT="0" distB="0" distL="0" distR="0" wp14:anchorId="42BBC550" wp14:editId="388D6C9F">
            <wp:extent cx="5759450" cy="855980"/>
            <wp:effectExtent l="0" t="0" r="0" b="1270"/>
            <wp:docPr id="523" name="Picture 523" descr="Table of water type at each site  derived from MODIS true colour images as colour classes of turbid primary water, nutrient/chlorophyll-enriched secondary water, and tertiary or no plume influence for 22 weeks from December 2014 – Apri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3"/>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759450" cy="855980"/>
                    </a:xfrm>
                    <a:prstGeom prst="rect">
                      <a:avLst/>
                    </a:prstGeom>
                    <a:noFill/>
                    <a:ln>
                      <a:noFill/>
                    </a:ln>
                  </pic:spPr>
                </pic:pic>
              </a:graphicData>
            </a:graphic>
          </wp:inline>
        </w:drawing>
      </w:r>
    </w:p>
    <w:p w:rsidR="00906FE6" w:rsidRDefault="00906FE6" w:rsidP="00906FE6">
      <w:pPr>
        <w:rPr>
          <w:color w:val="000000"/>
          <w:szCs w:val="22"/>
        </w:rPr>
      </w:pPr>
      <w:r>
        <w:t xml:space="preserve">Daily light at Cape York </w:t>
      </w:r>
      <w:r w:rsidR="002B494C">
        <w:t>locations</w:t>
      </w:r>
      <w:r>
        <w:t xml:space="preserve"> has been monitored since October 2012 when sites were established. However, in the 2014-15 reporting year, sampling was reduced to once per year, and loggers record for just 5 – 6 months after deployment (i.e. Oct-Mar/Apr). Daily light is generally very high at all Cape York sites; however, the trends are highly variable among sites with no distinct pattern that characterises benthic light over the past three years</w:t>
      </w:r>
      <w:r w:rsidR="002B494C">
        <w:t xml:space="preserve"> (</w:t>
      </w:r>
      <w:r w:rsidR="002B494C">
        <w:fldChar w:fldCharType="begin"/>
      </w:r>
      <w:r w:rsidR="002B494C">
        <w:instrText xml:space="preserve"> REF _Ref442423941 \h </w:instrText>
      </w:r>
      <w:r w:rsidR="002B494C">
        <w:fldChar w:fldCharType="separate"/>
      </w:r>
      <w:r w:rsidR="009C068F">
        <w:t xml:space="preserve">Figure </w:t>
      </w:r>
      <w:r w:rsidR="009C068F">
        <w:rPr>
          <w:noProof/>
        </w:rPr>
        <w:t>31</w:t>
      </w:r>
      <w:r w:rsidR="002B494C">
        <w:fldChar w:fldCharType="end"/>
      </w:r>
      <w:r w:rsidR="002B494C">
        <w:t>).</w:t>
      </w:r>
    </w:p>
    <w:p w:rsidR="00906FE6" w:rsidRDefault="008925B3" w:rsidP="008925B3">
      <w:pPr>
        <w:keepNext/>
        <w:widowControl w:val="0"/>
        <w:spacing w:after="0"/>
        <w:rPr>
          <w:color w:val="000000"/>
          <w:szCs w:val="22"/>
        </w:rPr>
      </w:pPr>
      <w:r>
        <w:rPr>
          <w:noProof/>
          <w:color w:val="000000"/>
          <w:szCs w:val="22"/>
          <w:lang w:eastAsia="en-AU"/>
        </w:rPr>
        <w:drawing>
          <wp:inline distT="0" distB="0" distL="0" distR="0" wp14:anchorId="248CF272" wp14:editId="4E3DBB5B">
            <wp:extent cx="5759450" cy="1912620"/>
            <wp:effectExtent l="0" t="0" r="0" b="0"/>
            <wp:docPr id="123" name="Picture 123" descr="Panel of two line graphs showing daily light (mean) at each location with 28-d rolling average and GAM plots for each seagrass habitat in the Cape York NRM region from 2012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CY_Avg_28d_avg_GAM_2015.pn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759450" cy="1912620"/>
                    </a:xfrm>
                    <a:prstGeom prst="rect">
                      <a:avLst/>
                    </a:prstGeom>
                  </pic:spPr>
                </pic:pic>
              </a:graphicData>
            </a:graphic>
          </wp:inline>
        </w:drawing>
      </w:r>
    </w:p>
    <w:p w:rsidR="008925B3" w:rsidRPr="008925B3" w:rsidRDefault="008925B3" w:rsidP="008925B3">
      <w:pPr>
        <w:rPr>
          <w:i/>
          <w:vanish/>
          <w:specVanish/>
        </w:rPr>
      </w:pPr>
      <w:bookmarkStart w:id="219" w:name="_Ref442423941"/>
      <w:bookmarkStart w:id="220" w:name="_Toc462684871"/>
      <w:r>
        <w:t xml:space="preserve">Figure </w:t>
      </w:r>
      <w:fldSimple w:instr=" SEQ Figure \* ARABIC ">
        <w:r w:rsidR="009C068F">
          <w:rPr>
            <w:noProof/>
          </w:rPr>
          <w:t>31</w:t>
        </w:r>
      </w:fldSimple>
      <w:bookmarkEnd w:id="219"/>
      <w:r>
        <w:t xml:space="preserve">.  </w:t>
      </w:r>
      <w:r w:rsidR="00906FE6" w:rsidRPr="008925B3">
        <w:rPr>
          <w:i/>
        </w:rPr>
        <w:t>Daily light (mean) at Cape York sites with 28-d rolling average from 2012 to 2015 (left) and GAM plots</w:t>
      </w:r>
      <w:r>
        <w:rPr>
          <w:i/>
        </w:rPr>
        <w:t xml:space="preserve"> (right)</w:t>
      </w:r>
      <w:bookmarkEnd w:id="220"/>
    </w:p>
    <w:p w:rsidR="00906FE6" w:rsidRPr="008925B3" w:rsidRDefault="00906FE6" w:rsidP="008925B3">
      <w:pPr>
        <w:rPr>
          <w:i/>
        </w:rPr>
      </w:pPr>
      <w:r w:rsidRPr="008925B3">
        <w:rPr>
          <w:i/>
        </w:rPr>
        <w:t xml:space="preserve"> with the black line showing mean trend for all sites (±95% confidence interval in grey shade) and coloured lines (with CI’s) for each </w:t>
      </w:r>
      <w:r w:rsidR="00DE101A">
        <w:rPr>
          <w:i/>
        </w:rPr>
        <w:t>location</w:t>
      </w:r>
      <w:r w:rsidRPr="008925B3">
        <w:rPr>
          <w:i/>
        </w:rPr>
        <w:t xml:space="preserve">. Results of statistical analysis (GAM) and site-specific graphs (site-level daily light data plus 28-d rolling average) are </w:t>
      </w:r>
      <w:r w:rsidRPr="009526BE">
        <w:rPr>
          <w:i/>
        </w:rPr>
        <w:t xml:space="preserve">shown in Appendix </w:t>
      </w:r>
      <w:r w:rsidR="00DE101A">
        <w:rPr>
          <w:i/>
        </w:rPr>
        <w:t>5</w:t>
      </w:r>
      <w:r w:rsidRPr="009526BE">
        <w:rPr>
          <w:i/>
        </w:rPr>
        <w:t>.</w:t>
      </w:r>
    </w:p>
    <w:p w:rsidR="00906FE6" w:rsidRDefault="00906FE6" w:rsidP="00906FE6">
      <w:pPr>
        <w:rPr>
          <w:color w:val="000000"/>
          <w:szCs w:val="22"/>
        </w:rPr>
      </w:pPr>
      <w:r w:rsidRPr="00906FE6">
        <w:rPr>
          <w:color w:val="000000"/>
          <w:szCs w:val="22"/>
        </w:rPr>
        <w:t>High temperatures (&gt;35</w:t>
      </w:r>
      <w:r w:rsidR="009526BE">
        <w:rPr>
          <w:color w:val="000000"/>
          <w:szCs w:val="22"/>
        </w:rPr>
        <w:t>°</w:t>
      </w:r>
      <w:r w:rsidRPr="00906FE6">
        <w:rPr>
          <w:color w:val="000000"/>
          <w:szCs w:val="22"/>
        </w:rPr>
        <w:t>C) were recorded from October to January 2015 across the region, with the highest temperature (39.1</w:t>
      </w:r>
      <w:r w:rsidR="009526BE">
        <w:rPr>
          <w:color w:val="000000"/>
          <w:szCs w:val="22"/>
        </w:rPr>
        <w:t>°</w:t>
      </w:r>
      <w:r w:rsidRPr="00906FE6">
        <w:rPr>
          <w:color w:val="000000"/>
          <w:szCs w:val="22"/>
        </w:rPr>
        <w:t xml:space="preserve">C) recorded at 1:00pm on the 1st March 2015 at Bathurst Bay (Appendix </w:t>
      </w:r>
      <w:r w:rsidR="009526BE">
        <w:rPr>
          <w:color w:val="000000"/>
          <w:szCs w:val="22"/>
        </w:rPr>
        <w:t>4</w:t>
      </w:r>
      <w:r w:rsidRPr="00906FE6">
        <w:rPr>
          <w:color w:val="000000"/>
          <w:szCs w:val="22"/>
        </w:rPr>
        <w:t>). A greater number of days (5 days) where the sea water temperatures exceeded 38</w:t>
      </w:r>
      <w:r w:rsidR="009526BE">
        <w:rPr>
          <w:color w:val="000000"/>
          <w:szCs w:val="22"/>
        </w:rPr>
        <w:t>°</w:t>
      </w:r>
      <w:r w:rsidRPr="00906FE6">
        <w:rPr>
          <w:color w:val="000000"/>
          <w:szCs w:val="22"/>
        </w:rPr>
        <w:t>C was experienced in 2014-15 (cf. 3 in 2013-14). Within canopy temperatures were slightly above the previous period and 0.6</w:t>
      </w:r>
      <w:r w:rsidR="009526BE">
        <w:rPr>
          <w:color w:val="000000"/>
          <w:szCs w:val="22"/>
        </w:rPr>
        <w:t>°</w:t>
      </w:r>
      <w:r w:rsidRPr="00906FE6">
        <w:rPr>
          <w:color w:val="000000"/>
          <w:szCs w:val="22"/>
        </w:rPr>
        <w:t>C warmer on average than the long-term over the 2014-15 monitoring period.</w:t>
      </w:r>
    </w:p>
    <w:p w:rsidR="00906FE6" w:rsidRDefault="00906FE6" w:rsidP="008925B3">
      <w:pPr>
        <w:keepNext/>
        <w:widowControl w:val="0"/>
        <w:spacing w:after="0"/>
        <w:jc w:val="center"/>
        <w:rPr>
          <w:noProof/>
          <w:color w:val="000000"/>
          <w:szCs w:val="22"/>
          <w:lang w:eastAsia="en-AU"/>
        </w:rPr>
      </w:pPr>
      <w:r>
        <w:rPr>
          <w:noProof/>
          <w:color w:val="000000"/>
          <w:szCs w:val="22"/>
          <w:lang w:eastAsia="en-AU"/>
        </w:rPr>
        <w:drawing>
          <wp:inline distT="0" distB="0" distL="0" distR="0" wp14:anchorId="314977E3" wp14:editId="6A891388">
            <wp:extent cx="4680000" cy="2527200"/>
            <wp:effectExtent l="0" t="0" r="6350" b="6985"/>
            <wp:docPr id="14" name="Picture 14" descr="Panel of two bar graphs showing number of days when inshore within canopy sea temperature exceeded 35°C, 38°C, 40°C and 43°C within each season and deviations at Archer Point from 7-year mean weekly temperature records for intertidal seagrass habitats in the Cape York NRM region from April 2007 to Ju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temperature_deviation_2015.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680000" cy="2527200"/>
                    </a:xfrm>
                    <a:prstGeom prst="rect">
                      <a:avLst/>
                    </a:prstGeom>
                  </pic:spPr>
                </pic:pic>
              </a:graphicData>
            </a:graphic>
          </wp:inline>
        </w:drawing>
      </w:r>
    </w:p>
    <w:p w:rsidR="00906FE6" w:rsidRPr="00EA10D7" w:rsidRDefault="00906FE6" w:rsidP="00906FE6">
      <w:pPr>
        <w:spacing w:before="240"/>
        <w:rPr>
          <w:i/>
          <w:vanish/>
          <w:color w:val="000000"/>
          <w:szCs w:val="22"/>
          <w:lang w:val="en-GB"/>
          <w:specVanish/>
        </w:rPr>
      </w:pPr>
      <w:bookmarkStart w:id="221" w:name="_Toc462684872"/>
      <w:r w:rsidRPr="00EA10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32</w:t>
      </w:r>
      <w:r w:rsidR="0073595B">
        <w:rPr>
          <w:color w:val="000000"/>
          <w:szCs w:val="22"/>
          <w:lang w:val="en-GB"/>
        </w:rPr>
        <w:fldChar w:fldCharType="end"/>
      </w:r>
      <w:r w:rsidRPr="00EA10D7">
        <w:rPr>
          <w:color w:val="000000"/>
          <w:szCs w:val="22"/>
          <w:lang w:val="en-GB"/>
        </w:rPr>
        <w:t xml:space="preserve">. </w:t>
      </w:r>
      <w:r w:rsidRPr="00EA10D7">
        <w:rPr>
          <w:i/>
          <w:color w:val="000000"/>
          <w:szCs w:val="22"/>
          <w:lang w:val="en-GB"/>
        </w:rPr>
        <w:t xml:space="preserve">Inshore </w:t>
      </w:r>
      <w:r w:rsidR="00272A62">
        <w:rPr>
          <w:i/>
          <w:color w:val="000000"/>
          <w:szCs w:val="22"/>
          <w:lang w:val="en-GB"/>
        </w:rPr>
        <w:t xml:space="preserve">within canopy </w:t>
      </w:r>
      <w:r w:rsidRPr="00EA10D7">
        <w:rPr>
          <w:i/>
          <w:color w:val="000000"/>
          <w:szCs w:val="22"/>
          <w:lang w:val="en-GB"/>
        </w:rPr>
        <w:t>sea temperature for intertidal seagrass habitats in the Cape York NRM region from April 2007 to June 201</w:t>
      </w:r>
      <w:r>
        <w:rPr>
          <w:i/>
          <w:color w:val="000000"/>
          <w:szCs w:val="22"/>
          <w:lang w:val="en-GB"/>
        </w:rPr>
        <w:t>5</w:t>
      </w:r>
      <w:bookmarkEnd w:id="221"/>
    </w:p>
    <w:p w:rsidR="00906FE6" w:rsidRDefault="00906FE6" w:rsidP="00906FE6">
      <w:pPr>
        <w:spacing w:before="240"/>
        <w:rPr>
          <w:i/>
          <w:color w:val="000000"/>
          <w:szCs w:val="22"/>
          <w:lang w:val="en-GB"/>
        </w:rPr>
      </w:pPr>
      <w:r w:rsidRPr="00EA10D7">
        <w:rPr>
          <w:i/>
          <w:color w:val="000000"/>
          <w:szCs w:val="22"/>
          <w:lang w:val="en-GB"/>
        </w:rPr>
        <w:t>:</w:t>
      </w:r>
      <w:r w:rsidRPr="00EA10D7">
        <w:rPr>
          <w:i/>
          <w:color w:val="000000"/>
          <w:szCs w:val="22"/>
        </w:rPr>
        <w:t xml:space="preserve"> a) n</w:t>
      </w:r>
      <w:proofErr w:type="spellStart"/>
      <w:r w:rsidRPr="00EA10D7">
        <w:rPr>
          <w:i/>
          <w:color w:val="000000"/>
          <w:szCs w:val="22"/>
          <w:lang w:val="en-GB"/>
        </w:rPr>
        <w:t>umber</w:t>
      </w:r>
      <w:proofErr w:type="spellEnd"/>
      <w:r w:rsidRPr="00EA10D7">
        <w:rPr>
          <w:i/>
          <w:color w:val="000000"/>
          <w:szCs w:val="22"/>
          <w:lang w:val="en-GB"/>
        </w:rPr>
        <w:t xml:space="preserve"> of days when temperature exceeded 35°C, 38°C, </w:t>
      </w:r>
      <w:r w:rsidRPr="00EA10D7">
        <w:rPr>
          <w:i/>
          <w:color w:val="000000"/>
          <w:szCs w:val="22"/>
          <w:lang w:val="en-GB"/>
        </w:rPr>
        <w:lastRenderedPageBreak/>
        <w:t xml:space="preserve">40°C and 43°C within each season (thresholds adapted from </w:t>
      </w:r>
      <w:hyperlink w:anchor="_ENREF_33" w:tooltip="Campbell, 2006 #2896" w:history="1">
        <w:r w:rsidR="00E6043D">
          <w:rPr>
            <w:i/>
            <w:color w:val="000000"/>
            <w:szCs w:val="22"/>
            <w:lang w:val="en-GB"/>
          </w:rPr>
          <w:fldChar w:fldCharType="begin"/>
        </w:r>
        <w:r w:rsidR="00E6043D">
          <w:rPr>
            <w:i/>
            <w:color w:val="000000"/>
            <w:szCs w:val="22"/>
            <w:lang w:val="en-GB"/>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rPr>
            <w:i/>
            <w:color w:val="000000"/>
            <w:szCs w:val="22"/>
            <w:lang w:val="en-GB"/>
          </w:rPr>
          <w:fldChar w:fldCharType="separate"/>
        </w:r>
        <w:r w:rsidR="00E6043D">
          <w:rPr>
            <w:i/>
            <w:noProof/>
            <w:color w:val="000000"/>
            <w:szCs w:val="22"/>
            <w:lang w:val="en-GB"/>
          </w:rPr>
          <w:t>Campbell, et al. 2006</w:t>
        </w:r>
        <w:r w:rsidR="00E6043D">
          <w:rPr>
            <w:i/>
            <w:color w:val="000000"/>
            <w:szCs w:val="22"/>
            <w:lang w:val="en-GB"/>
          </w:rPr>
          <w:fldChar w:fldCharType="end"/>
        </w:r>
      </w:hyperlink>
      <w:r w:rsidRPr="00EA10D7">
        <w:rPr>
          <w:i/>
          <w:color w:val="000000"/>
          <w:szCs w:val="22"/>
          <w:lang w:val="en-GB"/>
        </w:rPr>
        <w:t xml:space="preserve">); b) deviations at Archer Point from </w:t>
      </w:r>
      <w:r>
        <w:rPr>
          <w:i/>
          <w:color w:val="000000"/>
          <w:szCs w:val="22"/>
          <w:lang w:val="en-GB"/>
        </w:rPr>
        <w:t>7</w:t>
      </w:r>
      <w:r w:rsidRPr="00EA10D7">
        <w:rPr>
          <w:i/>
          <w:color w:val="000000"/>
          <w:szCs w:val="22"/>
          <w:lang w:val="en-GB"/>
        </w:rPr>
        <w:t xml:space="preserve">-year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Dashed line represents period when monitoring not established. </w:t>
      </w:r>
    </w:p>
    <w:p w:rsidR="001D3ECB" w:rsidRPr="00BD0604" w:rsidRDefault="001D3ECB" w:rsidP="001D3ECB">
      <w:pPr>
        <w:pStyle w:val="Heading3"/>
        <w:numPr>
          <w:ilvl w:val="2"/>
          <w:numId w:val="9"/>
        </w:numPr>
        <w:rPr>
          <w:rFonts w:ascii="Arial" w:hAnsi="Arial" w:cs="Arial"/>
          <w:color w:val="000000"/>
        </w:rPr>
      </w:pPr>
      <w:bookmarkStart w:id="222" w:name="_Toc462047339"/>
      <w:r>
        <w:rPr>
          <w:rFonts w:ascii="Arial" w:hAnsi="Arial" w:cs="Arial"/>
          <w:color w:val="000000"/>
        </w:rPr>
        <w:t>Indicators of seagrass condition</w:t>
      </w:r>
      <w:bookmarkEnd w:id="222"/>
    </w:p>
    <w:p w:rsidR="005132EF" w:rsidRPr="004F2236" w:rsidRDefault="005132EF" w:rsidP="004F2236">
      <w:pPr>
        <w:pStyle w:val="Heading4"/>
        <w:numPr>
          <w:ilvl w:val="0"/>
          <w:numId w:val="0"/>
        </w:numPr>
        <w:rPr>
          <w:rFonts w:ascii="Arial" w:hAnsi="Arial" w:cs="Arial"/>
          <w:sz w:val="24"/>
          <w:szCs w:val="24"/>
        </w:rPr>
      </w:pPr>
      <w:bookmarkStart w:id="223" w:name="_Toc184101972"/>
      <w:bookmarkEnd w:id="206"/>
      <w:bookmarkEnd w:id="207"/>
      <w:bookmarkEnd w:id="208"/>
      <w:r w:rsidRPr="004F2236">
        <w:rPr>
          <w:rFonts w:ascii="Arial" w:hAnsi="Arial" w:cs="Arial"/>
          <w:sz w:val="24"/>
          <w:szCs w:val="24"/>
        </w:rPr>
        <w:t>Seagrass abundance</w:t>
      </w:r>
      <w:r w:rsidR="00106667">
        <w:rPr>
          <w:rFonts w:ascii="Arial" w:hAnsi="Arial" w:cs="Arial"/>
          <w:sz w:val="24"/>
          <w:szCs w:val="24"/>
        </w:rPr>
        <w:t>,</w:t>
      </w:r>
      <w:r w:rsidRPr="004F2236">
        <w:rPr>
          <w:rFonts w:ascii="Arial" w:hAnsi="Arial" w:cs="Arial"/>
          <w:sz w:val="24"/>
          <w:szCs w:val="24"/>
        </w:rPr>
        <w:t xml:space="preserve"> composition</w:t>
      </w:r>
      <w:bookmarkEnd w:id="223"/>
      <w:r w:rsidR="00106667" w:rsidRPr="00106667">
        <w:rPr>
          <w:rFonts w:ascii="Arial" w:hAnsi="Arial" w:cs="Arial"/>
          <w:sz w:val="24"/>
          <w:szCs w:val="24"/>
        </w:rPr>
        <w:t xml:space="preserve"> </w:t>
      </w:r>
      <w:r w:rsidR="00106667" w:rsidRPr="004F2236">
        <w:rPr>
          <w:rFonts w:ascii="Arial" w:hAnsi="Arial" w:cs="Arial"/>
          <w:sz w:val="24"/>
          <w:szCs w:val="24"/>
        </w:rPr>
        <w:t>and</w:t>
      </w:r>
      <w:r w:rsidR="00106667">
        <w:rPr>
          <w:rFonts w:ascii="Arial" w:hAnsi="Arial" w:cs="Arial"/>
          <w:sz w:val="24"/>
          <w:szCs w:val="24"/>
        </w:rPr>
        <w:t xml:space="preserve"> extent</w:t>
      </w:r>
    </w:p>
    <w:p w:rsidR="00906FE6" w:rsidRDefault="00906FE6" w:rsidP="003617DA">
      <w:pPr>
        <w:spacing w:before="0" w:after="0"/>
        <w:rPr>
          <w:color w:val="000000"/>
          <w:szCs w:val="22"/>
        </w:rPr>
      </w:pPr>
      <w:r w:rsidRPr="00906FE6">
        <w:rPr>
          <w:color w:val="000000"/>
          <w:szCs w:val="22"/>
        </w:rPr>
        <w:t>The seagrass abundance score across the region remained moderate in 201</w:t>
      </w:r>
      <w:r w:rsidR="00716CE2">
        <w:rPr>
          <w:color w:val="000000"/>
          <w:szCs w:val="22"/>
        </w:rPr>
        <w:t>4</w:t>
      </w:r>
      <w:r w:rsidRPr="00906FE6">
        <w:rPr>
          <w:color w:val="000000"/>
          <w:szCs w:val="22"/>
        </w:rPr>
        <w:t>-1</w:t>
      </w:r>
      <w:r w:rsidR="00716CE2">
        <w:rPr>
          <w:color w:val="000000"/>
          <w:szCs w:val="22"/>
        </w:rPr>
        <w:t>5</w:t>
      </w:r>
      <w:r w:rsidRPr="00906FE6">
        <w:rPr>
          <w:color w:val="000000"/>
          <w:szCs w:val="22"/>
        </w:rPr>
        <w:t xml:space="preserve"> (</w:t>
      </w:r>
      <w:r w:rsidR="002B494C">
        <w:rPr>
          <w:color w:val="000000"/>
          <w:szCs w:val="22"/>
        </w:rPr>
        <w:fldChar w:fldCharType="begin"/>
      </w:r>
      <w:r w:rsidR="002B494C">
        <w:rPr>
          <w:color w:val="000000"/>
          <w:szCs w:val="22"/>
        </w:rPr>
        <w:instrText xml:space="preserve"> REF _Ref385233470 \h </w:instrText>
      </w:r>
      <w:r w:rsidR="002B494C">
        <w:rPr>
          <w:color w:val="000000"/>
          <w:szCs w:val="22"/>
        </w:rPr>
      </w:r>
      <w:r w:rsidR="002B494C">
        <w:rPr>
          <w:color w:val="000000"/>
          <w:szCs w:val="22"/>
        </w:rPr>
        <w:fldChar w:fldCharType="separate"/>
      </w:r>
      <w:r w:rsidR="009C068F" w:rsidRPr="00120417">
        <w:rPr>
          <w:color w:val="000000"/>
        </w:rPr>
        <w:t xml:space="preserve">Figure </w:t>
      </w:r>
      <w:r w:rsidR="009C068F">
        <w:rPr>
          <w:noProof/>
          <w:color w:val="000000"/>
        </w:rPr>
        <w:t>29</w:t>
      </w:r>
      <w:r w:rsidR="002B494C">
        <w:rPr>
          <w:color w:val="000000"/>
          <w:szCs w:val="22"/>
        </w:rPr>
        <w:fldChar w:fldCharType="end"/>
      </w:r>
      <w:r w:rsidRPr="00906FE6">
        <w:rPr>
          <w:color w:val="000000"/>
          <w:szCs w:val="22"/>
        </w:rPr>
        <w:t>). Seagrass abundance at intertidal reef habitats declined from 2003 to 2012, and although has improved in cover since, remains in a poor state. Seagrass abundance at coastal habitats was in a very good state in 2012-13, however it declined to a good state in 201</w:t>
      </w:r>
      <w:r w:rsidR="005515AE">
        <w:rPr>
          <w:color w:val="000000"/>
          <w:szCs w:val="22"/>
        </w:rPr>
        <w:t>4</w:t>
      </w:r>
      <w:r w:rsidRPr="00906FE6">
        <w:rPr>
          <w:color w:val="000000"/>
          <w:szCs w:val="22"/>
        </w:rPr>
        <w:t>-1</w:t>
      </w:r>
      <w:r w:rsidR="005515AE">
        <w:rPr>
          <w:color w:val="000000"/>
          <w:szCs w:val="22"/>
        </w:rPr>
        <w:t>5</w:t>
      </w:r>
      <w:r w:rsidRPr="00906FE6">
        <w:rPr>
          <w:color w:val="000000"/>
          <w:szCs w:val="22"/>
        </w:rPr>
        <w:t xml:space="preserve">. Meadows across the region were composed of a greater than average proportion of </w:t>
      </w:r>
      <w:proofErr w:type="spellStart"/>
      <w:r w:rsidRPr="002B494C">
        <w:rPr>
          <w:i/>
          <w:color w:val="000000"/>
          <w:szCs w:val="22"/>
        </w:rPr>
        <w:t>Halophila</w:t>
      </w:r>
      <w:proofErr w:type="spellEnd"/>
      <w:r w:rsidRPr="002B494C">
        <w:rPr>
          <w:i/>
          <w:color w:val="000000"/>
          <w:szCs w:val="22"/>
        </w:rPr>
        <w:t xml:space="preserve"> </w:t>
      </w:r>
      <w:proofErr w:type="spellStart"/>
      <w:r w:rsidRPr="002B494C">
        <w:rPr>
          <w:i/>
          <w:color w:val="000000"/>
          <w:szCs w:val="22"/>
        </w:rPr>
        <w:t>ovalis</w:t>
      </w:r>
      <w:proofErr w:type="spellEnd"/>
      <w:r w:rsidRPr="00906FE6">
        <w:rPr>
          <w:color w:val="000000"/>
          <w:szCs w:val="22"/>
        </w:rPr>
        <w:t>, a</w:t>
      </w:r>
      <w:r w:rsidR="002B494C">
        <w:rPr>
          <w:color w:val="000000"/>
          <w:szCs w:val="22"/>
        </w:rPr>
        <w:t xml:space="preserve"> colonising</w:t>
      </w:r>
      <w:r w:rsidRPr="00906FE6">
        <w:rPr>
          <w:color w:val="000000"/>
          <w:szCs w:val="22"/>
        </w:rPr>
        <w:t xml:space="preserve"> species, which coupled with poor abundance may suggest weaker ecosystem resistance in some meadows.</w:t>
      </w:r>
    </w:p>
    <w:p w:rsidR="003611ED" w:rsidRDefault="003611ED" w:rsidP="00034AD4">
      <w:pPr>
        <w:rPr>
          <w:color w:val="000000"/>
          <w:szCs w:val="22"/>
        </w:rPr>
      </w:pPr>
      <w:r w:rsidRPr="003611ED">
        <w:rPr>
          <w:color w:val="000000"/>
          <w:szCs w:val="22"/>
        </w:rPr>
        <w:t xml:space="preserve">The most southern location (Archer Point reef habitat) has been monitored for the greatest period of time in the </w:t>
      </w:r>
      <w:proofErr w:type="gramStart"/>
      <w:r w:rsidRPr="003611ED">
        <w:rPr>
          <w:color w:val="000000"/>
          <w:szCs w:val="22"/>
        </w:rPr>
        <w:t>region,</w:t>
      </w:r>
      <w:proofErr w:type="gramEnd"/>
      <w:r w:rsidRPr="003611ED">
        <w:rPr>
          <w:color w:val="000000"/>
          <w:szCs w:val="22"/>
        </w:rPr>
        <w:t xml:space="preserve"> while the other four </w:t>
      </w:r>
      <w:r w:rsidR="0091436F">
        <w:rPr>
          <w:color w:val="000000"/>
          <w:szCs w:val="22"/>
        </w:rPr>
        <w:t>locations</w:t>
      </w:r>
      <w:r w:rsidRPr="003611ED">
        <w:rPr>
          <w:color w:val="000000"/>
          <w:szCs w:val="22"/>
        </w:rPr>
        <w:t xml:space="preserve"> </w:t>
      </w:r>
      <w:r w:rsidR="0091436F">
        <w:rPr>
          <w:color w:val="000000"/>
          <w:szCs w:val="22"/>
        </w:rPr>
        <w:t>were established in</w:t>
      </w:r>
      <w:r w:rsidRPr="003611ED">
        <w:rPr>
          <w:color w:val="000000"/>
          <w:szCs w:val="22"/>
        </w:rPr>
        <w:t xml:space="preserve"> 2012 (</w:t>
      </w:r>
      <w:r w:rsidR="002B494C">
        <w:rPr>
          <w:color w:val="000000"/>
          <w:szCs w:val="22"/>
        </w:rPr>
        <w:fldChar w:fldCharType="begin"/>
      </w:r>
      <w:r w:rsidR="002B494C">
        <w:rPr>
          <w:color w:val="000000"/>
          <w:szCs w:val="22"/>
        </w:rPr>
        <w:instrText xml:space="preserve"> REF _Ref179269976 \h </w:instrText>
      </w:r>
      <w:r w:rsidR="002B494C">
        <w:rPr>
          <w:color w:val="000000"/>
          <w:szCs w:val="22"/>
        </w:rPr>
      </w:r>
      <w:r w:rsidR="002B494C">
        <w:rPr>
          <w:color w:val="000000"/>
          <w:szCs w:val="22"/>
        </w:rPr>
        <w:fldChar w:fldCharType="separate"/>
      </w:r>
      <w:r w:rsidR="009C068F" w:rsidRPr="00D20408">
        <w:rPr>
          <w:color w:val="000000"/>
        </w:rPr>
        <w:t xml:space="preserve">Figure </w:t>
      </w:r>
      <w:r w:rsidR="009C068F">
        <w:rPr>
          <w:noProof/>
          <w:color w:val="000000"/>
        </w:rPr>
        <w:t>33</w:t>
      </w:r>
      <w:r w:rsidR="002B494C">
        <w:rPr>
          <w:color w:val="000000"/>
          <w:szCs w:val="22"/>
        </w:rPr>
        <w:fldChar w:fldCharType="end"/>
      </w:r>
      <w:r w:rsidR="002B494C">
        <w:rPr>
          <w:color w:val="000000"/>
          <w:szCs w:val="22"/>
        </w:rPr>
        <w:t>d</w:t>
      </w:r>
      <w:r w:rsidRPr="003611ED">
        <w:rPr>
          <w:color w:val="000000"/>
          <w:szCs w:val="22"/>
        </w:rPr>
        <w:t xml:space="preserve">).  The long-term average seagrass cover at reef habitats in region varied little between seasons: 16.2% in the late dry and 15.9% in late monsoon season. Seagrass abundance in 2014-15 remained similar at the majority of sites, with the only considerable declines (&gt;20% change) at Piper Reef </w:t>
      </w:r>
      <w:r w:rsidR="002B494C" w:rsidRPr="003611ED">
        <w:rPr>
          <w:color w:val="000000"/>
          <w:szCs w:val="22"/>
        </w:rPr>
        <w:t>(</w:t>
      </w:r>
      <w:r w:rsidR="002B494C">
        <w:rPr>
          <w:color w:val="000000"/>
          <w:szCs w:val="22"/>
        </w:rPr>
        <w:fldChar w:fldCharType="begin"/>
      </w:r>
      <w:r w:rsidR="002B494C">
        <w:rPr>
          <w:color w:val="000000"/>
          <w:szCs w:val="22"/>
        </w:rPr>
        <w:instrText xml:space="preserve"> REF _Ref179269976 \h </w:instrText>
      </w:r>
      <w:r w:rsidR="002B494C">
        <w:rPr>
          <w:color w:val="000000"/>
          <w:szCs w:val="22"/>
        </w:rPr>
      </w:r>
      <w:r w:rsidR="002B494C">
        <w:rPr>
          <w:color w:val="000000"/>
          <w:szCs w:val="22"/>
        </w:rPr>
        <w:fldChar w:fldCharType="separate"/>
      </w:r>
      <w:r w:rsidR="009C068F" w:rsidRPr="00D20408">
        <w:rPr>
          <w:color w:val="000000"/>
        </w:rPr>
        <w:t xml:space="preserve">Figure </w:t>
      </w:r>
      <w:r w:rsidR="009C068F">
        <w:rPr>
          <w:noProof/>
          <w:color w:val="000000"/>
        </w:rPr>
        <w:t>33</w:t>
      </w:r>
      <w:r w:rsidR="002B494C">
        <w:rPr>
          <w:color w:val="000000"/>
          <w:szCs w:val="22"/>
        </w:rPr>
        <w:fldChar w:fldCharType="end"/>
      </w:r>
      <w:r w:rsidR="002B494C">
        <w:rPr>
          <w:color w:val="000000"/>
          <w:szCs w:val="22"/>
        </w:rPr>
        <w:t>a</w:t>
      </w:r>
      <w:r w:rsidR="002B494C" w:rsidRPr="003611ED">
        <w:rPr>
          <w:color w:val="000000"/>
          <w:szCs w:val="22"/>
        </w:rPr>
        <w:t>)</w:t>
      </w:r>
      <w:r w:rsidRPr="003611ED">
        <w:rPr>
          <w:color w:val="000000"/>
          <w:szCs w:val="22"/>
        </w:rPr>
        <w:t>.</w:t>
      </w:r>
    </w:p>
    <w:p w:rsidR="003611ED" w:rsidRDefault="003611ED" w:rsidP="002B494C">
      <w:pPr>
        <w:keepNext/>
        <w:widowControl w:val="0"/>
        <w:spacing w:after="0"/>
        <w:jc w:val="center"/>
        <w:rPr>
          <w:color w:val="000000"/>
          <w:szCs w:val="22"/>
        </w:rPr>
      </w:pPr>
      <w:r>
        <w:rPr>
          <w:noProof/>
          <w:color w:val="000000"/>
          <w:szCs w:val="22"/>
          <w:lang w:eastAsia="en-AU"/>
        </w:rPr>
        <w:drawing>
          <wp:inline distT="0" distB="0" distL="0" distR="0" wp14:anchorId="27BF40F8" wp14:editId="6F2C2788">
            <wp:extent cx="5301498" cy="3747752"/>
            <wp:effectExtent l="0" t="0" r="0" b="5715"/>
            <wp:docPr id="16" name="Picture 16" descr="Set of four scatter plots with straight lines and markers showing seagrass abundance (% cover ± Standard Error) at inshore intertidal reef habitats (replicate sites pooled) in the Cape York NRM from 2003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reef_SG15.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303291" cy="3749020"/>
                    </a:xfrm>
                    <a:prstGeom prst="rect">
                      <a:avLst/>
                    </a:prstGeom>
                  </pic:spPr>
                </pic:pic>
              </a:graphicData>
            </a:graphic>
          </wp:inline>
        </w:drawing>
      </w:r>
    </w:p>
    <w:p w:rsidR="0064588D" w:rsidRPr="007615D3" w:rsidRDefault="005132EF" w:rsidP="0064588D">
      <w:pPr>
        <w:spacing w:before="0"/>
        <w:ind w:right="233"/>
        <w:rPr>
          <w:i/>
          <w:vanish/>
          <w:color w:val="000000"/>
          <w:szCs w:val="22"/>
          <w:specVanish/>
        </w:rPr>
      </w:pPr>
      <w:bookmarkStart w:id="224" w:name="_Ref179269976"/>
      <w:bookmarkStart w:id="225" w:name="_Toc176158848"/>
      <w:bookmarkStart w:id="226" w:name="_Toc232845956"/>
      <w:bookmarkStart w:id="227" w:name="_Toc431493826"/>
      <w:bookmarkStart w:id="228" w:name="_Toc462684873"/>
      <w:bookmarkStart w:id="229" w:name="_Ref354735615"/>
      <w:r w:rsidRPr="00D20408">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33</w:t>
      </w:r>
      <w:r w:rsidR="0073595B">
        <w:rPr>
          <w:color w:val="000000"/>
        </w:rPr>
        <w:fldChar w:fldCharType="end"/>
      </w:r>
      <w:bookmarkEnd w:id="224"/>
      <w:r w:rsidRPr="00D20408">
        <w:rPr>
          <w:color w:val="000000"/>
        </w:rPr>
        <w:t xml:space="preserve">. </w:t>
      </w:r>
      <w:r w:rsidRPr="00D20408">
        <w:rPr>
          <w:i/>
          <w:color w:val="000000"/>
        </w:rPr>
        <w:t xml:space="preserve">Seagrass abundance (% cover ± Standard Error) at inshore </w:t>
      </w:r>
      <w:r w:rsidR="0064588D" w:rsidRPr="00D20408">
        <w:rPr>
          <w:i/>
          <w:color w:val="000000"/>
        </w:rPr>
        <w:t xml:space="preserve">intertidal </w:t>
      </w:r>
      <w:r w:rsidRPr="00D20408">
        <w:rPr>
          <w:i/>
          <w:color w:val="000000"/>
        </w:rPr>
        <w:t>reef habitat</w:t>
      </w:r>
      <w:r w:rsidR="00F84A5C" w:rsidRPr="00D20408">
        <w:rPr>
          <w:i/>
          <w:color w:val="000000"/>
        </w:rPr>
        <w:t>s</w:t>
      </w:r>
      <w:r w:rsidRPr="00D20408">
        <w:rPr>
          <w:i/>
          <w:color w:val="000000"/>
        </w:rPr>
        <w:t xml:space="preserve"> </w:t>
      </w:r>
      <w:r w:rsidRPr="007615D3">
        <w:rPr>
          <w:i/>
          <w:color w:val="000000"/>
        </w:rPr>
        <w:t>(</w:t>
      </w:r>
      <w:r w:rsidR="000626FE" w:rsidRPr="007615D3">
        <w:rPr>
          <w:i/>
          <w:color w:val="000000"/>
        </w:rPr>
        <w:t xml:space="preserve">replicate </w:t>
      </w:r>
      <w:r w:rsidRPr="007615D3">
        <w:rPr>
          <w:i/>
          <w:color w:val="000000"/>
        </w:rPr>
        <w:t>sites pooled)</w:t>
      </w:r>
      <w:r w:rsidR="000626FE" w:rsidRPr="007615D3">
        <w:rPr>
          <w:i/>
          <w:color w:val="000000"/>
        </w:rPr>
        <w:t xml:space="preserve"> in the </w:t>
      </w:r>
      <w:smartTag w:uri="urn:schemas-microsoft-com:office:smarttags" w:element="place">
        <w:r w:rsidR="000626FE" w:rsidRPr="007615D3">
          <w:rPr>
            <w:i/>
            <w:color w:val="000000"/>
          </w:rPr>
          <w:t>Cape York</w:t>
        </w:r>
      </w:smartTag>
      <w:r w:rsidR="000626FE" w:rsidRPr="007615D3">
        <w:rPr>
          <w:i/>
          <w:color w:val="000000"/>
        </w:rPr>
        <w:t xml:space="preserve"> NRM</w:t>
      </w:r>
      <w:r w:rsidRPr="007615D3">
        <w:rPr>
          <w:i/>
          <w:color w:val="000000"/>
        </w:rPr>
        <w:t>.</w:t>
      </w:r>
      <w:bookmarkEnd w:id="225"/>
      <w:bookmarkEnd w:id="226"/>
      <w:bookmarkEnd w:id="227"/>
      <w:bookmarkEnd w:id="228"/>
      <w:r w:rsidRPr="007615D3">
        <w:rPr>
          <w:i/>
          <w:color w:val="000000"/>
        </w:rPr>
        <w:t xml:space="preserve"> </w:t>
      </w:r>
    </w:p>
    <w:p w:rsidR="0064588D" w:rsidRPr="00D20408" w:rsidRDefault="005132EF" w:rsidP="0064588D">
      <w:pPr>
        <w:spacing w:before="0"/>
        <w:ind w:right="233"/>
        <w:rPr>
          <w:color w:val="000000"/>
        </w:rPr>
      </w:pPr>
      <w:proofErr w:type="spellStart"/>
      <w:r w:rsidRPr="007615D3">
        <w:rPr>
          <w:i/>
          <w:color w:val="000000"/>
        </w:rPr>
        <w:t>Trendline</w:t>
      </w:r>
      <w:proofErr w:type="spellEnd"/>
      <w:r w:rsidR="00F84A5C" w:rsidRPr="007615D3">
        <w:rPr>
          <w:i/>
          <w:color w:val="000000"/>
        </w:rPr>
        <w:t xml:space="preserve"> for Archer Point</w:t>
      </w:r>
      <w:r w:rsidRPr="007615D3">
        <w:rPr>
          <w:i/>
          <w:color w:val="000000"/>
        </w:rPr>
        <w:t xml:space="preserve"> is 3rd order polynomial, 95% confidence intervals displayed, r</w:t>
      </w:r>
      <w:r w:rsidRPr="007615D3">
        <w:rPr>
          <w:i/>
          <w:color w:val="000000"/>
          <w:vertAlign w:val="superscript"/>
        </w:rPr>
        <w:t>2</w:t>
      </w:r>
      <w:r w:rsidRPr="007615D3">
        <w:rPr>
          <w:i/>
          <w:color w:val="000000"/>
        </w:rPr>
        <w:t xml:space="preserve"> = 0.</w:t>
      </w:r>
      <w:r w:rsidR="00D20408" w:rsidRPr="007615D3">
        <w:rPr>
          <w:i/>
          <w:color w:val="000000"/>
        </w:rPr>
        <w:t>5</w:t>
      </w:r>
      <w:r w:rsidR="007615D3" w:rsidRPr="007615D3">
        <w:rPr>
          <w:i/>
          <w:color w:val="000000"/>
        </w:rPr>
        <w:t>2</w:t>
      </w:r>
      <w:r w:rsidRPr="007615D3">
        <w:rPr>
          <w:i/>
          <w:color w:val="000000"/>
        </w:rPr>
        <w:t>.</w:t>
      </w:r>
      <w:bookmarkEnd w:id="229"/>
      <w:r w:rsidR="0064588D" w:rsidRPr="00D20408">
        <w:rPr>
          <w:i/>
          <w:color w:val="000000"/>
        </w:rPr>
        <w:t xml:space="preserve"> </w:t>
      </w:r>
    </w:p>
    <w:p w:rsidR="0091436F" w:rsidRDefault="003611ED" w:rsidP="0091436F">
      <w:pPr>
        <w:spacing w:before="0" w:after="0"/>
        <w:rPr>
          <w:color w:val="000000"/>
          <w:szCs w:val="22"/>
        </w:rPr>
      </w:pPr>
      <w:r w:rsidRPr="003611ED">
        <w:rPr>
          <w:color w:val="000000"/>
          <w:szCs w:val="22"/>
        </w:rPr>
        <w:t xml:space="preserve">In the late dry 2014, meadows in Cape York reef habitats had abundances of around 10% at all locations, except at Yum </w:t>
      </w:r>
      <w:proofErr w:type="spellStart"/>
      <w:r w:rsidRPr="003611ED">
        <w:rPr>
          <w:color w:val="000000"/>
          <w:szCs w:val="22"/>
        </w:rPr>
        <w:t>Yum</w:t>
      </w:r>
      <w:proofErr w:type="spellEnd"/>
      <w:r w:rsidRPr="003611ED">
        <w:rPr>
          <w:color w:val="000000"/>
          <w:szCs w:val="22"/>
        </w:rPr>
        <w:t xml:space="preserve"> Beach (Seagrass-Watch site), where it was 22.3 ±0.97%. Since monitoring was established at Archer Point (AP1) in 2003, seagrass cover has generally followed a seasonal trend with higher abundance in late dry period (</w:t>
      </w:r>
      <w:hyperlink w:anchor="_ENREF_168" w:tooltip="McKenzie, 2012 #9614" w:history="1">
        <w:r w:rsidR="00E6043D">
          <w:rPr>
            <w:color w:val="000000"/>
            <w:szCs w:val="22"/>
          </w:rPr>
          <w:fldChar w:fldCharType="begin"/>
        </w:r>
        <w:r w:rsidR="00E6043D">
          <w:rPr>
            <w:color w:val="000000"/>
            <w:szCs w:val="22"/>
          </w:rPr>
          <w:instrText xml:space="preserve"> ADDIN EN.CITE &lt;EndNote&gt;&lt;Cite&gt;&lt;Author&gt;McKenzie&lt;/Author&gt;&lt;Year&gt;2012&lt;/Year&gt;&lt;RecNum&gt;9614&lt;/RecNum&gt;&lt;DisplayText&gt;McKenzie&lt;style face="italic"&gt; et al.&lt;/style&gt; 2012a&lt;/DisplayText&gt;&lt;record&gt;&lt;rec-number&gt;9614&lt;/rec-number&gt;&lt;foreign-keys&gt;&lt;key app="EN" db-id="0eve55x9y5vfd6e9dacxtew4eatve2dzds9a"&gt;9614&lt;/key&gt;&lt;/foreign-keys&gt;&lt;ref-type name="Book Section"&gt;5&lt;/ref-type&gt;&lt;contributors&gt;&lt;authors&gt;&lt;author&gt;McKenzie, Len J&lt;/author&gt;&lt;author&gt;Collier, C&lt;/author&gt;&lt;author&gt;Waycott, M&lt;/author&gt;&lt;author&gt;Unsworth, R&lt;/author&gt;&lt;author&gt;Yoshida, R&lt;/author&gt;&lt;author&gt;Smith, N&lt;/author&gt;&lt;/authors&gt;&lt;secondary-authors&gt;&lt;author&gt;Yellowlees, D&lt;/author&gt;&lt;author&gt;Hughes, T. P&lt;/author&gt;&lt;/secondary-authors&gt;&lt;/contributors&gt;&lt;titles&gt;&lt;title&gt;Monitoring inshore seagrasses of the GBR and responses to water quality&lt;/title&gt;&lt;secondary-title&gt;Proceedings of the 12th International Coral Reef Symposium, Cairns, Australia, 9-13 July 2012. Mini-Symposium 15b – Seagrasses and seagrass ecosystems&lt;/secondary-title&gt;&lt;/titles&gt;&lt;pages&gt;5&lt;/pages&gt;&lt;dates&gt;&lt;year&gt;2012&lt;/year&gt;&lt;/dates&gt;&lt;pub-location&gt;Townsville, Queensland&lt;/pub-location&gt;&lt;publisher&gt;James Cook University&lt;/publisher&gt;&lt;isbn&gt;978-0-9808572-5-2&lt;/isbn&gt;&lt;urls&gt;&lt;related-urls&gt;&lt;url&gt;http://www.icrs2012.com/proceedings/manuscripts/ICRS2012_15B_4.pdf&lt;/url&gt;&lt;/related-urls&gt;&lt;/urls&gt;&lt;/record&gt;&lt;/Cite&gt;&lt;/EndNote&gt;</w:instrText>
        </w:r>
        <w:r w:rsidR="00E6043D">
          <w:rPr>
            <w:color w:val="000000"/>
            <w:szCs w:val="22"/>
          </w:rPr>
          <w:fldChar w:fldCharType="separate"/>
        </w:r>
        <w:r w:rsidR="00E6043D">
          <w:rPr>
            <w:noProof/>
            <w:color w:val="000000"/>
            <w:szCs w:val="22"/>
          </w:rPr>
          <w:t>McKenzie</w:t>
        </w:r>
        <w:r w:rsidR="00E6043D" w:rsidRPr="00D821F1">
          <w:rPr>
            <w:i/>
            <w:noProof/>
            <w:color w:val="000000"/>
            <w:szCs w:val="22"/>
          </w:rPr>
          <w:t xml:space="preserve"> et al.</w:t>
        </w:r>
        <w:r w:rsidR="00E6043D">
          <w:rPr>
            <w:noProof/>
            <w:color w:val="000000"/>
            <w:szCs w:val="22"/>
          </w:rPr>
          <w:t xml:space="preserve"> 2012a</w:t>
        </w:r>
        <w:r w:rsidR="00E6043D">
          <w:rPr>
            <w:color w:val="000000"/>
            <w:szCs w:val="22"/>
          </w:rPr>
          <w:fldChar w:fldCharType="end"/>
        </w:r>
      </w:hyperlink>
      <w:r w:rsidRPr="003611ED">
        <w:rPr>
          <w:color w:val="000000"/>
          <w:szCs w:val="22"/>
        </w:rPr>
        <w:t>). The seasonal trend at other meadows was less apparent</w:t>
      </w:r>
      <w:r w:rsidR="0091436F">
        <w:rPr>
          <w:color w:val="000000"/>
          <w:szCs w:val="22"/>
        </w:rPr>
        <w:t xml:space="preserve"> (</w:t>
      </w:r>
      <w:r w:rsidR="0091436F">
        <w:rPr>
          <w:color w:val="000000"/>
          <w:szCs w:val="22"/>
        </w:rPr>
        <w:fldChar w:fldCharType="begin"/>
      </w:r>
      <w:r w:rsidR="0091436F">
        <w:rPr>
          <w:color w:val="000000"/>
          <w:szCs w:val="22"/>
        </w:rPr>
        <w:instrText xml:space="preserve"> REF _Ref179269976 \h </w:instrText>
      </w:r>
      <w:r w:rsidR="0091436F">
        <w:rPr>
          <w:color w:val="000000"/>
          <w:szCs w:val="22"/>
        </w:rPr>
      </w:r>
      <w:r w:rsidR="0091436F">
        <w:rPr>
          <w:color w:val="000000"/>
          <w:szCs w:val="22"/>
        </w:rPr>
        <w:fldChar w:fldCharType="separate"/>
      </w:r>
      <w:r w:rsidR="009C068F" w:rsidRPr="00D20408">
        <w:rPr>
          <w:color w:val="000000"/>
        </w:rPr>
        <w:t xml:space="preserve">Figure </w:t>
      </w:r>
      <w:r w:rsidR="009C068F">
        <w:rPr>
          <w:noProof/>
          <w:color w:val="000000"/>
        </w:rPr>
        <w:t>33</w:t>
      </w:r>
      <w:r w:rsidR="0091436F">
        <w:rPr>
          <w:color w:val="000000"/>
          <w:szCs w:val="22"/>
        </w:rPr>
        <w:fldChar w:fldCharType="end"/>
      </w:r>
      <w:r w:rsidR="0091436F">
        <w:rPr>
          <w:color w:val="000000"/>
          <w:szCs w:val="22"/>
        </w:rPr>
        <w:t>)</w:t>
      </w:r>
      <w:r w:rsidRPr="003611ED">
        <w:rPr>
          <w:color w:val="000000"/>
          <w:szCs w:val="22"/>
        </w:rPr>
        <w:t xml:space="preserve">. In 2014-15 seagrass abundance continued to </w:t>
      </w:r>
      <w:r w:rsidRPr="003611ED">
        <w:rPr>
          <w:color w:val="000000"/>
          <w:szCs w:val="22"/>
        </w:rPr>
        <w:lastRenderedPageBreak/>
        <w:t xml:space="preserve">increase at </w:t>
      </w:r>
      <w:r w:rsidR="0091436F">
        <w:rPr>
          <w:color w:val="000000"/>
          <w:szCs w:val="22"/>
        </w:rPr>
        <w:t>Archer Point</w:t>
      </w:r>
      <w:r w:rsidRPr="003611ED">
        <w:rPr>
          <w:color w:val="000000"/>
          <w:szCs w:val="22"/>
        </w:rPr>
        <w:t xml:space="preserve"> from declines observed in 2011</w:t>
      </w:r>
      <w:r w:rsidR="009526BE">
        <w:rPr>
          <w:color w:val="000000"/>
          <w:szCs w:val="22"/>
        </w:rPr>
        <w:t>-</w:t>
      </w:r>
      <w:r w:rsidRPr="003611ED">
        <w:rPr>
          <w:color w:val="000000"/>
          <w:szCs w:val="22"/>
        </w:rPr>
        <w:t>12, while long-term trends are more difficult to elucidate for other sites with shorter monitoring history</w:t>
      </w:r>
      <w:r w:rsidR="0091436F">
        <w:rPr>
          <w:color w:val="000000"/>
          <w:szCs w:val="22"/>
        </w:rPr>
        <w:t xml:space="preserve"> (</w:t>
      </w:r>
      <w:r w:rsidR="0091436F">
        <w:rPr>
          <w:color w:val="000000"/>
          <w:szCs w:val="22"/>
        </w:rPr>
        <w:fldChar w:fldCharType="begin"/>
      </w:r>
      <w:r w:rsidR="0091436F">
        <w:rPr>
          <w:color w:val="000000"/>
          <w:szCs w:val="22"/>
        </w:rPr>
        <w:instrText xml:space="preserve"> REF _Ref380060771 \h </w:instrText>
      </w:r>
      <w:r w:rsidR="0091436F">
        <w:rPr>
          <w:color w:val="000000"/>
          <w:szCs w:val="22"/>
        </w:rPr>
      </w:r>
      <w:r w:rsidR="0091436F">
        <w:rPr>
          <w:color w:val="000000"/>
          <w:szCs w:val="22"/>
        </w:rPr>
        <w:fldChar w:fldCharType="separate"/>
      </w:r>
      <w:r w:rsidR="009C068F" w:rsidRPr="0014481E">
        <w:rPr>
          <w:color w:val="000000"/>
          <w:szCs w:val="22"/>
        </w:rPr>
        <w:t xml:space="preserve">Figure </w:t>
      </w:r>
      <w:r w:rsidR="009C068F">
        <w:rPr>
          <w:noProof/>
          <w:color w:val="000000"/>
          <w:szCs w:val="22"/>
        </w:rPr>
        <w:t>34</w:t>
      </w:r>
      <w:r w:rsidR="0091436F">
        <w:rPr>
          <w:color w:val="000000"/>
          <w:szCs w:val="22"/>
        </w:rPr>
        <w:fldChar w:fldCharType="end"/>
      </w:r>
      <w:r w:rsidR="0091436F">
        <w:rPr>
          <w:color w:val="000000"/>
          <w:szCs w:val="22"/>
        </w:rPr>
        <w:t>)</w:t>
      </w:r>
      <w:r w:rsidRPr="003611ED">
        <w:rPr>
          <w:color w:val="000000"/>
          <w:szCs w:val="22"/>
        </w:rPr>
        <w:t xml:space="preserve">. Seagrass abundance at coastal habitats in the </w:t>
      </w:r>
      <w:proofErr w:type="gramStart"/>
      <w:r w:rsidRPr="003611ED">
        <w:rPr>
          <w:color w:val="000000"/>
          <w:szCs w:val="22"/>
        </w:rPr>
        <w:t>northern</w:t>
      </w:r>
      <w:proofErr w:type="gramEnd"/>
      <w:r w:rsidRPr="003611ED">
        <w:rPr>
          <w:color w:val="000000"/>
          <w:szCs w:val="22"/>
        </w:rPr>
        <w:t xml:space="preserve"> Cape York NRM region decreased slightly in 2014-15, and in central Cape York they increased considerably (</w:t>
      </w:r>
      <w:r w:rsidR="0091436F">
        <w:rPr>
          <w:color w:val="000000"/>
          <w:szCs w:val="22"/>
        </w:rPr>
        <w:fldChar w:fldCharType="begin"/>
      </w:r>
      <w:r w:rsidR="0091436F">
        <w:rPr>
          <w:color w:val="000000"/>
          <w:szCs w:val="22"/>
        </w:rPr>
        <w:instrText xml:space="preserve"> REF _Ref380060771 \h </w:instrText>
      </w:r>
      <w:r w:rsidR="0091436F">
        <w:rPr>
          <w:color w:val="000000"/>
          <w:szCs w:val="22"/>
        </w:rPr>
      </w:r>
      <w:r w:rsidR="0091436F">
        <w:rPr>
          <w:color w:val="000000"/>
          <w:szCs w:val="22"/>
        </w:rPr>
        <w:fldChar w:fldCharType="separate"/>
      </w:r>
      <w:r w:rsidR="009C068F" w:rsidRPr="0014481E">
        <w:rPr>
          <w:color w:val="000000"/>
          <w:szCs w:val="22"/>
        </w:rPr>
        <w:t xml:space="preserve">Figure </w:t>
      </w:r>
      <w:r w:rsidR="009C068F">
        <w:rPr>
          <w:noProof/>
          <w:color w:val="000000"/>
          <w:szCs w:val="22"/>
        </w:rPr>
        <w:t>34</w:t>
      </w:r>
      <w:r w:rsidR="0091436F">
        <w:rPr>
          <w:color w:val="000000"/>
          <w:szCs w:val="22"/>
        </w:rPr>
        <w:fldChar w:fldCharType="end"/>
      </w:r>
      <w:r w:rsidRPr="003611ED">
        <w:rPr>
          <w:color w:val="000000"/>
          <w:szCs w:val="22"/>
        </w:rPr>
        <w:t xml:space="preserve">), although no long-term patterns were apparent due to the limited dataset. </w:t>
      </w:r>
    </w:p>
    <w:p w:rsidR="0091436F" w:rsidRDefault="0091436F" w:rsidP="005F428D">
      <w:pPr>
        <w:spacing w:after="0"/>
        <w:jc w:val="center"/>
        <w:rPr>
          <w:color w:val="000000"/>
          <w:szCs w:val="22"/>
        </w:rPr>
      </w:pPr>
      <w:r>
        <w:rPr>
          <w:noProof/>
          <w:color w:val="000000"/>
          <w:szCs w:val="22"/>
          <w:lang w:eastAsia="en-AU"/>
        </w:rPr>
        <w:drawing>
          <wp:inline distT="0" distB="0" distL="0" distR="0" wp14:anchorId="0BF58A84" wp14:editId="65CF920A">
            <wp:extent cx="5760000" cy="2163600"/>
            <wp:effectExtent l="0" t="0" r="0" b="8255"/>
            <wp:docPr id="17" name="Picture 17" descr="Panel of two scatter plots with straight lines and markers showing seagrass abundance (% cover ± Standard Error) at inshore intertidal coastal habitats (sites pooled) in the Cape York NRM region from 2012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coast_SG15.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760000" cy="2163600"/>
                    </a:xfrm>
                    <a:prstGeom prst="rect">
                      <a:avLst/>
                    </a:prstGeom>
                  </pic:spPr>
                </pic:pic>
              </a:graphicData>
            </a:graphic>
          </wp:inline>
        </w:drawing>
      </w:r>
    </w:p>
    <w:p w:rsidR="0091436F" w:rsidRPr="0014481E" w:rsidRDefault="0091436F" w:rsidP="0091436F">
      <w:pPr>
        <w:spacing w:before="0"/>
        <w:ind w:right="233"/>
        <w:rPr>
          <w:color w:val="000000"/>
          <w:szCs w:val="22"/>
        </w:rPr>
      </w:pPr>
      <w:bookmarkStart w:id="230" w:name="_Ref380060771"/>
      <w:bookmarkStart w:id="231" w:name="_Toc431493827"/>
      <w:bookmarkStart w:id="232" w:name="_Toc462684874"/>
      <w:r w:rsidRPr="0014481E">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34</w:t>
      </w:r>
      <w:r w:rsidR="0073595B">
        <w:rPr>
          <w:color w:val="000000"/>
          <w:szCs w:val="22"/>
        </w:rPr>
        <w:fldChar w:fldCharType="end"/>
      </w:r>
      <w:bookmarkEnd w:id="230"/>
      <w:r w:rsidRPr="0014481E">
        <w:rPr>
          <w:color w:val="000000"/>
          <w:szCs w:val="22"/>
        </w:rPr>
        <w:t xml:space="preserve">. </w:t>
      </w:r>
      <w:r w:rsidRPr="0014481E">
        <w:rPr>
          <w:i/>
          <w:color w:val="000000"/>
          <w:szCs w:val="22"/>
        </w:rPr>
        <w:t xml:space="preserve">Seagrass abundance (% cover ± Standard Error) at inshore intertidal coastal habitats (sites pooled) in the </w:t>
      </w:r>
      <w:smartTag w:uri="urn:schemas-microsoft-com:office:smarttags" w:element="place">
        <w:r w:rsidRPr="0014481E">
          <w:rPr>
            <w:i/>
            <w:color w:val="000000"/>
            <w:szCs w:val="22"/>
          </w:rPr>
          <w:t>Cape York</w:t>
        </w:r>
      </w:smartTag>
      <w:r w:rsidRPr="0014481E">
        <w:rPr>
          <w:i/>
          <w:color w:val="000000"/>
          <w:szCs w:val="22"/>
        </w:rPr>
        <w:t xml:space="preserve"> NRM region.</w:t>
      </w:r>
      <w:bookmarkEnd w:id="231"/>
      <w:bookmarkEnd w:id="232"/>
    </w:p>
    <w:p w:rsidR="0091436F" w:rsidRDefault="0091436F" w:rsidP="0091436F">
      <w:pPr>
        <w:rPr>
          <w:color w:val="000000"/>
          <w:szCs w:val="22"/>
        </w:rPr>
      </w:pPr>
      <w:r w:rsidRPr="00665BC8">
        <w:rPr>
          <w:color w:val="000000"/>
          <w:szCs w:val="22"/>
        </w:rPr>
        <w:t xml:space="preserve">An examination of the long term trends across the </w:t>
      </w:r>
      <w:r>
        <w:rPr>
          <w:color w:val="000000"/>
          <w:szCs w:val="22"/>
        </w:rPr>
        <w:t>Cape York</w:t>
      </w:r>
      <w:r w:rsidRPr="00665BC8">
        <w:rPr>
          <w:color w:val="000000"/>
          <w:szCs w:val="22"/>
        </w:rPr>
        <w:t xml:space="preserve"> NRM region </w:t>
      </w:r>
      <w:r>
        <w:rPr>
          <w:color w:val="000000"/>
          <w:szCs w:val="22"/>
        </w:rPr>
        <w:t>shows</w:t>
      </w:r>
      <w:r w:rsidRPr="00665BC8">
        <w:rPr>
          <w:color w:val="000000"/>
          <w:szCs w:val="22"/>
        </w:rPr>
        <w:t xml:space="preserve"> seagrass abundance (% cover) </w:t>
      </w:r>
      <w:r>
        <w:rPr>
          <w:color w:val="000000"/>
          <w:szCs w:val="22"/>
        </w:rPr>
        <w:t xml:space="preserve">progressively decreased from 2003 to 2012, but has since remained low with a </w:t>
      </w:r>
      <w:r w:rsidRPr="00665BC8">
        <w:rPr>
          <w:color w:val="000000"/>
          <w:szCs w:val="22"/>
        </w:rPr>
        <w:t>slight increase</w:t>
      </w:r>
      <w:r>
        <w:rPr>
          <w:color w:val="000000"/>
          <w:szCs w:val="22"/>
        </w:rPr>
        <w:t xml:space="preserve"> at coastal habitats</w:t>
      </w:r>
      <w:r w:rsidRPr="00665BC8">
        <w:rPr>
          <w:color w:val="000000"/>
          <w:szCs w:val="22"/>
        </w:rPr>
        <w:t xml:space="preserve"> (</w:t>
      </w:r>
      <w:r>
        <w:rPr>
          <w:color w:val="000000"/>
          <w:szCs w:val="22"/>
        </w:rPr>
        <w:fldChar w:fldCharType="begin"/>
      </w:r>
      <w:r>
        <w:rPr>
          <w:color w:val="000000"/>
          <w:szCs w:val="22"/>
        </w:rPr>
        <w:instrText xml:space="preserve"> REF _Ref442423744 \h </w:instrText>
      </w:r>
      <w:r>
        <w:rPr>
          <w:color w:val="000000"/>
          <w:szCs w:val="22"/>
        </w:rPr>
      </w:r>
      <w:r>
        <w:rPr>
          <w:color w:val="000000"/>
          <w:szCs w:val="22"/>
        </w:rPr>
        <w:fldChar w:fldCharType="separate"/>
      </w:r>
      <w:r w:rsidR="009C068F">
        <w:t xml:space="preserve">Figure </w:t>
      </w:r>
      <w:r w:rsidR="009C068F">
        <w:rPr>
          <w:noProof/>
        </w:rPr>
        <w:t>35</w:t>
      </w:r>
      <w:r>
        <w:rPr>
          <w:color w:val="000000"/>
          <w:szCs w:val="22"/>
        </w:rPr>
        <w:fldChar w:fldCharType="end"/>
      </w:r>
      <w:r w:rsidRPr="00665BC8">
        <w:rPr>
          <w:color w:val="000000"/>
          <w:szCs w:val="22"/>
        </w:rPr>
        <w:t>).</w:t>
      </w:r>
    </w:p>
    <w:p w:rsidR="0091436F" w:rsidRDefault="0091436F" w:rsidP="0091436F">
      <w:pPr>
        <w:keepNext/>
        <w:widowControl w:val="0"/>
        <w:spacing w:after="0"/>
        <w:jc w:val="center"/>
        <w:rPr>
          <w:color w:val="000000"/>
          <w:szCs w:val="22"/>
        </w:rPr>
      </w:pPr>
      <w:r>
        <w:rPr>
          <w:noProof/>
          <w:color w:val="000000"/>
          <w:szCs w:val="22"/>
          <w:lang w:eastAsia="en-AU"/>
        </w:rPr>
        <w:drawing>
          <wp:inline distT="0" distB="0" distL="0" distR="0" wp14:anchorId="67226A4A" wp14:editId="2E547EDD">
            <wp:extent cx="3960000" cy="2322000"/>
            <wp:effectExtent l="0" t="0" r="2540" b="2540"/>
            <wp:docPr id="124" name="Picture 124" descr="GAM plot showing long-term temporal trends in seagrass abundance for each location in the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CY_cvr_GAM_Jan16.pn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960000" cy="2322000"/>
                    </a:xfrm>
                    <a:prstGeom prst="rect">
                      <a:avLst/>
                    </a:prstGeom>
                  </pic:spPr>
                </pic:pic>
              </a:graphicData>
            </a:graphic>
          </wp:inline>
        </w:drawing>
      </w:r>
    </w:p>
    <w:p w:rsidR="0091436F" w:rsidRPr="00665BC8" w:rsidRDefault="0091436F" w:rsidP="0091436F">
      <w:pPr>
        <w:rPr>
          <w:i/>
          <w:vanish/>
          <w:specVanish/>
        </w:rPr>
      </w:pPr>
      <w:bookmarkStart w:id="233" w:name="_Ref442423744"/>
      <w:bookmarkStart w:id="234" w:name="_Toc462684875"/>
      <w:r>
        <w:t xml:space="preserve">Figure </w:t>
      </w:r>
      <w:fldSimple w:instr=" SEQ Figure \* ARABIC ">
        <w:r w:rsidR="009C068F">
          <w:rPr>
            <w:noProof/>
          </w:rPr>
          <w:t>35</w:t>
        </w:r>
      </w:fldSimple>
      <w:bookmarkEnd w:id="233"/>
      <w:r>
        <w:t xml:space="preserve">.  </w:t>
      </w:r>
      <w:r w:rsidRPr="00665BC8">
        <w:rPr>
          <w:i/>
        </w:rPr>
        <w:t xml:space="preserve">Temporal trends in seagrass abundance for each </w:t>
      </w:r>
      <w:r>
        <w:rPr>
          <w:i/>
        </w:rPr>
        <w:t>location</w:t>
      </w:r>
      <w:r w:rsidRPr="00665BC8">
        <w:rPr>
          <w:i/>
        </w:rPr>
        <w:t xml:space="preserve"> in the Cape York </w:t>
      </w:r>
      <w:r w:rsidR="00272A62">
        <w:rPr>
          <w:i/>
        </w:rPr>
        <w:t xml:space="preserve">NRM </w:t>
      </w:r>
      <w:r w:rsidRPr="00665BC8">
        <w:rPr>
          <w:i/>
        </w:rPr>
        <w:t>region represented by a GAM plot.</w:t>
      </w:r>
      <w:bookmarkEnd w:id="234"/>
    </w:p>
    <w:p w:rsidR="0091436F" w:rsidRDefault="0091436F" w:rsidP="0091436F">
      <w:pPr>
        <w:rPr>
          <w:color w:val="000000"/>
          <w:szCs w:val="22"/>
        </w:rPr>
      </w:pPr>
      <w:r w:rsidRPr="00665BC8">
        <w:rPr>
          <w:i/>
        </w:rPr>
        <w:t xml:space="preserve">  Regional trend (all </w:t>
      </w:r>
      <w:r>
        <w:rPr>
          <w:i/>
        </w:rPr>
        <w:t>locations</w:t>
      </w:r>
      <w:r w:rsidRPr="00665BC8">
        <w:rPr>
          <w:i/>
        </w:rPr>
        <w:t xml:space="preserve"> pooled) represented by black line with grey shaded area defining 95% confidence intervals.</w:t>
      </w:r>
    </w:p>
    <w:p w:rsidR="0091436F" w:rsidRDefault="003611ED" w:rsidP="003611ED">
      <w:pPr>
        <w:spacing w:before="0" w:after="0"/>
        <w:rPr>
          <w:color w:val="000000"/>
          <w:szCs w:val="22"/>
        </w:rPr>
      </w:pPr>
      <w:r w:rsidRPr="003611ED">
        <w:rPr>
          <w:color w:val="000000"/>
          <w:szCs w:val="22"/>
        </w:rPr>
        <w:t xml:space="preserve">Cape York reef meadows were dominated by </w:t>
      </w:r>
      <w:proofErr w:type="spellStart"/>
      <w:r w:rsidRPr="0091436F">
        <w:rPr>
          <w:i/>
          <w:color w:val="000000"/>
          <w:szCs w:val="22"/>
        </w:rPr>
        <w:t>Thalassia</w:t>
      </w:r>
      <w:proofErr w:type="spellEnd"/>
      <w:r w:rsidRPr="0091436F">
        <w:rPr>
          <w:i/>
          <w:color w:val="000000"/>
          <w:szCs w:val="22"/>
        </w:rPr>
        <w:t xml:space="preserve"> </w:t>
      </w:r>
      <w:proofErr w:type="spellStart"/>
      <w:r w:rsidRPr="0091436F">
        <w:rPr>
          <w:i/>
          <w:color w:val="000000"/>
          <w:szCs w:val="22"/>
        </w:rPr>
        <w:t>hemprichii</w:t>
      </w:r>
      <w:proofErr w:type="spellEnd"/>
      <w:r w:rsidRPr="0091436F">
        <w:rPr>
          <w:i/>
          <w:color w:val="000000"/>
          <w:szCs w:val="22"/>
        </w:rPr>
        <w:t xml:space="preserve">, </w:t>
      </w:r>
      <w:proofErr w:type="spellStart"/>
      <w:r w:rsidRPr="0091436F">
        <w:rPr>
          <w:i/>
          <w:color w:val="000000"/>
          <w:szCs w:val="22"/>
        </w:rPr>
        <w:t>Cymodocea</w:t>
      </w:r>
      <w:proofErr w:type="spellEnd"/>
      <w:r w:rsidRPr="0091436F">
        <w:rPr>
          <w:i/>
          <w:color w:val="000000"/>
          <w:szCs w:val="22"/>
        </w:rPr>
        <w:t xml:space="preserve"> </w:t>
      </w:r>
      <w:proofErr w:type="spellStart"/>
      <w:r w:rsidRPr="0091436F">
        <w:rPr>
          <w:i/>
          <w:color w:val="000000"/>
          <w:szCs w:val="22"/>
        </w:rPr>
        <w:t>rotundata</w:t>
      </w:r>
      <w:proofErr w:type="spellEnd"/>
      <w:r w:rsidRPr="0091436F">
        <w:rPr>
          <w:i/>
          <w:color w:val="000000"/>
          <w:szCs w:val="22"/>
        </w:rPr>
        <w:t xml:space="preserve">, </w:t>
      </w:r>
      <w:proofErr w:type="spellStart"/>
      <w:r w:rsidRPr="0091436F">
        <w:rPr>
          <w:i/>
          <w:color w:val="000000"/>
          <w:szCs w:val="22"/>
        </w:rPr>
        <w:t>Halodule</w:t>
      </w:r>
      <w:proofErr w:type="spellEnd"/>
      <w:r w:rsidRPr="0091436F">
        <w:rPr>
          <w:i/>
          <w:color w:val="000000"/>
          <w:szCs w:val="22"/>
        </w:rPr>
        <w:t xml:space="preserve"> </w:t>
      </w:r>
      <w:proofErr w:type="spellStart"/>
      <w:r w:rsidRPr="0091436F">
        <w:rPr>
          <w:i/>
          <w:color w:val="000000"/>
          <w:szCs w:val="22"/>
        </w:rPr>
        <w:t>uninervis</w:t>
      </w:r>
      <w:proofErr w:type="spellEnd"/>
      <w:r w:rsidRPr="003611ED">
        <w:rPr>
          <w:color w:val="000000"/>
          <w:szCs w:val="22"/>
        </w:rPr>
        <w:t xml:space="preserve"> and </w:t>
      </w:r>
      <w:proofErr w:type="spellStart"/>
      <w:r w:rsidRPr="0091436F">
        <w:rPr>
          <w:i/>
          <w:color w:val="000000"/>
          <w:szCs w:val="22"/>
        </w:rPr>
        <w:t>Halophila</w:t>
      </w:r>
      <w:proofErr w:type="spellEnd"/>
      <w:r w:rsidRPr="0091436F">
        <w:rPr>
          <w:i/>
          <w:color w:val="000000"/>
          <w:szCs w:val="22"/>
        </w:rPr>
        <w:t xml:space="preserve"> </w:t>
      </w:r>
      <w:proofErr w:type="spellStart"/>
      <w:r w:rsidRPr="0091436F">
        <w:rPr>
          <w:i/>
          <w:color w:val="000000"/>
          <w:szCs w:val="22"/>
        </w:rPr>
        <w:t>ovalis</w:t>
      </w:r>
      <w:proofErr w:type="spellEnd"/>
      <w:r w:rsidRPr="003611ED">
        <w:rPr>
          <w:color w:val="000000"/>
          <w:szCs w:val="22"/>
        </w:rPr>
        <w:t xml:space="preserve"> with varying amounts of </w:t>
      </w:r>
      <w:proofErr w:type="spellStart"/>
      <w:r w:rsidRPr="0091436F">
        <w:rPr>
          <w:i/>
          <w:color w:val="000000"/>
          <w:szCs w:val="22"/>
        </w:rPr>
        <w:t>Syringodium</w:t>
      </w:r>
      <w:proofErr w:type="spellEnd"/>
      <w:r w:rsidRPr="0091436F">
        <w:rPr>
          <w:i/>
          <w:color w:val="000000"/>
          <w:szCs w:val="22"/>
        </w:rPr>
        <w:t xml:space="preserve"> </w:t>
      </w:r>
      <w:proofErr w:type="spellStart"/>
      <w:r w:rsidRPr="0091436F">
        <w:rPr>
          <w:i/>
          <w:color w:val="000000"/>
          <w:szCs w:val="22"/>
        </w:rPr>
        <w:t>isoetifolium</w:t>
      </w:r>
      <w:proofErr w:type="spellEnd"/>
      <w:r w:rsidRPr="003611ED">
        <w:rPr>
          <w:color w:val="000000"/>
          <w:szCs w:val="22"/>
        </w:rPr>
        <w:t xml:space="preserve"> and </w:t>
      </w:r>
      <w:proofErr w:type="spellStart"/>
      <w:r w:rsidRPr="0091436F">
        <w:rPr>
          <w:i/>
          <w:color w:val="000000"/>
          <w:szCs w:val="22"/>
        </w:rPr>
        <w:t>Enhalus</w:t>
      </w:r>
      <w:proofErr w:type="spellEnd"/>
      <w:r w:rsidRPr="0091436F">
        <w:rPr>
          <w:i/>
          <w:color w:val="000000"/>
          <w:szCs w:val="22"/>
        </w:rPr>
        <w:t xml:space="preserve"> </w:t>
      </w:r>
      <w:proofErr w:type="spellStart"/>
      <w:r w:rsidRPr="0091436F">
        <w:rPr>
          <w:i/>
          <w:color w:val="000000"/>
          <w:szCs w:val="22"/>
        </w:rPr>
        <w:t>acoroides</w:t>
      </w:r>
      <w:proofErr w:type="spellEnd"/>
      <w:r w:rsidRPr="003611ED">
        <w:rPr>
          <w:color w:val="000000"/>
          <w:szCs w:val="22"/>
        </w:rPr>
        <w:t xml:space="preserve"> (</w:t>
      </w:r>
      <w:r w:rsidR="0091436F">
        <w:rPr>
          <w:color w:val="000000"/>
          <w:szCs w:val="22"/>
        </w:rPr>
        <w:t>Appendix 4</w:t>
      </w:r>
      <w:r w:rsidRPr="003611ED">
        <w:rPr>
          <w:color w:val="000000"/>
          <w:szCs w:val="22"/>
        </w:rPr>
        <w:t xml:space="preserve">). At Archer Point (the location of the longest dataset), species composition has varied since sampling began in 2003 with the composition of </w:t>
      </w:r>
      <w:r w:rsidRPr="0091436F">
        <w:rPr>
          <w:i/>
          <w:color w:val="000000"/>
          <w:szCs w:val="22"/>
        </w:rPr>
        <w:t>H</w:t>
      </w:r>
      <w:r w:rsidR="005E74A3">
        <w:rPr>
          <w:i/>
          <w:color w:val="000000"/>
          <w:szCs w:val="22"/>
        </w:rPr>
        <w:t>.</w:t>
      </w:r>
      <w:r w:rsidRPr="0091436F">
        <w:rPr>
          <w:i/>
          <w:color w:val="000000"/>
          <w:szCs w:val="22"/>
        </w:rPr>
        <w:t xml:space="preserve"> </w:t>
      </w:r>
      <w:proofErr w:type="spellStart"/>
      <w:r w:rsidRPr="0091436F">
        <w:rPr>
          <w:i/>
          <w:color w:val="000000"/>
          <w:szCs w:val="22"/>
        </w:rPr>
        <w:t>ovalis</w:t>
      </w:r>
      <w:proofErr w:type="spellEnd"/>
      <w:r w:rsidRPr="003611ED">
        <w:rPr>
          <w:color w:val="000000"/>
          <w:szCs w:val="22"/>
        </w:rPr>
        <w:t xml:space="preserve"> fluctuating seasonally with increases in the late monsoon</w:t>
      </w:r>
      <w:r w:rsidR="0091436F">
        <w:rPr>
          <w:color w:val="000000"/>
          <w:szCs w:val="22"/>
        </w:rPr>
        <w:t xml:space="preserve"> </w:t>
      </w:r>
      <w:r w:rsidR="0091436F" w:rsidRPr="003611ED">
        <w:rPr>
          <w:color w:val="000000"/>
          <w:szCs w:val="22"/>
        </w:rPr>
        <w:t>(</w:t>
      </w:r>
      <w:r w:rsidR="0091436F">
        <w:rPr>
          <w:color w:val="000000"/>
          <w:szCs w:val="22"/>
        </w:rPr>
        <w:t>Appendix 4</w:t>
      </w:r>
      <w:r w:rsidR="0091436F" w:rsidRPr="003611ED">
        <w:rPr>
          <w:color w:val="000000"/>
          <w:szCs w:val="22"/>
        </w:rPr>
        <w:t>).</w:t>
      </w:r>
      <w:r w:rsidR="0091436F">
        <w:rPr>
          <w:color w:val="000000"/>
          <w:szCs w:val="22"/>
        </w:rPr>
        <w:t xml:space="preserve"> </w:t>
      </w:r>
      <w:r w:rsidRPr="003611ED">
        <w:rPr>
          <w:color w:val="000000"/>
          <w:szCs w:val="22"/>
        </w:rPr>
        <w:t xml:space="preserve">Seagrass at coastal habitats in the eastern Cape York NRM region were located on large shallow sand banks and dominated by </w:t>
      </w:r>
      <w:r w:rsidRPr="0091436F">
        <w:rPr>
          <w:i/>
          <w:color w:val="000000"/>
          <w:szCs w:val="22"/>
        </w:rPr>
        <w:t xml:space="preserve">H. </w:t>
      </w:r>
      <w:proofErr w:type="spellStart"/>
      <w:r w:rsidRPr="0091436F">
        <w:rPr>
          <w:i/>
          <w:color w:val="000000"/>
          <w:szCs w:val="22"/>
        </w:rPr>
        <w:t>ovalis</w:t>
      </w:r>
      <w:proofErr w:type="spellEnd"/>
      <w:r w:rsidRPr="0091436F">
        <w:rPr>
          <w:i/>
          <w:color w:val="000000"/>
          <w:szCs w:val="22"/>
        </w:rPr>
        <w:t>/H</w:t>
      </w:r>
      <w:r w:rsidR="005E74A3">
        <w:rPr>
          <w:i/>
          <w:color w:val="000000"/>
          <w:szCs w:val="22"/>
        </w:rPr>
        <w:t>.</w:t>
      </w:r>
      <w:r w:rsidRPr="0091436F">
        <w:rPr>
          <w:i/>
          <w:color w:val="000000"/>
          <w:szCs w:val="22"/>
        </w:rPr>
        <w:t xml:space="preserve"> </w:t>
      </w:r>
      <w:proofErr w:type="spellStart"/>
      <w:r w:rsidRPr="0091436F">
        <w:rPr>
          <w:i/>
          <w:color w:val="000000"/>
          <w:szCs w:val="22"/>
        </w:rPr>
        <w:t>uninervis</w:t>
      </w:r>
      <w:proofErr w:type="spellEnd"/>
      <w:r w:rsidRPr="003611ED">
        <w:rPr>
          <w:color w:val="000000"/>
          <w:szCs w:val="22"/>
        </w:rPr>
        <w:t xml:space="preserve">.  At Bathurst Bay in the central section of Cape York, adjacent to Princess Charlotte Bay, meadows were dominated by </w:t>
      </w:r>
      <w:proofErr w:type="spellStart"/>
      <w:r w:rsidRPr="0091436F">
        <w:rPr>
          <w:i/>
          <w:color w:val="000000"/>
          <w:szCs w:val="22"/>
        </w:rPr>
        <w:t>Halodule</w:t>
      </w:r>
      <w:proofErr w:type="spellEnd"/>
      <w:r w:rsidRPr="0091436F">
        <w:rPr>
          <w:i/>
          <w:color w:val="000000"/>
          <w:szCs w:val="22"/>
        </w:rPr>
        <w:t xml:space="preserve"> </w:t>
      </w:r>
      <w:proofErr w:type="spellStart"/>
      <w:r w:rsidRPr="0091436F">
        <w:rPr>
          <w:i/>
          <w:color w:val="000000"/>
          <w:szCs w:val="22"/>
        </w:rPr>
        <w:t>uninervis</w:t>
      </w:r>
      <w:proofErr w:type="spellEnd"/>
      <w:r w:rsidRPr="003611ED">
        <w:rPr>
          <w:color w:val="000000"/>
          <w:szCs w:val="22"/>
        </w:rPr>
        <w:t xml:space="preserve"> (</w:t>
      </w:r>
      <w:r w:rsidR="0091436F">
        <w:rPr>
          <w:color w:val="000000"/>
          <w:szCs w:val="22"/>
        </w:rPr>
        <w:t>Appendix 4</w:t>
      </w:r>
      <w:r w:rsidRPr="003611ED">
        <w:rPr>
          <w:color w:val="000000"/>
          <w:szCs w:val="22"/>
        </w:rPr>
        <w:t>). Five seagrass species were present in the Bathurst Bay meadows, whereas only three species were present at Shelburne Bay (</w:t>
      </w:r>
      <w:r w:rsidR="0091436F">
        <w:rPr>
          <w:color w:val="000000"/>
          <w:szCs w:val="22"/>
        </w:rPr>
        <w:t>Appendix 4</w:t>
      </w:r>
      <w:r w:rsidRPr="003611ED">
        <w:rPr>
          <w:color w:val="000000"/>
          <w:szCs w:val="22"/>
        </w:rPr>
        <w:t xml:space="preserve">). </w:t>
      </w:r>
    </w:p>
    <w:p w:rsidR="0091436F" w:rsidRDefault="0091436F" w:rsidP="003611ED">
      <w:pPr>
        <w:spacing w:before="0" w:after="0"/>
        <w:rPr>
          <w:color w:val="000000"/>
          <w:szCs w:val="22"/>
        </w:rPr>
      </w:pPr>
    </w:p>
    <w:p w:rsidR="00BC524E" w:rsidRDefault="003611ED" w:rsidP="003611ED">
      <w:pPr>
        <w:spacing w:before="0" w:after="0"/>
        <w:rPr>
          <w:color w:val="000000"/>
          <w:szCs w:val="22"/>
        </w:rPr>
      </w:pPr>
      <w:r w:rsidRPr="003611ED">
        <w:rPr>
          <w:color w:val="000000"/>
          <w:szCs w:val="22"/>
        </w:rPr>
        <w:lastRenderedPageBreak/>
        <w:t xml:space="preserve">Seagrass meadows in the Cape York NRM region were composed of below </w:t>
      </w:r>
      <w:r w:rsidR="005E74A3">
        <w:rPr>
          <w:color w:val="000000"/>
          <w:szCs w:val="22"/>
        </w:rPr>
        <w:t xml:space="preserve">GBR </w:t>
      </w:r>
      <w:r w:rsidRPr="003611ED">
        <w:rPr>
          <w:color w:val="000000"/>
          <w:szCs w:val="22"/>
        </w:rPr>
        <w:t xml:space="preserve">average proportion of </w:t>
      </w:r>
      <w:r w:rsidR="005E74A3">
        <w:rPr>
          <w:color w:val="000000"/>
          <w:szCs w:val="22"/>
        </w:rPr>
        <w:t xml:space="preserve">species displaying </w:t>
      </w:r>
      <w:r w:rsidRPr="003611ED">
        <w:rPr>
          <w:color w:val="000000"/>
          <w:szCs w:val="22"/>
        </w:rPr>
        <w:t xml:space="preserve">colonising </w:t>
      </w:r>
      <w:r w:rsidR="005E74A3">
        <w:rPr>
          <w:color w:val="000000"/>
          <w:szCs w:val="22"/>
        </w:rPr>
        <w:t>traits</w:t>
      </w:r>
      <w:r w:rsidRPr="003611ED">
        <w:rPr>
          <w:color w:val="000000"/>
          <w:szCs w:val="22"/>
        </w:rPr>
        <w:t xml:space="preserve"> in 2014-15 (</w:t>
      </w:r>
      <w:r w:rsidR="005F428D">
        <w:rPr>
          <w:color w:val="000000"/>
          <w:szCs w:val="22"/>
        </w:rPr>
        <w:fldChar w:fldCharType="begin"/>
      </w:r>
      <w:r w:rsidR="005F428D">
        <w:rPr>
          <w:color w:val="000000"/>
          <w:szCs w:val="22"/>
        </w:rPr>
        <w:instrText xml:space="preserve"> REF _Ref442426453 \h </w:instrText>
      </w:r>
      <w:r w:rsidR="005F428D">
        <w:rPr>
          <w:color w:val="000000"/>
          <w:szCs w:val="22"/>
        </w:rPr>
      </w:r>
      <w:r w:rsidR="005F428D">
        <w:rPr>
          <w:color w:val="000000"/>
          <w:szCs w:val="22"/>
        </w:rPr>
        <w:fldChar w:fldCharType="separate"/>
      </w:r>
      <w:r w:rsidR="009C068F" w:rsidRPr="003F0A8B">
        <w:rPr>
          <w:szCs w:val="22"/>
        </w:rPr>
        <w:t xml:space="preserve">Figure </w:t>
      </w:r>
      <w:r w:rsidR="009C068F">
        <w:rPr>
          <w:noProof/>
          <w:szCs w:val="22"/>
        </w:rPr>
        <w:t>36</w:t>
      </w:r>
      <w:r w:rsidR="005F428D">
        <w:rPr>
          <w:color w:val="000000"/>
          <w:szCs w:val="22"/>
        </w:rPr>
        <w:fldChar w:fldCharType="end"/>
      </w:r>
      <w:r w:rsidRPr="003611ED">
        <w:rPr>
          <w:color w:val="000000"/>
          <w:szCs w:val="22"/>
        </w:rPr>
        <w:t>). Fluctuations over the long-term suggests the meadows are dynamic in nature, however, this appears to have stabilised over the last 12-24 months.</w:t>
      </w:r>
    </w:p>
    <w:p w:rsidR="003611ED" w:rsidRDefault="003611ED" w:rsidP="005F428D">
      <w:pPr>
        <w:keepNext/>
        <w:widowControl w:val="0"/>
        <w:spacing w:after="0"/>
        <w:jc w:val="center"/>
        <w:rPr>
          <w:color w:val="000000"/>
          <w:szCs w:val="22"/>
          <w:lang w:val="en-GB"/>
        </w:rPr>
      </w:pPr>
      <w:r>
        <w:rPr>
          <w:noProof/>
          <w:color w:val="000000"/>
          <w:szCs w:val="22"/>
          <w:lang w:eastAsia="en-AU"/>
        </w:rPr>
        <w:drawing>
          <wp:inline distT="0" distB="0" distL="0" distR="0" wp14:anchorId="7A939FED" wp14:editId="0C6B376B">
            <wp:extent cx="3960000" cy="2059200"/>
            <wp:effectExtent l="0" t="0" r="2540" b="0"/>
            <wp:docPr id="18" name="Picture 18" descr="Panel of two graphs showing proportion of seagrass abundance composed of species displaying colonising traits at inshore habitats in th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colonising_2015.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960000" cy="2059200"/>
                    </a:xfrm>
                    <a:prstGeom prst="rect">
                      <a:avLst/>
                    </a:prstGeom>
                  </pic:spPr>
                </pic:pic>
              </a:graphicData>
            </a:graphic>
          </wp:inline>
        </w:drawing>
      </w:r>
    </w:p>
    <w:p w:rsidR="003611ED" w:rsidRPr="003F0A8B" w:rsidRDefault="003611ED" w:rsidP="003611ED">
      <w:pPr>
        <w:rPr>
          <w:i/>
          <w:vanish/>
          <w:szCs w:val="22"/>
          <w:lang w:val="en-GB"/>
          <w:specVanish/>
        </w:rPr>
      </w:pPr>
      <w:bookmarkStart w:id="235" w:name="_Ref442426453"/>
      <w:bookmarkStart w:id="236" w:name="_Toc462684876"/>
      <w:r w:rsidRPr="003F0A8B">
        <w:rPr>
          <w:szCs w:val="22"/>
        </w:rPr>
        <w:t xml:space="preserve">Figure </w:t>
      </w:r>
      <w:r w:rsidR="0073595B">
        <w:rPr>
          <w:szCs w:val="22"/>
        </w:rPr>
        <w:fldChar w:fldCharType="begin"/>
      </w:r>
      <w:r w:rsidR="0073595B">
        <w:rPr>
          <w:szCs w:val="22"/>
        </w:rPr>
        <w:instrText xml:space="preserve"> SEQ Figure \* ARABIC </w:instrText>
      </w:r>
      <w:r w:rsidR="0073595B">
        <w:rPr>
          <w:szCs w:val="22"/>
        </w:rPr>
        <w:fldChar w:fldCharType="separate"/>
      </w:r>
      <w:r w:rsidR="009C068F">
        <w:rPr>
          <w:noProof/>
          <w:szCs w:val="22"/>
        </w:rPr>
        <w:t>36</w:t>
      </w:r>
      <w:r w:rsidR="0073595B">
        <w:rPr>
          <w:szCs w:val="22"/>
        </w:rPr>
        <w:fldChar w:fldCharType="end"/>
      </w:r>
      <w:bookmarkEnd w:id="235"/>
      <w:r w:rsidRPr="003F0A8B">
        <w:rPr>
          <w:szCs w:val="22"/>
        </w:rPr>
        <w:t xml:space="preserve">. </w:t>
      </w:r>
      <w:r w:rsidRPr="003F0A8B">
        <w:rPr>
          <w:i/>
          <w:szCs w:val="22"/>
        </w:rPr>
        <w:t xml:space="preserve">Proportion of seagrass abundance composed of </w:t>
      </w:r>
      <w:r w:rsidRPr="003F0A8B">
        <w:rPr>
          <w:i/>
          <w:szCs w:val="22"/>
          <w:lang w:val="en-GB"/>
        </w:rPr>
        <w:t xml:space="preserve">species </w:t>
      </w:r>
      <w:r w:rsidR="005E74A3">
        <w:rPr>
          <w:i/>
          <w:szCs w:val="22"/>
          <w:lang w:val="en-GB"/>
        </w:rPr>
        <w:t xml:space="preserve">displaying </w:t>
      </w:r>
      <w:r w:rsidR="005E74A3" w:rsidRPr="003F0A8B">
        <w:rPr>
          <w:i/>
          <w:szCs w:val="22"/>
        </w:rPr>
        <w:t>colonising</w:t>
      </w:r>
      <w:r w:rsidR="005E74A3" w:rsidRPr="003F0A8B">
        <w:rPr>
          <w:i/>
          <w:szCs w:val="22"/>
          <w:lang w:val="en-GB"/>
        </w:rPr>
        <w:t xml:space="preserve"> </w:t>
      </w:r>
      <w:r w:rsidR="005E74A3">
        <w:rPr>
          <w:i/>
          <w:szCs w:val="22"/>
          <w:lang w:val="en-GB"/>
        </w:rPr>
        <w:t xml:space="preserve">traits </w:t>
      </w:r>
      <w:r w:rsidRPr="003F0A8B">
        <w:rPr>
          <w:i/>
          <w:szCs w:val="22"/>
          <w:lang w:val="en-GB"/>
        </w:rPr>
        <w:t>at inshore habitats in the Cape York region</w:t>
      </w:r>
      <w:r w:rsidRPr="003F0A8B">
        <w:rPr>
          <w:i/>
          <w:szCs w:val="22"/>
        </w:rPr>
        <w:t>.</w:t>
      </w:r>
      <w:bookmarkEnd w:id="236"/>
      <w:r w:rsidRPr="003F0A8B">
        <w:rPr>
          <w:i/>
          <w:vanish/>
          <w:szCs w:val="22"/>
          <w:lang w:val="en-GB"/>
          <w:specVanish/>
        </w:rPr>
        <w:t xml:space="preserve"> </w:t>
      </w:r>
    </w:p>
    <w:p w:rsidR="003611ED" w:rsidRPr="003F0A8B" w:rsidRDefault="005E74A3" w:rsidP="003611ED">
      <w:pPr>
        <w:rPr>
          <w:i/>
          <w:szCs w:val="22"/>
          <w:lang w:val="en-GB"/>
        </w:rPr>
      </w:pPr>
      <w:r>
        <w:rPr>
          <w:i/>
          <w:szCs w:val="22"/>
          <w:lang w:val="en-GB"/>
        </w:rPr>
        <w:t>The dashed line</w:t>
      </w:r>
      <w:r w:rsidR="003611ED" w:rsidRPr="003F0A8B">
        <w:rPr>
          <w:i/>
          <w:szCs w:val="22"/>
          <w:lang w:val="en-GB"/>
        </w:rPr>
        <w:t xml:space="preserve"> represents GBR long-term average for each habitat type. </w:t>
      </w:r>
    </w:p>
    <w:p w:rsidR="005132EF" w:rsidRPr="00F758CA" w:rsidRDefault="005132EF" w:rsidP="00034AD4">
      <w:pPr>
        <w:rPr>
          <w:szCs w:val="22"/>
          <w:lang w:val="en-US"/>
        </w:rPr>
      </w:pPr>
      <w:r w:rsidRPr="009526BE">
        <w:rPr>
          <w:szCs w:val="22"/>
          <w:lang w:val="en-GB"/>
        </w:rPr>
        <w:t>Seagrass meadow e</w:t>
      </w:r>
      <w:proofErr w:type="spellStart"/>
      <w:r w:rsidRPr="009526BE">
        <w:rPr>
          <w:szCs w:val="22"/>
          <w:lang w:val="en-US"/>
        </w:rPr>
        <w:t>dge</w:t>
      </w:r>
      <w:proofErr w:type="spellEnd"/>
      <w:r w:rsidR="008300F2">
        <w:rPr>
          <w:szCs w:val="22"/>
          <w:lang w:val="en-US"/>
        </w:rPr>
        <w:t>/landscape</w:t>
      </w:r>
      <w:r w:rsidRPr="009526BE">
        <w:rPr>
          <w:szCs w:val="22"/>
          <w:lang w:val="en-US"/>
        </w:rPr>
        <w:t xml:space="preserve"> mapping was conducted within a 100m radius of </w:t>
      </w:r>
      <w:r w:rsidR="007F0EDD" w:rsidRPr="009526BE">
        <w:rPr>
          <w:szCs w:val="22"/>
          <w:lang w:val="en-US"/>
        </w:rPr>
        <w:t>all</w:t>
      </w:r>
      <w:r w:rsidRPr="009526BE">
        <w:rPr>
          <w:szCs w:val="22"/>
          <w:lang w:val="en-US"/>
        </w:rPr>
        <w:t xml:space="preserve"> monitoring sites </w:t>
      </w:r>
      <w:r w:rsidR="007F0EDD" w:rsidRPr="009526BE">
        <w:rPr>
          <w:szCs w:val="22"/>
          <w:lang w:val="en-US"/>
        </w:rPr>
        <w:t xml:space="preserve">in </w:t>
      </w:r>
      <w:r w:rsidRPr="009526BE">
        <w:rPr>
          <w:szCs w:val="22"/>
          <w:lang w:val="en-US"/>
        </w:rPr>
        <w:t xml:space="preserve">October </w:t>
      </w:r>
      <w:r w:rsidRPr="005F428D">
        <w:rPr>
          <w:szCs w:val="22"/>
          <w:lang w:val="en-US"/>
        </w:rPr>
        <w:t>201</w:t>
      </w:r>
      <w:r w:rsidR="005515AE" w:rsidRPr="005F428D">
        <w:rPr>
          <w:szCs w:val="22"/>
          <w:lang w:val="en-US"/>
        </w:rPr>
        <w:t>4</w:t>
      </w:r>
      <w:r w:rsidR="007F0EDD" w:rsidRPr="005F428D">
        <w:rPr>
          <w:szCs w:val="22"/>
          <w:lang w:val="en-US"/>
        </w:rPr>
        <w:t xml:space="preserve"> and April 201</w:t>
      </w:r>
      <w:r w:rsidR="005515AE" w:rsidRPr="005F428D">
        <w:rPr>
          <w:szCs w:val="22"/>
          <w:lang w:val="en-US"/>
        </w:rPr>
        <w:t>5</w:t>
      </w:r>
      <w:r w:rsidRPr="005F428D">
        <w:rPr>
          <w:szCs w:val="22"/>
          <w:lang w:val="en-US"/>
        </w:rPr>
        <w:t xml:space="preserve"> to determine if changes in abundance were a consequence of the meadow </w:t>
      </w:r>
      <w:r w:rsidR="008300F2">
        <w:rPr>
          <w:szCs w:val="22"/>
          <w:lang w:val="en-US"/>
        </w:rPr>
        <w:t>landscape</w:t>
      </w:r>
      <w:r w:rsidRPr="005F428D">
        <w:rPr>
          <w:szCs w:val="22"/>
          <w:lang w:val="en-US"/>
        </w:rPr>
        <w:t xml:space="preserve"> changing</w:t>
      </w:r>
      <w:r w:rsidR="005F428D" w:rsidRPr="005F428D">
        <w:rPr>
          <w:szCs w:val="22"/>
          <w:lang w:val="en-US"/>
        </w:rPr>
        <w:t xml:space="preserve"> and to indicate if plants were allocating resources to </w:t>
      </w:r>
      <w:proofErr w:type="spellStart"/>
      <w:r w:rsidR="005F428D" w:rsidRPr="005F428D">
        <w:rPr>
          <w:szCs w:val="22"/>
          <w:lang w:val="en-US"/>
        </w:rPr>
        <w:t>colonisation</w:t>
      </w:r>
      <w:proofErr w:type="spellEnd"/>
      <w:r w:rsidR="005F428D" w:rsidRPr="005F428D">
        <w:rPr>
          <w:szCs w:val="22"/>
          <w:lang w:val="en-US"/>
        </w:rPr>
        <w:t xml:space="preserve"> (asexual reproduction)</w:t>
      </w:r>
      <w:r w:rsidRPr="005F428D">
        <w:rPr>
          <w:szCs w:val="22"/>
          <w:lang w:val="en-US"/>
        </w:rPr>
        <w:t xml:space="preserve"> (</w:t>
      </w:r>
      <w:r w:rsidR="001D2093" w:rsidRPr="005F428D">
        <w:rPr>
          <w:szCs w:val="22"/>
          <w:lang w:val="en-US"/>
        </w:rPr>
        <w:t xml:space="preserve">Appendix </w:t>
      </w:r>
      <w:r w:rsidR="009526BE" w:rsidRPr="005F428D">
        <w:rPr>
          <w:szCs w:val="22"/>
          <w:lang w:val="en-US"/>
        </w:rPr>
        <w:t>4</w:t>
      </w:r>
      <w:r w:rsidRPr="005F428D">
        <w:rPr>
          <w:szCs w:val="22"/>
          <w:lang w:val="en-US"/>
        </w:rPr>
        <w:t xml:space="preserve">). </w:t>
      </w:r>
      <w:r w:rsidR="00E70D67" w:rsidRPr="005F428D">
        <w:rPr>
          <w:szCs w:val="22"/>
          <w:lang w:val="en-US"/>
        </w:rPr>
        <w:t xml:space="preserve">Prior to 2012, the only meadow extent mapping in the Cape York NRM region was conducted at </w:t>
      </w:r>
      <w:smartTag w:uri="urn:schemas-microsoft-com:office:smarttags" w:element="place">
        <w:smartTag w:uri="urn:schemas-microsoft-com:office:smarttags" w:element="PlaceName">
          <w:r w:rsidR="00E70D67" w:rsidRPr="005F428D">
            <w:rPr>
              <w:szCs w:val="22"/>
              <w:lang w:val="en-US"/>
            </w:rPr>
            <w:t>Archer</w:t>
          </w:r>
        </w:smartTag>
        <w:r w:rsidR="00E70D67" w:rsidRPr="005F428D">
          <w:rPr>
            <w:szCs w:val="22"/>
            <w:lang w:val="en-US"/>
          </w:rPr>
          <w:t xml:space="preserve"> </w:t>
        </w:r>
        <w:smartTag w:uri="urn:schemas-microsoft-com:office:smarttags" w:element="PlaceName">
          <w:r w:rsidR="00E70D67" w:rsidRPr="005F428D">
            <w:rPr>
              <w:szCs w:val="22"/>
              <w:lang w:val="en-US"/>
            </w:rPr>
            <w:t>Point</w:t>
          </w:r>
        </w:smartTag>
      </w:smartTag>
      <w:r w:rsidR="00E70D67" w:rsidRPr="005F428D">
        <w:rPr>
          <w:szCs w:val="22"/>
          <w:lang w:val="en-US"/>
        </w:rPr>
        <w:t xml:space="preserve">. </w:t>
      </w:r>
      <w:r w:rsidR="00FF2F8F" w:rsidRPr="005F428D">
        <w:rPr>
          <w:szCs w:val="22"/>
          <w:lang w:val="en-US"/>
        </w:rPr>
        <w:t>The meadow</w:t>
      </w:r>
      <w:r w:rsidR="00991C7F" w:rsidRPr="005F428D">
        <w:rPr>
          <w:szCs w:val="22"/>
          <w:lang w:val="en-US"/>
        </w:rPr>
        <w:t>s</w:t>
      </w:r>
      <w:r w:rsidR="00FF2F8F" w:rsidRPr="005F428D">
        <w:rPr>
          <w:szCs w:val="22"/>
          <w:lang w:val="en-US"/>
        </w:rPr>
        <w:t xml:space="preserve"> within 100m of the </w:t>
      </w:r>
      <w:r w:rsidR="002713FB" w:rsidRPr="005F428D">
        <w:rPr>
          <w:szCs w:val="22"/>
          <w:lang w:val="en-US"/>
        </w:rPr>
        <w:t xml:space="preserve">monitoring sites on the reef flat at </w:t>
      </w:r>
      <w:r w:rsidR="00FF2F8F" w:rsidRPr="005F428D">
        <w:rPr>
          <w:szCs w:val="22"/>
          <w:lang w:val="en-US"/>
        </w:rPr>
        <w:t xml:space="preserve">Archer </w:t>
      </w:r>
      <w:r w:rsidR="00FF2F8F" w:rsidRPr="00F758CA">
        <w:rPr>
          <w:szCs w:val="22"/>
          <w:lang w:val="en-US"/>
        </w:rPr>
        <w:t>Point ha</w:t>
      </w:r>
      <w:r w:rsidR="00E70D67" w:rsidRPr="00F758CA">
        <w:rPr>
          <w:szCs w:val="22"/>
          <w:lang w:val="en-US"/>
        </w:rPr>
        <w:t>ve</w:t>
      </w:r>
      <w:r w:rsidR="00FF2F8F" w:rsidRPr="00F758CA">
        <w:rPr>
          <w:szCs w:val="22"/>
          <w:lang w:val="en-US"/>
        </w:rPr>
        <w:t xml:space="preserve"> fluctuated within and between years</w:t>
      </w:r>
      <w:r w:rsidR="002713FB" w:rsidRPr="00F758CA">
        <w:rPr>
          <w:szCs w:val="22"/>
          <w:lang w:val="en-US"/>
        </w:rPr>
        <w:t xml:space="preserve"> (</w:t>
      </w:r>
      <w:r w:rsidR="002713FB" w:rsidRPr="00F758CA">
        <w:rPr>
          <w:szCs w:val="22"/>
          <w:lang w:val="en-US"/>
        </w:rPr>
        <w:fldChar w:fldCharType="begin"/>
      </w:r>
      <w:r w:rsidR="002713FB" w:rsidRPr="00F758CA">
        <w:rPr>
          <w:szCs w:val="22"/>
          <w:lang w:val="en-US"/>
        </w:rPr>
        <w:instrText xml:space="preserve"> REF _Ref380061981 \h </w:instrText>
      </w:r>
      <w:r w:rsidR="00015190" w:rsidRPr="00F758CA">
        <w:rPr>
          <w:szCs w:val="22"/>
          <w:lang w:val="en-US"/>
        </w:rPr>
        <w:instrText xml:space="preserve"> \* MERGEFORMAT </w:instrText>
      </w:r>
      <w:r w:rsidR="002713FB" w:rsidRPr="00F758CA">
        <w:rPr>
          <w:szCs w:val="22"/>
          <w:lang w:val="en-US"/>
        </w:rPr>
      </w:r>
      <w:r w:rsidR="002713FB" w:rsidRPr="00F758CA">
        <w:rPr>
          <w:szCs w:val="22"/>
          <w:lang w:val="en-US"/>
        </w:rPr>
        <w:fldChar w:fldCharType="separate"/>
      </w:r>
      <w:r w:rsidR="009C068F" w:rsidRPr="003611ED">
        <w:rPr>
          <w:szCs w:val="22"/>
        </w:rPr>
        <w:t xml:space="preserve">Figure </w:t>
      </w:r>
      <w:r w:rsidR="009C068F">
        <w:rPr>
          <w:noProof/>
          <w:szCs w:val="22"/>
        </w:rPr>
        <w:t>37</w:t>
      </w:r>
      <w:r w:rsidR="002713FB" w:rsidRPr="00F758CA">
        <w:rPr>
          <w:szCs w:val="22"/>
          <w:lang w:val="en-US"/>
        </w:rPr>
        <w:fldChar w:fldCharType="end"/>
      </w:r>
      <w:r w:rsidR="002713FB" w:rsidRPr="00F758CA">
        <w:rPr>
          <w:szCs w:val="22"/>
          <w:lang w:val="en-US"/>
        </w:rPr>
        <w:t>)</w:t>
      </w:r>
      <w:r w:rsidR="00FF2F8F" w:rsidRPr="00F758CA">
        <w:rPr>
          <w:szCs w:val="22"/>
          <w:lang w:val="en-US"/>
        </w:rPr>
        <w:t>, primary due to changes in the landward edge</w:t>
      </w:r>
      <w:r w:rsidR="0014156A" w:rsidRPr="00F758CA">
        <w:rPr>
          <w:szCs w:val="22"/>
          <w:lang w:val="en-US"/>
        </w:rPr>
        <w:t xml:space="preserve"> and </w:t>
      </w:r>
      <w:r w:rsidRPr="00F758CA">
        <w:rPr>
          <w:szCs w:val="22"/>
          <w:lang w:val="en-US"/>
        </w:rPr>
        <w:t xml:space="preserve">appearance of a drainage channel from an adjacent creek (data not presented). </w:t>
      </w:r>
      <w:r w:rsidR="00E70D67" w:rsidRPr="00F758CA">
        <w:rPr>
          <w:szCs w:val="22"/>
          <w:lang w:val="en-US"/>
        </w:rPr>
        <w:t>Post 2011, additional reef meadows and coastal meadows in the Cap</w:t>
      </w:r>
      <w:r w:rsidR="005F428D">
        <w:rPr>
          <w:szCs w:val="22"/>
          <w:lang w:val="en-US"/>
        </w:rPr>
        <w:t>e York NRM region were included.</w:t>
      </w:r>
      <w:r w:rsidR="00E70D67" w:rsidRPr="00F758CA">
        <w:rPr>
          <w:szCs w:val="22"/>
          <w:lang w:val="en-US"/>
        </w:rPr>
        <w:t xml:space="preserve"> Overall, </w:t>
      </w:r>
      <w:r w:rsidR="00F758CA" w:rsidRPr="00F758CA">
        <w:rPr>
          <w:szCs w:val="22"/>
          <w:lang w:val="en-US"/>
        </w:rPr>
        <w:t xml:space="preserve">meadow extent has continued to increase </w:t>
      </w:r>
      <w:r w:rsidR="00E70D67" w:rsidRPr="00F758CA">
        <w:rPr>
          <w:szCs w:val="22"/>
          <w:lang w:val="en-US"/>
        </w:rPr>
        <w:t>slight</w:t>
      </w:r>
      <w:r w:rsidR="00F758CA" w:rsidRPr="00F758CA">
        <w:rPr>
          <w:szCs w:val="22"/>
          <w:lang w:val="en-US"/>
        </w:rPr>
        <w:t xml:space="preserve">ly over the last few years and </w:t>
      </w:r>
      <w:r w:rsidR="00E70D67" w:rsidRPr="00F758CA">
        <w:rPr>
          <w:szCs w:val="22"/>
          <w:lang w:val="en-US"/>
        </w:rPr>
        <w:t>continued throughout 201</w:t>
      </w:r>
      <w:r w:rsidR="00F758CA" w:rsidRPr="00F758CA">
        <w:rPr>
          <w:szCs w:val="22"/>
          <w:lang w:val="en-US"/>
        </w:rPr>
        <w:t>4-15</w:t>
      </w:r>
      <w:r w:rsidR="00E70D67" w:rsidRPr="00F758CA">
        <w:rPr>
          <w:szCs w:val="22"/>
          <w:lang w:val="en-US"/>
        </w:rPr>
        <w:t xml:space="preserve"> at all reef and coastal sites </w:t>
      </w:r>
      <w:r w:rsidR="001D2093" w:rsidRPr="00F758CA">
        <w:rPr>
          <w:szCs w:val="22"/>
          <w:lang w:val="en-US"/>
        </w:rPr>
        <w:t>(</w:t>
      </w:r>
      <w:r w:rsidR="001D2093" w:rsidRPr="00F758CA">
        <w:rPr>
          <w:szCs w:val="22"/>
          <w:lang w:val="en-US"/>
        </w:rPr>
        <w:fldChar w:fldCharType="begin"/>
      </w:r>
      <w:r w:rsidR="001D2093" w:rsidRPr="00F758CA">
        <w:rPr>
          <w:szCs w:val="22"/>
          <w:lang w:val="en-US"/>
        </w:rPr>
        <w:instrText xml:space="preserve"> REF _Ref380061981 \h </w:instrText>
      </w:r>
      <w:r w:rsidR="00015190" w:rsidRPr="00F758CA">
        <w:rPr>
          <w:szCs w:val="22"/>
          <w:lang w:val="en-US"/>
        </w:rPr>
        <w:instrText xml:space="preserve"> \* MERGEFORMAT </w:instrText>
      </w:r>
      <w:r w:rsidR="001D2093" w:rsidRPr="00F758CA">
        <w:rPr>
          <w:szCs w:val="22"/>
          <w:lang w:val="en-US"/>
        </w:rPr>
      </w:r>
      <w:r w:rsidR="001D2093" w:rsidRPr="00F758CA">
        <w:rPr>
          <w:szCs w:val="22"/>
          <w:lang w:val="en-US"/>
        </w:rPr>
        <w:fldChar w:fldCharType="separate"/>
      </w:r>
      <w:r w:rsidR="009C068F" w:rsidRPr="003611ED">
        <w:rPr>
          <w:szCs w:val="22"/>
        </w:rPr>
        <w:t xml:space="preserve">Figure </w:t>
      </w:r>
      <w:r w:rsidR="009C068F">
        <w:rPr>
          <w:noProof/>
          <w:szCs w:val="22"/>
        </w:rPr>
        <w:t>37</w:t>
      </w:r>
      <w:r w:rsidR="001D2093" w:rsidRPr="00F758CA">
        <w:rPr>
          <w:szCs w:val="22"/>
          <w:lang w:val="en-US"/>
        </w:rPr>
        <w:fldChar w:fldCharType="end"/>
      </w:r>
      <w:r w:rsidR="001D2093" w:rsidRPr="00F758CA">
        <w:rPr>
          <w:szCs w:val="22"/>
          <w:lang w:val="en-US"/>
        </w:rPr>
        <w:t xml:space="preserve">; Appendix </w:t>
      </w:r>
      <w:r w:rsidR="00F758CA">
        <w:rPr>
          <w:szCs w:val="22"/>
          <w:lang w:val="en-US"/>
        </w:rPr>
        <w:t>4</w:t>
      </w:r>
      <w:r w:rsidR="001D2093" w:rsidRPr="00F758CA">
        <w:rPr>
          <w:szCs w:val="22"/>
          <w:lang w:val="en-US"/>
        </w:rPr>
        <w:t>)</w:t>
      </w:r>
      <w:r w:rsidRPr="00F758CA">
        <w:rPr>
          <w:szCs w:val="22"/>
          <w:lang w:val="en-US"/>
        </w:rPr>
        <w:t xml:space="preserve">. </w:t>
      </w:r>
    </w:p>
    <w:p w:rsidR="003611ED" w:rsidRPr="003611ED" w:rsidRDefault="003611ED" w:rsidP="00F758CA">
      <w:pPr>
        <w:keepNext/>
        <w:widowControl w:val="0"/>
        <w:spacing w:after="0"/>
        <w:jc w:val="center"/>
        <w:rPr>
          <w:szCs w:val="22"/>
          <w:lang w:val="en-US"/>
        </w:rPr>
      </w:pPr>
      <w:r w:rsidRPr="003611ED">
        <w:rPr>
          <w:noProof/>
          <w:szCs w:val="22"/>
          <w:lang w:eastAsia="en-AU"/>
        </w:rPr>
        <w:drawing>
          <wp:inline distT="0" distB="0" distL="0" distR="0" wp14:anchorId="0839C224" wp14:editId="2AD99062">
            <wp:extent cx="4680000" cy="2012400"/>
            <wp:effectExtent l="0" t="0" r="6350" b="6985"/>
            <wp:docPr id="19" name="Picture 19" descr="Line graph showing spatial extent of seagrass meadows within a 100m radius of monitoring sites for each habitat and monitoring period across the eastern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extent_avg_2015.pn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4680000" cy="2012400"/>
                    </a:xfrm>
                    <a:prstGeom prst="rect">
                      <a:avLst/>
                    </a:prstGeom>
                  </pic:spPr>
                </pic:pic>
              </a:graphicData>
            </a:graphic>
          </wp:inline>
        </w:drawing>
      </w:r>
    </w:p>
    <w:p w:rsidR="00D000AC" w:rsidRPr="003611ED" w:rsidRDefault="002B4949" w:rsidP="002B4949">
      <w:pPr>
        <w:spacing w:before="0"/>
        <w:ind w:right="233"/>
        <w:rPr>
          <w:i/>
          <w:szCs w:val="22"/>
        </w:rPr>
      </w:pPr>
      <w:bookmarkStart w:id="237" w:name="_Ref380061981"/>
      <w:bookmarkStart w:id="238" w:name="_Toc431493829"/>
      <w:bookmarkStart w:id="239" w:name="_Toc462684877"/>
      <w:r w:rsidRPr="003611ED">
        <w:rPr>
          <w:szCs w:val="22"/>
        </w:rPr>
        <w:t xml:space="preserve">Figure </w:t>
      </w:r>
      <w:r w:rsidR="0073595B">
        <w:rPr>
          <w:szCs w:val="22"/>
        </w:rPr>
        <w:fldChar w:fldCharType="begin"/>
      </w:r>
      <w:r w:rsidR="0073595B">
        <w:rPr>
          <w:szCs w:val="22"/>
        </w:rPr>
        <w:instrText xml:space="preserve"> SEQ Figure \* ARABIC </w:instrText>
      </w:r>
      <w:r w:rsidR="0073595B">
        <w:rPr>
          <w:szCs w:val="22"/>
        </w:rPr>
        <w:fldChar w:fldCharType="separate"/>
      </w:r>
      <w:r w:rsidR="009C068F">
        <w:rPr>
          <w:noProof/>
          <w:szCs w:val="22"/>
        </w:rPr>
        <w:t>37</w:t>
      </w:r>
      <w:r w:rsidR="0073595B">
        <w:rPr>
          <w:szCs w:val="22"/>
        </w:rPr>
        <w:fldChar w:fldCharType="end"/>
      </w:r>
      <w:bookmarkEnd w:id="237"/>
      <w:r w:rsidRPr="003611ED">
        <w:rPr>
          <w:szCs w:val="22"/>
        </w:rPr>
        <w:t xml:space="preserve">. </w:t>
      </w:r>
      <w:r w:rsidRPr="003611ED">
        <w:rPr>
          <w:i/>
          <w:szCs w:val="22"/>
        </w:rPr>
        <w:t xml:space="preserve">Change in </w:t>
      </w:r>
      <w:r w:rsidR="00CF6158" w:rsidRPr="003611ED">
        <w:rPr>
          <w:i/>
          <w:szCs w:val="22"/>
        </w:rPr>
        <w:t xml:space="preserve">spatial extent of seagrass meadows within a 100m radius of monitoring sites </w:t>
      </w:r>
      <w:r w:rsidRPr="003611ED">
        <w:rPr>
          <w:i/>
          <w:szCs w:val="22"/>
        </w:rPr>
        <w:t xml:space="preserve">for each habitat </w:t>
      </w:r>
      <w:r w:rsidR="00CF6158" w:rsidRPr="003611ED">
        <w:rPr>
          <w:i/>
          <w:szCs w:val="22"/>
        </w:rPr>
        <w:t>and</w:t>
      </w:r>
      <w:r w:rsidRPr="003611ED">
        <w:rPr>
          <w:i/>
          <w:szCs w:val="22"/>
        </w:rPr>
        <w:t xml:space="preserve"> monitoring period across the </w:t>
      </w:r>
      <w:smartTag w:uri="urn:schemas-microsoft-com:office:smarttags" w:element="State">
        <w:r w:rsidRPr="003611ED">
          <w:rPr>
            <w:i/>
            <w:szCs w:val="22"/>
          </w:rPr>
          <w:t>eastern Cape</w:t>
        </w:r>
      </w:smartTag>
      <w:r w:rsidRPr="003611ED">
        <w:rPr>
          <w:i/>
          <w:szCs w:val="22"/>
        </w:rPr>
        <w:t xml:space="preserve"> </w:t>
      </w:r>
      <w:smartTag w:uri="urn:schemas-microsoft-com:office:smarttags" w:element="place">
        <w:smartTag w:uri="urn:schemas-microsoft-com:office:smarttags" w:element="City">
          <w:r w:rsidRPr="003611ED">
            <w:rPr>
              <w:i/>
              <w:szCs w:val="22"/>
            </w:rPr>
            <w:t>York</w:t>
          </w:r>
        </w:smartTag>
      </w:smartTag>
      <w:r w:rsidRPr="003611ED">
        <w:rPr>
          <w:i/>
          <w:szCs w:val="22"/>
        </w:rPr>
        <w:t xml:space="preserve"> NRM region.</w:t>
      </w:r>
      <w:bookmarkEnd w:id="238"/>
      <w:bookmarkEnd w:id="239"/>
    </w:p>
    <w:p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Seagrass reproductive status</w:t>
      </w:r>
    </w:p>
    <w:p w:rsidR="003611ED" w:rsidRDefault="003611ED" w:rsidP="00034AD4">
      <w:pPr>
        <w:rPr>
          <w:color w:val="000000"/>
          <w:szCs w:val="22"/>
          <w:lang w:val="en-GB"/>
        </w:rPr>
      </w:pPr>
      <w:bookmarkStart w:id="240" w:name="_Toc145126957"/>
      <w:bookmarkStart w:id="241" w:name="_Toc175991065"/>
      <w:bookmarkStart w:id="242" w:name="_Toc215637046"/>
      <w:r w:rsidRPr="003611ED">
        <w:rPr>
          <w:color w:val="000000"/>
          <w:szCs w:val="22"/>
          <w:lang w:val="en-GB"/>
        </w:rPr>
        <w:t>Seagrass seed banks in Cape York meadows were often larger in the late dry than late monsoon (</w:t>
      </w:r>
      <w:r w:rsidR="005F428D">
        <w:rPr>
          <w:color w:val="000000"/>
          <w:szCs w:val="22"/>
          <w:lang w:val="en-GB"/>
        </w:rPr>
        <w:fldChar w:fldCharType="begin"/>
      </w:r>
      <w:r w:rsidR="005F428D">
        <w:rPr>
          <w:color w:val="000000"/>
          <w:szCs w:val="22"/>
          <w:lang w:val="en-GB"/>
        </w:rPr>
        <w:instrText xml:space="preserve"> REF _Ref271218562 \h </w:instrText>
      </w:r>
      <w:r w:rsidR="005F428D">
        <w:rPr>
          <w:color w:val="000000"/>
          <w:szCs w:val="22"/>
          <w:lang w:val="en-GB"/>
        </w:rPr>
      </w:r>
      <w:r w:rsidR="005F428D">
        <w:rPr>
          <w:color w:val="000000"/>
          <w:szCs w:val="22"/>
          <w:lang w:val="en-GB"/>
        </w:rPr>
        <w:fldChar w:fldCharType="separate"/>
      </w:r>
      <w:r w:rsidR="009C068F" w:rsidRPr="008A695E">
        <w:rPr>
          <w:color w:val="000000"/>
        </w:rPr>
        <w:t xml:space="preserve">Figure </w:t>
      </w:r>
      <w:r w:rsidR="009C068F">
        <w:rPr>
          <w:noProof/>
          <w:color w:val="000000"/>
        </w:rPr>
        <w:t>38</w:t>
      </w:r>
      <w:r w:rsidR="005F428D">
        <w:rPr>
          <w:color w:val="000000"/>
          <w:szCs w:val="22"/>
          <w:lang w:val="en-GB"/>
        </w:rPr>
        <w:fldChar w:fldCharType="end"/>
      </w:r>
      <w:r w:rsidRPr="003611ED">
        <w:rPr>
          <w:color w:val="000000"/>
          <w:szCs w:val="22"/>
          <w:lang w:val="en-GB"/>
        </w:rPr>
        <w:t>). Seed banks were also higher at coastal than reef habitats (</w:t>
      </w:r>
      <w:r w:rsidR="005F428D">
        <w:rPr>
          <w:color w:val="000000"/>
          <w:szCs w:val="22"/>
          <w:lang w:val="en-GB"/>
        </w:rPr>
        <w:fldChar w:fldCharType="begin"/>
      </w:r>
      <w:r w:rsidR="005F428D">
        <w:rPr>
          <w:color w:val="000000"/>
          <w:szCs w:val="22"/>
          <w:lang w:val="en-GB"/>
        </w:rPr>
        <w:instrText xml:space="preserve"> REF _Ref271218562 \h </w:instrText>
      </w:r>
      <w:r w:rsidR="005F428D">
        <w:rPr>
          <w:color w:val="000000"/>
          <w:szCs w:val="22"/>
          <w:lang w:val="en-GB"/>
        </w:rPr>
      </w:r>
      <w:r w:rsidR="005F428D">
        <w:rPr>
          <w:color w:val="000000"/>
          <w:szCs w:val="22"/>
          <w:lang w:val="en-GB"/>
        </w:rPr>
        <w:fldChar w:fldCharType="separate"/>
      </w:r>
      <w:r w:rsidR="009C068F" w:rsidRPr="008A695E">
        <w:rPr>
          <w:color w:val="000000"/>
        </w:rPr>
        <w:t xml:space="preserve">Figure </w:t>
      </w:r>
      <w:r w:rsidR="009C068F">
        <w:rPr>
          <w:noProof/>
          <w:color w:val="000000"/>
        </w:rPr>
        <w:t>38</w:t>
      </w:r>
      <w:r w:rsidR="005F428D">
        <w:rPr>
          <w:color w:val="000000"/>
          <w:szCs w:val="22"/>
          <w:lang w:val="en-GB"/>
        </w:rPr>
        <w:fldChar w:fldCharType="end"/>
      </w:r>
      <w:r w:rsidRPr="003611ED">
        <w:rPr>
          <w:color w:val="000000"/>
          <w:szCs w:val="22"/>
          <w:lang w:val="en-GB"/>
        </w:rPr>
        <w:t xml:space="preserve">). A seed bank of predominately </w:t>
      </w:r>
      <w:proofErr w:type="spellStart"/>
      <w:r w:rsidRPr="003611ED">
        <w:rPr>
          <w:i/>
          <w:color w:val="000000"/>
          <w:szCs w:val="22"/>
          <w:lang w:val="en-GB"/>
        </w:rPr>
        <w:t>Halodule</w:t>
      </w:r>
      <w:proofErr w:type="spellEnd"/>
      <w:r w:rsidRPr="003611ED">
        <w:rPr>
          <w:i/>
          <w:color w:val="000000"/>
          <w:szCs w:val="22"/>
          <w:lang w:val="en-GB"/>
        </w:rPr>
        <w:t xml:space="preserve"> </w:t>
      </w:r>
      <w:proofErr w:type="spellStart"/>
      <w:r w:rsidRPr="003611ED">
        <w:rPr>
          <w:i/>
          <w:color w:val="000000"/>
          <w:szCs w:val="22"/>
          <w:lang w:val="en-GB"/>
        </w:rPr>
        <w:t>uninervis</w:t>
      </w:r>
      <w:proofErr w:type="spellEnd"/>
      <w:r w:rsidRPr="003611ED">
        <w:rPr>
          <w:color w:val="000000"/>
          <w:szCs w:val="22"/>
          <w:lang w:val="en-GB"/>
        </w:rPr>
        <w:t xml:space="preserve"> persists at reef habitat meadows (</w:t>
      </w:r>
      <w:r w:rsidR="005F428D">
        <w:rPr>
          <w:color w:val="000000"/>
          <w:szCs w:val="22"/>
          <w:lang w:val="en-GB"/>
        </w:rPr>
        <w:fldChar w:fldCharType="begin"/>
      </w:r>
      <w:r w:rsidR="005F428D">
        <w:rPr>
          <w:color w:val="000000"/>
          <w:szCs w:val="22"/>
          <w:lang w:val="en-GB"/>
        </w:rPr>
        <w:instrText xml:space="preserve"> REF _Ref271218562 \h </w:instrText>
      </w:r>
      <w:r w:rsidR="005F428D">
        <w:rPr>
          <w:color w:val="000000"/>
          <w:szCs w:val="22"/>
          <w:lang w:val="en-GB"/>
        </w:rPr>
      </w:r>
      <w:r w:rsidR="005F428D">
        <w:rPr>
          <w:color w:val="000000"/>
          <w:szCs w:val="22"/>
          <w:lang w:val="en-GB"/>
        </w:rPr>
        <w:fldChar w:fldCharType="separate"/>
      </w:r>
      <w:r w:rsidR="009C068F" w:rsidRPr="008A695E">
        <w:rPr>
          <w:color w:val="000000"/>
        </w:rPr>
        <w:t xml:space="preserve">Figure </w:t>
      </w:r>
      <w:r w:rsidR="009C068F">
        <w:rPr>
          <w:noProof/>
          <w:color w:val="000000"/>
        </w:rPr>
        <w:t>38</w:t>
      </w:r>
      <w:r w:rsidR="005F428D">
        <w:rPr>
          <w:color w:val="000000"/>
          <w:szCs w:val="22"/>
          <w:lang w:val="en-GB"/>
        </w:rPr>
        <w:fldChar w:fldCharType="end"/>
      </w:r>
      <w:r w:rsidRPr="003611ED">
        <w:rPr>
          <w:color w:val="000000"/>
          <w:szCs w:val="22"/>
          <w:lang w:val="en-GB"/>
        </w:rPr>
        <w:t xml:space="preserve">), however late dry abundances in 2014-15 were lower than the previous year. Although </w:t>
      </w:r>
      <w:proofErr w:type="spellStart"/>
      <w:r w:rsidRPr="003611ED">
        <w:rPr>
          <w:i/>
          <w:color w:val="000000"/>
          <w:szCs w:val="22"/>
          <w:lang w:val="en-GB"/>
        </w:rPr>
        <w:t>Cymodocea</w:t>
      </w:r>
      <w:proofErr w:type="spellEnd"/>
      <w:r w:rsidRPr="003611ED">
        <w:rPr>
          <w:color w:val="000000"/>
          <w:szCs w:val="22"/>
          <w:lang w:val="en-GB"/>
        </w:rPr>
        <w:t xml:space="preserve"> plants were present across reef meadows, no seeds have been found since monitoring commenced. Total reproductive </w:t>
      </w:r>
      <w:r w:rsidRPr="003611ED">
        <w:rPr>
          <w:color w:val="000000"/>
          <w:szCs w:val="22"/>
          <w:lang w:val="en-GB"/>
        </w:rPr>
        <w:lastRenderedPageBreak/>
        <w:t xml:space="preserve">effort </w:t>
      </w:r>
      <w:r w:rsidR="003E0D39">
        <w:rPr>
          <w:color w:val="000000"/>
          <w:szCs w:val="22"/>
          <w:lang w:val="en-GB"/>
        </w:rPr>
        <w:t xml:space="preserve">across the region remains </w:t>
      </w:r>
      <w:r w:rsidR="008300F2">
        <w:rPr>
          <w:color w:val="000000"/>
          <w:szCs w:val="22"/>
          <w:lang w:val="en-GB"/>
        </w:rPr>
        <w:t xml:space="preserve">very </w:t>
      </w:r>
      <w:r w:rsidR="003E0D39">
        <w:rPr>
          <w:color w:val="000000"/>
          <w:szCs w:val="22"/>
          <w:lang w:val="en-GB"/>
        </w:rPr>
        <w:t>poor</w:t>
      </w:r>
      <w:r w:rsidRPr="003611ED">
        <w:rPr>
          <w:color w:val="000000"/>
          <w:szCs w:val="22"/>
          <w:lang w:val="en-GB"/>
        </w:rPr>
        <w:t xml:space="preserve">, and was similar to the previous monitoring period; </w:t>
      </w:r>
      <w:r w:rsidR="005F428D">
        <w:rPr>
          <w:color w:val="000000"/>
          <w:szCs w:val="22"/>
          <w:lang w:val="en-GB"/>
        </w:rPr>
        <w:t xml:space="preserve">significantly </w:t>
      </w:r>
      <w:r w:rsidRPr="003611ED">
        <w:rPr>
          <w:color w:val="000000"/>
          <w:szCs w:val="22"/>
          <w:lang w:val="en-GB"/>
        </w:rPr>
        <w:t xml:space="preserve">below the </w:t>
      </w:r>
      <w:r w:rsidR="005F428D" w:rsidRPr="003611ED">
        <w:rPr>
          <w:color w:val="000000"/>
          <w:szCs w:val="22"/>
          <w:lang w:val="en-GB"/>
        </w:rPr>
        <w:t xml:space="preserve">2009 </w:t>
      </w:r>
      <w:r w:rsidRPr="003611ED">
        <w:rPr>
          <w:color w:val="000000"/>
          <w:szCs w:val="22"/>
          <w:lang w:val="en-GB"/>
        </w:rPr>
        <w:t>peak (</w:t>
      </w:r>
      <w:r w:rsidR="005F428D">
        <w:rPr>
          <w:color w:val="000000"/>
          <w:szCs w:val="22"/>
          <w:lang w:val="en-GB"/>
        </w:rPr>
        <w:fldChar w:fldCharType="begin"/>
      </w:r>
      <w:r w:rsidR="005F428D">
        <w:rPr>
          <w:color w:val="000000"/>
          <w:szCs w:val="22"/>
          <w:lang w:val="en-GB"/>
        </w:rPr>
        <w:instrText xml:space="preserve"> REF _Ref271218562 \h </w:instrText>
      </w:r>
      <w:r w:rsidR="005F428D">
        <w:rPr>
          <w:color w:val="000000"/>
          <w:szCs w:val="22"/>
          <w:lang w:val="en-GB"/>
        </w:rPr>
      </w:r>
      <w:r w:rsidR="005F428D">
        <w:rPr>
          <w:color w:val="000000"/>
          <w:szCs w:val="22"/>
          <w:lang w:val="en-GB"/>
        </w:rPr>
        <w:fldChar w:fldCharType="separate"/>
      </w:r>
      <w:r w:rsidR="009C068F" w:rsidRPr="008A695E">
        <w:rPr>
          <w:color w:val="000000"/>
        </w:rPr>
        <w:t xml:space="preserve">Figure </w:t>
      </w:r>
      <w:r w:rsidR="009C068F">
        <w:rPr>
          <w:noProof/>
          <w:color w:val="000000"/>
        </w:rPr>
        <w:t>38</w:t>
      </w:r>
      <w:r w:rsidR="005F428D">
        <w:rPr>
          <w:color w:val="000000"/>
          <w:szCs w:val="22"/>
          <w:lang w:val="en-GB"/>
        </w:rPr>
        <w:fldChar w:fldCharType="end"/>
      </w:r>
      <w:r w:rsidRPr="003611ED">
        <w:rPr>
          <w:color w:val="000000"/>
          <w:szCs w:val="22"/>
          <w:lang w:val="en-GB"/>
        </w:rPr>
        <w:t>).</w:t>
      </w:r>
      <w:r w:rsidR="005F428D" w:rsidRPr="005F428D">
        <w:rPr>
          <w:lang w:val="en-GB"/>
        </w:rPr>
        <w:t xml:space="preserve"> </w:t>
      </w:r>
      <w:r w:rsidR="005F428D" w:rsidRPr="003611ED">
        <w:rPr>
          <w:lang w:val="en-GB"/>
        </w:rPr>
        <w:t>Low seed bank density and poor reproductive effort at reef meadows indicates a low capacity to recover following disturbance, while at coastal meadows, the greater seed bank density suggests a higher capacity to recover.</w:t>
      </w:r>
    </w:p>
    <w:p w:rsidR="003611ED" w:rsidRDefault="003611ED" w:rsidP="00F758CA">
      <w:pPr>
        <w:keepNext/>
        <w:widowControl w:val="0"/>
        <w:spacing w:after="0"/>
        <w:jc w:val="center"/>
        <w:rPr>
          <w:color w:val="000000"/>
          <w:szCs w:val="22"/>
          <w:lang w:val="en-GB"/>
        </w:rPr>
      </w:pPr>
      <w:r>
        <w:rPr>
          <w:noProof/>
          <w:color w:val="000000"/>
          <w:szCs w:val="22"/>
          <w:lang w:eastAsia="en-AU"/>
        </w:rPr>
        <w:drawing>
          <wp:inline distT="0" distB="0" distL="0" distR="0" wp14:anchorId="7784C701" wp14:editId="3BD3758A">
            <wp:extent cx="5760000" cy="2059200"/>
            <wp:effectExtent l="0" t="0" r="0" b="0"/>
            <wp:docPr id="20" name="Picture 20" descr="Panel of two composite bar and scatter plot graphs showing seed banks (bars) and reproductive effort (dots) at inshore intertidal coastal and reef habitats in the Cape York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repro15.pn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760000" cy="2059200"/>
                    </a:xfrm>
                    <a:prstGeom prst="rect">
                      <a:avLst/>
                    </a:prstGeom>
                  </pic:spPr>
                </pic:pic>
              </a:graphicData>
            </a:graphic>
          </wp:inline>
        </w:drawing>
      </w:r>
    </w:p>
    <w:p w:rsidR="00A927E0" w:rsidRPr="008A695E" w:rsidRDefault="005132EF" w:rsidP="00A927E0">
      <w:pPr>
        <w:rPr>
          <w:i/>
          <w:vanish/>
          <w:color w:val="000000"/>
          <w:szCs w:val="22"/>
          <w:specVanish/>
        </w:rPr>
      </w:pPr>
      <w:bookmarkStart w:id="243" w:name="_Ref271218562"/>
      <w:bookmarkStart w:id="244" w:name="_Toc431493830"/>
      <w:bookmarkStart w:id="245" w:name="_Toc462684878"/>
      <w:r w:rsidRPr="008A695E">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38</w:t>
      </w:r>
      <w:r w:rsidR="0073595B">
        <w:rPr>
          <w:color w:val="000000"/>
        </w:rPr>
        <w:fldChar w:fldCharType="end"/>
      </w:r>
      <w:bookmarkEnd w:id="243"/>
      <w:r w:rsidRPr="008A695E">
        <w:rPr>
          <w:color w:val="000000"/>
        </w:rPr>
        <w:t xml:space="preserve">. </w:t>
      </w:r>
      <w:r w:rsidR="00A927E0" w:rsidRPr="008A695E">
        <w:rPr>
          <w:i/>
          <w:color w:val="000000"/>
        </w:rPr>
        <w:t xml:space="preserve">Seed banks and reproductive effort at inshore intertidal </w:t>
      </w:r>
      <w:r w:rsidR="002C16F4" w:rsidRPr="008A695E">
        <w:rPr>
          <w:i/>
          <w:color w:val="000000"/>
        </w:rPr>
        <w:t xml:space="preserve">coastal </w:t>
      </w:r>
      <w:r w:rsidR="00B020D9" w:rsidRPr="008A695E">
        <w:rPr>
          <w:i/>
          <w:color w:val="000000"/>
        </w:rPr>
        <w:t xml:space="preserve">(a) </w:t>
      </w:r>
      <w:r w:rsidR="002C16F4" w:rsidRPr="008A695E">
        <w:rPr>
          <w:i/>
          <w:color w:val="000000"/>
        </w:rPr>
        <w:t xml:space="preserve">and </w:t>
      </w:r>
      <w:r w:rsidR="0032552E" w:rsidRPr="008A695E">
        <w:rPr>
          <w:i/>
          <w:color w:val="000000"/>
        </w:rPr>
        <w:t>reef</w:t>
      </w:r>
      <w:r w:rsidRPr="008A695E">
        <w:rPr>
          <w:i/>
          <w:color w:val="000000"/>
        </w:rPr>
        <w:t xml:space="preserve"> </w:t>
      </w:r>
      <w:r w:rsidR="00B020D9" w:rsidRPr="008A695E">
        <w:rPr>
          <w:i/>
          <w:color w:val="000000"/>
        </w:rPr>
        <w:t xml:space="preserve">(b) </w:t>
      </w:r>
      <w:r w:rsidR="00A927E0" w:rsidRPr="008A695E">
        <w:rPr>
          <w:i/>
          <w:color w:val="000000"/>
        </w:rPr>
        <w:t>habitats in the Cape York region</w:t>
      </w:r>
      <w:bookmarkEnd w:id="244"/>
      <w:bookmarkEnd w:id="245"/>
      <w:r w:rsidR="00A927E0" w:rsidRPr="008A695E">
        <w:rPr>
          <w:i/>
          <w:color w:val="000000"/>
        </w:rPr>
        <w:t xml:space="preserve"> </w:t>
      </w:r>
    </w:p>
    <w:p w:rsidR="00A927E0" w:rsidRDefault="00A927E0" w:rsidP="00A927E0">
      <w:pPr>
        <w:rPr>
          <w:color w:val="000000"/>
        </w:rPr>
      </w:pPr>
      <w:r w:rsidRPr="008A695E">
        <w:rPr>
          <w:i/>
          <w:color w:val="000000"/>
        </w:rPr>
        <w:t xml:space="preserve"> </w:t>
      </w:r>
      <w:r w:rsidR="005132EF" w:rsidRPr="008A695E">
        <w:rPr>
          <w:i/>
          <w:color w:val="000000"/>
        </w:rPr>
        <w:t xml:space="preserve">(species </w:t>
      </w:r>
      <w:r w:rsidR="00C21312" w:rsidRPr="008A695E">
        <w:rPr>
          <w:i/>
          <w:color w:val="000000"/>
        </w:rPr>
        <w:t xml:space="preserve">and sites </w:t>
      </w:r>
      <w:r w:rsidR="005132EF" w:rsidRPr="008A695E">
        <w:rPr>
          <w:i/>
          <w:color w:val="000000"/>
        </w:rPr>
        <w:t>pooled).</w:t>
      </w:r>
      <w:r w:rsidRPr="008A695E">
        <w:rPr>
          <w:i/>
          <w:color w:val="000000"/>
        </w:rPr>
        <w:t xml:space="preserve"> Seed banks </w:t>
      </w:r>
      <w:r w:rsidR="008300F2">
        <w:rPr>
          <w:i/>
          <w:color w:val="000000"/>
        </w:rPr>
        <w:t xml:space="preserve">(bars </w:t>
      </w:r>
      <w:r w:rsidR="008300F2" w:rsidRPr="00401A2E">
        <w:rPr>
          <w:i/>
          <w:color w:val="000000"/>
          <w:lang w:eastAsia="en-AU"/>
        </w:rPr>
        <w:t>± Standard Error</w:t>
      </w:r>
      <w:r w:rsidR="008300F2">
        <w:rPr>
          <w:i/>
          <w:color w:val="000000"/>
        </w:rPr>
        <w:t xml:space="preserve">) </w:t>
      </w:r>
      <w:r w:rsidRPr="008A695E">
        <w:rPr>
          <w:i/>
          <w:color w:val="000000"/>
        </w:rPr>
        <w:t>presented as the total number of seeds per m</w:t>
      </w:r>
      <w:r w:rsidRPr="008A695E">
        <w:rPr>
          <w:i/>
          <w:color w:val="000000"/>
          <w:vertAlign w:val="superscript"/>
        </w:rPr>
        <w:t>2</w:t>
      </w:r>
      <w:r w:rsidRPr="008A695E">
        <w:rPr>
          <w:i/>
          <w:color w:val="000000"/>
        </w:rPr>
        <w:t xml:space="preserve"> sediment surface. Reproductive effort for late dry season </w:t>
      </w:r>
      <w:r w:rsidR="008300F2">
        <w:rPr>
          <w:i/>
          <w:color w:val="000000"/>
        </w:rPr>
        <w:t xml:space="preserve">(dots </w:t>
      </w:r>
      <w:r w:rsidR="008300F2" w:rsidRPr="00401A2E">
        <w:rPr>
          <w:i/>
          <w:color w:val="000000"/>
          <w:lang w:eastAsia="en-AU"/>
        </w:rPr>
        <w:t>± Standard Error</w:t>
      </w:r>
      <w:r w:rsidR="008300F2">
        <w:rPr>
          <w:i/>
          <w:color w:val="000000"/>
        </w:rPr>
        <w:t xml:space="preserve">) </w:t>
      </w:r>
      <w:r w:rsidRPr="008A695E">
        <w:rPr>
          <w:i/>
          <w:color w:val="000000"/>
        </w:rPr>
        <w:t>presented as the average number of reproductive structures per core.</w:t>
      </w:r>
      <w:r w:rsidRPr="008A695E">
        <w:rPr>
          <w:color w:val="000000"/>
        </w:rPr>
        <w:t xml:space="preserve"> </w:t>
      </w:r>
    </w:p>
    <w:p w:rsidR="003611ED" w:rsidRPr="003611ED" w:rsidRDefault="003611ED" w:rsidP="003611ED">
      <w:pPr>
        <w:rPr>
          <w:lang w:val="en-GB"/>
        </w:rPr>
      </w:pPr>
    </w:p>
    <w:p w:rsidR="005132EF" w:rsidRPr="00BD0604" w:rsidRDefault="00FF0A86" w:rsidP="00926892">
      <w:pPr>
        <w:pStyle w:val="Heading3"/>
        <w:numPr>
          <w:ilvl w:val="2"/>
          <w:numId w:val="9"/>
        </w:numPr>
        <w:rPr>
          <w:rFonts w:ascii="Arial" w:hAnsi="Arial" w:cs="Arial"/>
          <w:color w:val="000000"/>
        </w:rPr>
      </w:pPr>
      <w:bookmarkStart w:id="246" w:name="_Toc462047340"/>
      <w:r>
        <w:rPr>
          <w:rFonts w:ascii="Arial" w:hAnsi="Arial" w:cs="Arial"/>
          <w:color w:val="000000"/>
        </w:rPr>
        <w:t>Indicators of environmental condition</w:t>
      </w:r>
      <w:bookmarkEnd w:id="246"/>
    </w:p>
    <w:p w:rsidR="00906FE6" w:rsidRPr="004F2236" w:rsidRDefault="00906FE6" w:rsidP="00906FE6">
      <w:pPr>
        <w:pStyle w:val="Heading4"/>
        <w:numPr>
          <w:ilvl w:val="0"/>
          <w:numId w:val="0"/>
        </w:numPr>
        <w:rPr>
          <w:rFonts w:ascii="Arial" w:hAnsi="Arial" w:cs="Arial"/>
          <w:sz w:val="24"/>
          <w:szCs w:val="24"/>
        </w:rPr>
      </w:pPr>
      <w:bookmarkStart w:id="247" w:name="_Toc184101975"/>
      <w:bookmarkEnd w:id="240"/>
      <w:bookmarkEnd w:id="241"/>
      <w:bookmarkEnd w:id="242"/>
      <w:r w:rsidRPr="004F2236">
        <w:rPr>
          <w:rFonts w:ascii="Arial" w:hAnsi="Arial" w:cs="Arial"/>
          <w:sz w:val="24"/>
          <w:szCs w:val="24"/>
        </w:rPr>
        <w:t>Seagrass tissue nutrients</w:t>
      </w:r>
      <w:bookmarkEnd w:id="247"/>
    </w:p>
    <w:p w:rsidR="003611ED" w:rsidRPr="003E0D39" w:rsidRDefault="003611ED" w:rsidP="00906FE6">
      <w:pPr>
        <w:autoSpaceDE w:val="0"/>
        <w:autoSpaceDN w:val="0"/>
        <w:adjustRightInd w:val="0"/>
        <w:rPr>
          <w:rFonts w:cs="TimesNewRoman,Italic"/>
          <w:iCs/>
          <w:szCs w:val="22"/>
        </w:rPr>
      </w:pPr>
      <w:r w:rsidRPr="003611ED">
        <w:rPr>
          <w:rFonts w:cs="TimesNewRoman,Italic"/>
          <w:iCs/>
          <w:color w:val="000000"/>
          <w:szCs w:val="22"/>
        </w:rPr>
        <w:t>Seagrass leaf molar C:N ratios were largely unchanged and remained below 20 at all Cape York habitats and locations in late dry season 2014 (</w:t>
      </w:r>
      <w:r w:rsidR="003E0D39">
        <w:rPr>
          <w:rFonts w:cs="TimesNewRoman,Italic"/>
          <w:iCs/>
          <w:color w:val="0000FF"/>
          <w:szCs w:val="22"/>
        </w:rPr>
        <w:fldChar w:fldCharType="begin"/>
      </w:r>
      <w:r w:rsidR="003E0D39">
        <w:rPr>
          <w:rFonts w:cs="TimesNewRoman,Italic"/>
          <w:iCs/>
          <w:color w:val="000000"/>
          <w:szCs w:val="22"/>
        </w:rPr>
        <w:instrText xml:space="preserve"> REF _Ref380082962 \h </w:instrText>
      </w:r>
      <w:r w:rsidR="003E0D39">
        <w:rPr>
          <w:rFonts w:cs="TimesNewRoman,Italic"/>
          <w:iCs/>
          <w:color w:val="0000FF"/>
          <w:szCs w:val="22"/>
        </w:rPr>
      </w:r>
      <w:r w:rsidR="003E0D39">
        <w:rPr>
          <w:rFonts w:cs="TimesNewRoman,Italic"/>
          <w:iCs/>
          <w:color w:val="0000FF"/>
          <w:szCs w:val="22"/>
        </w:rPr>
        <w:fldChar w:fldCharType="separate"/>
      </w:r>
      <w:r w:rsidR="009C068F" w:rsidRPr="00E93489">
        <w:rPr>
          <w:color w:val="000000"/>
        </w:rPr>
        <w:t xml:space="preserve">Figure </w:t>
      </w:r>
      <w:r w:rsidR="009C068F">
        <w:rPr>
          <w:noProof/>
          <w:color w:val="000000"/>
        </w:rPr>
        <w:t>39</w:t>
      </w:r>
      <w:r w:rsidR="003E0D39">
        <w:rPr>
          <w:rFonts w:cs="TimesNewRoman,Italic"/>
          <w:iCs/>
          <w:color w:val="0000FF"/>
          <w:szCs w:val="22"/>
        </w:rPr>
        <w:fldChar w:fldCharType="end"/>
      </w:r>
      <w:r w:rsidRPr="003611ED">
        <w:rPr>
          <w:rFonts w:cs="TimesNewRoman,Italic"/>
          <w:iCs/>
          <w:color w:val="000000"/>
          <w:szCs w:val="22"/>
        </w:rPr>
        <w:t>). Leaf molar C:P ratios in 2014 were just above 500, indicating that the plants were growing in a relatively moderate P pool that was slightly depleted (</w:t>
      </w:r>
      <w:r w:rsidR="003E0D39" w:rsidRPr="003E0D39">
        <w:rPr>
          <w:rFonts w:cs="TimesNewRoman,Italic"/>
          <w:iCs/>
          <w:szCs w:val="22"/>
        </w:rPr>
        <w:fldChar w:fldCharType="begin"/>
      </w:r>
      <w:r w:rsidR="003E0D39" w:rsidRPr="003E0D39">
        <w:rPr>
          <w:rFonts w:cs="TimesNewRoman,Italic"/>
          <w:iCs/>
          <w:szCs w:val="22"/>
        </w:rPr>
        <w:instrText xml:space="preserve"> REF _Ref236560189 \h </w:instrText>
      </w:r>
      <w:r w:rsidR="003E0D39" w:rsidRPr="003E0D39">
        <w:rPr>
          <w:rFonts w:cs="TimesNewRoman,Italic"/>
          <w:iCs/>
          <w:szCs w:val="22"/>
        </w:rPr>
      </w:r>
      <w:r w:rsidR="003E0D39" w:rsidRPr="003E0D39">
        <w:rPr>
          <w:rFonts w:cs="TimesNewRoman,Italic"/>
          <w:iCs/>
          <w:szCs w:val="22"/>
        </w:rPr>
        <w:fldChar w:fldCharType="separate"/>
      </w:r>
      <w:r w:rsidR="009C068F" w:rsidRPr="00401A2E">
        <w:rPr>
          <w:color w:val="000000"/>
        </w:rPr>
        <w:t xml:space="preserve">Figure </w:t>
      </w:r>
      <w:r w:rsidR="009C068F">
        <w:rPr>
          <w:noProof/>
          <w:color w:val="000000"/>
        </w:rPr>
        <w:t>40</w:t>
      </w:r>
      <w:r w:rsidR="003E0D39" w:rsidRPr="003E0D39">
        <w:rPr>
          <w:rFonts w:cs="TimesNewRoman,Italic"/>
          <w:iCs/>
          <w:szCs w:val="22"/>
        </w:rPr>
        <w:fldChar w:fldCharType="end"/>
      </w:r>
      <w:r w:rsidRPr="003E0D39">
        <w:rPr>
          <w:rFonts w:cs="TimesNewRoman,Italic"/>
          <w:iCs/>
          <w:szCs w:val="22"/>
        </w:rPr>
        <w:t xml:space="preserve">; Appendix </w:t>
      </w:r>
      <w:r w:rsidR="003E0D39" w:rsidRPr="003E0D39">
        <w:rPr>
          <w:rFonts w:cs="TimesNewRoman,Italic"/>
          <w:iCs/>
          <w:szCs w:val="22"/>
        </w:rPr>
        <w:t>4</w:t>
      </w:r>
      <w:r w:rsidRPr="003E0D39">
        <w:rPr>
          <w:rFonts w:cs="TimesNewRoman,Italic"/>
          <w:iCs/>
          <w:szCs w:val="22"/>
        </w:rPr>
        <w:t>), while leaf molar N:P ratios indicate a slight enrichment of N, relative to P.</w:t>
      </w:r>
    </w:p>
    <w:p w:rsidR="003611ED" w:rsidRDefault="003611ED" w:rsidP="00906FE6">
      <w:pPr>
        <w:autoSpaceDE w:val="0"/>
        <w:autoSpaceDN w:val="0"/>
        <w:adjustRightInd w:val="0"/>
        <w:rPr>
          <w:rFonts w:cs="TimesNewRoman,Italic"/>
          <w:iCs/>
          <w:color w:val="000000"/>
          <w:szCs w:val="22"/>
        </w:rPr>
      </w:pPr>
    </w:p>
    <w:p w:rsidR="003611ED" w:rsidRDefault="003611ED" w:rsidP="003E0D39">
      <w:pPr>
        <w:keepNext/>
        <w:widowControl w:val="0"/>
        <w:autoSpaceDE w:val="0"/>
        <w:autoSpaceDN w:val="0"/>
        <w:adjustRightInd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3A50F27E" wp14:editId="4E73B0ED">
            <wp:extent cx="4680000" cy="2095200"/>
            <wp:effectExtent l="0" t="0" r="6350" b="635"/>
            <wp:docPr id="21" name="Picture 21" descr="Panel of two scatter plots with straight lines and markers showing elemental ratios (atomic) of seagrass leaf tissue C:N for the foundation species in inshore intertidal coastal and reef habitats in the Cape York NRM region from 2005 to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CN_yr_Dec15.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4680000" cy="2095200"/>
                    </a:xfrm>
                    <a:prstGeom prst="rect">
                      <a:avLst/>
                    </a:prstGeom>
                  </pic:spPr>
                </pic:pic>
              </a:graphicData>
            </a:graphic>
          </wp:inline>
        </w:drawing>
      </w:r>
    </w:p>
    <w:p w:rsidR="00906FE6" w:rsidRPr="00E93489" w:rsidRDefault="00906FE6" w:rsidP="00906FE6">
      <w:pPr>
        <w:rPr>
          <w:i/>
          <w:iCs/>
          <w:vanish/>
          <w:color w:val="000000"/>
          <w:szCs w:val="22"/>
          <w:lang w:eastAsia="en-AU"/>
          <w:specVanish/>
        </w:rPr>
      </w:pPr>
      <w:bookmarkStart w:id="248" w:name="_Ref380082962"/>
      <w:bookmarkStart w:id="249" w:name="_Toc431493832"/>
      <w:bookmarkStart w:id="250" w:name="_Toc462684879"/>
      <w:r w:rsidRPr="00E93489">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39</w:t>
      </w:r>
      <w:r w:rsidR="0073595B">
        <w:rPr>
          <w:color w:val="000000"/>
        </w:rPr>
        <w:fldChar w:fldCharType="end"/>
      </w:r>
      <w:bookmarkEnd w:id="248"/>
      <w:r w:rsidRPr="00E93489">
        <w:rPr>
          <w:color w:val="000000"/>
        </w:rPr>
        <w:t xml:space="preserve">. </w:t>
      </w:r>
      <w:r w:rsidRPr="00E93489">
        <w:rPr>
          <w:i/>
          <w:color w:val="000000"/>
          <w:lang w:eastAsia="en-AU"/>
        </w:rPr>
        <w:t xml:space="preserve">Elemental ratios (atomic) of seagrass leaf tissue C:N for </w:t>
      </w:r>
      <w:r w:rsidRPr="00E93489">
        <w:rPr>
          <w:i/>
          <w:color w:val="000000"/>
        </w:rPr>
        <w:t>the foundation species in inshore intertidal coastal (a) and reef (b) habitats in the Cape York region from 2005 to 201</w:t>
      </w:r>
      <w:r w:rsidR="003611ED">
        <w:rPr>
          <w:i/>
          <w:color w:val="000000"/>
        </w:rPr>
        <w:t>4</w:t>
      </w:r>
      <w:bookmarkEnd w:id="249"/>
      <w:bookmarkEnd w:id="250"/>
      <w:r w:rsidRPr="00E93489">
        <w:rPr>
          <w:i/>
          <w:color w:val="000000"/>
          <w:lang w:eastAsia="en-AU"/>
        </w:rPr>
        <w:t xml:space="preserve"> </w:t>
      </w:r>
    </w:p>
    <w:p w:rsidR="00906FE6" w:rsidRPr="00E93489" w:rsidRDefault="00906FE6" w:rsidP="00906FE6">
      <w:pPr>
        <w:rPr>
          <w:color w:val="000000"/>
          <w:lang w:eastAsia="en-AU"/>
        </w:rPr>
      </w:pPr>
      <w:r w:rsidRPr="00E93489">
        <w:rPr>
          <w:i/>
          <w:color w:val="000000"/>
          <w:lang w:eastAsia="en-AU"/>
        </w:rPr>
        <w:t xml:space="preserve"> (species pooled) </w:t>
      </w:r>
      <w:r w:rsidRPr="00E93489">
        <w:rPr>
          <w:i/>
          <w:color w:val="000000"/>
        </w:rPr>
        <w:t>(mean and SE displayed)</w:t>
      </w:r>
      <w:r w:rsidRPr="00E93489">
        <w:rPr>
          <w:i/>
          <w:color w:val="000000"/>
          <w:lang w:eastAsia="en-AU"/>
        </w:rPr>
        <w:t xml:space="preserve">. Horizontal shaded band on the C:N ratio panel represents the accepted </w:t>
      </w:r>
      <w:r w:rsidRPr="00E93489">
        <w:rPr>
          <w:i/>
          <w:color w:val="000000"/>
        </w:rPr>
        <w:t xml:space="preserve">guideline </w:t>
      </w:r>
      <w:r w:rsidRPr="00E93489">
        <w:rPr>
          <w:i/>
          <w:color w:val="000000"/>
          <w:lang w:eastAsia="en-AU"/>
        </w:rPr>
        <w:t xml:space="preserve">seagrass “Redfield” ratio </w:t>
      </w:r>
      <w:r w:rsidRPr="00E93489">
        <w:rPr>
          <w:i/>
          <w:color w:val="000000"/>
        </w:rPr>
        <w:t>of 20:1 (</w:t>
      </w:r>
      <w:hyperlink w:anchor="_ENREF_2" w:tooltip="Abal, 1994 #7405" w:history="1">
        <w:r w:rsidR="00E6043D">
          <w:rPr>
            <w:i/>
            <w:color w:val="000000"/>
          </w:rPr>
          <w:fldChar w:fldCharType="begin"/>
        </w:r>
        <w:r w:rsidR="00E6043D">
          <w:rPr>
            <w:i/>
            <w:color w:val="000000"/>
          </w:rPr>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E6043D">
          <w:rPr>
            <w:i/>
            <w:color w:val="000000"/>
          </w:rPr>
          <w:fldChar w:fldCharType="separate"/>
        </w:r>
        <w:r w:rsidR="00E6043D">
          <w:rPr>
            <w:i/>
            <w:noProof/>
            <w:color w:val="000000"/>
          </w:rPr>
          <w:t>Abal, et al. 1994</w:t>
        </w:r>
        <w:r w:rsidR="00E6043D">
          <w:rPr>
            <w:i/>
            <w:color w:val="000000"/>
          </w:rPr>
          <w:fldChar w:fldCharType="end"/>
        </w:r>
      </w:hyperlink>
      <w:r w:rsidRPr="00E93489">
        <w:rPr>
          <w:i/>
          <w:color w:val="000000"/>
        </w:rPr>
        <w:t>; Grice et al. 1996)</w:t>
      </w:r>
      <w:r w:rsidRPr="00E93489">
        <w:rPr>
          <w:i/>
          <w:color w:val="000000"/>
          <w:lang w:eastAsia="en-AU"/>
        </w:rPr>
        <w:t xml:space="preserve">. C:N ratios below this line may </w:t>
      </w:r>
      <w:r w:rsidRPr="00E93489">
        <w:rPr>
          <w:i/>
          <w:color w:val="000000"/>
        </w:rPr>
        <w:t>indicate reduced light availability and/or N enrichment</w:t>
      </w:r>
      <w:r w:rsidRPr="00E93489">
        <w:rPr>
          <w:i/>
          <w:color w:val="000000"/>
          <w:lang w:eastAsia="en-AU"/>
        </w:rPr>
        <w:t xml:space="preserve">. </w:t>
      </w:r>
    </w:p>
    <w:p w:rsidR="003611ED" w:rsidRDefault="003611ED" w:rsidP="00CB68A0">
      <w:pPr>
        <w:keepNext/>
        <w:widowControl w:val="0"/>
        <w:spacing w:after="0"/>
        <w:jc w:val="center"/>
        <w:rPr>
          <w:rFonts w:cs="TimesNewRoman,Italic"/>
          <w:iCs/>
          <w:color w:val="000000"/>
          <w:szCs w:val="22"/>
        </w:rPr>
      </w:pPr>
      <w:r>
        <w:rPr>
          <w:rFonts w:cs="TimesNewRoman,Italic"/>
          <w:iCs/>
          <w:noProof/>
          <w:color w:val="000000"/>
          <w:szCs w:val="22"/>
          <w:lang w:eastAsia="en-AU"/>
        </w:rPr>
        <w:lastRenderedPageBreak/>
        <w:drawing>
          <wp:inline distT="0" distB="0" distL="0" distR="0" wp14:anchorId="4757562E" wp14:editId="7C91F3A1">
            <wp:extent cx="4429638" cy="3799268"/>
            <wp:effectExtent l="0" t="0" r="9525" b="0"/>
            <wp:docPr id="22" name="Picture 22" descr="Set of four scatter plots with straight lines and markers showing  elemental ratios (atomic) of seagrass leaf tissue N:P and C:P for the foundation species in inshore intertidal reef and coastal habitats in the Cape York NRM region from 2005 to 20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CNP_yr_Dec15.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4431587" cy="3800940"/>
                    </a:xfrm>
                    <a:prstGeom prst="rect">
                      <a:avLst/>
                    </a:prstGeom>
                  </pic:spPr>
                </pic:pic>
              </a:graphicData>
            </a:graphic>
          </wp:inline>
        </w:drawing>
      </w:r>
    </w:p>
    <w:p w:rsidR="00906FE6" w:rsidRPr="00401A2E" w:rsidRDefault="00906FE6" w:rsidP="00906FE6">
      <w:pPr>
        <w:rPr>
          <w:i/>
          <w:iCs/>
          <w:vanish/>
          <w:color w:val="000000"/>
          <w:szCs w:val="22"/>
          <w:lang w:eastAsia="en-AU"/>
          <w:specVanish/>
        </w:rPr>
      </w:pPr>
      <w:bookmarkStart w:id="251" w:name="_Ref236560189"/>
      <w:bookmarkStart w:id="252" w:name="_Toc431493833"/>
      <w:bookmarkStart w:id="253" w:name="_Toc462684880"/>
      <w:r w:rsidRPr="00401A2E">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40</w:t>
      </w:r>
      <w:r w:rsidR="0073595B">
        <w:rPr>
          <w:color w:val="000000"/>
        </w:rPr>
        <w:fldChar w:fldCharType="end"/>
      </w:r>
      <w:bookmarkEnd w:id="251"/>
      <w:r w:rsidRPr="00401A2E">
        <w:rPr>
          <w:color w:val="000000"/>
        </w:rPr>
        <w:t xml:space="preserve">. </w:t>
      </w:r>
      <w:r w:rsidRPr="00401A2E">
        <w:rPr>
          <w:i/>
          <w:color w:val="000000"/>
          <w:lang w:eastAsia="en-AU"/>
        </w:rPr>
        <w:t xml:space="preserve">Elemental ratios (atomic) of seagrass leaf tissue N:P and C:P </w:t>
      </w:r>
      <w:r w:rsidRPr="00401A2E">
        <w:rPr>
          <w:i/>
          <w:color w:val="000000"/>
        </w:rPr>
        <w:t>for the foundation species in inshore intertidal reef (a, c) and coastal (b, d) habitats in the Cape York region from 2005 to 201</w:t>
      </w:r>
      <w:r w:rsidR="003611ED">
        <w:rPr>
          <w:i/>
          <w:color w:val="000000"/>
        </w:rPr>
        <w:t>4</w:t>
      </w:r>
      <w:bookmarkEnd w:id="252"/>
      <w:bookmarkEnd w:id="253"/>
      <w:r w:rsidRPr="00401A2E">
        <w:rPr>
          <w:i/>
          <w:color w:val="000000"/>
          <w:lang w:eastAsia="en-AU"/>
        </w:rPr>
        <w:t xml:space="preserve"> </w:t>
      </w:r>
    </w:p>
    <w:p w:rsidR="00906FE6" w:rsidRDefault="00906FE6" w:rsidP="00906FE6">
      <w:pPr>
        <w:rPr>
          <w:color w:val="000000"/>
          <w:lang w:eastAsia="en-AU"/>
        </w:rPr>
      </w:pPr>
      <w:r w:rsidRPr="00401A2E">
        <w:rPr>
          <w:i/>
          <w:color w:val="000000"/>
          <w:lang w:eastAsia="en-AU"/>
        </w:rPr>
        <w:t xml:space="preserve"> (species pooled) (</w:t>
      </w:r>
      <w:r w:rsidRPr="00401A2E">
        <w:rPr>
          <w:i/>
          <w:color w:val="000000"/>
        </w:rPr>
        <w:t>mean</w:t>
      </w:r>
      <w:r w:rsidRPr="00401A2E">
        <w:rPr>
          <w:i/>
          <w:color w:val="000000"/>
          <w:lang w:eastAsia="en-AU"/>
        </w:rPr>
        <w:t xml:space="preserve"> ± Standard Error). Horizontal shaded band on the N:P ratio panel represents the range of value associated with N:P balance ratio in the plant tissues, i.e. a seagrass “Redfield” ratio (</w:t>
      </w:r>
      <w:r w:rsidR="00644A84">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
          <w:color w:val="000000"/>
          <w:lang w:eastAsia="en-AU"/>
        </w:rPr>
        <w:instrText xml:space="preserve"> ADDIN EN.CITE </w:instrText>
      </w:r>
      <w:r w:rsidR="00644A84">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
          <w:color w:val="000000"/>
          <w:lang w:eastAsia="en-AU"/>
        </w:rPr>
        <w:instrText xml:space="preserve"> ADDIN EN.CITE.DATA </w:instrText>
      </w:r>
      <w:r w:rsidR="00644A84">
        <w:rPr>
          <w:i/>
          <w:color w:val="000000"/>
          <w:lang w:eastAsia="en-AU"/>
        </w:rPr>
      </w:r>
      <w:r w:rsidR="00644A84">
        <w:rPr>
          <w:i/>
          <w:color w:val="000000"/>
          <w:lang w:eastAsia="en-AU"/>
        </w:rPr>
        <w:fldChar w:fldCharType="end"/>
      </w:r>
      <w:r w:rsidR="00644A84">
        <w:rPr>
          <w:i/>
          <w:color w:val="000000"/>
          <w:lang w:eastAsia="en-AU"/>
        </w:rPr>
      </w:r>
      <w:r w:rsidR="00644A84">
        <w:rPr>
          <w:i/>
          <w:color w:val="000000"/>
          <w:lang w:eastAsia="en-AU"/>
        </w:rPr>
        <w:fldChar w:fldCharType="separate"/>
      </w:r>
      <w:hyperlink w:anchor="_ENREF_9" w:tooltip="Atkinson, 1983 #6292" w:history="1">
        <w:r w:rsidR="00E6043D">
          <w:rPr>
            <w:i/>
            <w:noProof/>
            <w:color w:val="000000"/>
            <w:lang w:eastAsia="en-AU"/>
          </w:rPr>
          <w:t>Atkinson and Smith 1983</w:t>
        </w:r>
      </w:hyperlink>
      <w:r w:rsidR="00644A84">
        <w:rPr>
          <w:i/>
          <w:noProof/>
          <w:color w:val="000000"/>
          <w:lang w:eastAsia="en-AU"/>
        </w:rPr>
        <w:t xml:space="preserve">; </w:t>
      </w:r>
      <w:hyperlink w:anchor="_ENREF_96" w:tooltip="Duarte, 1990 #1954" w:history="1">
        <w:r w:rsidR="00E6043D">
          <w:rPr>
            <w:i/>
            <w:noProof/>
            <w:color w:val="000000"/>
            <w:lang w:eastAsia="en-AU"/>
          </w:rPr>
          <w:t>Duarte 1990</w:t>
        </w:r>
      </w:hyperlink>
      <w:r w:rsidR="00644A84">
        <w:rPr>
          <w:i/>
          <w:noProof/>
          <w:color w:val="000000"/>
          <w:lang w:eastAsia="en-AU"/>
        </w:rPr>
        <w:t xml:space="preserve">; </w:t>
      </w:r>
      <w:hyperlink w:anchor="_ENREF_112" w:tooltip="Fourqurean, 1992 #9493" w:history="1">
        <w:r w:rsidR="00E6043D">
          <w:rPr>
            <w:i/>
            <w:noProof/>
            <w:color w:val="000000"/>
            <w:lang w:eastAsia="en-AU"/>
          </w:rPr>
          <w:t>Fourqurean, et al. 1992b</w:t>
        </w:r>
      </w:hyperlink>
      <w:r w:rsidR="00644A84">
        <w:rPr>
          <w:i/>
          <w:color w:val="000000"/>
          <w:lang w:eastAsia="en-AU"/>
        </w:rPr>
        <w:fldChar w:fldCharType="end"/>
      </w:r>
      <w:r w:rsidRPr="00401A2E">
        <w:rPr>
          <w:i/>
          <w:color w:val="000000"/>
          <w:lang w:eastAsia="en-AU"/>
        </w:rPr>
        <w:t xml:space="preserve">; </w:t>
      </w:r>
      <w:hyperlink w:anchor="_ENREF_106" w:tooltip="Fourqurean, 2001 #9492" w:history="1">
        <w:r w:rsidR="00E6043D">
          <w:rPr>
            <w:i/>
            <w:color w:val="000000"/>
            <w:lang w:eastAsia="en-AU"/>
          </w:rPr>
          <w:fldChar w:fldCharType="begin"/>
        </w:r>
        <w:r w:rsidR="00E6043D">
          <w:rPr>
            <w:i/>
            <w:color w:val="000000"/>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E6043D">
          <w:rPr>
            <w:i/>
            <w:color w:val="000000"/>
            <w:lang w:eastAsia="en-AU"/>
          </w:rPr>
          <w:fldChar w:fldCharType="separate"/>
        </w:r>
        <w:r w:rsidR="00E6043D">
          <w:rPr>
            <w:i/>
            <w:noProof/>
            <w:color w:val="000000"/>
            <w:lang w:eastAsia="en-AU"/>
          </w:rPr>
          <w:t>Fourqurean and Cai 2001</w:t>
        </w:r>
        <w:r w:rsidR="00E6043D">
          <w:rPr>
            <w:i/>
            <w:color w:val="000000"/>
            <w:lang w:eastAsia="en-AU"/>
          </w:rPr>
          <w:fldChar w:fldCharType="end"/>
        </w:r>
      </w:hyperlink>
      <w:r w:rsidRPr="00401A2E">
        <w:rPr>
          <w:i/>
          <w:color w:val="000000"/>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401A2E">
        <w:rPr>
          <w:color w:val="000000"/>
          <w:lang w:eastAsia="en-AU"/>
        </w:rPr>
        <w:t xml:space="preserve"> </w:t>
      </w:r>
    </w:p>
    <w:p w:rsidR="00531604" w:rsidRDefault="00531604" w:rsidP="00531604">
      <w:pPr>
        <w:pStyle w:val="Heading4"/>
        <w:numPr>
          <w:ilvl w:val="0"/>
          <w:numId w:val="0"/>
        </w:numPr>
        <w:tabs>
          <w:tab w:val="left" w:pos="720"/>
        </w:tabs>
        <w:rPr>
          <w:rFonts w:ascii="Arial" w:hAnsi="Arial" w:cs="Arial"/>
          <w:sz w:val="24"/>
          <w:szCs w:val="24"/>
        </w:rPr>
      </w:pPr>
      <w:r>
        <w:rPr>
          <w:rFonts w:ascii="Arial" w:hAnsi="Arial" w:cs="Arial"/>
          <w:sz w:val="24"/>
          <w:szCs w:val="24"/>
        </w:rPr>
        <w:t>Seagrass meadow sediments</w:t>
      </w:r>
    </w:p>
    <w:p w:rsidR="00CB68A0" w:rsidRDefault="00CB68A0" w:rsidP="00531604">
      <w:pPr>
        <w:rPr>
          <w:color w:val="000000"/>
          <w:szCs w:val="22"/>
          <w:lang w:val="en-GB"/>
        </w:rPr>
      </w:pPr>
      <w:r>
        <w:rPr>
          <w:color w:val="000000"/>
          <w:szCs w:val="22"/>
          <w:lang w:val="en-GB"/>
        </w:rPr>
        <w:t xml:space="preserve">Reef habitats were dominated by sands and coarser sediments, while coastal habitats contained a greater </w:t>
      </w:r>
      <w:r w:rsidR="00C80D03">
        <w:rPr>
          <w:color w:val="000000"/>
          <w:szCs w:val="22"/>
          <w:lang w:val="en-GB"/>
        </w:rPr>
        <w:t>proportion</w:t>
      </w:r>
      <w:r>
        <w:rPr>
          <w:color w:val="000000"/>
          <w:szCs w:val="22"/>
          <w:lang w:val="en-GB"/>
        </w:rPr>
        <w:t xml:space="preserve"> of mud</w:t>
      </w:r>
      <w:r w:rsidR="00C80D03">
        <w:rPr>
          <w:color w:val="000000"/>
          <w:szCs w:val="22"/>
          <w:lang w:val="en-GB"/>
        </w:rPr>
        <w:t xml:space="preserve"> (Appendix 4)</w:t>
      </w:r>
      <w:r>
        <w:rPr>
          <w:color w:val="000000"/>
          <w:szCs w:val="22"/>
          <w:lang w:val="en-GB"/>
        </w:rPr>
        <w:t>. During the late monsoon</w:t>
      </w:r>
      <w:r w:rsidR="00C80D03">
        <w:rPr>
          <w:color w:val="000000"/>
          <w:szCs w:val="22"/>
          <w:lang w:val="en-GB"/>
        </w:rPr>
        <w:t xml:space="preserve"> each year</w:t>
      </w:r>
      <w:r>
        <w:rPr>
          <w:color w:val="000000"/>
          <w:szCs w:val="22"/>
          <w:lang w:val="en-GB"/>
        </w:rPr>
        <w:t>, the proportion of finer sediments (i.e. mud) increases in reef habitats, relative to the late dry season. In 2014-15, the proportion of mud at reef habitats was similar to the previous monitoring period, and no long-term trends are apparent. Similarly at coastal habitats, no long term trends are apparent.</w:t>
      </w:r>
    </w:p>
    <w:p w:rsidR="00906FE6" w:rsidRPr="004F2236" w:rsidRDefault="00906FE6" w:rsidP="00906FE6">
      <w:pPr>
        <w:pStyle w:val="Heading4"/>
        <w:numPr>
          <w:ilvl w:val="0"/>
          <w:numId w:val="0"/>
        </w:numPr>
        <w:rPr>
          <w:rFonts w:ascii="Arial" w:hAnsi="Arial" w:cs="Arial"/>
          <w:sz w:val="24"/>
          <w:szCs w:val="24"/>
        </w:rPr>
      </w:pPr>
      <w:bookmarkStart w:id="254" w:name="_Toc232845908"/>
      <w:bookmarkStart w:id="255" w:name="_Toc184101976"/>
      <w:r w:rsidRPr="004F2236">
        <w:rPr>
          <w:rFonts w:ascii="Arial" w:hAnsi="Arial" w:cs="Arial"/>
          <w:sz w:val="24"/>
          <w:szCs w:val="24"/>
        </w:rPr>
        <w:t xml:space="preserve">Epiphytes and </w:t>
      </w:r>
      <w:proofErr w:type="spellStart"/>
      <w:r w:rsidRPr="004F2236">
        <w:rPr>
          <w:rFonts w:ascii="Arial" w:hAnsi="Arial" w:cs="Arial"/>
          <w:sz w:val="24"/>
          <w:szCs w:val="24"/>
        </w:rPr>
        <w:t>macroalgae</w:t>
      </w:r>
      <w:bookmarkEnd w:id="254"/>
      <w:bookmarkEnd w:id="255"/>
      <w:proofErr w:type="spellEnd"/>
    </w:p>
    <w:p w:rsidR="00906FE6" w:rsidRPr="00AB5998" w:rsidRDefault="00906FE6" w:rsidP="00906FE6">
      <w:pPr>
        <w:rPr>
          <w:szCs w:val="22"/>
          <w:lang w:val="en-US"/>
        </w:rPr>
      </w:pPr>
      <w:r w:rsidRPr="00F758CA">
        <w:rPr>
          <w:szCs w:val="22"/>
          <w:lang w:val="en-US"/>
        </w:rPr>
        <w:t xml:space="preserve">Epiphyte cover on seagrass leaf blades over the long-term was generally higher in the wet season at </w:t>
      </w:r>
      <w:r w:rsidRPr="00AB5998">
        <w:rPr>
          <w:szCs w:val="22"/>
          <w:lang w:val="en-US"/>
        </w:rPr>
        <w:t>coastal habitats and in the dry season at reef habitats (</w:t>
      </w:r>
      <w:r w:rsidRPr="00AB5998">
        <w:rPr>
          <w:szCs w:val="22"/>
          <w:lang w:val="en-US"/>
        </w:rPr>
        <w:fldChar w:fldCharType="begin"/>
      </w:r>
      <w:r w:rsidRPr="00AB5998">
        <w:rPr>
          <w:szCs w:val="22"/>
          <w:lang w:val="en-US"/>
        </w:rPr>
        <w:instrText xml:space="preserve"> REF _Ref380084379 \h  \* MERGEFORMAT </w:instrText>
      </w:r>
      <w:r w:rsidRPr="00AB5998">
        <w:rPr>
          <w:szCs w:val="22"/>
          <w:lang w:val="en-US"/>
        </w:rPr>
      </w:r>
      <w:r w:rsidRPr="00AB5998">
        <w:rPr>
          <w:szCs w:val="22"/>
          <w:lang w:val="en-US"/>
        </w:rPr>
        <w:fldChar w:fldCharType="separate"/>
      </w:r>
      <w:r w:rsidR="009C068F" w:rsidRPr="009C068F">
        <w:rPr>
          <w:szCs w:val="22"/>
        </w:rPr>
        <w:t xml:space="preserve">Figure </w:t>
      </w:r>
      <w:r w:rsidR="009C068F" w:rsidRPr="009C068F">
        <w:rPr>
          <w:noProof/>
          <w:szCs w:val="22"/>
        </w:rPr>
        <w:t>41</w:t>
      </w:r>
      <w:r w:rsidRPr="00AB5998">
        <w:rPr>
          <w:szCs w:val="22"/>
          <w:lang w:val="en-US"/>
        </w:rPr>
        <w:fldChar w:fldCharType="end"/>
      </w:r>
      <w:r w:rsidRPr="00AB5998">
        <w:rPr>
          <w:szCs w:val="22"/>
          <w:lang w:val="en-US"/>
        </w:rPr>
        <w:t xml:space="preserve">). During </w:t>
      </w:r>
      <w:r w:rsidR="00F758CA" w:rsidRPr="00AB5998">
        <w:rPr>
          <w:szCs w:val="22"/>
          <w:lang w:val="en-US"/>
        </w:rPr>
        <w:t xml:space="preserve">the </w:t>
      </w:r>
      <w:r w:rsidRPr="00AB5998">
        <w:rPr>
          <w:szCs w:val="22"/>
          <w:lang w:val="en-US"/>
        </w:rPr>
        <w:t>201</w:t>
      </w:r>
      <w:r w:rsidR="00F758CA" w:rsidRPr="00AB5998">
        <w:rPr>
          <w:szCs w:val="22"/>
          <w:lang w:val="en-US"/>
        </w:rPr>
        <w:t>4</w:t>
      </w:r>
      <w:r w:rsidRPr="00AB5998">
        <w:rPr>
          <w:szCs w:val="22"/>
          <w:lang w:val="en-US"/>
        </w:rPr>
        <w:t>-1</w:t>
      </w:r>
      <w:r w:rsidR="00F758CA" w:rsidRPr="00AB5998">
        <w:rPr>
          <w:szCs w:val="22"/>
          <w:lang w:val="en-US"/>
        </w:rPr>
        <w:t>5 wet season</w:t>
      </w:r>
      <w:r w:rsidRPr="00AB5998">
        <w:rPr>
          <w:szCs w:val="22"/>
          <w:lang w:val="en-US"/>
        </w:rPr>
        <w:t xml:space="preserve">, epiphyte abundances were </w:t>
      </w:r>
      <w:r w:rsidR="00AB5998" w:rsidRPr="00AB5998">
        <w:rPr>
          <w:szCs w:val="22"/>
          <w:lang w:val="en-US"/>
        </w:rPr>
        <w:t>2-3</w:t>
      </w:r>
      <w:r w:rsidRPr="00AB5998">
        <w:rPr>
          <w:szCs w:val="22"/>
          <w:lang w:val="en-US"/>
        </w:rPr>
        <w:t xml:space="preserve"> times the G</w:t>
      </w:r>
      <w:bookmarkStart w:id="256" w:name="OLE_LINK47"/>
      <w:bookmarkStart w:id="257" w:name="OLE_LINK48"/>
      <w:r w:rsidRPr="00AB5998">
        <w:rPr>
          <w:szCs w:val="22"/>
          <w:lang w:val="en-US"/>
        </w:rPr>
        <w:t>BR long-term average a</w:t>
      </w:r>
      <w:bookmarkEnd w:id="256"/>
      <w:bookmarkEnd w:id="257"/>
      <w:r w:rsidRPr="00AB5998">
        <w:rPr>
          <w:szCs w:val="22"/>
          <w:lang w:val="en-US"/>
        </w:rPr>
        <w:t xml:space="preserve">t coastal habitats in the north of the region (i.e. Shelburne Bay), but well below the GBR long-term average in the central (Bathurst Bay) (Appendix </w:t>
      </w:r>
      <w:r w:rsidR="00C80D03">
        <w:rPr>
          <w:szCs w:val="22"/>
          <w:lang w:val="en-US"/>
        </w:rPr>
        <w:t>4</w:t>
      </w:r>
      <w:r w:rsidRPr="00AB5998">
        <w:rPr>
          <w:szCs w:val="22"/>
          <w:lang w:val="en-US"/>
        </w:rPr>
        <w:t xml:space="preserve">, </w:t>
      </w:r>
      <w:r w:rsidRPr="00AB5998">
        <w:rPr>
          <w:szCs w:val="22"/>
          <w:lang w:val="en-US"/>
        </w:rPr>
        <w:fldChar w:fldCharType="begin"/>
      </w:r>
      <w:r w:rsidRPr="00AB5998">
        <w:rPr>
          <w:szCs w:val="22"/>
          <w:lang w:val="en-US"/>
        </w:rPr>
        <w:instrText xml:space="preserve"> REF _Ref410207162 \h </w:instrText>
      </w:r>
      <w:r w:rsidRPr="00AB5998">
        <w:rPr>
          <w:szCs w:val="22"/>
          <w:lang w:val="en-US"/>
        </w:rPr>
      </w:r>
      <w:r w:rsidRPr="00AB5998">
        <w:rPr>
          <w:szCs w:val="22"/>
          <w:lang w:val="en-US"/>
        </w:rPr>
        <w:fldChar w:fldCharType="separate"/>
      </w:r>
      <w:r w:rsidR="009C068F">
        <w:t xml:space="preserve">Figure </w:t>
      </w:r>
      <w:r w:rsidR="009C068F">
        <w:rPr>
          <w:noProof/>
        </w:rPr>
        <w:t>200</w:t>
      </w:r>
      <w:r w:rsidRPr="00AB5998">
        <w:rPr>
          <w:szCs w:val="22"/>
          <w:lang w:val="en-US"/>
        </w:rPr>
        <w:fldChar w:fldCharType="end"/>
      </w:r>
      <w:r w:rsidRPr="00AB5998">
        <w:rPr>
          <w:szCs w:val="22"/>
          <w:lang w:val="en-US"/>
        </w:rPr>
        <w:t xml:space="preserve">). Epiphyte abundances at reef habitats were </w:t>
      </w:r>
      <w:r w:rsidR="00AB5998" w:rsidRPr="00AB5998">
        <w:rPr>
          <w:szCs w:val="22"/>
          <w:lang w:val="en-US"/>
        </w:rPr>
        <w:t>lower</w:t>
      </w:r>
      <w:r w:rsidRPr="00AB5998">
        <w:rPr>
          <w:szCs w:val="22"/>
          <w:lang w:val="en-US"/>
        </w:rPr>
        <w:t xml:space="preserve"> in 201</w:t>
      </w:r>
      <w:r w:rsidR="00AB5998" w:rsidRPr="00AB5998">
        <w:rPr>
          <w:szCs w:val="22"/>
          <w:lang w:val="en-US"/>
        </w:rPr>
        <w:t>4</w:t>
      </w:r>
      <w:r w:rsidRPr="00AB5998">
        <w:rPr>
          <w:szCs w:val="22"/>
          <w:lang w:val="en-US"/>
        </w:rPr>
        <w:t>-1</w:t>
      </w:r>
      <w:r w:rsidR="00AB5998" w:rsidRPr="00AB5998">
        <w:rPr>
          <w:szCs w:val="22"/>
          <w:lang w:val="en-US"/>
        </w:rPr>
        <w:t>5</w:t>
      </w:r>
      <w:r w:rsidRPr="00AB5998">
        <w:rPr>
          <w:szCs w:val="22"/>
          <w:lang w:val="en-US"/>
        </w:rPr>
        <w:t xml:space="preserve"> than the GBR long-term average and the previous monitoring period (</w:t>
      </w:r>
      <w:r w:rsidRPr="00AB5998">
        <w:rPr>
          <w:szCs w:val="22"/>
          <w:lang w:val="en-US"/>
        </w:rPr>
        <w:fldChar w:fldCharType="begin"/>
      </w:r>
      <w:r w:rsidRPr="00AB5998">
        <w:rPr>
          <w:szCs w:val="22"/>
          <w:lang w:val="en-US"/>
        </w:rPr>
        <w:instrText xml:space="preserve"> REF _Ref380084379 \h  \* MERGEFORMAT </w:instrText>
      </w:r>
      <w:r w:rsidRPr="00AB5998">
        <w:rPr>
          <w:szCs w:val="22"/>
          <w:lang w:val="en-US"/>
        </w:rPr>
      </w:r>
      <w:r w:rsidRPr="00AB5998">
        <w:rPr>
          <w:szCs w:val="22"/>
          <w:lang w:val="en-US"/>
        </w:rPr>
        <w:fldChar w:fldCharType="separate"/>
      </w:r>
      <w:r w:rsidR="009C068F" w:rsidRPr="009C068F">
        <w:rPr>
          <w:szCs w:val="22"/>
        </w:rPr>
        <w:t xml:space="preserve">Figure </w:t>
      </w:r>
      <w:r w:rsidR="009C068F" w:rsidRPr="009C068F">
        <w:rPr>
          <w:noProof/>
          <w:szCs w:val="22"/>
        </w:rPr>
        <w:t>41</w:t>
      </w:r>
      <w:r w:rsidRPr="00AB5998">
        <w:rPr>
          <w:szCs w:val="22"/>
          <w:lang w:val="en-US"/>
        </w:rPr>
        <w:fldChar w:fldCharType="end"/>
      </w:r>
      <w:r w:rsidRPr="00AB5998">
        <w:rPr>
          <w:szCs w:val="22"/>
          <w:lang w:val="en-US"/>
        </w:rPr>
        <w:t xml:space="preserve">; Appendix </w:t>
      </w:r>
      <w:r w:rsidR="00C80D03">
        <w:rPr>
          <w:szCs w:val="22"/>
          <w:lang w:val="en-US"/>
        </w:rPr>
        <w:t>4</w:t>
      </w:r>
      <w:r w:rsidRPr="00AB5998">
        <w:rPr>
          <w:szCs w:val="22"/>
          <w:lang w:val="en-US"/>
        </w:rPr>
        <w:fldChar w:fldCharType="begin"/>
      </w:r>
      <w:r w:rsidRPr="00AB5998">
        <w:rPr>
          <w:szCs w:val="22"/>
          <w:lang w:val="en-US"/>
        </w:rPr>
        <w:instrText xml:space="preserve"> REF _Ref382147489 \h </w:instrText>
      </w:r>
      <w:r w:rsidRPr="00AB5998">
        <w:rPr>
          <w:szCs w:val="22"/>
          <w:lang w:val="en-US"/>
        </w:rPr>
      </w:r>
      <w:r w:rsidRPr="00AB5998">
        <w:rPr>
          <w:szCs w:val="22"/>
          <w:lang w:val="en-US"/>
        </w:rPr>
        <w:fldChar w:fldCharType="separate"/>
      </w:r>
      <w:r w:rsidR="009C068F" w:rsidRPr="00C86706">
        <w:t xml:space="preserve">Figure </w:t>
      </w:r>
      <w:r w:rsidR="009C068F">
        <w:rPr>
          <w:noProof/>
        </w:rPr>
        <w:t>201</w:t>
      </w:r>
      <w:r w:rsidRPr="00AB5998">
        <w:rPr>
          <w:szCs w:val="22"/>
          <w:lang w:val="en-US"/>
        </w:rPr>
        <w:fldChar w:fldCharType="end"/>
      </w:r>
      <w:r w:rsidRPr="00AB5998">
        <w:rPr>
          <w:szCs w:val="22"/>
          <w:lang w:val="en-US"/>
        </w:rPr>
        <w:t>).</w:t>
      </w:r>
    </w:p>
    <w:p w:rsidR="00906FE6" w:rsidRPr="00AB5998" w:rsidRDefault="00906FE6" w:rsidP="00906FE6">
      <w:pPr>
        <w:rPr>
          <w:szCs w:val="22"/>
          <w:lang w:val="en-US"/>
        </w:rPr>
      </w:pPr>
      <w:r w:rsidRPr="00AB5998">
        <w:rPr>
          <w:szCs w:val="22"/>
          <w:lang w:val="en-US"/>
        </w:rPr>
        <w:t xml:space="preserve">Percentage cover of </w:t>
      </w:r>
      <w:proofErr w:type="spellStart"/>
      <w:r w:rsidRPr="00AB5998">
        <w:rPr>
          <w:szCs w:val="22"/>
          <w:lang w:val="en-US"/>
        </w:rPr>
        <w:t>macroalgae</w:t>
      </w:r>
      <w:proofErr w:type="spellEnd"/>
      <w:r w:rsidRPr="00AB5998">
        <w:rPr>
          <w:szCs w:val="22"/>
          <w:lang w:val="en-US"/>
        </w:rPr>
        <w:t xml:space="preserve"> was variable between </w:t>
      </w:r>
      <w:r w:rsidR="00AB5998" w:rsidRPr="00AB5998">
        <w:rPr>
          <w:szCs w:val="22"/>
          <w:lang w:val="en-US"/>
        </w:rPr>
        <w:t>locations</w:t>
      </w:r>
      <w:r w:rsidRPr="00AB5998">
        <w:rPr>
          <w:szCs w:val="22"/>
          <w:lang w:val="en-US"/>
        </w:rPr>
        <w:t xml:space="preserve">, </w:t>
      </w:r>
      <w:r w:rsidR="00AB5998" w:rsidRPr="00AB5998">
        <w:rPr>
          <w:szCs w:val="22"/>
          <w:lang w:val="en-US"/>
        </w:rPr>
        <w:t>and</w:t>
      </w:r>
      <w:r w:rsidRPr="00AB5998">
        <w:rPr>
          <w:szCs w:val="22"/>
          <w:lang w:val="en-US"/>
        </w:rPr>
        <w:t xml:space="preserve"> appears to have </w:t>
      </w:r>
      <w:r w:rsidR="00AB5998" w:rsidRPr="00AB5998">
        <w:rPr>
          <w:szCs w:val="22"/>
          <w:lang w:val="en-US"/>
        </w:rPr>
        <w:t>changed little</w:t>
      </w:r>
      <w:r w:rsidRPr="00AB5998">
        <w:rPr>
          <w:szCs w:val="22"/>
          <w:lang w:val="en-US"/>
        </w:rPr>
        <w:t xml:space="preserve"> over the last </w:t>
      </w:r>
      <w:r w:rsidR="00AB5998" w:rsidRPr="00AB5998">
        <w:rPr>
          <w:szCs w:val="22"/>
          <w:lang w:val="en-US"/>
        </w:rPr>
        <w:t>few</w:t>
      </w:r>
      <w:r w:rsidRPr="00AB5998">
        <w:rPr>
          <w:szCs w:val="22"/>
          <w:lang w:val="en-US"/>
        </w:rPr>
        <w:t xml:space="preserve"> monitoring periods and </w:t>
      </w:r>
      <w:r w:rsidR="00AB5998" w:rsidRPr="00AB5998">
        <w:rPr>
          <w:szCs w:val="22"/>
          <w:lang w:val="en-US"/>
        </w:rPr>
        <w:t>remained</w:t>
      </w:r>
      <w:r w:rsidRPr="00AB5998">
        <w:rPr>
          <w:szCs w:val="22"/>
          <w:lang w:val="en-US"/>
        </w:rPr>
        <w:t xml:space="preserve"> above the GBR long-term average for reef habitats </w:t>
      </w:r>
      <w:r w:rsidR="00AB5998" w:rsidRPr="00AB5998">
        <w:rPr>
          <w:szCs w:val="22"/>
          <w:lang w:val="en-US"/>
        </w:rPr>
        <w:t xml:space="preserve">in the central and north of the region </w:t>
      </w:r>
      <w:r w:rsidRPr="00AB5998">
        <w:rPr>
          <w:szCs w:val="22"/>
          <w:lang w:val="en-US"/>
        </w:rPr>
        <w:t>throughout 201</w:t>
      </w:r>
      <w:r w:rsidR="00AB5998" w:rsidRPr="00AB5998">
        <w:rPr>
          <w:szCs w:val="22"/>
          <w:lang w:val="en-US"/>
        </w:rPr>
        <w:t>4</w:t>
      </w:r>
      <w:r w:rsidRPr="00AB5998">
        <w:rPr>
          <w:szCs w:val="22"/>
          <w:lang w:val="en-US"/>
        </w:rPr>
        <w:t>-1</w:t>
      </w:r>
      <w:r w:rsidR="00AB5998" w:rsidRPr="00AB5998">
        <w:rPr>
          <w:szCs w:val="22"/>
          <w:lang w:val="en-US"/>
        </w:rPr>
        <w:t>5</w:t>
      </w:r>
      <w:r w:rsidRPr="00AB5998">
        <w:rPr>
          <w:szCs w:val="22"/>
          <w:lang w:val="en-US"/>
        </w:rPr>
        <w:t xml:space="preserve"> (</w:t>
      </w:r>
      <w:r w:rsidRPr="00AB5998">
        <w:rPr>
          <w:szCs w:val="22"/>
          <w:lang w:val="en-US"/>
        </w:rPr>
        <w:fldChar w:fldCharType="begin"/>
      </w:r>
      <w:r w:rsidRPr="00AB5998">
        <w:rPr>
          <w:szCs w:val="22"/>
          <w:lang w:val="en-US"/>
        </w:rPr>
        <w:instrText xml:space="preserve"> REF _Ref380084379 \h  \* MERGEFORMAT </w:instrText>
      </w:r>
      <w:r w:rsidRPr="00AB5998">
        <w:rPr>
          <w:szCs w:val="22"/>
          <w:lang w:val="en-US"/>
        </w:rPr>
      </w:r>
      <w:r w:rsidRPr="00AB5998">
        <w:rPr>
          <w:szCs w:val="22"/>
          <w:lang w:val="en-US"/>
        </w:rPr>
        <w:fldChar w:fldCharType="separate"/>
      </w:r>
      <w:r w:rsidR="009C068F" w:rsidRPr="009C068F">
        <w:rPr>
          <w:szCs w:val="22"/>
        </w:rPr>
        <w:t xml:space="preserve">Figure </w:t>
      </w:r>
      <w:r w:rsidR="009C068F" w:rsidRPr="009C068F">
        <w:rPr>
          <w:noProof/>
          <w:szCs w:val="22"/>
        </w:rPr>
        <w:t>41</w:t>
      </w:r>
      <w:r w:rsidRPr="00AB5998">
        <w:rPr>
          <w:szCs w:val="22"/>
          <w:lang w:val="en-US"/>
        </w:rPr>
        <w:fldChar w:fldCharType="end"/>
      </w:r>
      <w:r w:rsidR="00C80D03">
        <w:rPr>
          <w:szCs w:val="22"/>
          <w:lang w:val="en-US"/>
        </w:rPr>
        <w:t>; Appendix 4</w:t>
      </w:r>
      <w:r w:rsidRPr="00AB5998">
        <w:rPr>
          <w:szCs w:val="22"/>
          <w:lang w:val="en-US"/>
        </w:rPr>
        <w:t xml:space="preserve">, </w:t>
      </w:r>
      <w:r w:rsidRPr="00AB5998">
        <w:rPr>
          <w:szCs w:val="22"/>
          <w:lang w:val="en-US"/>
        </w:rPr>
        <w:fldChar w:fldCharType="begin"/>
      </w:r>
      <w:r w:rsidRPr="00AB5998">
        <w:rPr>
          <w:szCs w:val="22"/>
          <w:lang w:val="en-US"/>
        </w:rPr>
        <w:instrText xml:space="preserve"> REF _Ref382147489 \h  \* MERGEFORMAT </w:instrText>
      </w:r>
      <w:r w:rsidRPr="00AB5998">
        <w:rPr>
          <w:szCs w:val="22"/>
          <w:lang w:val="en-US"/>
        </w:rPr>
      </w:r>
      <w:r w:rsidRPr="00AB5998">
        <w:rPr>
          <w:szCs w:val="22"/>
          <w:lang w:val="en-US"/>
        </w:rPr>
        <w:fldChar w:fldCharType="separate"/>
      </w:r>
      <w:r w:rsidR="009C068F" w:rsidRPr="009C068F">
        <w:rPr>
          <w:szCs w:val="22"/>
        </w:rPr>
        <w:t xml:space="preserve">Figure </w:t>
      </w:r>
      <w:r w:rsidR="009C068F" w:rsidRPr="009C068F">
        <w:rPr>
          <w:noProof/>
          <w:szCs w:val="22"/>
        </w:rPr>
        <w:t>201</w:t>
      </w:r>
      <w:r w:rsidRPr="00AB5998">
        <w:rPr>
          <w:szCs w:val="22"/>
          <w:lang w:val="en-US"/>
        </w:rPr>
        <w:fldChar w:fldCharType="end"/>
      </w:r>
      <w:r w:rsidRPr="00AB5998">
        <w:rPr>
          <w:szCs w:val="22"/>
          <w:lang w:val="en-US"/>
        </w:rPr>
        <w:t xml:space="preserve">). </w:t>
      </w:r>
      <w:proofErr w:type="spellStart"/>
      <w:r w:rsidRPr="00AB5998">
        <w:rPr>
          <w:szCs w:val="22"/>
          <w:lang w:val="en-US"/>
        </w:rPr>
        <w:t>Macroalgae</w:t>
      </w:r>
      <w:proofErr w:type="spellEnd"/>
      <w:r w:rsidRPr="00AB5998">
        <w:rPr>
          <w:szCs w:val="22"/>
          <w:lang w:val="en-US"/>
        </w:rPr>
        <w:t xml:space="preserve"> cover </w:t>
      </w:r>
      <w:r w:rsidR="00AB5998" w:rsidRPr="00AB5998">
        <w:rPr>
          <w:szCs w:val="22"/>
          <w:lang w:val="en-US"/>
        </w:rPr>
        <w:t xml:space="preserve">varied in 2014-15 and briefly </w:t>
      </w:r>
      <w:r w:rsidRPr="00AB5998">
        <w:rPr>
          <w:szCs w:val="22"/>
          <w:lang w:val="en-US"/>
        </w:rPr>
        <w:t xml:space="preserve">increased above the GBR long-term average </w:t>
      </w:r>
      <w:r w:rsidR="00AB5998" w:rsidRPr="00AB5998">
        <w:rPr>
          <w:szCs w:val="22"/>
          <w:lang w:val="en-US"/>
        </w:rPr>
        <w:t>at</w:t>
      </w:r>
      <w:r w:rsidRPr="00AB5998">
        <w:rPr>
          <w:szCs w:val="22"/>
          <w:lang w:val="en-US"/>
        </w:rPr>
        <w:t xml:space="preserve"> coastal habitats </w:t>
      </w:r>
      <w:r w:rsidR="00AB5998" w:rsidRPr="00AB5998">
        <w:rPr>
          <w:szCs w:val="22"/>
          <w:lang w:val="en-US"/>
        </w:rPr>
        <w:t xml:space="preserve">in the north of the region </w:t>
      </w:r>
      <w:r w:rsidRPr="00AB5998">
        <w:rPr>
          <w:szCs w:val="22"/>
          <w:lang w:val="en-US"/>
        </w:rPr>
        <w:t>for the first time in 3 years (</w:t>
      </w:r>
      <w:r w:rsidRPr="00AB5998">
        <w:rPr>
          <w:szCs w:val="22"/>
          <w:lang w:val="en-US"/>
        </w:rPr>
        <w:fldChar w:fldCharType="begin"/>
      </w:r>
      <w:r w:rsidRPr="00AB5998">
        <w:rPr>
          <w:szCs w:val="22"/>
          <w:lang w:val="en-US"/>
        </w:rPr>
        <w:instrText xml:space="preserve"> REF _Ref380084379 \h  \* MERGEFORMAT </w:instrText>
      </w:r>
      <w:r w:rsidRPr="00AB5998">
        <w:rPr>
          <w:szCs w:val="22"/>
          <w:lang w:val="en-US"/>
        </w:rPr>
      </w:r>
      <w:r w:rsidRPr="00AB5998">
        <w:rPr>
          <w:szCs w:val="22"/>
          <w:lang w:val="en-US"/>
        </w:rPr>
        <w:fldChar w:fldCharType="separate"/>
      </w:r>
      <w:r w:rsidR="009C068F" w:rsidRPr="009C068F">
        <w:rPr>
          <w:szCs w:val="22"/>
        </w:rPr>
        <w:t xml:space="preserve">Figure </w:t>
      </w:r>
      <w:r w:rsidR="009C068F" w:rsidRPr="009C068F">
        <w:rPr>
          <w:noProof/>
          <w:szCs w:val="22"/>
        </w:rPr>
        <w:t>41</w:t>
      </w:r>
      <w:r w:rsidRPr="00AB5998">
        <w:rPr>
          <w:szCs w:val="22"/>
          <w:lang w:val="en-US"/>
        </w:rPr>
        <w:fldChar w:fldCharType="end"/>
      </w:r>
      <w:r w:rsidRPr="00AB5998">
        <w:rPr>
          <w:szCs w:val="22"/>
          <w:lang w:val="en-US"/>
        </w:rPr>
        <w:t>).</w:t>
      </w:r>
    </w:p>
    <w:p w:rsidR="00906FE6" w:rsidRPr="008579CD" w:rsidRDefault="00F758CA" w:rsidP="008579CD">
      <w:pPr>
        <w:keepNext/>
        <w:widowControl w:val="0"/>
        <w:spacing w:after="0"/>
        <w:jc w:val="center"/>
        <w:rPr>
          <w:szCs w:val="22"/>
          <w:lang w:val="en-US"/>
        </w:rPr>
      </w:pPr>
      <w:bookmarkStart w:id="258" w:name="_Ref211836184"/>
      <w:bookmarkStart w:id="259" w:name="_Toc232845960"/>
      <w:r w:rsidRPr="008579CD">
        <w:rPr>
          <w:noProof/>
          <w:szCs w:val="22"/>
          <w:lang w:eastAsia="en-AU"/>
        </w:rPr>
        <w:lastRenderedPageBreak/>
        <w:drawing>
          <wp:inline distT="0" distB="0" distL="0" distR="0" wp14:anchorId="063C6E4A" wp14:editId="575FB7AA">
            <wp:extent cx="5759450" cy="2103120"/>
            <wp:effectExtent l="0" t="0" r="0" b="0"/>
            <wp:docPr id="144" name="Picture 144" descr="Set of four scatter plots with straight lines and markers showing long-term trend in mean epiphyte and macroalgae abundance (% cover) at monitoring sites in the Cape York region, relative to the long-term average for each inshore GBR intertidal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CY_epi_algae_change_2015.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759450" cy="2103120"/>
                    </a:xfrm>
                    <a:prstGeom prst="rect">
                      <a:avLst/>
                    </a:prstGeom>
                  </pic:spPr>
                </pic:pic>
              </a:graphicData>
            </a:graphic>
          </wp:inline>
        </w:drawing>
      </w:r>
    </w:p>
    <w:p w:rsidR="00906FE6" w:rsidRPr="008579CD" w:rsidRDefault="00906FE6" w:rsidP="00906FE6">
      <w:pPr>
        <w:rPr>
          <w:i/>
          <w:vanish/>
          <w:szCs w:val="22"/>
          <w:specVanish/>
        </w:rPr>
      </w:pPr>
      <w:bookmarkStart w:id="260" w:name="_Ref380084379"/>
      <w:bookmarkStart w:id="261" w:name="_Toc431493834"/>
      <w:bookmarkStart w:id="262" w:name="_Toc462684881"/>
      <w:r w:rsidRPr="008579CD">
        <w:t xml:space="preserve">Figure </w:t>
      </w:r>
      <w:fldSimple w:instr=" SEQ Figure \* ARABIC ">
        <w:r w:rsidR="009C068F">
          <w:rPr>
            <w:noProof/>
          </w:rPr>
          <w:t>41</w:t>
        </w:r>
      </w:fldSimple>
      <w:bookmarkEnd w:id="258"/>
      <w:bookmarkEnd w:id="260"/>
      <w:r w:rsidRPr="008579CD">
        <w:t xml:space="preserve">. </w:t>
      </w:r>
      <w:bookmarkEnd w:id="259"/>
      <w:r w:rsidRPr="008579CD">
        <w:rPr>
          <w:i/>
        </w:rPr>
        <w:t xml:space="preserve">Long-term trend in mean epiphyte and </w:t>
      </w:r>
      <w:proofErr w:type="spellStart"/>
      <w:r w:rsidRPr="008579CD">
        <w:rPr>
          <w:i/>
        </w:rPr>
        <w:t>macroalgae</w:t>
      </w:r>
      <w:proofErr w:type="spellEnd"/>
      <w:r w:rsidRPr="008579CD">
        <w:rPr>
          <w:i/>
        </w:rPr>
        <w:t xml:space="preserve"> abundance (% cover) </w:t>
      </w:r>
      <w:r w:rsidR="00F758CA" w:rsidRPr="008579CD">
        <w:rPr>
          <w:i/>
        </w:rPr>
        <w:t xml:space="preserve">at monitoring sites in the Cape York region, </w:t>
      </w:r>
      <w:r w:rsidRPr="008579CD">
        <w:rPr>
          <w:i/>
        </w:rPr>
        <w:t>relative to the long-term average for each inshore GBR intertidal seagrass habitat</w:t>
      </w:r>
      <w:bookmarkEnd w:id="261"/>
      <w:bookmarkEnd w:id="262"/>
      <w:r w:rsidRPr="008579CD">
        <w:rPr>
          <w:i/>
        </w:rPr>
        <w:t xml:space="preserve"> </w:t>
      </w:r>
    </w:p>
    <w:p w:rsidR="00906FE6" w:rsidRPr="008579CD" w:rsidRDefault="00906FE6" w:rsidP="00906FE6">
      <w:pPr>
        <w:rPr>
          <w:i/>
        </w:rPr>
      </w:pPr>
      <w:r w:rsidRPr="008579CD">
        <w:rPr>
          <w:i/>
        </w:rPr>
        <w:t xml:space="preserve"> (sites pooled, ±SE). </w:t>
      </w:r>
    </w:p>
    <w:p w:rsidR="000C1668" w:rsidRPr="00BD0604" w:rsidRDefault="000C1668" w:rsidP="00926892">
      <w:pPr>
        <w:pStyle w:val="Heading3"/>
        <w:numPr>
          <w:ilvl w:val="2"/>
          <w:numId w:val="9"/>
        </w:numPr>
        <w:rPr>
          <w:rFonts w:ascii="Arial" w:hAnsi="Arial" w:cs="Arial"/>
          <w:color w:val="000000"/>
        </w:rPr>
      </w:pPr>
      <w:bookmarkStart w:id="263" w:name="_Toc462047341"/>
      <w:r w:rsidRPr="000C1668">
        <w:rPr>
          <w:rFonts w:ascii="Arial" w:hAnsi="Arial" w:cs="Arial"/>
          <w:color w:val="000000"/>
        </w:rPr>
        <w:t xml:space="preserve">Report card for </w:t>
      </w:r>
      <w:r w:rsidR="00145B89">
        <w:rPr>
          <w:rFonts w:ascii="Arial" w:hAnsi="Arial" w:cs="Arial"/>
          <w:color w:val="000000"/>
        </w:rPr>
        <w:t xml:space="preserve">inshore </w:t>
      </w:r>
      <w:r w:rsidRPr="000C1668">
        <w:rPr>
          <w:rFonts w:ascii="Arial" w:hAnsi="Arial" w:cs="Arial"/>
          <w:color w:val="000000"/>
        </w:rPr>
        <w:t>seagrass status</w:t>
      </w:r>
      <w:bookmarkEnd w:id="263"/>
      <w:r w:rsidRPr="000C1668">
        <w:rPr>
          <w:rFonts w:ascii="Arial" w:hAnsi="Arial" w:cs="Arial"/>
          <w:color w:val="000000"/>
        </w:rPr>
        <w:t xml:space="preserve"> </w:t>
      </w:r>
    </w:p>
    <w:p w:rsidR="00F4530D" w:rsidRDefault="00A17790" w:rsidP="00F4530D">
      <w:pPr>
        <w:rPr>
          <w:color w:val="000000"/>
          <w:lang w:val="en-GB"/>
        </w:rPr>
      </w:pPr>
      <w:r>
        <w:rPr>
          <w:color w:val="000000"/>
          <w:lang w:val="en-GB"/>
        </w:rPr>
        <w:t>In the 2014-15 monitoring period, the seagrass index for Cape York region is similar to the previous period. The slight improvement appears a consequence of improved abundance in coastal habitats and greater reproductive effort in reef habitats. Overall, the Cape York seagrass index is the highest since 2011-12, but remains well below the 2005-06 baseline.</w:t>
      </w:r>
    </w:p>
    <w:p w:rsidR="00AB5998" w:rsidRPr="00A80225" w:rsidRDefault="00AB5998" w:rsidP="00F4530D">
      <w:pPr>
        <w:rPr>
          <w:color w:val="000000"/>
          <w:lang w:val="en-GB"/>
        </w:rPr>
      </w:pPr>
    </w:p>
    <w:p w:rsidR="00F4530D" w:rsidRPr="000F1DF9" w:rsidRDefault="00F4530D" w:rsidP="00F4530D">
      <w:pPr>
        <w:jc w:val="center"/>
        <w:rPr>
          <w:i/>
          <w:vanish/>
          <w:color w:val="000000"/>
          <w:szCs w:val="22"/>
          <w:specVanish/>
        </w:rPr>
      </w:pPr>
      <w:bookmarkStart w:id="264" w:name="_Ref382198976"/>
      <w:bookmarkStart w:id="265" w:name="_Toc431494027"/>
      <w:bookmarkStart w:id="266" w:name="_Toc462685083"/>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9C068F">
        <w:rPr>
          <w:noProof/>
          <w:color w:val="000000"/>
        </w:rPr>
        <w:t>14</w:t>
      </w:r>
      <w:r w:rsidRPr="000F1DF9">
        <w:rPr>
          <w:color w:val="000000"/>
        </w:rPr>
        <w:fldChar w:fldCharType="end"/>
      </w:r>
      <w:bookmarkEnd w:id="264"/>
      <w:r w:rsidRPr="000F1DF9">
        <w:rPr>
          <w:color w:val="000000"/>
        </w:rPr>
        <w:t xml:space="preserve">. </w:t>
      </w:r>
      <w:r w:rsidRPr="000F1DF9">
        <w:rPr>
          <w:i/>
          <w:color w:val="000000"/>
        </w:rPr>
        <w:t xml:space="preserve">Long-term report card </w:t>
      </w:r>
      <w:r w:rsidR="000C1668">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sidR="000C1668">
        <w:rPr>
          <w:i/>
          <w:color w:val="000000"/>
        </w:rPr>
        <w:t>and leaf tissue nutrient</w:t>
      </w:r>
      <w:r w:rsidR="000C1668" w:rsidRPr="000F1DF9">
        <w:rPr>
          <w:i/>
          <w:color w:val="000000"/>
        </w:rPr>
        <w:t xml:space="preserve"> status </w:t>
      </w:r>
      <w:r w:rsidRPr="000F1DF9">
        <w:rPr>
          <w:i/>
          <w:color w:val="000000"/>
        </w:rPr>
        <w:t xml:space="preserve">for each habitat in </w:t>
      </w:r>
      <w:r w:rsidR="00A17790">
        <w:rPr>
          <w:i/>
          <w:color w:val="000000"/>
        </w:rPr>
        <w:t>the Cape York</w:t>
      </w:r>
      <w:r w:rsidRPr="000F1DF9">
        <w:rPr>
          <w:i/>
          <w:color w:val="000000"/>
        </w:rPr>
        <w:t xml:space="preserve"> NRM region: Ju</w:t>
      </w:r>
      <w:r>
        <w:rPr>
          <w:i/>
          <w:color w:val="000000"/>
        </w:rPr>
        <w:t>ne</w:t>
      </w:r>
      <w:r w:rsidRPr="000F1DF9">
        <w:rPr>
          <w:i/>
          <w:color w:val="000000"/>
        </w:rPr>
        <w:t xml:space="preserve"> 2005 – May 201</w:t>
      </w:r>
      <w:r>
        <w:rPr>
          <w:i/>
          <w:color w:val="000000"/>
        </w:rPr>
        <w:t>5</w:t>
      </w:r>
      <w:r w:rsidRPr="000F1DF9">
        <w:rPr>
          <w:i/>
          <w:color w:val="000000"/>
        </w:rPr>
        <w:t>.</w:t>
      </w:r>
      <w:bookmarkEnd w:id="265"/>
      <w:bookmarkEnd w:id="266"/>
      <w:r w:rsidRPr="000F1DF9">
        <w:rPr>
          <w:i/>
          <w:color w:val="000000"/>
        </w:rPr>
        <w:t xml:space="preserve"> </w:t>
      </w:r>
    </w:p>
    <w:p w:rsidR="00F4530D" w:rsidRPr="00B00E71" w:rsidRDefault="00F4530D" w:rsidP="00F4530D">
      <w:pPr>
        <w:jc w:val="center"/>
        <w:rPr>
          <w:color w:val="000000"/>
        </w:rPr>
      </w:pPr>
      <w:r w:rsidRPr="00E237C6">
        <w:rPr>
          <w:i/>
          <w:szCs w:val="22"/>
        </w:rPr>
        <w:t xml:space="preserve">Values are indexed scores scaled from 0-100;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 very poor (0 - 20)</w:t>
      </w:r>
      <w:r w:rsidRPr="00E237C6">
        <w:rPr>
          <w:i/>
          <w:szCs w:val="22"/>
        </w:rPr>
        <w:t>.</w:t>
      </w:r>
      <w:r>
        <w:rPr>
          <w:i/>
          <w:color w:val="000000"/>
        </w:rPr>
        <w:t xml:space="preserve"> </w:t>
      </w:r>
      <w:r>
        <w:rPr>
          <w:i/>
          <w:szCs w:val="22"/>
        </w:rPr>
        <w:t xml:space="preserve">NB: Scores are </w:t>
      </w:r>
      <w:proofErr w:type="spellStart"/>
      <w:r>
        <w:rPr>
          <w:i/>
          <w:szCs w:val="22"/>
        </w:rPr>
        <w:t>unitless</w:t>
      </w:r>
      <w:proofErr w:type="spellEnd"/>
      <w:r>
        <w:rPr>
          <w:i/>
          <w:szCs w:val="22"/>
        </w:rPr>
        <w:t>.</w:t>
      </w:r>
    </w:p>
    <w:tbl>
      <w:tblPr>
        <w:tblW w:w="9843"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6"/>
        <w:gridCol w:w="1567"/>
        <w:gridCol w:w="697"/>
        <w:gridCol w:w="697"/>
        <w:gridCol w:w="697"/>
        <w:gridCol w:w="697"/>
        <w:gridCol w:w="697"/>
        <w:gridCol w:w="697"/>
        <w:gridCol w:w="697"/>
        <w:gridCol w:w="697"/>
        <w:gridCol w:w="697"/>
        <w:gridCol w:w="697"/>
      </w:tblGrid>
      <w:tr w:rsidR="00F4530D" w:rsidRPr="00EC364C" w:rsidTr="000C1668">
        <w:trPr>
          <w:trHeight w:val="276"/>
          <w:jc w:val="center"/>
        </w:trPr>
        <w:tc>
          <w:tcPr>
            <w:tcW w:w="1306" w:type="dxa"/>
            <w:tcBorders>
              <w:top w:val="single" w:sz="4" w:space="0" w:color="000000"/>
              <w:bottom w:val="single" w:sz="4" w:space="0" w:color="000000"/>
            </w:tcBorders>
            <w:shd w:val="clear" w:color="auto" w:fill="auto"/>
            <w:vAlign w:val="center"/>
          </w:tcPr>
          <w:p w:rsidR="00F4530D" w:rsidRPr="00EC364C" w:rsidRDefault="000C1668" w:rsidP="000C1668">
            <w:pPr>
              <w:spacing w:before="0" w:after="0" w:line="200" w:lineRule="exact"/>
              <w:ind w:left="-57" w:right="-57"/>
              <w:jc w:val="center"/>
              <w:rPr>
                <w:b/>
                <w:color w:val="000000"/>
                <w:sz w:val="20"/>
                <w:szCs w:val="20"/>
                <w:lang w:eastAsia="en-AU"/>
              </w:rPr>
            </w:pPr>
            <w:r>
              <w:rPr>
                <w:b/>
                <w:color w:val="000000"/>
                <w:sz w:val="20"/>
                <w:szCs w:val="20"/>
                <w:lang w:eastAsia="en-AU"/>
              </w:rPr>
              <w:t>Report Card</w:t>
            </w:r>
          </w:p>
        </w:tc>
        <w:tc>
          <w:tcPr>
            <w:tcW w:w="1567" w:type="dxa"/>
            <w:tcBorders>
              <w:top w:val="single" w:sz="4" w:space="0" w:color="000000"/>
              <w:bottom w:val="single" w:sz="4" w:space="0" w:color="000000"/>
            </w:tcBorders>
            <w:shd w:val="clear" w:color="auto" w:fill="auto"/>
            <w:noWrap/>
            <w:vAlign w:val="center"/>
          </w:tcPr>
          <w:p w:rsidR="00F4530D" w:rsidRPr="00EC364C" w:rsidRDefault="00F4530D" w:rsidP="000C1668">
            <w:pPr>
              <w:spacing w:before="0" w:after="0" w:line="200" w:lineRule="exact"/>
              <w:ind w:left="-57" w:right="-57"/>
              <w:jc w:val="center"/>
              <w:rPr>
                <w:b/>
                <w:color w:val="000000"/>
                <w:sz w:val="20"/>
                <w:szCs w:val="20"/>
                <w:lang w:eastAsia="en-AU"/>
              </w:rPr>
            </w:pPr>
            <w:r w:rsidRPr="00EC364C">
              <w:rPr>
                <w:b/>
                <w:color w:val="000000"/>
                <w:sz w:val="20"/>
                <w:szCs w:val="20"/>
                <w:lang w:eastAsia="en-AU"/>
              </w:rPr>
              <w:t>Habitat</w:t>
            </w:r>
          </w:p>
        </w:tc>
        <w:tc>
          <w:tcPr>
            <w:tcW w:w="697" w:type="dxa"/>
            <w:tcBorders>
              <w:top w:val="single" w:sz="4" w:space="0" w:color="000000"/>
              <w:bottom w:val="single" w:sz="4" w:space="0" w:color="000000"/>
            </w:tcBorders>
            <w:shd w:val="clear" w:color="auto" w:fill="auto"/>
            <w:vAlign w:val="center"/>
          </w:tcPr>
          <w:p w:rsidR="00F4530D" w:rsidRPr="00EC364C" w:rsidRDefault="00F4530D" w:rsidP="000C1668">
            <w:pPr>
              <w:spacing w:before="0" w:after="0" w:line="200" w:lineRule="exact"/>
              <w:ind w:left="-57" w:right="-57"/>
              <w:jc w:val="center"/>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697" w:type="dxa"/>
            <w:tcBorders>
              <w:top w:val="single" w:sz="4" w:space="0" w:color="000000"/>
              <w:bottom w:val="single" w:sz="4" w:space="0" w:color="000000"/>
            </w:tcBorders>
            <w:shd w:val="clear" w:color="auto" w:fill="auto"/>
            <w:vAlign w:val="center"/>
          </w:tcPr>
          <w:p w:rsidR="00F4530D" w:rsidRPr="00EC364C" w:rsidRDefault="00F4530D" w:rsidP="000C1668">
            <w:pPr>
              <w:spacing w:before="0" w:after="0" w:line="200" w:lineRule="exact"/>
              <w:ind w:left="-57" w:right="-57"/>
              <w:jc w:val="center"/>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697" w:type="dxa"/>
            <w:tcBorders>
              <w:top w:val="single" w:sz="4" w:space="0" w:color="000000"/>
              <w:bottom w:val="single" w:sz="4" w:space="0" w:color="000000"/>
            </w:tcBorders>
            <w:shd w:val="clear" w:color="auto" w:fill="auto"/>
            <w:vAlign w:val="center"/>
          </w:tcPr>
          <w:p w:rsidR="00F4530D" w:rsidRPr="00EC364C" w:rsidRDefault="00F4530D" w:rsidP="000C1668">
            <w:pPr>
              <w:spacing w:before="0" w:after="0" w:line="200" w:lineRule="exact"/>
              <w:ind w:left="-57" w:right="-57"/>
              <w:jc w:val="center"/>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697" w:type="dxa"/>
            <w:tcBorders>
              <w:top w:val="single" w:sz="4" w:space="0" w:color="000000"/>
              <w:bottom w:val="single" w:sz="4" w:space="0" w:color="000000"/>
            </w:tcBorders>
            <w:shd w:val="clear" w:color="auto" w:fill="auto"/>
            <w:vAlign w:val="center"/>
          </w:tcPr>
          <w:p w:rsidR="00F4530D" w:rsidRPr="00EC364C" w:rsidRDefault="00F4530D" w:rsidP="000C1668">
            <w:pPr>
              <w:spacing w:before="0" w:after="0" w:line="200" w:lineRule="exact"/>
              <w:ind w:left="-57" w:right="-57"/>
              <w:jc w:val="center"/>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697" w:type="dxa"/>
            <w:tcBorders>
              <w:top w:val="single" w:sz="4" w:space="0" w:color="000000"/>
              <w:bottom w:val="single" w:sz="4" w:space="0" w:color="000000"/>
            </w:tcBorders>
            <w:shd w:val="clear" w:color="auto" w:fill="auto"/>
            <w:vAlign w:val="center"/>
          </w:tcPr>
          <w:p w:rsidR="00F4530D" w:rsidRPr="00EC364C" w:rsidRDefault="00F4530D" w:rsidP="000C1668">
            <w:pPr>
              <w:spacing w:before="0" w:after="0" w:line="200" w:lineRule="exact"/>
              <w:ind w:left="-57" w:right="-57"/>
              <w:jc w:val="center"/>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697" w:type="dxa"/>
            <w:tcBorders>
              <w:top w:val="single" w:sz="4" w:space="0" w:color="000000"/>
              <w:bottom w:val="single" w:sz="4" w:space="0" w:color="000000"/>
            </w:tcBorders>
            <w:shd w:val="clear" w:color="auto" w:fill="auto"/>
            <w:vAlign w:val="center"/>
          </w:tcPr>
          <w:p w:rsidR="00F4530D" w:rsidRPr="00EC364C" w:rsidRDefault="00F4530D" w:rsidP="000C1668">
            <w:pPr>
              <w:spacing w:before="0" w:after="0" w:line="200" w:lineRule="exact"/>
              <w:ind w:left="-57" w:right="-57"/>
              <w:jc w:val="center"/>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697" w:type="dxa"/>
            <w:tcBorders>
              <w:top w:val="single" w:sz="4" w:space="0" w:color="000000"/>
              <w:bottom w:val="single" w:sz="4" w:space="0" w:color="000000"/>
            </w:tcBorders>
            <w:shd w:val="clear" w:color="auto" w:fill="auto"/>
            <w:vAlign w:val="center"/>
          </w:tcPr>
          <w:p w:rsidR="00F4530D" w:rsidRPr="00EC364C" w:rsidRDefault="00F4530D" w:rsidP="000C1668">
            <w:pPr>
              <w:spacing w:before="0" w:after="0" w:line="200" w:lineRule="exact"/>
              <w:ind w:left="-57" w:right="-57"/>
              <w:jc w:val="center"/>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697" w:type="dxa"/>
            <w:tcBorders>
              <w:top w:val="single" w:sz="4" w:space="0" w:color="000000"/>
              <w:bottom w:val="single" w:sz="4" w:space="0" w:color="000000"/>
            </w:tcBorders>
            <w:vAlign w:val="center"/>
          </w:tcPr>
          <w:p w:rsidR="00F4530D" w:rsidRPr="00EC364C" w:rsidRDefault="00F4530D" w:rsidP="000C1668">
            <w:pPr>
              <w:spacing w:before="0" w:after="0" w:line="200" w:lineRule="exact"/>
              <w:ind w:left="-57" w:right="-57"/>
              <w:jc w:val="center"/>
              <w:rPr>
                <w:b/>
                <w:color w:val="000000"/>
                <w:sz w:val="16"/>
                <w:szCs w:val="16"/>
                <w:lang w:eastAsia="en-AU"/>
              </w:rPr>
            </w:pPr>
            <w:r w:rsidRPr="00EC364C">
              <w:rPr>
                <w:b/>
                <w:color w:val="000000"/>
                <w:sz w:val="16"/>
                <w:szCs w:val="16"/>
                <w:lang w:eastAsia="en-AU"/>
              </w:rPr>
              <w:t>2012-13</w:t>
            </w:r>
          </w:p>
        </w:tc>
        <w:tc>
          <w:tcPr>
            <w:tcW w:w="697" w:type="dxa"/>
            <w:tcBorders>
              <w:top w:val="single" w:sz="4" w:space="0" w:color="000000"/>
              <w:bottom w:val="single" w:sz="4" w:space="0" w:color="000000"/>
            </w:tcBorders>
            <w:vAlign w:val="center"/>
          </w:tcPr>
          <w:p w:rsidR="00F4530D" w:rsidRPr="00EC364C" w:rsidRDefault="00F4530D" w:rsidP="000C1668">
            <w:pPr>
              <w:spacing w:before="0" w:after="0" w:line="200" w:lineRule="exact"/>
              <w:ind w:left="-57" w:right="-57"/>
              <w:jc w:val="center"/>
              <w:rPr>
                <w:b/>
                <w:color w:val="000000"/>
                <w:sz w:val="16"/>
                <w:szCs w:val="16"/>
                <w:lang w:eastAsia="en-AU"/>
              </w:rPr>
            </w:pPr>
            <w:r w:rsidRPr="00EC364C">
              <w:rPr>
                <w:b/>
                <w:color w:val="000000"/>
                <w:sz w:val="16"/>
                <w:szCs w:val="16"/>
                <w:lang w:eastAsia="en-AU"/>
              </w:rPr>
              <w:t>2013-14</w:t>
            </w:r>
          </w:p>
        </w:tc>
        <w:tc>
          <w:tcPr>
            <w:tcW w:w="697" w:type="dxa"/>
            <w:tcBorders>
              <w:top w:val="single" w:sz="4" w:space="0" w:color="000000"/>
              <w:bottom w:val="single" w:sz="4" w:space="0" w:color="000000"/>
            </w:tcBorders>
            <w:vAlign w:val="center"/>
          </w:tcPr>
          <w:p w:rsidR="00F4530D" w:rsidRPr="00EC364C" w:rsidRDefault="00F4530D" w:rsidP="000C1668">
            <w:pPr>
              <w:spacing w:before="0" w:after="0" w:line="200" w:lineRule="exact"/>
              <w:ind w:left="-57" w:right="-57"/>
              <w:jc w:val="center"/>
              <w:rPr>
                <w:b/>
                <w:color w:val="000000"/>
                <w:sz w:val="16"/>
                <w:szCs w:val="16"/>
                <w:lang w:eastAsia="en-AU"/>
              </w:rPr>
            </w:pPr>
            <w:r>
              <w:rPr>
                <w:b/>
                <w:color w:val="000000"/>
                <w:sz w:val="16"/>
                <w:szCs w:val="16"/>
                <w:lang w:eastAsia="en-AU"/>
              </w:rPr>
              <w:t>2014-15</w:t>
            </w:r>
          </w:p>
        </w:tc>
      </w:tr>
      <w:tr w:rsidR="000C1668" w:rsidRPr="00EC364C" w:rsidTr="00A17790">
        <w:trPr>
          <w:trHeight w:val="312"/>
          <w:jc w:val="center"/>
        </w:trPr>
        <w:tc>
          <w:tcPr>
            <w:tcW w:w="1306" w:type="dxa"/>
            <w:vMerge w:val="restart"/>
            <w:tcBorders>
              <w:top w:val="single" w:sz="4" w:space="0" w:color="000000"/>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r>
              <w:rPr>
                <w:color w:val="000000"/>
                <w:sz w:val="20"/>
                <w:szCs w:val="20"/>
                <w:lang w:eastAsia="en-AU"/>
              </w:rPr>
              <w:t>Abundance</w:t>
            </w:r>
          </w:p>
        </w:tc>
        <w:tc>
          <w:tcPr>
            <w:tcW w:w="1567" w:type="dxa"/>
            <w:tcBorders>
              <w:top w:val="single" w:sz="4" w:space="0" w:color="000000"/>
              <w:bottom w:val="single" w:sz="4" w:space="0" w:color="FFFFFF"/>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r w:rsidRPr="00EC364C">
              <w:rPr>
                <w:color w:val="000000"/>
                <w:sz w:val="20"/>
                <w:szCs w:val="20"/>
                <w:lang w:eastAsia="en-AU"/>
              </w:rPr>
              <w:t>coastal intertidal</w:t>
            </w:r>
          </w:p>
        </w:tc>
        <w:tc>
          <w:tcPr>
            <w:tcW w:w="697" w:type="dxa"/>
            <w:tcBorders>
              <w:top w:val="single" w:sz="4" w:space="0" w:color="000000"/>
              <w:bottom w:val="single" w:sz="4" w:space="0" w:color="FFFFFF"/>
            </w:tcBorders>
            <w:shd w:val="clear" w:color="auto" w:fill="auto"/>
            <w:noWrap/>
            <w:vAlign w:val="center"/>
          </w:tcPr>
          <w:p w:rsidR="000C1668" w:rsidRPr="00EC364C"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EC364C"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EC364C"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EC364C"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EC364C"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EC364C"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92D050"/>
            <w:noWrap/>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63</w:t>
            </w:r>
          </w:p>
        </w:tc>
        <w:tc>
          <w:tcPr>
            <w:tcW w:w="697" w:type="dxa"/>
            <w:tcBorders>
              <w:top w:val="single" w:sz="4" w:space="0" w:color="000000"/>
              <w:bottom w:val="single" w:sz="4" w:space="0" w:color="FFFFFF"/>
            </w:tcBorders>
            <w:shd w:val="clear" w:color="auto" w:fill="008000"/>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81</w:t>
            </w:r>
          </w:p>
        </w:tc>
        <w:tc>
          <w:tcPr>
            <w:tcW w:w="697" w:type="dxa"/>
            <w:tcBorders>
              <w:top w:val="single" w:sz="4" w:space="0" w:color="000000"/>
              <w:bottom w:val="single" w:sz="4" w:space="0" w:color="FFFFFF"/>
            </w:tcBorders>
            <w:shd w:val="clear" w:color="auto" w:fill="92D050"/>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63</w:t>
            </w:r>
          </w:p>
        </w:tc>
        <w:tc>
          <w:tcPr>
            <w:tcW w:w="697" w:type="dxa"/>
            <w:tcBorders>
              <w:top w:val="single" w:sz="4" w:space="0" w:color="000000"/>
              <w:bottom w:val="single" w:sz="4" w:space="0" w:color="FFFFFF"/>
            </w:tcBorders>
            <w:shd w:val="clear" w:color="auto" w:fill="92D050"/>
            <w:vAlign w:val="center"/>
          </w:tcPr>
          <w:p w:rsidR="000C1668" w:rsidRPr="00056DBB" w:rsidRDefault="000C1668" w:rsidP="00A17790">
            <w:pPr>
              <w:spacing w:before="0" w:after="0" w:line="200" w:lineRule="exact"/>
              <w:ind w:left="-57" w:right="-57"/>
              <w:jc w:val="center"/>
              <w:rPr>
                <w:b/>
                <w:color w:val="000000"/>
                <w:sz w:val="20"/>
                <w:szCs w:val="20"/>
                <w:lang w:eastAsia="en-AU"/>
              </w:rPr>
            </w:pPr>
            <w:r w:rsidRPr="00056DBB">
              <w:rPr>
                <w:sz w:val="20"/>
                <w:szCs w:val="20"/>
              </w:rPr>
              <w:t>75</w:t>
            </w:r>
          </w:p>
        </w:tc>
      </w:tr>
      <w:tr w:rsidR="000C1668" w:rsidRPr="00EC364C" w:rsidTr="002605DA">
        <w:trPr>
          <w:trHeight w:val="312"/>
          <w:jc w:val="center"/>
        </w:trPr>
        <w:tc>
          <w:tcPr>
            <w:tcW w:w="1306" w:type="dxa"/>
            <w:vMerge/>
            <w:tcBorders>
              <w:bottom w:val="single" w:sz="4" w:space="0" w:color="000000"/>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p>
        </w:tc>
        <w:tc>
          <w:tcPr>
            <w:tcW w:w="1567" w:type="dxa"/>
            <w:tcBorders>
              <w:top w:val="single" w:sz="4" w:space="0" w:color="FFFFFF"/>
              <w:bottom w:val="single" w:sz="4" w:space="0" w:color="000000"/>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r w:rsidRPr="00EC364C">
              <w:rPr>
                <w:color w:val="000000"/>
                <w:sz w:val="20"/>
                <w:szCs w:val="20"/>
                <w:lang w:eastAsia="en-AU"/>
              </w:rPr>
              <w:t>reef intertidal</w:t>
            </w:r>
          </w:p>
        </w:tc>
        <w:tc>
          <w:tcPr>
            <w:tcW w:w="697" w:type="dxa"/>
            <w:tcBorders>
              <w:top w:val="single" w:sz="4" w:space="0" w:color="FFFFFF"/>
            </w:tcBorders>
            <w:shd w:val="clear" w:color="auto" w:fill="92D050"/>
            <w:noWrap/>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75</w:t>
            </w:r>
          </w:p>
        </w:tc>
        <w:tc>
          <w:tcPr>
            <w:tcW w:w="697" w:type="dxa"/>
            <w:tcBorders>
              <w:top w:val="single" w:sz="4" w:space="0" w:color="FFFFFF"/>
            </w:tcBorders>
            <w:shd w:val="clear" w:color="auto" w:fill="FFCC00"/>
            <w:noWrap/>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35</w:t>
            </w:r>
          </w:p>
        </w:tc>
        <w:tc>
          <w:tcPr>
            <w:tcW w:w="697" w:type="dxa"/>
            <w:tcBorders>
              <w:top w:val="single" w:sz="4" w:space="0" w:color="FFFFFF"/>
            </w:tcBorders>
            <w:shd w:val="clear" w:color="auto" w:fill="FFFF00"/>
            <w:noWrap/>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45</w:t>
            </w:r>
          </w:p>
        </w:tc>
        <w:tc>
          <w:tcPr>
            <w:tcW w:w="697" w:type="dxa"/>
            <w:tcBorders>
              <w:top w:val="single" w:sz="4" w:space="0" w:color="FFFFFF"/>
            </w:tcBorders>
            <w:shd w:val="clear" w:color="auto" w:fill="FFFF00"/>
            <w:noWrap/>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44</w:t>
            </w:r>
          </w:p>
        </w:tc>
        <w:tc>
          <w:tcPr>
            <w:tcW w:w="697" w:type="dxa"/>
            <w:tcBorders>
              <w:top w:val="single" w:sz="4" w:space="0" w:color="FFFFFF"/>
            </w:tcBorders>
            <w:shd w:val="clear" w:color="auto" w:fill="FFFF00"/>
            <w:noWrap/>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44</w:t>
            </w:r>
          </w:p>
        </w:tc>
        <w:tc>
          <w:tcPr>
            <w:tcW w:w="697" w:type="dxa"/>
            <w:tcBorders>
              <w:top w:val="single" w:sz="4" w:space="0" w:color="FFFFFF"/>
            </w:tcBorders>
            <w:shd w:val="clear" w:color="auto" w:fill="FF0000"/>
            <w:noWrap/>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20</w:t>
            </w:r>
          </w:p>
        </w:tc>
        <w:tc>
          <w:tcPr>
            <w:tcW w:w="697" w:type="dxa"/>
            <w:tcBorders>
              <w:top w:val="single" w:sz="4" w:space="0" w:color="FFFFFF"/>
            </w:tcBorders>
            <w:shd w:val="clear" w:color="auto" w:fill="FF0000"/>
            <w:noWrap/>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14</w:t>
            </w:r>
          </w:p>
        </w:tc>
        <w:tc>
          <w:tcPr>
            <w:tcW w:w="697" w:type="dxa"/>
            <w:tcBorders>
              <w:top w:val="single" w:sz="4" w:space="0" w:color="FFFFFF"/>
            </w:tcBorders>
            <w:shd w:val="clear" w:color="auto" w:fill="FFCC00"/>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22</w:t>
            </w:r>
          </w:p>
        </w:tc>
        <w:tc>
          <w:tcPr>
            <w:tcW w:w="697" w:type="dxa"/>
            <w:tcBorders>
              <w:top w:val="single" w:sz="4" w:space="0" w:color="FFFFFF"/>
            </w:tcBorders>
            <w:shd w:val="clear" w:color="auto" w:fill="FFCC00"/>
            <w:vAlign w:val="center"/>
          </w:tcPr>
          <w:p w:rsidR="000C1668" w:rsidRPr="00EC364C" w:rsidRDefault="000C1668" w:rsidP="00A17790">
            <w:pPr>
              <w:spacing w:before="0" w:after="0" w:line="200" w:lineRule="exact"/>
              <w:ind w:left="-57" w:right="-57"/>
              <w:jc w:val="center"/>
              <w:rPr>
                <w:color w:val="000000"/>
                <w:sz w:val="20"/>
                <w:szCs w:val="20"/>
                <w:lang w:eastAsia="en-AU"/>
              </w:rPr>
            </w:pPr>
            <w:r w:rsidRPr="00EC364C">
              <w:rPr>
                <w:color w:val="000000"/>
                <w:sz w:val="20"/>
                <w:szCs w:val="20"/>
                <w:lang w:eastAsia="en-AU"/>
              </w:rPr>
              <w:t>29</w:t>
            </w:r>
          </w:p>
        </w:tc>
        <w:tc>
          <w:tcPr>
            <w:tcW w:w="697" w:type="dxa"/>
            <w:tcBorders>
              <w:top w:val="single" w:sz="4" w:space="0" w:color="FFFFFF"/>
            </w:tcBorders>
            <w:shd w:val="clear" w:color="auto" w:fill="FFCC00"/>
            <w:vAlign w:val="center"/>
          </w:tcPr>
          <w:p w:rsidR="000C1668" w:rsidRPr="00056DBB" w:rsidRDefault="000C1668" w:rsidP="00A17790">
            <w:pPr>
              <w:spacing w:before="0" w:after="0" w:line="200" w:lineRule="exact"/>
              <w:ind w:left="-57" w:right="-57"/>
              <w:jc w:val="center"/>
              <w:rPr>
                <w:b/>
                <w:color w:val="000000"/>
                <w:sz w:val="20"/>
                <w:szCs w:val="20"/>
                <w:lang w:eastAsia="en-AU"/>
              </w:rPr>
            </w:pPr>
            <w:r w:rsidRPr="00056DBB">
              <w:rPr>
                <w:sz w:val="20"/>
                <w:szCs w:val="20"/>
              </w:rPr>
              <w:t>25</w:t>
            </w:r>
          </w:p>
        </w:tc>
      </w:tr>
      <w:tr w:rsidR="000C1668" w:rsidRPr="00EC364C" w:rsidTr="002605DA">
        <w:trPr>
          <w:trHeight w:val="312"/>
          <w:jc w:val="center"/>
        </w:trPr>
        <w:tc>
          <w:tcPr>
            <w:tcW w:w="1306" w:type="dxa"/>
            <w:vMerge w:val="restart"/>
            <w:tcBorders>
              <w:top w:val="single" w:sz="4" w:space="0" w:color="auto"/>
              <w:left w:val="nil"/>
              <w:right w:val="nil"/>
            </w:tcBorders>
            <w:shd w:val="clear" w:color="auto" w:fill="auto"/>
            <w:noWrap/>
            <w:vAlign w:val="center"/>
          </w:tcPr>
          <w:p w:rsidR="000C1668" w:rsidRDefault="000C1668" w:rsidP="00A17790">
            <w:pPr>
              <w:spacing w:before="0" w:after="0" w:line="200" w:lineRule="exact"/>
              <w:ind w:left="-57" w:right="-57"/>
              <w:rPr>
                <w:color w:val="000000"/>
                <w:sz w:val="20"/>
                <w:szCs w:val="20"/>
                <w:lang w:eastAsia="en-AU"/>
              </w:rPr>
            </w:pPr>
            <w:bookmarkStart w:id="267" w:name="_Toc431494030"/>
            <w:r>
              <w:rPr>
                <w:color w:val="000000"/>
                <w:sz w:val="20"/>
                <w:szCs w:val="20"/>
                <w:lang w:eastAsia="en-AU"/>
              </w:rPr>
              <w:t>R</w:t>
            </w:r>
            <w:r w:rsidRPr="000C1668">
              <w:rPr>
                <w:color w:val="000000"/>
                <w:sz w:val="20"/>
                <w:szCs w:val="20"/>
                <w:lang w:eastAsia="en-AU"/>
              </w:rPr>
              <w:t>eproductive</w:t>
            </w:r>
          </w:p>
          <w:p w:rsidR="000C1668" w:rsidRPr="00EC364C" w:rsidRDefault="000C1668" w:rsidP="00A17790">
            <w:pPr>
              <w:spacing w:before="0" w:after="0" w:line="200" w:lineRule="exact"/>
              <w:ind w:left="-57" w:right="-57"/>
              <w:rPr>
                <w:color w:val="000000"/>
                <w:sz w:val="20"/>
                <w:szCs w:val="20"/>
                <w:lang w:eastAsia="en-AU"/>
              </w:rPr>
            </w:pPr>
            <w:r>
              <w:rPr>
                <w:color w:val="000000"/>
                <w:sz w:val="20"/>
                <w:szCs w:val="20"/>
                <w:lang w:eastAsia="en-AU"/>
              </w:rPr>
              <w:t>effort</w:t>
            </w:r>
          </w:p>
        </w:tc>
        <w:tc>
          <w:tcPr>
            <w:tcW w:w="1567" w:type="dxa"/>
            <w:tcBorders>
              <w:top w:val="single" w:sz="4" w:space="0" w:color="auto"/>
              <w:left w:val="nil"/>
              <w:bottom w:val="nil"/>
              <w:right w:val="nil"/>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r w:rsidRPr="00EC364C">
              <w:rPr>
                <w:color w:val="000000"/>
                <w:sz w:val="20"/>
                <w:szCs w:val="20"/>
                <w:lang w:eastAsia="en-AU"/>
              </w:rPr>
              <w:t>coastal intertidal</w:t>
            </w:r>
          </w:p>
        </w:tc>
        <w:tc>
          <w:tcPr>
            <w:tcW w:w="697" w:type="dxa"/>
            <w:tcBorders>
              <w:top w:val="single" w:sz="4" w:space="0" w:color="auto"/>
              <w:left w:val="nil"/>
              <w:bottom w:val="single" w:sz="4" w:space="0" w:color="FFFFFF" w:themeColor="background1"/>
              <w:right w:val="single" w:sz="4" w:space="0" w:color="FFFFFF" w:themeColor="background1"/>
            </w:tcBorders>
            <w:shd w:val="clear" w:color="auto" w:fill="FFFFFF" w:themeFill="background1"/>
            <w:noWrap/>
            <w:vAlign w:val="center"/>
          </w:tcPr>
          <w:p w:rsidR="000C1668" w:rsidRPr="005556A8"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rsidR="000C1668" w:rsidRPr="005556A8"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rsidR="000C1668" w:rsidRPr="005556A8"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rsidR="000C1668" w:rsidRPr="005556A8"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rsidR="000C1668" w:rsidRPr="005556A8"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rsidR="000C1668" w:rsidRPr="005556A8"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0C1668" w:rsidRPr="005556A8"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0</w:t>
            </w:r>
          </w:p>
        </w:tc>
        <w:tc>
          <w:tcPr>
            <w:tcW w:w="69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0</w:t>
            </w:r>
          </w:p>
        </w:tc>
        <w:tc>
          <w:tcPr>
            <w:tcW w:w="697"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0C1668" w:rsidRPr="005556A8" w:rsidRDefault="000C1668" w:rsidP="00A17790">
            <w:pPr>
              <w:spacing w:before="0" w:after="0" w:line="200" w:lineRule="exact"/>
              <w:ind w:left="-57" w:right="-57"/>
              <w:jc w:val="center"/>
              <w:rPr>
                <w:color w:val="000000"/>
                <w:sz w:val="20"/>
                <w:szCs w:val="20"/>
                <w:lang w:eastAsia="en-AU"/>
              </w:rPr>
            </w:pPr>
            <w:r>
              <w:rPr>
                <w:color w:val="000000"/>
                <w:sz w:val="20"/>
                <w:szCs w:val="20"/>
              </w:rPr>
              <w:t>0</w:t>
            </w:r>
          </w:p>
        </w:tc>
      </w:tr>
      <w:tr w:rsidR="000C1668" w:rsidRPr="00EC364C" w:rsidTr="00A17790">
        <w:trPr>
          <w:trHeight w:val="312"/>
          <w:jc w:val="center"/>
        </w:trPr>
        <w:tc>
          <w:tcPr>
            <w:tcW w:w="1306" w:type="dxa"/>
            <w:vMerge/>
            <w:tcBorders>
              <w:bottom w:val="single" w:sz="4" w:space="0" w:color="FFFFFF"/>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p>
        </w:tc>
        <w:tc>
          <w:tcPr>
            <w:tcW w:w="1567" w:type="dxa"/>
            <w:tcBorders>
              <w:top w:val="nil"/>
              <w:bottom w:val="single" w:sz="4" w:space="0" w:color="FFFFFF"/>
              <w:right w:val="single" w:sz="4" w:space="0" w:color="FFFFFF" w:themeColor="background1"/>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r w:rsidRPr="00EC364C">
              <w:rPr>
                <w:color w:val="000000"/>
                <w:sz w:val="20"/>
                <w:szCs w:val="20"/>
                <w:lang w:eastAsia="en-AU"/>
              </w:rPr>
              <w:t>reef intertidal</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63</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0</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25</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38</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63</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63</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13</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17</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0C1668" w:rsidRPr="005556A8" w:rsidRDefault="000C1668" w:rsidP="00A17790">
            <w:pPr>
              <w:spacing w:before="0" w:after="0" w:line="200" w:lineRule="exact"/>
              <w:ind w:left="-57" w:right="-57"/>
              <w:jc w:val="center"/>
              <w:rPr>
                <w:color w:val="000000"/>
                <w:sz w:val="20"/>
                <w:szCs w:val="20"/>
                <w:lang w:eastAsia="en-AU"/>
              </w:rPr>
            </w:pPr>
            <w:r w:rsidRPr="005556A8">
              <w:rPr>
                <w:color w:val="000000"/>
                <w:sz w:val="20"/>
                <w:szCs w:val="20"/>
                <w:lang w:eastAsia="en-AU"/>
              </w:rPr>
              <w:t>17</w:t>
            </w:r>
          </w:p>
        </w:tc>
        <w:tc>
          <w:tcPr>
            <w:tcW w:w="69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rsidR="000C1668" w:rsidRDefault="000C1668" w:rsidP="00A17790">
            <w:pPr>
              <w:spacing w:before="0" w:after="0" w:line="200" w:lineRule="exact"/>
              <w:ind w:left="-57" w:right="-57"/>
              <w:jc w:val="center"/>
              <w:rPr>
                <w:color w:val="000000"/>
                <w:sz w:val="20"/>
                <w:szCs w:val="20"/>
              </w:rPr>
            </w:pPr>
            <w:r>
              <w:rPr>
                <w:color w:val="000000"/>
                <w:sz w:val="20"/>
                <w:szCs w:val="20"/>
              </w:rPr>
              <w:t>21</w:t>
            </w:r>
          </w:p>
        </w:tc>
      </w:tr>
      <w:tr w:rsidR="000C1668" w:rsidRPr="00EC364C" w:rsidTr="00A17790">
        <w:trPr>
          <w:trHeight w:val="312"/>
          <w:jc w:val="center"/>
        </w:trPr>
        <w:tc>
          <w:tcPr>
            <w:tcW w:w="1306" w:type="dxa"/>
            <w:vMerge w:val="restart"/>
            <w:tcBorders>
              <w:top w:val="single" w:sz="4" w:space="0" w:color="000000"/>
            </w:tcBorders>
            <w:shd w:val="clear" w:color="auto" w:fill="auto"/>
            <w:noWrap/>
            <w:vAlign w:val="center"/>
          </w:tcPr>
          <w:p w:rsidR="000C1668" w:rsidRDefault="000C1668" w:rsidP="00A17790">
            <w:pPr>
              <w:spacing w:before="0" w:after="0" w:line="200" w:lineRule="exact"/>
              <w:ind w:left="-57" w:right="-57"/>
              <w:rPr>
                <w:color w:val="000000"/>
                <w:sz w:val="20"/>
                <w:szCs w:val="20"/>
                <w:lang w:eastAsia="en-AU"/>
              </w:rPr>
            </w:pPr>
            <w:r>
              <w:rPr>
                <w:color w:val="000000"/>
                <w:sz w:val="20"/>
                <w:szCs w:val="20"/>
                <w:lang w:eastAsia="en-AU"/>
              </w:rPr>
              <w:t>L</w:t>
            </w:r>
            <w:r w:rsidRPr="000C1668">
              <w:rPr>
                <w:color w:val="000000"/>
                <w:sz w:val="20"/>
                <w:szCs w:val="20"/>
                <w:lang w:eastAsia="en-AU"/>
              </w:rPr>
              <w:t>eaf tissue</w:t>
            </w:r>
          </w:p>
          <w:p w:rsidR="000C1668" w:rsidRPr="00EC364C" w:rsidRDefault="000C1668" w:rsidP="00A17790">
            <w:pPr>
              <w:spacing w:before="0" w:after="0" w:line="200" w:lineRule="exact"/>
              <w:ind w:left="-57" w:right="-57"/>
              <w:rPr>
                <w:color w:val="000000"/>
                <w:sz w:val="20"/>
                <w:szCs w:val="20"/>
                <w:lang w:eastAsia="en-AU"/>
              </w:rPr>
            </w:pPr>
            <w:r w:rsidRPr="000C1668">
              <w:rPr>
                <w:color w:val="000000"/>
                <w:sz w:val="20"/>
                <w:szCs w:val="20"/>
                <w:lang w:eastAsia="en-AU"/>
              </w:rPr>
              <w:t>nutrient</w:t>
            </w:r>
          </w:p>
        </w:tc>
        <w:tc>
          <w:tcPr>
            <w:tcW w:w="1567" w:type="dxa"/>
            <w:tcBorders>
              <w:top w:val="single" w:sz="4" w:space="0" w:color="000000"/>
              <w:bottom w:val="single" w:sz="4" w:space="0" w:color="FFFFFF"/>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r w:rsidRPr="00EC364C">
              <w:rPr>
                <w:color w:val="000000"/>
                <w:sz w:val="20"/>
                <w:szCs w:val="20"/>
                <w:lang w:eastAsia="en-AU"/>
              </w:rPr>
              <w:t>coastal intertidal</w:t>
            </w:r>
          </w:p>
        </w:tc>
        <w:tc>
          <w:tcPr>
            <w:tcW w:w="697" w:type="dxa"/>
            <w:tcBorders>
              <w:top w:val="single" w:sz="4" w:space="0" w:color="000000"/>
              <w:bottom w:val="single" w:sz="4" w:space="0" w:color="FFFFFF"/>
            </w:tcBorders>
            <w:shd w:val="clear" w:color="auto" w:fill="auto"/>
            <w:noWrap/>
            <w:vAlign w:val="center"/>
          </w:tcPr>
          <w:p w:rsidR="000C1668" w:rsidRPr="002D209A"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2D209A"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2D209A"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2D209A"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2D209A"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2D209A"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auto"/>
            <w:noWrap/>
            <w:vAlign w:val="center"/>
          </w:tcPr>
          <w:p w:rsidR="000C1668" w:rsidRPr="002D209A" w:rsidRDefault="000C1668" w:rsidP="00A17790">
            <w:pPr>
              <w:spacing w:before="0" w:after="0" w:line="200" w:lineRule="exact"/>
              <w:ind w:left="-57" w:right="-57"/>
              <w:jc w:val="center"/>
              <w:rPr>
                <w:color w:val="000000"/>
                <w:sz w:val="20"/>
                <w:szCs w:val="20"/>
                <w:lang w:eastAsia="en-AU"/>
              </w:rPr>
            </w:pPr>
          </w:p>
        </w:tc>
        <w:tc>
          <w:tcPr>
            <w:tcW w:w="697" w:type="dxa"/>
            <w:tcBorders>
              <w:top w:val="single" w:sz="4" w:space="0" w:color="000000"/>
              <w:bottom w:val="single" w:sz="4" w:space="0" w:color="FFFFFF"/>
            </w:tcBorders>
            <w:shd w:val="clear" w:color="auto" w:fill="FFCC00"/>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30</w:t>
            </w:r>
          </w:p>
        </w:tc>
        <w:tc>
          <w:tcPr>
            <w:tcW w:w="697" w:type="dxa"/>
            <w:tcBorders>
              <w:top w:val="single" w:sz="4" w:space="0" w:color="000000"/>
              <w:bottom w:val="single" w:sz="4" w:space="0" w:color="FFFFFF"/>
            </w:tcBorders>
            <w:shd w:val="clear" w:color="auto" w:fill="FFCC00"/>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36</w:t>
            </w:r>
          </w:p>
        </w:tc>
        <w:tc>
          <w:tcPr>
            <w:tcW w:w="697" w:type="dxa"/>
            <w:tcBorders>
              <w:top w:val="single" w:sz="4" w:space="0" w:color="000000"/>
              <w:bottom w:val="single" w:sz="4" w:space="0" w:color="FFFFFF"/>
            </w:tcBorders>
            <w:shd w:val="clear" w:color="auto" w:fill="FFCC00"/>
            <w:vAlign w:val="center"/>
          </w:tcPr>
          <w:p w:rsidR="000C1668" w:rsidRPr="002D209A" w:rsidRDefault="000C1668" w:rsidP="00A17790">
            <w:pPr>
              <w:spacing w:before="0" w:after="0" w:line="200" w:lineRule="exact"/>
              <w:ind w:left="-57" w:right="-57"/>
              <w:jc w:val="center"/>
              <w:rPr>
                <w:color w:val="000000"/>
                <w:sz w:val="20"/>
                <w:szCs w:val="20"/>
                <w:lang w:eastAsia="en-AU"/>
              </w:rPr>
            </w:pPr>
            <w:r>
              <w:rPr>
                <w:color w:val="000000"/>
                <w:sz w:val="20"/>
                <w:szCs w:val="20"/>
              </w:rPr>
              <w:t>37</w:t>
            </w:r>
          </w:p>
        </w:tc>
      </w:tr>
      <w:tr w:rsidR="000C1668" w:rsidRPr="00EC364C" w:rsidTr="00A17790">
        <w:trPr>
          <w:trHeight w:val="312"/>
          <w:jc w:val="center"/>
        </w:trPr>
        <w:tc>
          <w:tcPr>
            <w:tcW w:w="1306" w:type="dxa"/>
            <w:vMerge/>
            <w:tcBorders>
              <w:bottom w:val="single" w:sz="4" w:space="0" w:color="000000"/>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p>
        </w:tc>
        <w:tc>
          <w:tcPr>
            <w:tcW w:w="1567" w:type="dxa"/>
            <w:tcBorders>
              <w:top w:val="single" w:sz="4" w:space="0" w:color="FFFFFF"/>
              <w:bottom w:val="single" w:sz="4" w:space="0" w:color="000000"/>
            </w:tcBorders>
            <w:shd w:val="clear" w:color="auto" w:fill="auto"/>
            <w:noWrap/>
            <w:vAlign w:val="center"/>
          </w:tcPr>
          <w:p w:rsidR="000C1668" w:rsidRPr="00EC364C" w:rsidRDefault="000C1668" w:rsidP="00A17790">
            <w:pPr>
              <w:spacing w:before="0" w:after="0" w:line="200" w:lineRule="exact"/>
              <w:ind w:left="-57" w:right="-57"/>
              <w:rPr>
                <w:color w:val="000000"/>
                <w:sz w:val="20"/>
                <w:szCs w:val="20"/>
                <w:lang w:eastAsia="en-AU"/>
              </w:rPr>
            </w:pPr>
            <w:r w:rsidRPr="00EC364C">
              <w:rPr>
                <w:color w:val="000000"/>
                <w:sz w:val="20"/>
                <w:szCs w:val="20"/>
                <w:lang w:eastAsia="en-AU"/>
              </w:rPr>
              <w:t>reef intertidal</w:t>
            </w:r>
          </w:p>
        </w:tc>
        <w:tc>
          <w:tcPr>
            <w:tcW w:w="697" w:type="dxa"/>
            <w:tcBorders>
              <w:top w:val="single" w:sz="4" w:space="0" w:color="FFFFFF"/>
            </w:tcBorders>
            <w:shd w:val="clear" w:color="auto" w:fill="FFFF00"/>
            <w:noWrap/>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45</w:t>
            </w:r>
          </w:p>
        </w:tc>
        <w:tc>
          <w:tcPr>
            <w:tcW w:w="697" w:type="dxa"/>
            <w:tcBorders>
              <w:top w:val="single" w:sz="4" w:space="0" w:color="FFFFFF"/>
            </w:tcBorders>
            <w:shd w:val="clear" w:color="auto" w:fill="FFFF00"/>
            <w:noWrap/>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52</w:t>
            </w:r>
          </w:p>
        </w:tc>
        <w:tc>
          <w:tcPr>
            <w:tcW w:w="697" w:type="dxa"/>
            <w:tcBorders>
              <w:top w:val="single" w:sz="4" w:space="0" w:color="FFFFFF"/>
            </w:tcBorders>
            <w:shd w:val="clear" w:color="auto" w:fill="92D050"/>
            <w:noWrap/>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69</w:t>
            </w:r>
          </w:p>
        </w:tc>
        <w:tc>
          <w:tcPr>
            <w:tcW w:w="697" w:type="dxa"/>
            <w:tcBorders>
              <w:top w:val="single" w:sz="4" w:space="0" w:color="FFFFFF"/>
            </w:tcBorders>
            <w:shd w:val="clear" w:color="auto" w:fill="FFFF00"/>
            <w:noWrap/>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49</w:t>
            </w:r>
          </w:p>
        </w:tc>
        <w:tc>
          <w:tcPr>
            <w:tcW w:w="697" w:type="dxa"/>
            <w:tcBorders>
              <w:top w:val="single" w:sz="4" w:space="0" w:color="FFFFFF"/>
            </w:tcBorders>
            <w:shd w:val="clear" w:color="auto" w:fill="FFFF00"/>
            <w:noWrap/>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51</w:t>
            </w:r>
          </w:p>
        </w:tc>
        <w:tc>
          <w:tcPr>
            <w:tcW w:w="697" w:type="dxa"/>
            <w:tcBorders>
              <w:top w:val="single" w:sz="4" w:space="0" w:color="FFFFFF"/>
            </w:tcBorders>
            <w:shd w:val="clear" w:color="auto" w:fill="FFFF00"/>
            <w:noWrap/>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46</w:t>
            </w:r>
          </w:p>
        </w:tc>
        <w:tc>
          <w:tcPr>
            <w:tcW w:w="697" w:type="dxa"/>
            <w:tcBorders>
              <w:top w:val="single" w:sz="4" w:space="0" w:color="FFFFFF"/>
            </w:tcBorders>
            <w:shd w:val="clear" w:color="auto" w:fill="FFCC00"/>
            <w:noWrap/>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21</w:t>
            </w:r>
          </w:p>
        </w:tc>
        <w:tc>
          <w:tcPr>
            <w:tcW w:w="697" w:type="dxa"/>
            <w:tcBorders>
              <w:top w:val="single" w:sz="4" w:space="0" w:color="FFFFFF"/>
            </w:tcBorders>
            <w:shd w:val="clear" w:color="auto" w:fill="FFCC00"/>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36</w:t>
            </w:r>
          </w:p>
        </w:tc>
        <w:tc>
          <w:tcPr>
            <w:tcW w:w="697" w:type="dxa"/>
            <w:tcBorders>
              <w:top w:val="single" w:sz="4" w:space="0" w:color="FFFFFF"/>
            </w:tcBorders>
            <w:shd w:val="clear" w:color="auto" w:fill="FFCC00"/>
            <w:vAlign w:val="center"/>
          </w:tcPr>
          <w:p w:rsidR="000C1668" w:rsidRPr="002D209A" w:rsidRDefault="000C1668" w:rsidP="00A17790">
            <w:pPr>
              <w:spacing w:before="0" w:after="0" w:line="200" w:lineRule="exact"/>
              <w:ind w:left="-57" w:right="-57"/>
              <w:jc w:val="center"/>
              <w:rPr>
                <w:color w:val="000000"/>
                <w:sz w:val="20"/>
                <w:szCs w:val="20"/>
                <w:lang w:eastAsia="en-AU"/>
              </w:rPr>
            </w:pPr>
            <w:r w:rsidRPr="002D209A">
              <w:rPr>
                <w:color w:val="000000"/>
                <w:sz w:val="20"/>
                <w:szCs w:val="20"/>
                <w:lang w:eastAsia="en-AU"/>
              </w:rPr>
              <w:t>35</w:t>
            </w:r>
          </w:p>
        </w:tc>
        <w:tc>
          <w:tcPr>
            <w:tcW w:w="697" w:type="dxa"/>
            <w:tcBorders>
              <w:top w:val="single" w:sz="4" w:space="0" w:color="FFFFFF"/>
            </w:tcBorders>
            <w:shd w:val="clear" w:color="auto" w:fill="FFCC00"/>
            <w:vAlign w:val="center"/>
          </w:tcPr>
          <w:p w:rsidR="000C1668" w:rsidRPr="002D209A" w:rsidRDefault="000C1668" w:rsidP="00A17790">
            <w:pPr>
              <w:spacing w:before="0" w:after="0" w:line="200" w:lineRule="exact"/>
              <w:ind w:left="-57" w:right="-57"/>
              <w:jc w:val="center"/>
              <w:rPr>
                <w:color w:val="000000"/>
                <w:sz w:val="20"/>
                <w:szCs w:val="20"/>
                <w:lang w:eastAsia="en-AU"/>
              </w:rPr>
            </w:pPr>
            <w:r>
              <w:rPr>
                <w:color w:val="000000"/>
                <w:sz w:val="20"/>
                <w:szCs w:val="20"/>
              </w:rPr>
              <w:t>33</w:t>
            </w:r>
          </w:p>
        </w:tc>
      </w:tr>
      <w:tr w:rsidR="00F4530D" w:rsidRPr="001A5C7B" w:rsidTr="00A17790">
        <w:trPr>
          <w:trHeight w:val="312"/>
          <w:jc w:val="center"/>
        </w:trPr>
        <w:tc>
          <w:tcPr>
            <w:tcW w:w="2873" w:type="dxa"/>
            <w:gridSpan w:val="2"/>
            <w:tcBorders>
              <w:top w:val="single" w:sz="4" w:space="0" w:color="000000"/>
              <w:bottom w:val="single" w:sz="4" w:space="0" w:color="000000"/>
            </w:tcBorders>
            <w:shd w:val="clear" w:color="auto" w:fill="auto"/>
            <w:noWrap/>
            <w:vAlign w:val="center"/>
          </w:tcPr>
          <w:p w:rsidR="00F4530D" w:rsidRPr="001A5C7B" w:rsidRDefault="000C1668" w:rsidP="00A17790">
            <w:pPr>
              <w:spacing w:before="0" w:after="0" w:line="200" w:lineRule="exact"/>
              <w:ind w:left="-57" w:right="-57"/>
              <w:rPr>
                <w:b/>
                <w:color w:val="000000"/>
                <w:sz w:val="20"/>
                <w:szCs w:val="20"/>
                <w:lang w:eastAsia="en-AU"/>
              </w:rPr>
            </w:pPr>
            <w:r>
              <w:rPr>
                <w:b/>
                <w:color w:val="000000"/>
                <w:sz w:val="20"/>
                <w:szCs w:val="20"/>
                <w:lang w:eastAsia="en-AU"/>
              </w:rPr>
              <w:t>Seagrass Index</w:t>
            </w:r>
          </w:p>
        </w:tc>
        <w:tc>
          <w:tcPr>
            <w:tcW w:w="697" w:type="dxa"/>
            <w:tcBorders>
              <w:top w:val="single" w:sz="4" w:space="0" w:color="auto"/>
              <w:bottom w:val="single" w:sz="4" w:space="0" w:color="000000"/>
            </w:tcBorders>
            <w:shd w:val="clear" w:color="auto" w:fill="92D050"/>
            <w:noWrap/>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61</w:t>
            </w:r>
          </w:p>
        </w:tc>
        <w:tc>
          <w:tcPr>
            <w:tcW w:w="697" w:type="dxa"/>
            <w:tcBorders>
              <w:top w:val="single" w:sz="4" w:space="0" w:color="auto"/>
              <w:bottom w:val="single" w:sz="4" w:space="0" w:color="000000"/>
            </w:tcBorders>
            <w:shd w:val="clear" w:color="auto" w:fill="FFCC00"/>
            <w:noWrap/>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29</w:t>
            </w:r>
          </w:p>
        </w:tc>
        <w:tc>
          <w:tcPr>
            <w:tcW w:w="697" w:type="dxa"/>
            <w:tcBorders>
              <w:top w:val="single" w:sz="4" w:space="0" w:color="auto"/>
              <w:bottom w:val="single" w:sz="4" w:space="0" w:color="000000"/>
            </w:tcBorders>
            <w:shd w:val="clear" w:color="auto" w:fill="FFFF00"/>
            <w:noWrap/>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46</w:t>
            </w:r>
          </w:p>
        </w:tc>
        <w:tc>
          <w:tcPr>
            <w:tcW w:w="697" w:type="dxa"/>
            <w:tcBorders>
              <w:top w:val="single" w:sz="4" w:space="0" w:color="auto"/>
              <w:bottom w:val="single" w:sz="4" w:space="0" w:color="000000"/>
            </w:tcBorders>
            <w:shd w:val="clear" w:color="auto" w:fill="FFFF00"/>
            <w:noWrap/>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43</w:t>
            </w:r>
          </w:p>
        </w:tc>
        <w:tc>
          <w:tcPr>
            <w:tcW w:w="697" w:type="dxa"/>
            <w:tcBorders>
              <w:top w:val="single" w:sz="4" w:space="0" w:color="auto"/>
              <w:bottom w:val="single" w:sz="4" w:space="0" w:color="000000"/>
            </w:tcBorders>
            <w:shd w:val="clear" w:color="auto" w:fill="FFFF00"/>
            <w:noWrap/>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52</w:t>
            </w:r>
          </w:p>
        </w:tc>
        <w:tc>
          <w:tcPr>
            <w:tcW w:w="697" w:type="dxa"/>
            <w:tcBorders>
              <w:top w:val="single" w:sz="4" w:space="0" w:color="auto"/>
              <w:bottom w:val="single" w:sz="4" w:space="0" w:color="000000"/>
            </w:tcBorders>
            <w:shd w:val="clear" w:color="auto" w:fill="FFFF00"/>
            <w:noWrap/>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43</w:t>
            </w:r>
          </w:p>
        </w:tc>
        <w:tc>
          <w:tcPr>
            <w:tcW w:w="697" w:type="dxa"/>
            <w:tcBorders>
              <w:top w:val="single" w:sz="4" w:space="0" w:color="auto"/>
              <w:bottom w:val="single" w:sz="4" w:space="0" w:color="000000"/>
            </w:tcBorders>
            <w:shd w:val="clear" w:color="auto" w:fill="FFC000"/>
            <w:noWrap/>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21</w:t>
            </w:r>
          </w:p>
        </w:tc>
        <w:tc>
          <w:tcPr>
            <w:tcW w:w="697" w:type="dxa"/>
            <w:tcBorders>
              <w:top w:val="single" w:sz="4" w:space="0" w:color="auto"/>
              <w:bottom w:val="single" w:sz="4" w:space="0" w:color="000000"/>
            </w:tcBorders>
            <w:shd w:val="clear" w:color="auto" w:fill="FFC000"/>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28</w:t>
            </w:r>
          </w:p>
        </w:tc>
        <w:tc>
          <w:tcPr>
            <w:tcW w:w="697" w:type="dxa"/>
            <w:tcBorders>
              <w:top w:val="single" w:sz="4" w:space="0" w:color="auto"/>
              <w:bottom w:val="single" w:sz="4" w:space="0" w:color="000000"/>
            </w:tcBorders>
            <w:shd w:val="clear" w:color="auto" w:fill="FFC000"/>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29</w:t>
            </w:r>
          </w:p>
        </w:tc>
        <w:tc>
          <w:tcPr>
            <w:tcW w:w="697" w:type="dxa"/>
            <w:tcBorders>
              <w:top w:val="single" w:sz="4" w:space="0" w:color="auto"/>
              <w:bottom w:val="single" w:sz="4" w:space="0" w:color="000000"/>
            </w:tcBorders>
            <w:shd w:val="clear" w:color="auto" w:fill="FFC000"/>
            <w:vAlign w:val="center"/>
          </w:tcPr>
          <w:p w:rsidR="00F4530D" w:rsidRPr="001A5C7B" w:rsidRDefault="000C1668" w:rsidP="00A17790">
            <w:pPr>
              <w:spacing w:before="0" w:after="0" w:line="200" w:lineRule="exact"/>
              <w:ind w:left="-57" w:right="-57"/>
              <w:jc w:val="center"/>
              <w:rPr>
                <w:b/>
                <w:color w:val="000000"/>
                <w:sz w:val="20"/>
                <w:szCs w:val="20"/>
                <w:lang w:eastAsia="en-AU"/>
              </w:rPr>
            </w:pPr>
            <w:r>
              <w:rPr>
                <w:b/>
                <w:color w:val="000000"/>
                <w:sz w:val="20"/>
                <w:szCs w:val="20"/>
                <w:lang w:eastAsia="en-AU"/>
              </w:rPr>
              <w:t>30</w:t>
            </w:r>
          </w:p>
        </w:tc>
      </w:tr>
      <w:bookmarkEnd w:id="267"/>
    </w:tbl>
    <w:p w:rsidR="00F4530D" w:rsidRDefault="00F4530D" w:rsidP="00F4530D">
      <w:pPr>
        <w:rPr>
          <w:color w:val="000000"/>
          <w:szCs w:val="22"/>
        </w:rPr>
      </w:pPr>
    </w:p>
    <w:p w:rsidR="00F4530D" w:rsidRDefault="00F4530D" w:rsidP="00906FE6">
      <w:pPr>
        <w:rPr>
          <w:color w:val="000000"/>
          <w:szCs w:val="22"/>
        </w:rPr>
      </w:pPr>
    </w:p>
    <w:p w:rsidR="0014481E" w:rsidRPr="006E0687" w:rsidRDefault="005132EF" w:rsidP="00926892">
      <w:pPr>
        <w:pStyle w:val="Heading2"/>
        <w:numPr>
          <w:ilvl w:val="1"/>
          <w:numId w:val="9"/>
        </w:numPr>
        <w:rPr>
          <w:rFonts w:ascii="Century Gothic" w:hAnsi="Century Gothic"/>
          <w:color w:val="000000"/>
        </w:rPr>
      </w:pPr>
      <w:r w:rsidRPr="00015190">
        <w:rPr>
          <w:rFonts w:ascii="TimesNewRoman" w:hAnsi="TimesNewRoman" w:cs="TimesNewRoman"/>
          <w:color w:val="0000FF"/>
        </w:rPr>
        <w:br w:type="page"/>
      </w:r>
      <w:bookmarkStart w:id="268" w:name="_Toc175991066"/>
      <w:bookmarkStart w:id="269" w:name="_Toc232845911"/>
      <w:bookmarkStart w:id="270" w:name="_Toc184101981"/>
      <w:bookmarkStart w:id="271" w:name="_Toc431493763"/>
      <w:bookmarkStart w:id="272" w:name="_Toc462047342"/>
      <w:r w:rsidR="0014481E" w:rsidRPr="006E0687">
        <w:rPr>
          <w:rFonts w:ascii="Century Gothic" w:hAnsi="Century Gothic"/>
          <w:color w:val="000000"/>
        </w:rPr>
        <w:lastRenderedPageBreak/>
        <w:t>Wet Tropics</w:t>
      </w:r>
      <w:bookmarkEnd w:id="268"/>
      <w:bookmarkEnd w:id="269"/>
      <w:bookmarkEnd w:id="270"/>
      <w:bookmarkEnd w:id="271"/>
      <w:bookmarkEnd w:id="272"/>
    </w:p>
    <w:p w:rsidR="005132EF" w:rsidRPr="00BD0604" w:rsidRDefault="005515AE" w:rsidP="00926892">
      <w:pPr>
        <w:pStyle w:val="Heading3"/>
        <w:numPr>
          <w:ilvl w:val="2"/>
          <w:numId w:val="9"/>
        </w:numPr>
        <w:rPr>
          <w:rFonts w:ascii="Arial" w:hAnsi="Arial" w:cs="Arial"/>
          <w:color w:val="000000"/>
        </w:rPr>
      </w:pPr>
      <w:bookmarkStart w:id="273" w:name="_Toc184101982"/>
      <w:bookmarkStart w:id="274" w:name="_Toc431493764"/>
      <w:bookmarkStart w:id="275" w:name="_Toc462047343"/>
      <w:r>
        <w:rPr>
          <w:rFonts w:ascii="Arial" w:hAnsi="Arial" w:cs="Arial"/>
          <w:color w:val="000000"/>
        </w:rPr>
        <w:t>2014-15</w:t>
      </w:r>
      <w:r w:rsidR="005132EF" w:rsidRPr="00BD0604">
        <w:rPr>
          <w:rFonts w:ascii="Arial" w:hAnsi="Arial" w:cs="Arial"/>
          <w:color w:val="000000"/>
        </w:rPr>
        <w:t xml:space="preserve"> Summary</w:t>
      </w:r>
      <w:bookmarkEnd w:id="273"/>
      <w:bookmarkEnd w:id="274"/>
      <w:bookmarkEnd w:id="275"/>
    </w:p>
    <w:p w:rsidR="003611ED" w:rsidRPr="0072493F" w:rsidRDefault="003611ED" w:rsidP="003611ED">
      <w:pPr>
        <w:rPr>
          <w:szCs w:val="22"/>
        </w:rPr>
      </w:pPr>
      <w:bookmarkStart w:id="276" w:name="_Toc184101983"/>
      <w:bookmarkStart w:id="277" w:name="_Toc431493765"/>
      <w:r w:rsidRPr="00AF03B9">
        <w:rPr>
          <w:szCs w:val="22"/>
        </w:rPr>
        <w:t>The Wet Tropics includes two World Heritage Areas, however increases in intensive agriculture, coastal development and declining water quality have been identified as significant across the region</w:t>
      </w:r>
      <w:r>
        <w:rPr>
          <w:szCs w:val="22"/>
        </w:rPr>
        <w:t>. In 2014-15 climate conditions exposed seagrass meadows to a range of stressors, which are likely to have had a cumulative impact on meadow condition and resilience</w:t>
      </w:r>
      <w:r w:rsidRPr="00AF03B9">
        <w:rPr>
          <w:szCs w:val="22"/>
        </w:rPr>
        <w:t xml:space="preserve">. </w:t>
      </w:r>
      <w:r w:rsidRPr="00AF03B9">
        <w:rPr>
          <w:rFonts w:cs="TimesNewRoman"/>
          <w:szCs w:val="22"/>
        </w:rPr>
        <w:t>Rainfall and river discharge was below the long-term average (almost half);</w:t>
      </w:r>
      <w:r>
        <w:rPr>
          <w:rFonts w:cs="TimesNewRoman"/>
          <w:szCs w:val="22"/>
        </w:rPr>
        <w:t xml:space="preserve"> similarly wind exposure was below the </w:t>
      </w:r>
      <w:r w:rsidRPr="00AF03B9">
        <w:rPr>
          <w:rFonts w:cs="TimesNewRoman"/>
          <w:szCs w:val="22"/>
        </w:rPr>
        <w:t>long-term average</w:t>
      </w:r>
      <w:r>
        <w:rPr>
          <w:rFonts w:cs="TimesNewRoman"/>
          <w:szCs w:val="22"/>
        </w:rPr>
        <w:t xml:space="preserve"> and lower than the previous monitoring period. C</w:t>
      </w:r>
      <w:r w:rsidRPr="00AF03B9">
        <w:rPr>
          <w:rFonts w:cs="TimesNewRoman"/>
          <w:szCs w:val="22"/>
        </w:rPr>
        <w:t xml:space="preserve">oastal and more inshore reef </w:t>
      </w:r>
      <w:r>
        <w:rPr>
          <w:rFonts w:cs="TimesNewRoman"/>
          <w:szCs w:val="22"/>
        </w:rPr>
        <w:t>sites were</w:t>
      </w:r>
      <w:r w:rsidRPr="00AF03B9">
        <w:rPr>
          <w:rFonts w:cs="TimesNewRoman"/>
          <w:szCs w:val="22"/>
        </w:rPr>
        <w:t xml:space="preserve"> </w:t>
      </w:r>
      <w:r>
        <w:rPr>
          <w:rFonts w:cs="TimesNewRoman"/>
          <w:szCs w:val="22"/>
        </w:rPr>
        <w:t>exposed</w:t>
      </w:r>
      <w:r w:rsidRPr="00AF03B9">
        <w:rPr>
          <w:rFonts w:cs="TimesNewRoman"/>
          <w:szCs w:val="22"/>
        </w:rPr>
        <w:t xml:space="preserve"> to primary or secondary water type </w:t>
      </w:r>
      <w:r>
        <w:rPr>
          <w:rFonts w:cs="TimesNewRoman"/>
          <w:szCs w:val="22"/>
        </w:rPr>
        <w:t xml:space="preserve">for almost </w:t>
      </w:r>
      <w:r w:rsidRPr="00AF03B9">
        <w:rPr>
          <w:rFonts w:cs="TimesNewRoman"/>
          <w:szCs w:val="22"/>
        </w:rPr>
        <w:t xml:space="preserve">100% </w:t>
      </w:r>
      <w:r>
        <w:rPr>
          <w:rFonts w:cs="TimesNewRoman"/>
          <w:szCs w:val="22"/>
        </w:rPr>
        <w:t>of the wet season (</w:t>
      </w:r>
      <w:r w:rsidRPr="00AF03B9">
        <w:rPr>
          <w:rFonts w:cs="TimesNewRoman"/>
          <w:szCs w:val="22"/>
        </w:rPr>
        <w:t xml:space="preserve">December </w:t>
      </w:r>
      <w:r>
        <w:rPr>
          <w:rFonts w:cs="TimesNewRoman"/>
          <w:szCs w:val="22"/>
        </w:rPr>
        <w:t xml:space="preserve">2014 </w:t>
      </w:r>
      <w:r w:rsidRPr="00AF03B9">
        <w:rPr>
          <w:rFonts w:cs="TimesNewRoman"/>
          <w:szCs w:val="22"/>
        </w:rPr>
        <w:t>to April</w:t>
      </w:r>
      <w:r>
        <w:rPr>
          <w:rFonts w:cs="TimesNewRoman"/>
          <w:szCs w:val="22"/>
        </w:rPr>
        <w:t xml:space="preserve"> 2015)</w:t>
      </w:r>
      <w:r w:rsidRPr="00AF03B9">
        <w:rPr>
          <w:rFonts w:cs="TimesNewRoman"/>
          <w:szCs w:val="22"/>
        </w:rPr>
        <w:t xml:space="preserve"> and within canopy daily light was slightly lower than the long-term average</w:t>
      </w:r>
      <w:r>
        <w:rPr>
          <w:rFonts w:cs="TimesNewRoman"/>
          <w:szCs w:val="22"/>
        </w:rPr>
        <w:t>, following very low light levels in early to</w:t>
      </w:r>
      <w:r w:rsidRPr="00AF03B9">
        <w:rPr>
          <w:rFonts w:cs="TimesNewRoman"/>
          <w:szCs w:val="22"/>
        </w:rPr>
        <w:t xml:space="preserve"> mid-2014. </w:t>
      </w:r>
      <w:r w:rsidRPr="00AF03B9">
        <w:rPr>
          <w:rFonts w:cs="Calibri"/>
          <w:szCs w:val="22"/>
        </w:rPr>
        <w:t xml:space="preserve">Overall, </w:t>
      </w:r>
      <w:r w:rsidRPr="00AF03B9">
        <w:rPr>
          <w:szCs w:val="22"/>
        </w:rPr>
        <w:t xml:space="preserve">seawater temperatures in 2014-15 were likely to have been more stressful to intertidal seagrass than in previous </w:t>
      </w:r>
      <w:r w:rsidRPr="0072493F">
        <w:rPr>
          <w:szCs w:val="22"/>
        </w:rPr>
        <w:t>years. The number of days above 35</w:t>
      </w:r>
      <w:r w:rsidRPr="0072493F">
        <w:rPr>
          <w:szCs w:val="22"/>
        </w:rPr>
        <w:sym w:font="Symbol" w:char="F0B0"/>
      </w:r>
      <w:r w:rsidRPr="0072493F">
        <w:rPr>
          <w:szCs w:val="22"/>
        </w:rPr>
        <w:t xml:space="preserve">C was the highest since 2008-09, and extreme temperature (&gt;40°C) occurred on only 1 day. </w:t>
      </w:r>
    </w:p>
    <w:p w:rsidR="003611ED" w:rsidRPr="00C34B48" w:rsidRDefault="003611ED" w:rsidP="003611ED">
      <w:pPr>
        <w:rPr>
          <w:szCs w:val="22"/>
        </w:rPr>
      </w:pPr>
      <w:r w:rsidRPr="003C6343">
        <w:rPr>
          <w:szCs w:val="22"/>
        </w:rPr>
        <w:t xml:space="preserve">Seagrass </w:t>
      </w:r>
      <w:r>
        <w:rPr>
          <w:szCs w:val="22"/>
        </w:rPr>
        <w:t xml:space="preserve">meadows </w:t>
      </w:r>
      <w:r w:rsidRPr="003C6343">
        <w:rPr>
          <w:szCs w:val="22"/>
        </w:rPr>
        <w:t xml:space="preserve">in the region remain in a vulnerable state in 2014-15 with a decline in abundance and an overall </w:t>
      </w:r>
      <w:r>
        <w:rPr>
          <w:szCs w:val="22"/>
        </w:rPr>
        <w:t xml:space="preserve">abundance </w:t>
      </w:r>
      <w:r w:rsidRPr="003C6343">
        <w:rPr>
          <w:szCs w:val="22"/>
        </w:rPr>
        <w:t xml:space="preserve">rating of </w:t>
      </w:r>
      <w:r w:rsidRPr="00165977">
        <w:rPr>
          <w:szCs w:val="22"/>
        </w:rPr>
        <w:t>very poor</w:t>
      </w:r>
      <w:r w:rsidRPr="003C6343">
        <w:rPr>
          <w:szCs w:val="22"/>
        </w:rPr>
        <w:t>. While abundance declined at some sites (</w:t>
      </w:r>
      <w:r w:rsidR="00C2093A">
        <w:rPr>
          <w:szCs w:val="22"/>
        </w:rPr>
        <w:t xml:space="preserve">e.g. </w:t>
      </w:r>
      <w:r w:rsidRPr="003C6343">
        <w:rPr>
          <w:szCs w:val="22"/>
        </w:rPr>
        <w:t xml:space="preserve">Low Isles and Green Island subtidal), at others there was increasing abundance and a reduction in proportion of </w:t>
      </w:r>
      <w:r w:rsidR="00610801">
        <w:rPr>
          <w:szCs w:val="22"/>
        </w:rPr>
        <w:t xml:space="preserve">species displaying </w:t>
      </w:r>
      <w:r w:rsidRPr="003C6343">
        <w:rPr>
          <w:szCs w:val="22"/>
        </w:rPr>
        <w:t xml:space="preserve">colonising </w:t>
      </w:r>
      <w:r w:rsidR="00610801">
        <w:rPr>
          <w:szCs w:val="22"/>
        </w:rPr>
        <w:t>traits</w:t>
      </w:r>
      <w:r w:rsidRPr="003C6343">
        <w:rPr>
          <w:szCs w:val="22"/>
        </w:rPr>
        <w:t xml:space="preserve"> in favour of colonising or persistent species (</w:t>
      </w:r>
      <w:r w:rsidR="00C2093A">
        <w:rPr>
          <w:szCs w:val="22"/>
        </w:rPr>
        <w:t xml:space="preserve">e.g. </w:t>
      </w:r>
      <w:r w:rsidRPr="003C6343">
        <w:rPr>
          <w:szCs w:val="22"/>
        </w:rPr>
        <w:t xml:space="preserve">Yule Point). </w:t>
      </w:r>
      <w:r>
        <w:rPr>
          <w:szCs w:val="22"/>
        </w:rPr>
        <w:t xml:space="preserve">Persistent foundational species have greater capacity to resist environmental stress and therefore these few sites may be improving their resilience. Furthermore, although there were very large increases in reproductive effort </w:t>
      </w:r>
      <w:r w:rsidR="003C1705">
        <w:rPr>
          <w:szCs w:val="22"/>
        </w:rPr>
        <w:t xml:space="preserve">at reef subtidal sites, the </w:t>
      </w:r>
      <w:r>
        <w:rPr>
          <w:szCs w:val="22"/>
        </w:rPr>
        <w:t>overall rating remained poor</w:t>
      </w:r>
      <w:r w:rsidR="003C1705">
        <w:rPr>
          <w:szCs w:val="22"/>
        </w:rPr>
        <w:t>, which combined with</w:t>
      </w:r>
      <w:r>
        <w:rPr>
          <w:szCs w:val="22"/>
        </w:rPr>
        <w:t xml:space="preserve"> </w:t>
      </w:r>
      <w:r w:rsidR="003C1705">
        <w:rPr>
          <w:szCs w:val="22"/>
        </w:rPr>
        <w:t xml:space="preserve">low </w:t>
      </w:r>
      <w:r>
        <w:rPr>
          <w:szCs w:val="22"/>
        </w:rPr>
        <w:t>seed banks, suggest</w:t>
      </w:r>
      <w:r w:rsidR="003C1705">
        <w:rPr>
          <w:szCs w:val="22"/>
        </w:rPr>
        <w:t xml:space="preserve">s </w:t>
      </w:r>
      <w:r w:rsidRPr="00165977">
        <w:rPr>
          <w:szCs w:val="22"/>
        </w:rPr>
        <w:t>capacity to recover from major disturbances remains weak</w:t>
      </w:r>
      <w:r>
        <w:rPr>
          <w:szCs w:val="22"/>
        </w:rPr>
        <w:t xml:space="preserve"> at most sites</w:t>
      </w:r>
      <w:r w:rsidRPr="00165977">
        <w:rPr>
          <w:szCs w:val="22"/>
        </w:rPr>
        <w:t>.</w:t>
      </w:r>
      <w:r w:rsidRPr="00332C40">
        <w:rPr>
          <w:color w:val="0000FF"/>
          <w:szCs w:val="22"/>
        </w:rPr>
        <w:t xml:space="preserve"> </w:t>
      </w:r>
      <w:r w:rsidRPr="00C34B48">
        <w:rPr>
          <w:szCs w:val="22"/>
        </w:rPr>
        <w:t>Analysis of seagrass leaf tissue suggests an excess of nitrogen, relative photosynthetic C uptake (C:N &lt;20), which is consistent with the high frequency of exposure to secondary water. Nutrient status therefore remain</w:t>
      </w:r>
      <w:r>
        <w:rPr>
          <w:szCs w:val="22"/>
        </w:rPr>
        <w:t>ed</w:t>
      </w:r>
      <w:r w:rsidRPr="00C34B48">
        <w:rPr>
          <w:szCs w:val="22"/>
        </w:rPr>
        <w:t xml:space="preserve"> poor. </w:t>
      </w:r>
    </w:p>
    <w:p w:rsidR="003611ED" w:rsidRDefault="003611ED" w:rsidP="003611ED">
      <w:pPr>
        <w:rPr>
          <w:szCs w:val="22"/>
        </w:rPr>
      </w:pPr>
      <w:r w:rsidRPr="00C34B48">
        <w:rPr>
          <w:szCs w:val="22"/>
        </w:rPr>
        <w:t>Overall</w:t>
      </w:r>
      <w:r>
        <w:rPr>
          <w:szCs w:val="22"/>
        </w:rPr>
        <w:t>,</w:t>
      </w:r>
      <w:r w:rsidRPr="00C34B48">
        <w:rPr>
          <w:szCs w:val="22"/>
        </w:rPr>
        <w:t xml:space="preserve"> the status of seagrass condition in the Wet Tropics NRM region has remained </w:t>
      </w:r>
      <w:r w:rsidRPr="00C34B48">
        <w:rPr>
          <w:b/>
          <w:szCs w:val="22"/>
        </w:rPr>
        <w:t>poor</w:t>
      </w:r>
      <w:r w:rsidRPr="00C34B48">
        <w:rPr>
          <w:szCs w:val="22"/>
        </w:rPr>
        <w:t xml:space="preserve"> in 2014-15 (</w:t>
      </w:r>
      <w:r w:rsidR="00F7114B">
        <w:rPr>
          <w:szCs w:val="22"/>
        </w:rPr>
        <w:fldChar w:fldCharType="begin"/>
      </w:r>
      <w:r w:rsidR="00F7114B">
        <w:rPr>
          <w:szCs w:val="22"/>
        </w:rPr>
        <w:instrText xml:space="preserve"> REF _Ref385233640 \h </w:instrText>
      </w:r>
      <w:r w:rsidR="00F7114B">
        <w:rPr>
          <w:szCs w:val="22"/>
        </w:rPr>
      </w:r>
      <w:r w:rsidR="00F7114B">
        <w:rPr>
          <w:szCs w:val="22"/>
        </w:rPr>
        <w:fldChar w:fldCharType="separate"/>
      </w:r>
      <w:r w:rsidR="009C068F" w:rsidRPr="00025245">
        <w:rPr>
          <w:color w:val="000000"/>
        </w:rPr>
        <w:t xml:space="preserve">Figure </w:t>
      </w:r>
      <w:r w:rsidR="009C068F">
        <w:rPr>
          <w:noProof/>
          <w:color w:val="000000"/>
        </w:rPr>
        <w:t>42</w:t>
      </w:r>
      <w:r w:rsidR="00F7114B">
        <w:rPr>
          <w:szCs w:val="22"/>
        </w:rPr>
        <w:fldChar w:fldCharType="end"/>
      </w:r>
      <w:r w:rsidRPr="00C34B48">
        <w:rPr>
          <w:szCs w:val="22"/>
        </w:rPr>
        <w:t>).</w:t>
      </w:r>
      <w:r>
        <w:rPr>
          <w:szCs w:val="22"/>
        </w:rPr>
        <w:t xml:space="preserve"> On average, Wet Tropics seagrass meadows remain in a vulnerable condition with low resilience, however, some sites are showing signs of improvement, while others have deteriorated. </w:t>
      </w:r>
    </w:p>
    <w:p w:rsidR="00F7114B" w:rsidRDefault="00F7114B" w:rsidP="00F7114B">
      <w:pPr>
        <w:jc w:val="center"/>
        <w:rPr>
          <w:color w:val="000000"/>
          <w:szCs w:val="22"/>
        </w:rPr>
      </w:pPr>
      <w:r>
        <w:rPr>
          <w:noProof/>
          <w:color w:val="000000"/>
          <w:szCs w:val="22"/>
          <w:lang w:eastAsia="en-AU"/>
        </w:rPr>
        <w:drawing>
          <wp:inline distT="0" distB="0" distL="0" distR="0" wp14:anchorId="0E15EA19" wp14:editId="79C285CA">
            <wp:extent cx="5185476" cy="2781300"/>
            <wp:effectExtent l="0" t="0" r="0" b="0"/>
            <wp:docPr id="127" name="Picture 127" descr="Panel of four scatter plots with straight lines and markers showing report card of seagrass condition (indicators and index) for the Wet Tropics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INDEX_WT_2015.pn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187124" cy="2782184"/>
                    </a:xfrm>
                    <a:prstGeom prst="rect">
                      <a:avLst/>
                    </a:prstGeom>
                  </pic:spPr>
                </pic:pic>
              </a:graphicData>
            </a:graphic>
          </wp:inline>
        </w:drawing>
      </w:r>
    </w:p>
    <w:p w:rsidR="00F7114B" w:rsidRPr="00025245" w:rsidRDefault="00F7114B" w:rsidP="00F7114B">
      <w:pPr>
        <w:rPr>
          <w:vanish/>
          <w:color w:val="000000"/>
          <w:specVanish/>
        </w:rPr>
      </w:pPr>
      <w:bookmarkStart w:id="278" w:name="_Ref385233640"/>
      <w:bookmarkStart w:id="279" w:name="_Toc431493839"/>
      <w:bookmarkStart w:id="280" w:name="_Toc462684882"/>
      <w:r w:rsidRPr="00025245">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42</w:t>
      </w:r>
      <w:r>
        <w:rPr>
          <w:color w:val="000000"/>
        </w:rPr>
        <w:fldChar w:fldCharType="end"/>
      </w:r>
      <w:bookmarkEnd w:id="278"/>
      <w:r w:rsidRPr="00025245">
        <w:rPr>
          <w:color w:val="000000"/>
        </w:rPr>
        <w:t>. Report card of seagrass status indicators and index for the Wet Tropics NRM region</w:t>
      </w:r>
      <w:bookmarkEnd w:id="279"/>
      <w:bookmarkEnd w:id="280"/>
    </w:p>
    <w:p w:rsidR="00F7114B" w:rsidRPr="00025245" w:rsidRDefault="00F7114B" w:rsidP="00F7114B">
      <w:pPr>
        <w:rPr>
          <w:i/>
          <w:color w:val="000000"/>
          <w:szCs w:val="22"/>
        </w:rPr>
      </w:pPr>
      <w:r w:rsidRPr="00025245">
        <w:rPr>
          <w:i/>
          <w:color w:val="000000"/>
          <w:szCs w:val="22"/>
        </w:rPr>
        <w:t xml:space="preserve"> (averages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w:t>
      </w:r>
      <w:r w:rsidRPr="00E237C6">
        <w:rPr>
          <w:i/>
          <w:szCs w:val="22"/>
        </w:rPr>
        <w:lastRenderedPageBreak/>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w:t>
      </w:r>
      <w:proofErr w:type="spellStart"/>
      <w:r>
        <w:rPr>
          <w:i/>
          <w:szCs w:val="22"/>
        </w:rPr>
        <w:t>unitless</w:t>
      </w:r>
      <w:proofErr w:type="spellEnd"/>
      <w:r w:rsidRPr="00E237C6">
        <w:rPr>
          <w:i/>
          <w:szCs w:val="22"/>
        </w:rPr>
        <w:t>.</w:t>
      </w:r>
    </w:p>
    <w:p w:rsidR="003611ED" w:rsidRPr="000C1040" w:rsidRDefault="003611ED" w:rsidP="00926892">
      <w:pPr>
        <w:pStyle w:val="Heading3"/>
        <w:numPr>
          <w:ilvl w:val="2"/>
          <w:numId w:val="9"/>
        </w:numPr>
        <w:rPr>
          <w:rFonts w:ascii="Arial" w:hAnsi="Arial" w:cs="Arial"/>
          <w:color w:val="000000"/>
        </w:rPr>
      </w:pPr>
      <w:bookmarkStart w:id="281" w:name="_Toc462047344"/>
      <w:r w:rsidRPr="000C1040">
        <w:rPr>
          <w:rFonts w:ascii="Arial" w:hAnsi="Arial" w:cs="Arial"/>
          <w:color w:val="000000"/>
        </w:rPr>
        <w:t>Climate and environmental pressures</w:t>
      </w:r>
      <w:bookmarkEnd w:id="281"/>
    </w:p>
    <w:p w:rsidR="003611ED" w:rsidRPr="00A9366C" w:rsidRDefault="003611ED" w:rsidP="003611ED">
      <w:bookmarkStart w:id="282" w:name="_Toc431493766"/>
      <w:bookmarkStart w:id="283" w:name="_Toc170192305"/>
      <w:bookmarkEnd w:id="276"/>
      <w:bookmarkEnd w:id="277"/>
      <w:r w:rsidRPr="00A9366C">
        <w:t xml:space="preserve">Annual rainfall and </w:t>
      </w:r>
      <w:r w:rsidRPr="00A9366C">
        <w:rPr>
          <w:rFonts w:cs="TimesNewRoman"/>
          <w:szCs w:val="22"/>
        </w:rPr>
        <w:t xml:space="preserve">river discharges </w:t>
      </w:r>
      <w:r w:rsidRPr="00A9366C">
        <w:t xml:space="preserve">were not only </w:t>
      </w:r>
      <w:r w:rsidRPr="00A9366C">
        <w:rPr>
          <w:rFonts w:cs="TimesNewRoman"/>
          <w:szCs w:val="22"/>
        </w:rPr>
        <w:t>below the long-term average in 2014-15, but the lowest in over a decade. Wind speeds were similarly below the long-term average</w:t>
      </w:r>
      <w:r w:rsidR="0053548F">
        <w:rPr>
          <w:rFonts w:cs="TimesNewRoman"/>
          <w:szCs w:val="22"/>
        </w:rPr>
        <w:t xml:space="preserve"> (</w:t>
      </w:r>
      <w:r w:rsidR="0053548F">
        <w:rPr>
          <w:rFonts w:cs="TimesNewRoman"/>
          <w:szCs w:val="22"/>
        </w:rPr>
        <w:fldChar w:fldCharType="begin"/>
      </w:r>
      <w:r w:rsidR="0053548F">
        <w:rPr>
          <w:rFonts w:cs="TimesNewRoman"/>
          <w:szCs w:val="22"/>
        </w:rPr>
        <w:instrText xml:space="preserve"> REF _Ref442440216 \h </w:instrText>
      </w:r>
      <w:r w:rsidR="0053548F">
        <w:rPr>
          <w:rFonts w:cs="TimesNewRoman"/>
          <w:szCs w:val="22"/>
        </w:rPr>
      </w:r>
      <w:r w:rsidR="0053548F">
        <w:rPr>
          <w:rFonts w:cs="TimesNewRoman"/>
          <w:szCs w:val="22"/>
        </w:rPr>
        <w:fldChar w:fldCharType="separate"/>
      </w:r>
      <w:r w:rsidR="009C068F">
        <w:t xml:space="preserve">Table </w:t>
      </w:r>
      <w:r w:rsidR="009C068F">
        <w:rPr>
          <w:noProof/>
        </w:rPr>
        <w:t>15</w:t>
      </w:r>
      <w:r w:rsidR="0053548F">
        <w:rPr>
          <w:rFonts w:cs="TimesNewRoman"/>
          <w:szCs w:val="22"/>
        </w:rPr>
        <w:fldChar w:fldCharType="end"/>
      </w:r>
      <w:r w:rsidR="0053548F">
        <w:rPr>
          <w:rFonts w:cs="TimesNewRoman"/>
          <w:szCs w:val="22"/>
        </w:rPr>
        <w:t>)</w:t>
      </w:r>
      <w:r w:rsidRPr="00A9366C">
        <w:rPr>
          <w:rFonts w:cs="TimesNewRoman"/>
          <w:szCs w:val="22"/>
        </w:rPr>
        <w:t xml:space="preserve">. </w:t>
      </w:r>
      <w:r w:rsidRPr="00A9366C">
        <w:t>Exposure to plume water types was highly variable among Wet Tropics sites. Lugger Bay was largely exposed to primary water, most other sites to secondary water, and Green Island to oceanic water types (</w:t>
      </w:r>
      <w:r w:rsidR="0053548F">
        <w:fldChar w:fldCharType="begin"/>
      </w:r>
      <w:r w:rsidR="0053548F">
        <w:instrText xml:space="preserve"> REF _Ref442440167 \h </w:instrText>
      </w:r>
      <w:r w:rsidR="0053548F">
        <w:fldChar w:fldCharType="separate"/>
      </w:r>
      <w:r w:rsidR="009C068F">
        <w:t xml:space="preserve">Figure </w:t>
      </w:r>
      <w:r w:rsidR="009C068F">
        <w:rPr>
          <w:noProof/>
        </w:rPr>
        <w:t>43</w:t>
      </w:r>
      <w:r w:rsidR="0053548F">
        <w:fldChar w:fldCharType="end"/>
      </w:r>
      <w:r w:rsidR="0053548F">
        <w:t xml:space="preserve">, </w:t>
      </w:r>
      <w:r w:rsidR="0053548F">
        <w:fldChar w:fldCharType="begin"/>
      </w:r>
      <w:r w:rsidR="0053548F">
        <w:instrText xml:space="preserve"> REF _Ref442440193 \h </w:instrText>
      </w:r>
      <w:r w:rsidR="0053548F">
        <w:fldChar w:fldCharType="separate"/>
      </w:r>
      <w:r w:rsidR="009C068F">
        <w:t xml:space="preserve">Table </w:t>
      </w:r>
      <w:r w:rsidR="009C068F">
        <w:rPr>
          <w:noProof/>
        </w:rPr>
        <w:t>16</w:t>
      </w:r>
      <w:r w:rsidR="0053548F">
        <w:fldChar w:fldCharType="end"/>
      </w:r>
      <w:r w:rsidRPr="00A9366C">
        <w:t xml:space="preserve">). Within canopy temperatures were slightly higher </w:t>
      </w:r>
      <w:r w:rsidR="00A9366C" w:rsidRPr="00A9366C">
        <w:t xml:space="preserve">and low tide exposure during daylight hours was lower in 2014-15 </w:t>
      </w:r>
      <w:r w:rsidRPr="00A9366C">
        <w:t>than the long-term average</w:t>
      </w:r>
      <w:r w:rsidR="00A9366C" w:rsidRPr="00A9366C">
        <w:t xml:space="preserve"> and previous monitoring period.</w:t>
      </w:r>
    </w:p>
    <w:p w:rsidR="003611ED" w:rsidRPr="005C004C" w:rsidRDefault="005C004C" w:rsidP="005C004C">
      <w:pPr>
        <w:jc w:val="center"/>
        <w:rPr>
          <w:i/>
        </w:rPr>
      </w:pPr>
      <w:bookmarkStart w:id="284" w:name="_Ref442440216"/>
      <w:bookmarkStart w:id="285" w:name="_Toc462685084"/>
      <w:r>
        <w:t xml:space="preserve">Table </w:t>
      </w:r>
      <w:fldSimple w:instr=" SEQ Table \* ARABIC ">
        <w:r w:rsidR="009C068F">
          <w:rPr>
            <w:noProof/>
          </w:rPr>
          <w:t>15</w:t>
        </w:r>
      </w:fldSimple>
      <w:bookmarkEnd w:id="284"/>
      <w:r>
        <w:t xml:space="preserve">.  </w:t>
      </w:r>
      <w:r w:rsidR="003611ED" w:rsidRPr="005C004C">
        <w:rPr>
          <w:i/>
        </w:rPr>
        <w:t xml:space="preserve">Summary of environmental conditions at monitoring sites in </w:t>
      </w:r>
      <w:r>
        <w:rPr>
          <w:i/>
        </w:rPr>
        <w:t xml:space="preserve">the </w:t>
      </w:r>
      <w:r w:rsidR="003611ED" w:rsidRPr="005C004C">
        <w:rPr>
          <w:i/>
        </w:rPr>
        <w:t xml:space="preserve">Wet Tropics </w:t>
      </w:r>
      <w:r>
        <w:rPr>
          <w:i/>
        </w:rPr>
        <w:t xml:space="preserve">region </w:t>
      </w:r>
      <w:r w:rsidR="003611ED" w:rsidRPr="005C004C">
        <w:rPr>
          <w:i/>
        </w:rPr>
        <w:t>in 2014-15 compared to the long-term average (long-term range indicated for each data set).</w:t>
      </w:r>
      <w:bookmarkEnd w:id="285"/>
    </w:p>
    <w:tbl>
      <w:tblPr>
        <w:tblW w:w="0" w:type="auto"/>
        <w:jc w:val="center"/>
        <w:tblBorders>
          <w:bottom w:val="single" w:sz="4" w:space="0" w:color="auto"/>
        </w:tblBorders>
        <w:tblLook w:val="04A0" w:firstRow="1" w:lastRow="0" w:firstColumn="1" w:lastColumn="0" w:noHBand="0" w:noVBand="1"/>
      </w:tblPr>
      <w:tblGrid>
        <w:gridCol w:w="4164"/>
        <w:gridCol w:w="2268"/>
        <w:gridCol w:w="1559"/>
      </w:tblGrid>
      <w:tr w:rsidR="003611ED" w:rsidRPr="005C004C" w:rsidTr="0059610E">
        <w:trPr>
          <w:trHeight w:val="227"/>
          <w:jc w:val="center"/>
        </w:trPr>
        <w:tc>
          <w:tcPr>
            <w:tcW w:w="4164" w:type="dxa"/>
            <w:tcBorders>
              <w:top w:val="single" w:sz="4" w:space="0" w:color="auto"/>
              <w:bottom w:val="single" w:sz="4" w:space="0" w:color="auto"/>
            </w:tcBorders>
            <w:shd w:val="clear" w:color="auto" w:fill="BBE0E3"/>
          </w:tcPr>
          <w:p w:rsidR="003611ED" w:rsidRPr="005C004C" w:rsidRDefault="003611ED"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rsidR="003611ED" w:rsidRPr="005C004C" w:rsidRDefault="003611ED" w:rsidP="0059610E">
            <w:pPr>
              <w:spacing w:before="0" w:after="0"/>
              <w:rPr>
                <w:b/>
                <w:sz w:val="18"/>
                <w:szCs w:val="18"/>
              </w:rPr>
            </w:pPr>
            <w:r w:rsidRPr="005C004C">
              <w:rPr>
                <w:b/>
                <w:sz w:val="18"/>
                <w:szCs w:val="18"/>
              </w:rPr>
              <w:t>Long-term average</w:t>
            </w:r>
          </w:p>
        </w:tc>
        <w:tc>
          <w:tcPr>
            <w:tcW w:w="1559" w:type="dxa"/>
            <w:tcBorders>
              <w:top w:val="single" w:sz="4" w:space="0" w:color="auto"/>
              <w:bottom w:val="single" w:sz="4" w:space="0" w:color="auto"/>
            </w:tcBorders>
            <w:shd w:val="clear" w:color="auto" w:fill="BBE0E3"/>
          </w:tcPr>
          <w:p w:rsidR="003611ED" w:rsidRPr="005C004C" w:rsidRDefault="003611ED" w:rsidP="0059610E">
            <w:pPr>
              <w:spacing w:before="0" w:after="0"/>
              <w:rPr>
                <w:b/>
                <w:sz w:val="18"/>
                <w:szCs w:val="18"/>
              </w:rPr>
            </w:pPr>
            <w:r w:rsidRPr="005C004C">
              <w:rPr>
                <w:b/>
                <w:sz w:val="18"/>
                <w:szCs w:val="18"/>
              </w:rPr>
              <w:t>2014-15</w:t>
            </w:r>
          </w:p>
        </w:tc>
      </w:tr>
      <w:tr w:rsidR="003611ED" w:rsidTr="0059610E">
        <w:trPr>
          <w:trHeight w:val="227"/>
          <w:jc w:val="center"/>
        </w:trPr>
        <w:tc>
          <w:tcPr>
            <w:tcW w:w="4164" w:type="dxa"/>
            <w:shd w:val="clear" w:color="auto" w:fill="E7F3F4"/>
          </w:tcPr>
          <w:p w:rsidR="003611ED" w:rsidRPr="008D1B84" w:rsidRDefault="003611ED" w:rsidP="0059610E">
            <w:pPr>
              <w:spacing w:before="0" w:after="0"/>
              <w:rPr>
                <w:sz w:val="18"/>
                <w:szCs w:val="18"/>
              </w:rPr>
            </w:pPr>
            <w:r w:rsidRPr="008D1B84">
              <w:rPr>
                <w:sz w:val="18"/>
                <w:szCs w:val="18"/>
              </w:rPr>
              <w:t>Rainfall</w:t>
            </w:r>
            <w:r>
              <w:rPr>
                <w:sz w:val="18"/>
                <w:szCs w:val="18"/>
              </w:rPr>
              <w:t xml:space="preserve"> (1887-2015)</w:t>
            </w:r>
          </w:p>
        </w:tc>
        <w:tc>
          <w:tcPr>
            <w:tcW w:w="2268" w:type="dxa"/>
            <w:shd w:val="clear" w:color="auto" w:fill="E7F3F4"/>
          </w:tcPr>
          <w:p w:rsidR="003611ED" w:rsidRPr="008D1B84" w:rsidRDefault="003611ED" w:rsidP="0059610E">
            <w:pPr>
              <w:spacing w:before="0" w:after="0"/>
              <w:rPr>
                <w:sz w:val="18"/>
                <w:szCs w:val="18"/>
              </w:rPr>
            </w:pPr>
            <w:r>
              <w:rPr>
                <w:sz w:val="18"/>
                <w:szCs w:val="18"/>
              </w:rPr>
              <w:t>2,357 mm</w:t>
            </w:r>
          </w:p>
        </w:tc>
        <w:tc>
          <w:tcPr>
            <w:tcW w:w="1559" w:type="dxa"/>
            <w:shd w:val="clear" w:color="auto" w:fill="E7F3F4"/>
          </w:tcPr>
          <w:p w:rsidR="003611ED" w:rsidRPr="008D1B84" w:rsidRDefault="003611ED" w:rsidP="0059610E">
            <w:pPr>
              <w:spacing w:before="0" w:after="0"/>
              <w:rPr>
                <w:sz w:val="18"/>
                <w:szCs w:val="18"/>
              </w:rPr>
            </w:pPr>
            <w:r>
              <w:rPr>
                <w:sz w:val="18"/>
                <w:szCs w:val="18"/>
              </w:rPr>
              <w:t>1,467 mm</w:t>
            </w:r>
          </w:p>
        </w:tc>
      </w:tr>
      <w:tr w:rsidR="003611ED" w:rsidTr="0059610E">
        <w:trPr>
          <w:trHeight w:val="227"/>
          <w:jc w:val="center"/>
        </w:trPr>
        <w:tc>
          <w:tcPr>
            <w:tcW w:w="4164" w:type="dxa"/>
            <w:shd w:val="clear" w:color="auto" w:fill="E7F3F4"/>
          </w:tcPr>
          <w:p w:rsidR="003611ED" w:rsidRDefault="003611ED" w:rsidP="0059610E">
            <w:pPr>
              <w:spacing w:before="0" w:after="0"/>
              <w:rPr>
                <w:sz w:val="18"/>
                <w:szCs w:val="18"/>
              </w:rPr>
            </w:pPr>
            <w:r>
              <w:rPr>
                <w:sz w:val="18"/>
                <w:szCs w:val="18"/>
              </w:rPr>
              <w:t>River discharge (1970</w:t>
            </w:r>
            <w:r w:rsidRPr="008D1B84">
              <w:rPr>
                <w:sz w:val="18"/>
                <w:szCs w:val="18"/>
              </w:rPr>
              <w:t>-2015)</w:t>
            </w:r>
          </w:p>
        </w:tc>
        <w:tc>
          <w:tcPr>
            <w:tcW w:w="2268" w:type="dxa"/>
            <w:shd w:val="clear" w:color="auto" w:fill="E7F3F4"/>
          </w:tcPr>
          <w:p w:rsidR="003611ED" w:rsidRDefault="003611ED" w:rsidP="0059610E">
            <w:pPr>
              <w:spacing w:before="0" w:after="0"/>
              <w:rPr>
                <w:sz w:val="18"/>
                <w:szCs w:val="18"/>
              </w:rPr>
            </w:pPr>
            <w:r>
              <w:rPr>
                <w:color w:val="000000"/>
                <w:sz w:val="18"/>
                <w:szCs w:val="18"/>
              </w:rPr>
              <w:t>8,256,653</w:t>
            </w:r>
            <w:r w:rsidRPr="002663DB">
              <w:rPr>
                <w:color w:val="000000"/>
                <w:sz w:val="18"/>
                <w:szCs w:val="18"/>
              </w:rPr>
              <w:t xml:space="preserve"> </w:t>
            </w:r>
            <w:r w:rsidRPr="008D1B84">
              <w:rPr>
                <w:sz w:val="18"/>
                <w:szCs w:val="18"/>
              </w:rPr>
              <w:t>L</w:t>
            </w:r>
            <w:r>
              <w:rPr>
                <w:sz w:val="18"/>
                <w:szCs w:val="18"/>
              </w:rPr>
              <w:t xml:space="preserve"> yr</w:t>
            </w:r>
            <w:r w:rsidRPr="00233108">
              <w:rPr>
                <w:sz w:val="18"/>
                <w:szCs w:val="18"/>
                <w:vertAlign w:val="superscript"/>
              </w:rPr>
              <w:t>-1</w:t>
            </w:r>
          </w:p>
        </w:tc>
        <w:tc>
          <w:tcPr>
            <w:tcW w:w="1559" w:type="dxa"/>
            <w:shd w:val="clear" w:color="auto" w:fill="E7F3F4"/>
          </w:tcPr>
          <w:p w:rsidR="003611ED" w:rsidRDefault="003611ED" w:rsidP="0059610E">
            <w:pPr>
              <w:spacing w:before="0" w:after="0"/>
              <w:rPr>
                <w:sz w:val="18"/>
                <w:szCs w:val="18"/>
              </w:rPr>
            </w:pPr>
            <w:r>
              <w:rPr>
                <w:rFonts w:asciiTheme="majorHAnsi" w:hAnsiTheme="majorHAnsi"/>
                <w:color w:val="000000"/>
                <w:sz w:val="18"/>
                <w:szCs w:val="18"/>
              </w:rPr>
              <w:t>4,368,819</w:t>
            </w:r>
            <w:r w:rsidRPr="006A6B6C">
              <w:rPr>
                <w:rFonts w:asciiTheme="majorHAnsi" w:hAnsiTheme="majorHAnsi"/>
                <w:color w:val="000000"/>
                <w:sz w:val="18"/>
                <w:szCs w:val="18"/>
              </w:rPr>
              <w:t xml:space="preserve"> </w:t>
            </w:r>
            <w:r w:rsidRPr="008D1B84">
              <w:rPr>
                <w:sz w:val="18"/>
                <w:szCs w:val="18"/>
              </w:rPr>
              <w:t>L</w:t>
            </w:r>
            <w:r>
              <w:rPr>
                <w:sz w:val="18"/>
                <w:szCs w:val="18"/>
              </w:rPr>
              <w:t xml:space="preserve"> yr</w:t>
            </w:r>
            <w:r w:rsidRPr="00233108">
              <w:rPr>
                <w:sz w:val="18"/>
                <w:szCs w:val="18"/>
                <w:vertAlign w:val="superscript"/>
              </w:rPr>
              <w:t>-1</w:t>
            </w:r>
          </w:p>
        </w:tc>
      </w:tr>
      <w:tr w:rsidR="003611ED" w:rsidTr="0059610E">
        <w:trPr>
          <w:trHeight w:val="227"/>
          <w:jc w:val="center"/>
        </w:trPr>
        <w:tc>
          <w:tcPr>
            <w:tcW w:w="4164" w:type="dxa"/>
            <w:shd w:val="clear" w:color="auto" w:fill="E7F3F4"/>
          </w:tcPr>
          <w:p w:rsidR="003611ED" w:rsidRDefault="003611ED" w:rsidP="0059610E">
            <w:pPr>
              <w:spacing w:before="0" w:after="0"/>
              <w:rPr>
                <w:sz w:val="18"/>
                <w:szCs w:val="18"/>
              </w:rPr>
            </w:pPr>
            <w:r>
              <w:rPr>
                <w:sz w:val="18"/>
                <w:szCs w:val="18"/>
              </w:rPr>
              <w:t>Flood p</w:t>
            </w:r>
            <w:r w:rsidRPr="008D1B84">
              <w:rPr>
                <w:sz w:val="18"/>
                <w:szCs w:val="18"/>
              </w:rPr>
              <w:t>lume exposure (2006-2015)</w:t>
            </w:r>
          </w:p>
        </w:tc>
        <w:tc>
          <w:tcPr>
            <w:tcW w:w="2268" w:type="dxa"/>
            <w:shd w:val="clear" w:color="auto" w:fill="E7F3F4"/>
          </w:tcPr>
          <w:p w:rsidR="003611ED" w:rsidRPr="004A0042" w:rsidRDefault="003611ED" w:rsidP="0059610E">
            <w:pPr>
              <w:spacing w:before="0" w:after="0"/>
              <w:rPr>
                <w:i/>
                <w:sz w:val="16"/>
                <w:szCs w:val="16"/>
              </w:rPr>
            </w:pPr>
            <w:r w:rsidRPr="004A0042">
              <w:rPr>
                <w:i/>
                <w:sz w:val="16"/>
                <w:szCs w:val="16"/>
              </w:rPr>
              <w:t>unavailable</w:t>
            </w:r>
          </w:p>
        </w:tc>
        <w:tc>
          <w:tcPr>
            <w:tcW w:w="1559" w:type="dxa"/>
            <w:shd w:val="clear" w:color="auto" w:fill="E7F3F4"/>
          </w:tcPr>
          <w:p w:rsidR="003611ED" w:rsidRDefault="003611ED" w:rsidP="0059610E">
            <w:pPr>
              <w:spacing w:before="0" w:after="0"/>
              <w:rPr>
                <w:sz w:val="18"/>
                <w:szCs w:val="18"/>
              </w:rPr>
            </w:pPr>
            <w:r>
              <w:rPr>
                <w:sz w:val="18"/>
                <w:szCs w:val="18"/>
              </w:rPr>
              <w:t>65%</w:t>
            </w:r>
          </w:p>
        </w:tc>
      </w:tr>
      <w:tr w:rsidR="003611ED" w:rsidTr="0059610E">
        <w:trPr>
          <w:trHeight w:val="227"/>
          <w:jc w:val="center"/>
        </w:trPr>
        <w:tc>
          <w:tcPr>
            <w:tcW w:w="4164" w:type="dxa"/>
            <w:shd w:val="clear" w:color="auto" w:fill="E7F3F4"/>
          </w:tcPr>
          <w:p w:rsidR="003611ED" w:rsidRPr="008D1B84" w:rsidRDefault="003611ED" w:rsidP="0059610E">
            <w:pPr>
              <w:spacing w:before="0" w:after="0"/>
              <w:rPr>
                <w:sz w:val="18"/>
                <w:szCs w:val="18"/>
              </w:rPr>
            </w:pPr>
            <w:r>
              <w:rPr>
                <w:sz w:val="18"/>
                <w:szCs w:val="18"/>
              </w:rPr>
              <w:t>Daytime tidal exposure (1999-2015)</w:t>
            </w:r>
          </w:p>
        </w:tc>
        <w:tc>
          <w:tcPr>
            <w:tcW w:w="2268" w:type="dxa"/>
            <w:shd w:val="clear" w:color="auto" w:fill="E7F3F4"/>
          </w:tcPr>
          <w:p w:rsidR="003611ED" w:rsidRPr="008D1B84" w:rsidRDefault="003611ED" w:rsidP="0059610E">
            <w:pPr>
              <w:spacing w:before="0" w:after="0"/>
              <w:rPr>
                <w:sz w:val="18"/>
                <w:szCs w:val="18"/>
              </w:rPr>
            </w:pPr>
            <w:r>
              <w:rPr>
                <w:sz w:val="18"/>
                <w:szCs w:val="18"/>
              </w:rPr>
              <w:t>109.77 hrs yr</w:t>
            </w:r>
            <w:r w:rsidRPr="003E5A31">
              <w:rPr>
                <w:sz w:val="18"/>
                <w:szCs w:val="18"/>
                <w:vertAlign w:val="superscript"/>
              </w:rPr>
              <w:t>-1</w:t>
            </w:r>
          </w:p>
        </w:tc>
        <w:tc>
          <w:tcPr>
            <w:tcW w:w="1559" w:type="dxa"/>
            <w:shd w:val="clear" w:color="auto" w:fill="E7F3F4"/>
          </w:tcPr>
          <w:p w:rsidR="003611ED" w:rsidRPr="008D1B84" w:rsidRDefault="003611ED" w:rsidP="0059610E">
            <w:pPr>
              <w:spacing w:before="0" w:after="0"/>
              <w:rPr>
                <w:sz w:val="18"/>
                <w:szCs w:val="18"/>
              </w:rPr>
            </w:pPr>
            <w:r>
              <w:rPr>
                <w:sz w:val="18"/>
                <w:szCs w:val="18"/>
              </w:rPr>
              <w:t>87.89 hrs yr</w:t>
            </w:r>
            <w:r w:rsidRPr="003E5A31">
              <w:rPr>
                <w:sz w:val="18"/>
                <w:szCs w:val="18"/>
                <w:vertAlign w:val="superscript"/>
              </w:rPr>
              <w:t>-1</w:t>
            </w:r>
          </w:p>
        </w:tc>
      </w:tr>
      <w:tr w:rsidR="003611ED" w:rsidTr="0059610E">
        <w:trPr>
          <w:trHeight w:val="227"/>
          <w:jc w:val="center"/>
        </w:trPr>
        <w:tc>
          <w:tcPr>
            <w:tcW w:w="4164" w:type="dxa"/>
            <w:tcBorders>
              <w:bottom w:val="single" w:sz="4" w:space="0" w:color="auto"/>
            </w:tcBorders>
            <w:shd w:val="clear" w:color="auto" w:fill="E7F3F4"/>
          </w:tcPr>
          <w:p w:rsidR="003611ED" w:rsidRPr="005F27E2" w:rsidRDefault="003611ED" w:rsidP="0059610E">
            <w:pPr>
              <w:spacing w:before="0" w:after="0"/>
              <w:rPr>
                <w:sz w:val="18"/>
                <w:szCs w:val="18"/>
              </w:rPr>
            </w:pPr>
            <w:r w:rsidRPr="008D1B84">
              <w:rPr>
                <w:sz w:val="18"/>
                <w:szCs w:val="18"/>
              </w:rPr>
              <w:t>Wind</w:t>
            </w:r>
            <w:r>
              <w:rPr>
                <w:sz w:val="18"/>
                <w:szCs w:val="18"/>
              </w:rPr>
              <w:t xml:space="preserve"> (1998-2015)</w:t>
            </w:r>
          </w:p>
        </w:tc>
        <w:tc>
          <w:tcPr>
            <w:tcW w:w="2268" w:type="dxa"/>
            <w:tcBorders>
              <w:bottom w:val="single" w:sz="4" w:space="0" w:color="auto"/>
            </w:tcBorders>
            <w:shd w:val="clear" w:color="auto" w:fill="E7F3F4"/>
          </w:tcPr>
          <w:p w:rsidR="003611ED" w:rsidRPr="008D1B84" w:rsidRDefault="003611ED" w:rsidP="0059610E">
            <w:pPr>
              <w:spacing w:before="0" w:after="0"/>
              <w:rPr>
                <w:sz w:val="18"/>
                <w:szCs w:val="18"/>
              </w:rPr>
            </w:pPr>
            <w:r>
              <w:rPr>
                <w:sz w:val="18"/>
                <w:szCs w:val="18"/>
              </w:rPr>
              <w:t>120.9 days yr</w:t>
            </w:r>
            <w:r w:rsidRPr="008D1B84">
              <w:rPr>
                <w:sz w:val="18"/>
                <w:szCs w:val="18"/>
                <w:vertAlign w:val="superscript"/>
              </w:rPr>
              <w:t>-1</w:t>
            </w:r>
          </w:p>
        </w:tc>
        <w:tc>
          <w:tcPr>
            <w:tcW w:w="1559" w:type="dxa"/>
            <w:tcBorders>
              <w:bottom w:val="single" w:sz="4" w:space="0" w:color="auto"/>
            </w:tcBorders>
            <w:shd w:val="clear" w:color="auto" w:fill="E7F3F4"/>
          </w:tcPr>
          <w:p w:rsidR="003611ED" w:rsidRPr="008D1B84" w:rsidRDefault="003611ED" w:rsidP="0059610E">
            <w:pPr>
              <w:spacing w:before="0" w:after="0"/>
              <w:rPr>
                <w:sz w:val="18"/>
                <w:szCs w:val="18"/>
              </w:rPr>
            </w:pPr>
            <w:r>
              <w:rPr>
                <w:sz w:val="18"/>
                <w:szCs w:val="18"/>
              </w:rPr>
              <w:t>113.7 days yr</w:t>
            </w:r>
            <w:r w:rsidRPr="008D1B84">
              <w:rPr>
                <w:sz w:val="18"/>
                <w:szCs w:val="18"/>
                <w:vertAlign w:val="superscript"/>
              </w:rPr>
              <w:t>-1</w:t>
            </w:r>
          </w:p>
        </w:tc>
      </w:tr>
      <w:tr w:rsidR="003611ED" w:rsidTr="0059610E">
        <w:trPr>
          <w:trHeight w:val="227"/>
          <w:jc w:val="center"/>
        </w:trPr>
        <w:tc>
          <w:tcPr>
            <w:tcW w:w="4164" w:type="dxa"/>
            <w:shd w:val="clear" w:color="auto" w:fill="F3F9FA"/>
          </w:tcPr>
          <w:p w:rsidR="003611ED" w:rsidRDefault="003611ED" w:rsidP="0059610E">
            <w:pPr>
              <w:tabs>
                <w:tab w:val="left" w:pos="2296"/>
              </w:tabs>
              <w:spacing w:before="0" w:after="0"/>
              <w:rPr>
                <w:sz w:val="18"/>
                <w:szCs w:val="18"/>
              </w:rPr>
            </w:pPr>
            <w:r w:rsidRPr="008D1B84">
              <w:rPr>
                <w:sz w:val="18"/>
                <w:szCs w:val="18"/>
              </w:rPr>
              <w:t xml:space="preserve">Within canopy temperature </w:t>
            </w:r>
            <w:r>
              <w:rPr>
                <w:sz w:val="18"/>
                <w:szCs w:val="18"/>
              </w:rPr>
              <w:t xml:space="preserve">– </w:t>
            </w:r>
            <w:r>
              <w:rPr>
                <w:sz w:val="18"/>
                <w:szCs w:val="18"/>
              </w:rPr>
              <w:tab/>
            </w:r>
            <w:r w:rsidRPr="002E50ED">
              <w:rPr>
                <w:i/>
                <w:sz w:val="18"/>
                <w:szCs w:val="18"/>
              </w:rPr>
              <w:t>intertidal</w:t>
            </w:r>
            <w:r>
              <w:rPr>
                <w:sz w:val="18"/>
                <w:szCs w:val="18"/>
              </w:rPr>
              <w:t xml:space="preserve"> </w:t>
            </w:r>
            <w:r w:rsidRPr="008D1B84">
              <w:rPr>
                <w:sz w:val="18"/>
                <w:szCs w:val="18"/>
              </w:rPr>
              <w:t>(20</w:t>
            </w:r>
            <w:r>
              <w:rPr>
                <w:sz w:val="18"/>
                <w:szCs w:val="18"/>
              </w:rPr>
              <w:t>03</w:t>
            </w:r>
            <w:r w:rsidRPr="008D1B84">
              <w:rPr>
                <w:sz w:val="18"/>
                <w:szCs w:val="18"/>
              </w:rPr>
              <w:t>-2015)</w:t>
            </w:r>
          </w:p>
          <w:p w:rsidR="003611ED" w:rsidRPr="008D1B84" w:rsidRDefault="003611ED" w:rsidP="0059610E">
            <w:pPr>
              <w:tabs>
                <w:tab w:val="left" w:pos="2296"/>
              </w:tabs>
              <w:spacing w:before="0" w:after="0"/>
              <w:rPr>
                <w:sz w:val="18"/>
                <w:szCs w:val="18"/>
              </w:rPr>
            </w:pPr>
            <w:r>
              <w:rPr>
                <w:sz w:val="18"/>
                <w:szCs w:val="18"/>
              </w:rPr>
              <w:tab/>
            </w:r>
            <w:r>
              <w:rPr>
                <w:i/>
                <w:sz w:val="18"/>
                <w:szCs w:val="18"/>
              </w:rPr>
              <w:t>s</w:t>
            </w:r>
            <w:r w:rsidRPr="002E50ED">
              <w:rPr>
                <w:i/>
                <w:sz w:val="18"/>
                <w:szCs w:val="18"/>
              </w:rPr>
              <w:t>ubtidal</w:t>
            </w:r>
            <w:r>
              <w:rPr>
                <w:sz w:val="18"/>
                <w:szCs w:val="18"/>
              </w:rPr>
              <w:t xml:space="preserve"> (</w:t>
            </w:r>
            <w:r w:rsidRPr="008D1B84">
              <w:rPr>
                <w:sz w:val="18"/>
                <w:szCs w:val="18"/>
              </w:rPr>
              <w:t>20</w:t>
            </w:r>
            <w:r>
              <w:rPr>
                <w:sz w:val="18"/>
                <w:szCs w:val="18"/>
              </w:rPr>
              <w:t>08</w:t>
            </w:r>
            <w:r w:rsidRPr="008D1B84">
              <w:rPr>
                <w:sz w:val="18"/>
                <w:szCs w:val="18"/>
              </w:rPr>
              <w:t>-</w:t>
            </w:r>
            <w:r>
              <w:rPr>
                <w:sz w:val="18"/>
                <w:szCs w:val="18"/>
              </w:rPr>
              <w:t>2015)</w:t>
            </w:r>
          </w:p>
        </w:tc>
        <w:tc>
          <w:tcPr>
            <w:tcW w:w="2268" w:type="dxa"/>
            <w:shd w:val="clear" w:color="auto" w:fill="F3F9FA"/>
          </w:tcPr>
          <w:p w:rsidR="003611ED" w:rsidRDefault="003611ED" w:rsidP="0059610E">
            <w:pPr>
              <w:spacing w:before="0" w:after="0"/>
              <w:rPr>
                <w:sz w:val="18"/>
                <w:szCs w:val="18"/>
              </w:rPr>
            </w:pPr>
            <w:r w:rsidRPr="001D5EC8">
              <w:rPr>
                <w:color w:val="000000"/>
                <w:sz w:val="18"/>
                <w:szCs w:val="18"/>
              </w:rPr>
              <w:t>26.8</w:t>
            </w:r>
            <w:r w:rsidRPr="003E5A31">
              <w:rPr>
                <w:sz w:val="18"/>
                <w:szCs w:val="18"/>
              </w:rPr>
              <w:t>°C</w:t>
            </w:r>
            <w:r w:rsidRPr="001D5EC8">
              <w:rPr>
                <w:color w:val="000000"/>
                <w:sz w:val="18"/>
                <w:szCs w:val="18"/>
              </w:rPr>
              <w:t xml:space="preserve"> </w:t>
            </w:r>
            <w:r w:rsidRPr="006577FA">
              <w:rPr>
                <w:i/>
                <w:color w:val="000000"/>
                <w:sz w:val="18"/>
                <w:szCs w:val="18"/>
              </w:rPr>
              <w:t>(41.5</w:t>
            </w:r>
            <w:r w:rsidRPr="006577FA">
              <w:rPr>
                <w:i/>
                <w:sz w:val="18"/>
                <w:szCs w:val="18"/>
              </w:rPr>
              <w:t>°C</w:t>
            </w:r>
            <w:r w:rsidRPr="006577FA">
              <w:rPr>
                <w:i/>
                <w:color w:val="000000"/>
                <w:sz w:val="18"/>
                <w:szCs w:val="18"/>
              </w:rPr>
              <w:t>)</w:t>
            </w:r>
          </w:p>
          <w:p w:rsidR="003611ED" w:rsidRPr="008D1B84" w:rsidRDefault="003611ED" w:rsidP="0059610E">
            <w:pPr>
              <w:spacing w:before="0" w:after="0"/>
              <w:rPr>
                <w:sz w:val="18"/>
                <w:szCs w:val="18"/>
              </w:rPr>
            </w:pPr>
            <w:r w:rsidRPr="001D5EC8">
              <w:rPr>
                <w:color w:val="000000"/>
                <w:sz w:val="18"/>
                <w:szCs w:val="18"/>
              </w:rPr>
              <w:t>26.0</w:t>
            </w:r>
            <w:r w:rsidRPr="003E5A31">
              <w:rPr>
                <w:sz w:val="18"/>
                <w:szCs w:val="18"/>
              </w:rPr>
              <w:t>°C</w:t>
            </w:r>
            <w:r w:rsidRPr="001D5EC8">
              <w:rPr>
                <w:color w:val="000000"/>
                <w:sz w:val="18"/>
                <w:szCs w:val="18"/>
              </w:rPr>
              <w:t xml:space="preserve"> </w:t>
            </w:r>
            <w:r w:rsidRPr="006577FA">
              <w:rPr>
                <w:i/>
                <w:color w:val="000000"/>
                <w:sz w:val="18"/>
                <w:szCs w:val="18"/>
              </w:rPr>
              <w:t>(35.7</w:t>
            </w:r>
            <w:r w:rsidRPr="006577FA">
              <w:rPr>
                <w:i/>
                <w:sz w:val="18"/>
                <w:szCs w:val="18"/>
              </w:rPr>
              <w:t>°C</w:t>
            </w:r>
            <w:r w:rsidRPr="006577FA">
              <w:rPr>
                <w:i/>
                <w:color w:val="000000"/>
                <w:sz w:val="18"/>
                <w:szCs w:val="18"/>
              </w:rPr>
              <w:t>)</w:t>
            </w:r>
          </w:p>
        </w:tc>
        <w:tc>
          <w:tcPr>
            <w:tcW w:w="1559" w:type="dxa"/>
            <w:shd w:val="clear" w:color="auto" w:fill="F3F9FA"/>
          </w:tcPr>
          <w:p w:rsidR="003611ED" w:rsidRDefault="003611ED" w:rsidP="0059610E">
            <w:pPr>
              <w:spacing w:before="0" w:after="0"/>
              <w:rPr>
                <w:sz w:val="18"/>
                <w:szCs w:val="18"/>
              </w:rPr>
            </w:pPr>
            <w:r w:rsidRPr="001D5EC8">
              <w:rPr>
                <w:color w:val="000000"/>
                <w:sz w:val="18"/>
                <w:szCs w:val="18"/>
              </w:rPr>
              <w:t>27.0</w:t>
            </w:r>
            <w:r w:rsidRPr="003E5A31">
              <w:rPr>
                <w:sz w:val="18"/>
                <w:szCs w:val="18"/>
              </w:rPr>
              <w:t>°C</w:t>
            </w:r>
            <w:r w:rsidRPr="001D5EC8">
              <w:rPr>
                <w:color w:val="000000"/>
                <w:sz w:val="18"/>
                <w:szCs w:val="18"/>
              </w:rPr>
              <w:t xml:space="preserve"> </w:t>
            </w:r>
            <w:r w:rsidRPr="006577FA">
              <w:rPr>
                <w:i/>
                <w:color w:val="000000"/>
                <w:sz w:val="18"/>
                <w:szCs w:val="18"/>
              </w:rPr>
              <w:t>(40.3</w:t>
            </w:r>
            <w:r w:rsidRPr="006577FA">
              <w:rPr>
                <w:i/>
                <w:sz w:val="18"/>
                <w:szCs w:val="18"/>
              </w:rPr>
              <w:t>°C</w:t>
            </w:r>
            <w:r w:rsidRPr="006577FA">
              <w:rPr>
                <w:i/>
                <w:color w:val="000000"/>
                <w:sz w:val="18"/>
                <w:szCs w:val="18"/>
              </w:rPr>
              <w:t>)</w:t>
            </w:r>
          </w:p>
          <w:p w:rsidR="003611ED" w:rsidRPr="008D1B84" w:rsidRDefault="003611ED" w:rsidP="0059610E">
            <w:pPr>
              <w:spacing w:before="0" w:after="0"/>
              <w:rPr>
                <w:sz w:val="18"/>
                <w:szCs w:val="18"/>
              </w:rPr>
            </w:pPr>
            <w:r w:rsidRPr="001D5EC8">
              <w:rPr>
                <w:color w:val="000000"/>
                <w:sz w:val="18"/>
                <w:szCs w:val="18"/>
              </w:rPr>
              <w:t>26.8</w:t>
            </w:r>
            <w:r w:rsidRPr="003E5A31">
              <w:rPr>
                <w:sz w:val="18"/>
                <w:szCs w:val="18"/>
              </w:rPr>
              <w:t>°C</w:t>
            </w:r>
            <w:r w:rsidRPr="001D5EC8">
              <w:rPr>
                <w:color w:val="000000"/>
                <w:sz w:val="18"/>
                <w:szCs w:val="18"/>
              </w:rPr>
              <w:t xml:space="preserve"> </w:t>
            </w:r>
            <w:r w:rsidRPr="006577FA">
              <w:rPr>
                <w:i/>
                <w:color w:val="000000"/>
                <w:sz w:val="18"/>
                <w:szCs w:val="18"/>
              </w:rPr>
              <w:t>(32.2</w:t>
            </w:r>
            <w:r w:rsidRPr="006577FA">
              <w:rPr>
                <w:i/>
                <w:sz w:val="18"/>
                <w:szCs w:val="18"/>
              </w:rPr>
              <w:t>°C</w:t>
            </w:r>
            <w:r w:rsidRPr="006577FA">
              <w:rPr>
                <w:i/>
                <w:color w:val="000000"/>
                <w:sz w:val="18"/>
                <w:szCs w:val="18"/>
              </w:rPr>
              <w:t>)</w:t>
            </w:r>
          </w:p>
        </w:tc>
      </w:tr>
      <w:tr w:rsidR="003611ED" w:rsidTr="0059610E">
        <w:trPr>
          <w:trHeight w:val="227"/>
          <w:jc w:val="center"/>
        </w:trPr>
        <w:tc>
          <w:tcPr>
            <w:tcW w:w="4164" w:type="dxa"/>
            <w:shd w:val="clear" w:color="auto" w:fill="F3F9FA"/>
          </w:tcPr>
          <w:p w:rsidR="003611ED" w:rsidRPr="008D1B84" w:rsidRDefault="003611ED" w:rsidP="0059610E">
            <w:pPr>
              <w:tabs>
                <w:tab w:val="left" w:pos="2296"/>
              </w:tabs>
              <w:spacing w:before="0" w:after="0"/>
              <w:rPr>
                <w:sz w:val="18"/>
                <w:szCs w:val="18"/>
              </w:rPr>
            </w:pPr>
            <w:r w:rsidRPr="008D1B84">
              <w:rPr>
                <w:sz w:val="18"/>
                <w:szCs w:val="18"/>
              </w:rPr>
              <w:t>Within canopy light (2012-2015)</w:t>
            </w:r>
          </w:p>
        </w:tc>
        <w:tc>
          <w:tcPr>
            <w:tcW w:w="2268" w:type="dxa"/>
            <w:shd w:val="clear" w:color="auto" w:fill="F3F9FA"/>
          </w:tcPr>
          <w:p w:rsidR="003611ED" w:rsidRPr="008D1B84" w:rsidRDefault="003611ED" w:rsidP="0059610E">
            <w:pPr>
              <w:spacing w:before="0" w:after="0"/>
              <w:rPr>
                <w:sz w:val="18"/>
                <w:szCs w:val="18"/>
              </w:rPr>
            </w:pPr>
            <w:r>
              <w:rPr>
                <w:sz w:val="18"/>
                <w:szCs w:val="18"/>
              </w:rPr>
              <w:t>13.0</w:t>
            </w:r>
            <w:r w:rsidRPr="008D1B84">
              <w:rPr>
                <w:sz w:val="18"/>
                <w:szCs w:val="18"/>
              </w:rPr>
              <w:t xml:space="preserve">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c>
          <w:tcPr>
            <w:tcW w:w="1559" w:type="dxa"/>
            <w:shd w:val="clear" w:color="auto" w:fill="F3F9FA"/>
          </w:tcPr>
          <w:p w:rsidR="003611ED" w:rsidRPr="008D1B84" w:rsidRDefault="003611ED" w:rsidP="0059610E">
            <w:pPr>
              <w:spacing w:before="0" w:after="0"/>
              <w:rPr>
                <w:sz w:val="18"/>
                <w:szCs w:val="18"/>
              </w:rPr>
            </w:pPr>
            <w:r>
              <w:rPr>
                <w:sz w:val="18"/>
                <w:szCs w:val="18"/>
              </w:rPr>
              <w:t>12.6</w:t>
            </w:r>
            <w:r w:rsidRPr="008D1B84">
              <w:rPr>
                <w:sz w:val="18"/>
                <w:szCs w:val="18"/>
              </w:rPr>
              <w:t xml:space="preserve">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r>
    </w:tbl>
    <w:p w:rsidR="008925B3" w:rsidRPr="005515AE" w:rsidRDefault="008925B3" w:rsidP="008925B3">
      <w:pPr>
        <w:spacing w:before="0" w:after="0"/>
        <w:rPr>
          <w:color w:val="000000"/>
          <w:sz w:val="10"/>
          <w:szCs w:val="10"/>
        </w:rPr>
      </w:pPr>
    </w:p>
    <w:p w:rsidR="005C004C" w:rsidRDefault="003611ED" w:rsidP="003611ED">
      <w:pPr>
        <w:rPr>
          <w:color w:val="000000"/>
          <w:szCs w:val="22"/>
        </w:rPr>
      </w:pPr>
      <w:r>
        <w:rPr>
          <w:noProof/>
          <w:color w:val="000000"/>
          <w:szCs w:val="22"/>
          <w:lang w:eastAsia="en-AU"/>
        </w:rPr>
        <w:drawing>
          <wp:anchor distT="0" distB="0" distL="114300" distR="114300" simplePos="0" relativeHeight="251678720" behindDoc="0" locked="0" layoutInCell="1" allowOverlap="1" wp14:anchorId="369385E1" wp14:editId="5483C701">
            <wp:simplePos x="0" y="0"/>
            <wp:positionH relativeFrom="column">
              <wp:posOffset>1211</wp:posOffset>
            </wp:positionH>
            <wp:positionV relativeFrom="paragraph">
              <wp:posOffset>76791</wp:posOffset>
            </wp:positionV>
            <wp:extent cx="2340000" cy="3351600"/>
            <wp:effectExtent l="0" t="0" r="3175" b="1270"/>
            <wp:wrapSquare wrapText="right"/>
            <wp:docPr id="23" name="Picture 23" descr="Composite graph showing the location of each seagrass monitoring site and the frequency of exposure to plume water in the Wet Tropics NRM, wet season (December 2014 – Apri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 Tropics sites_legend.pn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340000" cy="3351600"/>
                    </a:xfrm>
                    <a:prstGeom prst="rect">
                      <a:avLst/>
                    </a:prstGeom>
                  </pic:spPr>
                </pic:pic>
              </a:graphicData>
            </a:graphic>
            <wp14:sizeRelH relativeFrom="margin">
              <wp14:pctWidth>0</wp14:pctWidth>
            </wp14:sizeRelH>
            <wp14:sizeRelV relativeFrom="margin">
              <wp14:pctHeight>0</wp14:pctHeight>
            </wp14:sizeRelV>
          </wp:anchor>
        </w:drawing>
      </w:r>
    </w:p>
    <w:p w:rsidR="001402C9" w:rsidRPr="001402C9" w:rsidRDefault="005C004C" w:rsidP="001402C9">
      <w:pPr>
        <w:rPr>
          <w:i/>
          <w:vanish/>
          <w:specVanish/>
        </w:rPr>
      </w:pPr>
      <w:bookmarkStart w:id="286" w:name="_Ref442440167"/>
      <w:bookmarkStart w:id="287" w:name="_Toc462684883"/>
      <w:r>
        <w:t xml:space="preserve">Figure </w:t>
      </w:r>
      <w:fldSimple w:instr=" SEQ Figure \* ARABIC ">
        <w:r w:rsidR="009C068F">
          <w:rPr>
            <w:noProof/>
          </w:rPr>
          <w:t>43</w:t>
        </w:r>
      </w:fldSimple>
      <w:bookmarkEnd w:id="286"/>
      <w:r w:rsidR="001402C9">
        <w:t xml:space="preserve">.  </w:t>
      </w:r>
      <w:r w:rsidR="003611ED" w:rsidRPr="001402C9">
        <w:rPr>
          <w:i/>
        </w:rPr>
        <w:t>Frequency of exposure to plume water in the Wet Tropics NRM, wet season (22 weeks from December 2014 – April 2015) composite.</w:t>
      </w:r>
      <w:bookmarkEnd w:id="287"/>
    </w:p>
    <w:p w:rsidR="003611ED" w:rsidRPr="001402C9" w:rsidRDefault="003611ED" w:rsidP="001402C9">
      <w:pPr>
        <w:rPr>
          <w:i/>
        </w:rPr>
      </w:pPr>
      <w:r w:rsidRPr="001402C9">
        <w:rPr>
          <w:i/>
        </w:rPr>
        <w:t xml:space="preserve"> Frequency calculated as number of weeks in wet season exposed to primary or secondary water (colour classes 1 – 5). </w:t>
      </w:r>
      <w:r w:rsidR="00FF0A86" w:rsidRPr="008925B3">
        <w:rPr>
          <w:i/>
        </w:rPr>
        <w:t xml:space="preserve">Each colour class category is described by mean water quality values for TSS, CDOM, chlorophyll a and </w:t>
      </w:r>
      <w:proofErr w:type="spellStart"/>
      <w:r w:rsidR="00FF0A86" w:rsidRPr="008925B3">
        <w:rPr>
          <w:i/>
        </w:rPr>
        <w:t>K</w:t>
      </w:r>
      <w:r w:rsidR="00FF0A86" w:rsidRPr="007C3ABF">
        <w:rPr>
          <w:i/>
          <w:vertAlign w:val="subscript"/>
        </w:rPr>
        <w:t>d</w:t>
      </w:r>
      <w:proofErr w:type="spellEnd"/>
      <w:r w:rsidR="00FF0A86" w:rsidRPr="008925B3">
        <w:rPr>
          <w:i/>
        </w:rPr>
        <w:t xml:space="preserve"> (PAR) (</w:t>
      </w:r>
      <w:hyperlink w:anchor="_ENREF_94" w:tooltip="Devlin, 2015 #10405" w:history="1">
        <w:r w:rsidR="00E6043D">
          <w:rPr>
            <w:i/>
          </w:rPr>
          <w:fldChar w:fldCharType="begin"/>
        </w:r>
        <w:r w:rsidR="00E6043D">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043D">
          <w:rPr>
            <w:i/>
          </w:rPr>
          <w:fldChar w:fldCharType="separate"/>
        </w:r>
        <w:r w:rsidR="00E6043D">
          <w:rPr>
            <w:i/>
            <w:noProof/>
          </w:rPr>
          <w:t>Devlin, et al. 2015</w:t>
        </w:r>
        <w:r w:rsidR="00E6043D">
          <w:rPr>
            <w:i/>
          </w:rPr>
          <w:fldChar w:fldCharType="end"/>
        </w:r>
      </w:hyperlink>
      <w:r w:rsidR="00FF0A86" w:rsidRPr="008925B3">
        <w:rPr>
          <w:i/>
        </w:rPr>
        <w:t xml:space="preserve">; </w:t>
      </w:r>
      <w:hyperlink w:anchor="_ENREF_151" w:tooltip="Lønborg, 2015 #10475" w:history="1">
        <w:r w:rsidR="00E6043D">
          <w:rPr>
            <w:i/>
          </w:rPr>
          <w:fldChar w:fldCharType="begin"/>
        </w:r>
        <w:r w:rsidR="00E6043D">
          <w:rPr>
            <w:i/>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i/>
          </w:rPr>
          <w:fldChar w:fldCharType="separate"/>
        </w:r>
        <w:r w:rsidR="00E6043D">
          <w:rPr>
            <w:i/>
            <w:noProof/>
          </w:rPr>
          <w:t>Lønborg, et al. 2015</w:t>
        </w:r>
        <w:r w:rsidR="00E6043D">
          <w:rPr>
            <w:i/>
          </w:rPr>
          <w:fldChar w:fldCharType="end"/>
        </w:r>
      </w:hyperlink>
      <w:r w:rsidR="00FF0A86" w:rsidRPr="008925B3">
        <w:rPr>
          <w:i/>
        </w:rPr>
        <w:t>).</w:t>
      </w:r>
      <w:r w:rsidR="00FF0A86">
        <w:rPr>
          <w:i/>
        </w:rPr>
        <w:t xml:space="preserve"> For site details, see Tables 3 &amp; 4.</w:t>
      </w:r>
    </w:p>
    <w:p w:rsidR="003611ED" w:rsidRDefault="003611ED" w:rsidP="003611ED">
      <w:pPr>
        <w:rPr>
          <w:color w:val="000000"/>
          <w:szCs w:val="22"/>
        </w:rPr>
      </w:pPr>
    </w:p>
    <w:p w:rsidR="001402C9" w:rsidRDefault="001402C9" w:rsidP="003611ED">
      <w:pPr>
        <w:rPr>
          <w:color w:val="000000"/>
          <w:szCs w:val="22"/>
        </w:rPr>
      </w:pPr>
    </w:p>
    <w:p w:rsidR="001402C9" w:rsidRDefault="001402C9" w:rsidP="003611ED">
      <w:pPr>
        <w:rPr>
          <w:color w:val="000000"/>
          <w:szCs w:val="22"/>
        </w:rPr>
      </w:pPr>
    </w:p>
    <w:p w:rsidR="001402C9" w:rsidRDefault="001402C9" w:rsidP="003611ED">
      <w:pPr>
        <w:rPr>
          <w:color w:val="000000"/>
          <w:szCs w:val="22"/>
        </w:rPr>
      </w:pPr>
    </w:p>
    <w:p w:rsidR="001402C9" w:rsidRDefault="001402C9" w:rsidP="003611ED">
      <w:pPr>
        <w:rPr>
          <w:color w:val="000000"/>
          <w:szCs w:val="22"/>
        </w:rPr>
      </w:pPr>
    </w:p>
    <w:p w:rsidR="001402C9" w:rsidRPr="001402C9" w:rsidRDefault="001402C9" w:rsidP="001402C9">
      <w:pPr>
        <w:rPr>
          <w:i/>
          <w:vanish/>
          <w:specVanish/>
        </w:rPr>
      </w:pPr>
      <w:bookmarkStart w:id="288" w:name="_Ref442440193"/>
      <w:bookmarkStart w:id="289" w:name="_Toc462685085"/>
      <w:r>
        <w:t xml:space="preserve">Table </w:t>
      </w:r>
      <w:fldSimple w:instr=" SEQ Table \* ARABIC ">
        <w:r w:rsidR="009C068F">
          <w:rPr>
            <w:noProof/>
          </w:rPr>
          <w:t>16</w:t>
        </w:r>
      </w:fldSimple>
      <w:bookmarkEnd w:id="288"/>
      <w:r>
        <w:t xml:space="preserve">.  </w:t>
      </w:r>
      <w:r w:rsidR="00EC46EC" w:rsidRPr="001402C9">
        <w:rPr>
          <w:i/>
        </w:rPr>
        <w:t>Water type at each location (</w:t>
      </w:r>
      <w:proofErr w:type="spellStart"/>
      <w:r w:rsidR="00EC46EC" w:rsidRPr="001402C9">
        <w:rPr>
          <w:i/>
        </w:rPr>
        <w:t>Loc</w:t>
      </w:r>
      <w:proofErr w:type="spellEnd"/>
      <w:r w:rsidR="00EC46EC" w:rsidRPr="001402C9">
        <w:rPr>
          <w:i/>
        </w:rPr>
        <w:t xml:space="preserve">) in the Wet Tropics </w:t>
      </w:r>
      <w:r>
        <w:rPr>
          <w:i/>
        </w:rPr>
        <w:t>region</w:t>
      </w:r>
      <w:r w:rsidR="00EC46EC" w:rsidRPr="001402C9">
        <w:rPr>
          <w:i/>
        </w:rPr>
        <w:t xml:space="preserve"> derived from MODIS true colour images</w:t>
      </w:r>
      <w:bookmarkEnd w:id="289"/>
    </w:p>
    <w:p w:rsidR="00EC46EC" w:rsidRPr="001402C9" w:rsidRDefault="00EC46EC" w:rsidP="001402C9">
      <w:pPr>
        <w:rPr>
          <w:i/>
        </w:rPr>
      </w:pPr>
      <w:r w:rsidRPr="001402C9">
        <w:rPr>
          <w:i/>
        </w:rPr>
        <w:t xml:space="preserve"> as colour classes of turbid primary water (class 1 – 4, red/brown), nutrient/chlorophyll-enriched secondary water (class 5, green), and tertiary (some freshwater/CDOM influence) or no plume influence (class 6 and 7 respectively, blue), for 22 weeks from December 2014 – April 2015. Also shown, median wet season colour class (Med), frequency of primary water as f</w:t>
      </w:r>
      <w:r w:rsidRPr="001402C9">
        <w:rPr>
          <w:i/>
          <w:vertAlign w:val="subscript"/>
        </w:rPr>
        <w:t>(P)</w:t>
      </w:r>
      <w:r w:rsidRPr="001402C9">
        <w:rPr>
          <w:i/>
        </w:rPr>
        <w:t>, the frequency of secondary water as f</w:t>
      </w:r>
      <w:r w:rsidRPr="001402C9">
        <w:rPr>
          <w:i/>
          <w:vertAlign w:val="subscript"/>
        </w:rPr>
        <w:t>(S)</w:t>
      </w:r>
      <w:r w:rsidRPr="001402C9">
        <w:rPr>
          <w:i/>
        </w:rPr>
        <w:t>, and the frequency of primary or secondary as f</w:t>
      </w:r>
      <w:r w:rsidRPr="001402C9">
        <w:rPr>
          <w:i/>
          <w:vertAlign w:val="subscript"/>
        </w:rPr>
        <w:t>(P+S)</w:t>
      </w:r>
      <w:r w:rsidRPr="001402C9">
        <w:rPr>
          <w:i/>
        </w:rPr>
        <w:t>. *denotes dat</w:t>
      </w:r>
      <w:r w:rsidR="009526BE">
        <w:rPr>
          <w:i/>
        </w:rPr>
        <w:t>a obtained from adjacent pixel.</w:t>
      </w:r>
    </w:p>
    <w:p w:rsidR="00EC46EC" w:rsidRDefault="00EC46EC" w:rsidP="00EC46EC">
      <w:r w:rsidRPr="00305623">
        <w:rPr>
          <w:noProof/>
          <w:lang w:eastAsia="en-AU"/>
        </w:rPr>
        <w:lastRenderedPageBreak/>
        <w:drawing>
          <wp:inline distT="0" distB="0" distL="0" distR="0" wp14:anchorId="5E764907" wp14:editId="7ADC7F4F">
            <wp:extent cx="5759450" cy="1029255"/>
            <wp:effectExtent l="0" t="0" r="0" b="0"/>
            <wp:docPr id="524" name="Picture 524" descr="Table of water type at each location in the Wet Tropics derived from MODIS true colour images as colour classes of turbid primary water, nutrient/chlorophyll-enriched secondary water, and tertiary or no plume influence for 22 weeks from December 2014 – Apri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759450" cy="1029255"/>
                    </a:xfrm>
                    <a:prstGeom prst="rect">
                      <a:avLst/>
                    </a:prstGeom>
                    <a:noFill/>
                    <a:ln>
                      <a:noFill/>
                    </a:ln>
                  </pic:spPr>
                </pic:pic>
              </a:graphicData>
            </a:graphic>
          </wp:inline>
        </w:drawing>
      </w:r>
    </w:p>
    <w:p w:rsidR="001B6AA0" w:rsidRPr="00291AD7" w:rsidRDefault="001B6AA0" w:rsidP="001B6AA0">
      <w:r w:rsidRPr="00291AD7">
        <w:t>Daily light (I</w:t>
      </w:r>
      <w:r w:rsidRPr="00291AD7">
        <w:rPr>
          <w:vertAlign w:val="subscript"/>
        </w:rPr>
        <w:t>d</w:t>
      </w:r>
      <w:r w:rsidRPr="00291AD7">
        <w:t xml:space="preserve">) at Wet Tropics sites has been monitored since 2008 </w:t>
      </w:r>
      <w:r>
        <w:t>or 2009</w:t>
      </w:r>
      <w:r w:rsidRPr="00291AD7">
        <w:t xml:space="preserve">. </w:t>
      </w:r>
      <w:r>
        <w:t>I</w:t>
      </w:r>
      <w:r w:rsidRPr="00291AD7">
        <w:rPr>
          <w:vertAlign w:val="subscript"/>
        </w:rPr>
        <w:t>d</w:t>
      </w:r>
      <w:r w:rsidRPr="00291AD7">
        <w:t xml:space="preserve"> in 2014-15 was lower than the long-term average, largely due to conditions at the northern most (Low Isles), and </w:t>
      </w:r>
      <w:proofErr w:type="spellStart"/>
      <w:r w:rsidRPr="00291AD7">
        <w:t>southern most</w:t>
      </w:r>
      <w:proofErr w:type="spellEnd"/>
      <w:r w:rsidRPr="00291AD7">
        <w:t xml:space="preserve"> (Dunk Island) sites. In contrast, </w:t>
      </w:r>
      <w:r>
        <w:t xml:space="preserve">the </w:t>
      </w:r>
      <w:r w:rsidRPr="00291AD7">
        <w:t>centr</w:t>
      </w:r>
      <w:r>
        <w:t>al sites (Yule Point and Green I</w:t>
      </w:r>
      <w:r w:rsidRPr="00291AD7">
        <w:t>sland), had higher than average I</w:t>
      </w:r>
      <w:r w:rsidRPr="00291AD7">
        <w:rPr>
          <w:vertAlign w:val="subscript"/>
        </w:rPr>
        <w:t>d</w:t>
      </w:r>
      <w:r>
        <w:rPr>
          <w:vertAlign w:val="subscript"/>
        </w:rPr>
        <w:t xml:space="preserve"> </w:t>
      </w:r>
      <w:r>
        <w:t>in 2014-15 with particularly high light levels during the growing season (late 2014)</w:t>
      </w:r>
      <w:r w:rsidRPr="00291AD7">
        <w:t xml:space="preserve">.  </w:t>
      </w:r>
    </w:p>
    <w:p w:rsidR="001B6AA0" w:rsidRDefault="001402C9" w:rsidP="001402C9">
      <w:pPr>
        <w:keepNext/>
        <w:widowControl w:val="0"/>
        <w:spacing w:after="0"/>
        <w:rPr>
          <w:color w:val="000000"/>
          <w:szCs w:val="22"/>
        </w:rPr>
      </w:pPr>
      <w:r>
        <w:rPr>
          <w:noProof/>
          <w:color w:val="000000"/>
          <w:szCs w:val="22"/>
          <w:lang w:eastAsia="en-AU"/>
        </w:rPr>
        <w:drawing>
          <wp:inline distT="0" distB="0" distL="0" distR="0" wp14:anchorId="780CFDDF" wp14:editId="25743DBD">
            <wp:extent cx="5759450" cy="1817370"/>
            <wp:effectExtent l="0" t="0" r="0" b="0"/>
            <wp:docPr id="125" name="Picture 125" descr="Panel of two line graphs showing daily light (mean) at each location with 28-d rolling average and GAM plots for each seagrass habitat in the Wet Tropics NRM region from 2008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WT_Avg_28d_avg_GAM_2015.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5759450" cy="1817370"/>
                    </a:xfrm>
                    <a:prstGeom prst="rect">
                      <a:avLst/>
                    </a:prstGeom>
                  </pic:spPr>
                </pic:pic>
              </a:graphicData>
            </a:graphic>
          </wp:inline>
        </w:drawing>
      </w:r>
    </w:p>
    <w:p w:rsidR="001402C9" w:rsidRPr="001402C9" w:rsidRDefault="001402C9" w:rsidP="001402C9">
      <w:pPr>
        <w:rPr>
          <w:i/>
          <w:vanish/>
          <w:specVanish/>
        </w:rPr>
      </w:pPr>
      <w:bookmarkStart w:id="290" w:name="_Toc462684884"/>
      <w:r>
        <w:t xml:space="preserve">Figure </w:t>
      </w:r>
      <w:fldSimple w:instr=" SEQ Figure \* ARABIC ">
        <w:r w:rsidR="009C068F">
          <w:rPr>
            <w:noProof/>
          </w:rPr>
          <w:t>44</w:t>
        </w:r>
      </w:fldSimple>
      <w:r>
        <w:t xml:space="preserve">.  </w:t>
      </w:r>
      <w:r w:rsidR="001B6AA0" w:rsidRPr="001402C9">
        <w:rPr>
          <w:i/>
        </w:rPr>
        <w:t>Mean daily light at Wet Tropics sites with 28-d rolling average from 20</w:t>
      </w:r>
      <w:r w:rsidR="00DE10CD">
        <w:rPr>
          <w:i/>
        </w:rPr>
        <w:t>08</w:t>
      </w:r>
      <w:r w:rsidR="001B6AA0" w:rsidRPr="001402C9">
        <w:rPr>
          <w:i/>
        </w:rPr>
        <w:t xml:space="preserve"> to 2015 (left) and GAM plots </w:t>
      </w:r>
      <w:r>
        <w:rPr>
          <w:i/>
        </w:rPr>
        <w:t>(right)</w:t>
      </w:r>
      <w:bookmarkEnd w:id="290"/>
    </w:p>
    <w:p w:rsidR="001B6AA0" w:rsidRPr="001402C9" w:rsidRDefault="001402C9" w:rsidP="001402C9">
      <w:pPr>
        <w:rPr>
          <w:i/>
        </w:rPr>
      </w:pPr>
      <w:r>
        <w:rPr>
          <w:i/>
        </w:rPr>
        <w:t xml:space="preserve"> </w:t>
      </w:r>
      <w:r w:rsidR="001B6AA0" w:rsidRPr="001402C9">
        <w:rPr>
          <w:i/>
        </w:rPr>
        <w:t xml:space="preserve">with the black line showing mean trend for all sites (±95% confidence interval in grey shade) and coloured lines (with CI’s) showing the trend for each site. Results of statistical analysis (GAM) and site-specific graphs (site-level daily light data plus 28-d rolling </w:t>
      </w:r>
      <w:r w:rsidR="001B6AA0" w:rsidRPr="009526BE">
        <w:rPr>
          <w:i/>
        </w:rPr>
        <w:t>average) are shown in Appendix 4.</w:t>
      </w:r>
      <w:r w:rsidR="001B6AA0" w:rsidRPr="001402C9">
        <w:rPr>
          <w:i/>
        </w:rPr>
        <w:t xml:space="preserve">   </w:t>
      </w:r>
    </w:p>
    <w:p w:rsidR="001B6AA0" w:rsidRPr="006219CA" w:rsidRDefault="001B6AA0" w:rsidP="001B6AA0">
      <w:pPr>
        <w:spacing w:before="240"/>
        <w:rPr>
          <w:color w:val="000000"/>
          <w:szCs w:val="22"/>
        </w:rPr>
      </w:pPr>
      <w:r>
        <w:rPr>
          <w:color w:val="000000"/>
          <w:szCs w:val="22"/>
        </w:rPr>
        <w:t xml:space="preserve">2014-15 was warmer than the long-term average at Wet Tropics seagrass sites. </w:t>
      </w:r>
      <w:r w:rsidRPr="00C112DF">
        <w:rPr>
          <w:color w:val="000000"/>
          <w:szCs w:val="22"/>
        </w:rPr>
        <w:t>High temperatures (&gt;35</w:t>
      </w:r>
      <w:r w:rsidRPr="00C112DF">
        <w:rPr>
          <w:color w:val="000000"/>
          <w:szCs w:val="22"/>
        </w:rPr>
        <w:sym w:font="Symbol" w:char="F0B0"/>
      </w:r>
      <w:r w:rsidRPr="00C112DF">
        <w:rPr>
          <w:color w:val="000000"/>
          <w:szCs w:val="22"/>
        </w:rPr>
        <w:t xml:space="preserve">C) were recorded </w:t>
      </w:r>
      <w:r w:rsidRPr="00661CD3">
        <w:rPr>
          <w:szCs w:val="22"/>
        </w:rPr>
        <w:t>from October 2014 to May 2015 across the region, with the highest temperature (40.3</w:t>
      </w:r>
      <w:r w:rsidRPr="00661CD3">
        <w:rPr>
          <w:szCs w:val="22"/>
        </w:rPr>
        <w:sym w:font="Symbol" w:char="F0B0"/>
      </w:r>
      <w:r w:rsidRPr="00661CD3">
        <w:rPr>
          <w:szCs w:val="22"/>
        </w:rPr>
        <w:t>C) recorded at 4:00pm on the 21 January 2015 at Yule Point. The greatest number of days (57 days) where the sea water temperatures exceeded 35</w:t>
      </w:r>
      <w:r w:rsidRPr="00661CD3">
        <w:rPr>
          <w:szCs w:val="22"/>
        </w:rPr>
        <w:sym w:font="Symbol" w:char="F0B0"/>
      </w:r>
      <w:r w:rsidRPr="00661CD3">
        <w:rPr>
          <w:szCs w:val="22"/>
        </w:rPr>
        <w:t>C since 2003 when monitoring was established was experienced in 2014-15. Furthermore, there was a greatest number of days exceeding 40</w:t>
      </w:r>
      <w:r w:rsidRPr="00661CD3">
        <w:rPr>
          <w:szCs w:val="22"/>
        </w:rPr>
        <w:sym w:font="Symbol" w:char="F0B0"/>
      </w:r>
      <w:r w:rsidRPr="00661CD3">
        <w:rPr>
          <w:szCs w:val="22"/>
        </w:rPr>
        <w:t xml:space="preserve">C since 2008. </w:t>
      </w:r>
    </w:p>
    <w:p w:rsidR="001B6AA0" w:rsidRDefault="001B6AA0" w:rsidP="00526A6D">
      <w:pPr>
        <w:keepNext/>
        <w:widowControl w:val="0"/>
        <w:spacing w:after="0"/>
        <w:jc w:val="center"/>
        <w:rPr>
          <w:color w:val="000000"/>
          <w:szCs w:val="22"/>
        </w:rPr>
      </w:pPr>
      <w:r>
        <w:rPr>
          <w:noProof/>
          <w:color w:val="000000"/>
          <w:szCs w:val="22"/>
          <w:lang w:eastAsia="en-AU"/>
        </w:rPr>
        <w:lastRenderedPageBreak/>
        <w:drawing>
          <wp:inline distT="0" distB="0" distL="0" distR="0" wp14:anchorId="77713A86" wp14:editId="4DDF0FBB">
            <wp:extent cx="4680000" cy="2541600"/>
            <wp:effectExtent l="0" t="0" r="6350" b="0"/>
            <wp:docPr id="24" name="Picture 24" descr="Panel of two bar graphs showing number of days when inshore within canopy sea temperature exceeded 35°C, 38°C, 40°C and 43°C within each season and deviations at intertidal seagrass habitats from 11-year mean weekly temperature records for intertidal seagrass habitats in the Wet Tropics NRM region from August 2001 to Ju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temperature_deviation_2015.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4680000" cy="2541600"/>
                    </a:xfrm>
                    <a:prstGeom prst="rect">
                      <a:avLst/>
                    </a:prstGeom>
                  </pic:spPr>
                </pic:pic>
              </a:graphicData>
            </a:graphic>
          </wp:inline>
        </w:drawing>
      </w:r>
    </w:p>
    <w:p w:rsidR="001B6AA0" w:rsidRPr="00EA10D7" w:rsidRDefault="001B6AA0" w:rsidP="001B6AA0">
      <w:pPr>
        <w:spacing w:before="240"/>
        <w:rPr>
          <w:i/>
          <w:vanish/>
          <w:color w:val="000000"/>
          <w:szCs w:val="22"/>
          <w:lang w:val="en-GB"/>
          <w:specVanish/>
        </w:rPr>
      </w:pPr>
      <w:bookmarkStart w:id="291" w:name="_Toc462684885"/>
      <w:r w:rsidRPr="00EA10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45</w:t>
      </w:r>
      <w:r w:rsidR="0073595B">
        <w:rPr>
          <w:color w:val="000000"/>
          <w:szCs w:val="22"/>
          <w:lang w:val="en-GB"/>
        </w:rPr>
        <w:fldChar w:fldCharType="end"/>
      </w:r>
      <w:r w:rsidRPr="00EA10D7">
        <w:rPr>
          <w:color w:val="000000"/>
          <w:szCs w:val="22"/>
          <w:lang w:val="en-GB"/>
        </w:rPr>
        <w:t xml:space="preserve">. </w:t>
      </w:r>
      <w:r w:rsidRPr="00EA10D7">
        <w:rPr>
          <w:i/>
          <w:color w:val="000000"/>
          <w:szCs w:val="22"/>
          <w:lang w:val="en-GB"/>
        </w:rPr>
        <w:t xml:space="preserve">Inshore sea temperature for intertidal seagrass habitats in the </w:t>
      </w:r>
      <w:r>
        <w:rPr>
          <w:i/>
          <w:color w:val="000000"/>
          <w:szCs w:val="22"/>
          <w:lang w:val="en-GB"/>
        </w:rPr>
        <w:t>Wet Tropics</w:t>
      </w:r>
      <w:r w:rsidRPr="00EA10D7">
        <w:rPr>
          <w:i/>
          <w:color w:val="000000"/>
          <w:szCs w:val="22"/>
          <w:lang w:val="en-GB"/>
        </w:rPr>
        <w:t xml:space="preserve"> NRM region from A</w:t>
      </w:r>
      <w:r w:rsidR="00DD0053">
        <w:rPr>
          <w:i/>
          <w:color w:val="000000"/>
          <w:szCs w:val="22"/>
          <w:lang w:val="en-GB"/>
        </w:rPr>
        <w:t>ugust</w:t>
      </w:r>
      <w:r w:rsidRPr="00EA10D7">
        <w:rPr>
          <w:i/>
          <w:color w:val="000000"/>
          <w:szCs w:val="22"/>
          <w:lang w:val="en-GB"/>
        </w:rPr>
        <w:t xml:space="preserve"> 200</w:t>
      </w:r>
      <w:r w:rsidR="00DD0053">
        <w:rPr>
          <w:i/>
          <w:color w:val="000000"/>
          <w:szCs w:val="22"/>
          <w:lang w:val="en-GB"/>
        </w:rPr>
        <w:t>1</w:t>
      </w:r>
      <w:r w:rsidRPr="00EA10D7">
        <w:rPr>
          <w:i/>
          <w:color w:val="000000"/>
          <w:szCs w:val="22"/>
          <w:lang w:val="en-GB"/>
        </w:rPr>
        <w:t xml:space="preserve"> to June 201</w:t>
      </w:r>
      <w:r>
        <w:rPr>
          <w:i/>
          <w:color w:val="000000"/>
          <w:szCs w:val="22"/>
          <w:lang w:val="en-GB"/>
        </w:rPr>
        <w:t>5</w:t>
      </w:r>
      <w:bookmarkEnd w:id="291"/>
    </w:p>
    <w:p w:rsidR="001B6AA0" w:rsidRDefault="001B6AA0" w:rsidP="001B6AA0">
      <w:pPr>
        <w:spacing w:before="240"/>
        <w:rPr>
          <w:i/>
          <w:color w:val="000000"/>
          <w:szCs w:val="22"/>
          <w:lang w:val="en-GB"/>
        </w:rPr>
      </w:pPr>
      <w:r w:rsidRPr="00EA10D7">
        <w:rPr>
          <w:i/>
          <w:color w:val="000000"/>
          <w:szCs w:val="22"/>
          <w:lang w:val="en-GB"/>
        </w:rPr>
        <w:t>:</w:t>
      </w:r>
      <w:r w:rsidRPr="00EA10D7">
        <w:rPr>
          <w:i/>
          <w:color w:val="000000"/>
          <w:szCs w:val="22"/>
        </w:rPr>
        <w:t xml:space="preserve"> a) n</w:t>
      </w:r>
      <w:proofErr w:type="spellStart"/>
      <w:r w:rsidRPr="00EA10D7">
        <w:rPr>
          <w:i/>
          <w:color w:val="000000"/>
          <w:szCs w:val="22"/>
          <w:lang w:val="en-GB"/>
        </w:rPr>
        <w:t>umber</w:t>
      </w:r>
      <w:proofErr w:type="spellEnd"/>
      <w:r w:rsidRPr="00EA10D7">
        <w:rPr>
          <w:i/>
          <w:color w:val="000000"/>
          <w:szCs w:val="22"/>
          <w:lang w:val="en-GB"/>
        </w:rPr>
        <w:t xml:space="preserve"> of days when temperature exceeded 35°C, 38°C, 40°C and 43°C within each season (thresholds adapted from </w:t>
      </w:r>
      <w:hyperlink w:anchor="_ENREF_33" w:tooltip="Campbell, 2006 #2896" w:history="1">
        <w:r w:rsidR="00E6043D">
          <w:rPr>
            <w:i/>
            <w:color w:val="000000"/>
            <w:szCs w:val="22"/>
            <w:lang w:val="en-GB"/>
          </w:rPr>
          <w:fldChar w:fldCharType="begin"/>
        </w:r>
        <w:r w:rsidR="00E6043D">
          <w:rPr>
            <w:i/>
            <w:color w:val="000000"/>
            <w:szCs w:val="22"/>
            <w:lang w:val="en-GB"/>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rPr>
            <w:i/>
            <w:color w:val="000000"/>
            <w:szCs w:val="22"/>
            <w:lang w:val="en-GB"/>
          </w:rPr>
          <w:fldChar w:fldCharType="separate"/>
        </w:r>
        <w:r w:rsidR="00E6043D">
          <w:rPr>
            <w:i/>
            <w:noProof/>
            <w:color w:val="000000"/>
            <w:szCs w:val="22"/>
            <w:lang w:val="en-GB"/>
          </w:rPr>
          <w:t>Campbell, et al. 2006</w:t>
        </w:r>
        <w:r w:rsidR="00E6043D">
          <w:rPr>
            <w:i/>
            <w:color w:val="000000"/>
            <w:szCs w:val="22"/>
            <w:lang w:val="en-GB"/>
          </w:rPr>
          <w:fldChar w:fldCharType="end"/>
        </w:r>
      </w:hyperlink>
      <w:r w:rsidRPr="00EA10D7">
        <w:rPr>
          <w:i/>
          <w:color w:val="000000"/>
          <w:szCs w:val="22"/>
          <w:lang w:val="en-GB"/>
        </w:rPr>
        <w:t xml:space="preserve">); b) deviations from </w:t>
      </w:r>
      <w:r w:rsidR="00DD0053">
        <w:rPr>
          <w:i/>
          <w:color w:val="000000"/>
          <w:szCs w:val="22"/>
          <w:lang w:val="en-GB"/>
        </w:rPr>
        <w:t>11</w:t>
      </w:r>
      <w:r w:rsidRPr="00EA10D7">
        <w:rPr>
          <w:i/>
          <w:color w:val="000000"/>
          <w:szCs w:val="22"/>
          <w:lang w:val="en-GB"/>
        </w:rPr>
        <w:t xml:space="preserve">-year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Dashed line represents period when monitoring not established. </w:t>
      </w:r>
    </w:p>
    <w:p w:rsidR="001B6AA0" w:rsidRDefault="001B6AA0" w:rsidP="00574D52">
      <w:pPr>
        <w:spacing w:before="0" w:after="0"/>
        <w:jc w:val="center"/>
        <w:rPr>
          <w:color w:val="000000"/>
          <w:szCs w:val="22"/>
        </w:rPr>
      </w:pPr>
      <w:r>
        <w:rPr>
          <w:noProof/>
          <w:color w:val="000000"/>
          <w:szCs w:val="22"/>
          <w:lang w:eastAsia="en-AU"/>
        </w:rPr>
        <w:drawing>
          <wp:inline distT="0" distB="0" distL="0" distR="0" wp14:anchorId="016B45E4" wp14:editId="0B64DDD9">
            <wp:extent cx="4680000" cy="2538000"/>
            <wp:effectExtent l="0" t="0" r="6350" b="0"/>
            <wp:docPr id="240" name="Picture 240" descr="Panel of two bar graphs showing number of days when inshore within canopy sea temperature exceeded 35°C, 38°C, 40°C and 43°C within each season and deviations at subtidal seagrass habitats from 7-year mean weekly temperature records for intertidal seagrass habitats in the Wet Tropics NRM region from October 2008 to Ju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sub_temperature_deviation_2015.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4680000" cy="2538000"/>
                    </a:xfrm>
                    <a:prstGeom prst="rect">
                      <a:avLst/>
                    </a:prstGeom>
                  </pic:spPr>
                </pic:pic>
              </a:graphicData>
            </a:graphic>
          </wp:inline>
        </w:drawing>
      </w:r>
    </w:p>
    <w:p w:rsidR="001B6AA0" w:rsidRPr="00EA10D7" w:rsidRDefault="001B6AA0" w:rsidP="00574D52">
      <w:pPr>
        <w:rPr>
          <w:i/>
          <w:vanish/>
          <w:color w:val="000000"/>
          <w:szCs w:val="22"/>
          <w:lang w:val="en-GB"/>
          <w:specVanish/>
        </w:rPr>
      </w:pPr>
      <w:bookmarkStart w:id="292" w:name="_Toc462684886"/>
      <w:r w:rsidRPr="00EA10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46</w:t>
      </w:r>
      <w:r w:rsidR="0073595B">
        <w:rPr>
          <w:color w:val="000000"/>
          <w:szCs w:val="22"/>
          <w:lang w:val="en-GB"/>
        </w:rPr>
        <w:fldChar w:fldCharType="end"/>
      </w:r>
      <w:r>
        <w:rPr>
          <w:color w:val="000000"/>
          <w:szCs w:val="22"/>
          <w:lang w:val="en-GB"/>
        </w:rPr>
        <w:t>5</w:t>
      </w:r>
      <w:r w:rsidRPr="00EA10D7">
        <w:rPr>
          <w:color w:val="000000"/>
          <w:szCs w:val="22"/>
          <w:lang w:val="en-GB"/>
        </w:rPr>
        <w:t xml:space="preserve">. </w:t>
      </w:r>
      <w:r w:rsidRPr="00EA10D7">
        <w:rPr>
          <w:i/>
          <w:color w:val="000000"/>
          <w:szCs w:val="22"/>
          <w:lang w:val="en-GB"/>
        </w:rPr>
        <w:t xml:space="preserve">Inshore sea temperature for </w:t>
      </w:r>
      <w:r>
        <w:rPr>
          <w:i/>
          <w:color w:val="000000"/>
          <w:szCs w:val="22"/>
          <w:lang w:val="en-GB"/>
        </w:rPr>
        <w:t xml:space="preserve">subtidal </w:t>
      </w:r>
      <w:r w:rsidRPr="00EA10D7">
        <w:rPr>
          <w:i/>
          <w:color w:val="000000"/>
          <w:szCs w:val="22"/>
          <w:lang w:val="en-GB"/>
        </w:rPr>
        <w:t xml:space="preserve">seagrass habitats in the </w:t>
      </w:r>
      <w:r>
        <w:rPr>
          <w:i/>
          <w:color w:val="000000"/>
          <w:szCs w:val="22"/>
          <w:lang w:val="en-GB"/>
        </w:rPr>
        <w:t>Wet Tropics</w:t>
      </w:r>
      <w:r w:rsidRPr="00EA10D7">
        <w:rPr>
          <w:i/>
          <w:color w:val="000000"/>
          <w:szCs w:val="22"/>
          <w:lang w:val="en-GB"/>
        </w:rPr>
        <w:t xml:space="preserve"> NRM region from </w:t>
      </w:r>
      <w:r w:rsidR="00DD0053">
        <w:rPr>
          <w:i/>
          <w:color w:val="000000"/>
          <w:szCs w:val="22"/>
          <w:lang w:val="en-GB"/>
        </w:rPr>
        <w:t>October</w:t>
      </w:r>
      <w:r w:rsidRPr="00EA10D7">
        <w:rPr>
          <w:i/>
          <w:color w:val="000000"/>
          <w:szCs w:val="22"/>
          <w:lang w:val="en-GB"/>
        </w:rPr>
        <w:t xml:space="preserve"> 200</w:t>
      </w:r>
      <w:r w:rsidR="00DD0053">
        <w:rPr>
          <w:i/>
          <w:color w:val="000000"/>
          <w:szCs w:val="22"/>
          <w:lang w:val="en-GB"/>
        </w:rPr>
        <w:t>8</w:t>
      </w:r>
      <w:r w:rsidRPr="00EA10D7">
        <w:rPr>
          <w:i/>
          <w:color w:val="000000"/>
          <w:szCs w:val="22"/>
          <w:lang w:val="en-GB"/>
        </w:rPr>
        <w:t xml:space="preserve"> to June 201</w:t>
      </w:r>
      <w:r>
        <w:rPr>
          <w:i/>
          <w:color w:val="000000"/>
          <w:szCs w:val="22"/>
          <w:lang w:val="en-GB"/>
        </w:rPr>
        <w:t>5</w:t>
      </w:r>
      <w:bookmarkEnd w:id="292"/>
    </w:p>
    <w:p w:rsidR="001B6AA0" w:rsidRDefault="001B6AA0" w:rsidP="00574D52">
      <w:pPr>
        <w:rPr>
          <w:i/>
          <w:color w:val="000000"/>
          <w:szCs w:val="22"/>
          <w:lang w:val="en-GB"/>
        </w:rPr>
      </w:pPr>
      <w:r w:rsidRPr="00EA10D7">
        <w:rPr>
          <w:i/>
          <w:color w:val="000000"/>
          <w:szCs w:val="22"/>
          <w:lang w:val="en-GB"/>
        </w:rPr>
        <w:t>:</w:t>
      </w:r>
      <w:r w:rsidRPr="00EA10D7">
        <w:rPr>
          <w:i/>
          <w:color w:val="000000"/>
          <w:szCs w:val="22"/>
        </w:rPr>
        <w:t xml:space="preserve"> a) n</w:t>
      </w:r>
      <w:proofErr w:type="spellStart"/>
      <w:r w:rsidRPr="00EA10D7">
        <w:rPr>
          <w:i/>
          <w:color w:val="000000"/>
          <w:szCs w:val="22"/>
          <w:lang w:val="en-GB"/>
        </w:rPr>
        <w:t>umber</w:t>
      </w:r>
      <w:proofErr w:type="spellEnd"/>
      <w:r w:rsidRPr="00EA10D7">
        <w:rPr>
          <w:i/>
          <w:color w:val="000000"/>
          <w:szCs w:val="22"/>
          <w:lang w:val="en-GB"/>
        </w:rPr>
        <w:t xml:space="preserve"> of days when temperature exceeded 35°C, 38°C, 40°C and 43°C within each season (thresholds adapted from </w:t>
      </w:r>
      <w:hyperlink w:anchor="_ENREF_33" w:tooltip="Campbell, 2006 #2896" w:history="1">
        <w:r w:rsidR="00E6043D">
          <w:rPr>
            <w:i/>
            <w:color w:val="000000"/>
            <w:szCs w:val="22"/>
            <w:lang w:val="en-GB"/>
          </w:rPr>
          <w:fldChar w:fldCharType="begin"/>
        </w:r>
        <w:r w:rsidR="00E6043D">
          <w:rPr>
            <w:i/>
            <w:color w:val="000000"/>
            <w:szCs w:val="22"/>
            <w:lang w:val="en-GB"/>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rPr>
            <w:i/>
            <w:color w:val="000000"/>
            <w:szCs w:val="22"/>
            <w:lang w:val="en-GB"/>
          </w:rPr>
          <w:fldChar w:fldCharType="separate"/>
        </w:r>
        <w:r w:rsidR="00E6043D">
          <w:rPr>
            <w:i/>
            <w:noProof/>
            <w:color w:val="000000"/>
            <w:szCs w:val="22"/>
            <w:lang w:val="en-GB"/>
          </w:rPr>
          <w:t>Campbell, et al. 2006</w:t>
        </w:r>
        <w:r w:rsidR="00E6043D">
          <w:rPr>
            <w:i/>
            <w:color w:val="000000"/>
            <w:szCs w:val="22"/>
            <w:lang w:val="en-GB"/>
          </w:rPr>
          <w:fldChar w:fldCharType="end"/>
        </w:r>
      </w:hyperlink>
      <w:r w:rsidRPr="00EA10D7">
        <w:rPr>
          <w:i/>
          <w:color w:val="000000"/>
          <w:szCs w:val="22"/>
          <w:lang w:val="en-GB"/>
        </w:rPr>
        <w:t xml:space="preserve">); b) deviations from </w:t>
      </w:r>
      <w:r>
        <w:rPr>
          <w:i/>
          <w:color w:val="000000"/>
          <w:szCs w:val="22"/>
          <w:lang w:val="en-GB"/>
        </w:rPr>
        <w:t>7</w:t>
      </w:r>
      <w:r w:rsidRPr="00EA10D7">
        <w:rPr>
          <w:i/>
          <w:color w:val="000000"/>
          <w:szCs w:val="22"/>
          <w:lang w:val="en-GB"/>
        </w:rPr>
        <w:t xml:space="preserve">-year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Dashed line represents period when monitoring not established. </w:t>
      </w:r>
    </w:p>
    <w:p w:rsidR="00025B2F" w:rsidRPr="00BD0604" w:rsidRDefault="00FF0A86" w:rsidP="00926892">
      <w:pPr>
        <w:pStyle w:val="Heading3"/>
        <w:numPr>
          <w:ilvl w:val="2"/>
          <w:numId w:val="9"/>
        </w:numPr>
        <w:rPr>
          <w:rFonts w:ascii="Arial" w:hAnsi="Arial" w:cs="Arial"/>
          <w:color w:val="000000"/>
        </w:rPr>
      </w:pPr>
      <w:bookmarkStart w:id="293" w:name="_Toc462047345"/>
      <w:r>
        <w:rPr>
          <w:rFonts w:ascii="Arial" w:hAnsi="Arial" w:cs="Arial"/>
          <w:color w:val="000000"/>
        </w:rPr>
        <w:t>Indicators of seagrass condition</w:t>
      </w:r>
      <w:bookmarkEnd w:id="282"/>
      <w:bookmarkEnd w:id="293"/>
    </w:p>
    <w:p w:rsidR="00025B2F" w:rsidRPr="004F2236" w:rsidRDefault="00025B2F" w:rsidP="004F2236">
      <w:pPr>
        <w:pStyle w:val="Heading4"/>
        <w:numPr>
          <w:ilvl w:val="0"/>
          <w:numId w:val="0"/>
        </w:numPr>
        <w:rPr>
          <w:rFonts w:ascii="Arial" w:hAnsi="Arial" w:cs="Arial"/>
          <w:sz w:val="24"/>
          <w:szCs w:val="24"/>
        </w:rPr>
      </w:pPr>
      <w:bookmarkStart w:id="294" w:name="_Toc184101985"/>
      <w:r w:rsidRPr="004F2236">
        <w:rPr>
          <w:rFonts w:ascii="Arial" w:hAnsi="Arial" w:cs="Arial"/>
          <w:sz w:val="24"/>
          <w:szCs w:val="24"/>
        </w:rPr>
        <w:t>Seagrass abundance</w:t>
      </w:r>
      <w:r w:rsidR="001402C9">
        <w:rPr>
          <w:rFonts w:ascii="Arial" w:hAnsi="Arial" w:cs="Arial"/>
          <w:sz w:val="24"/>
          <w:szCs w:val="24"/>
        </w:rPr>
        <w:t>,</w:t>
      </w:r>
      <w:r w:rsidRPr="004F2236">
        <w:rPr>
          <w:rFonts w:ascii="Arial" w:hAnsi="Arial" w:cs="Arial"/>
          <w:sz w:val="24"/>
          <w:szCs w:val="24"/>
        </w:rPr>
        <w:t xml:space="preserve"> composition</w:t>
      </w:r>
      <w:bookmarkEnd w:id="294"/>
      <w:r w:rsidR="001402C9" w:rsidRPr="001402C9">
        <w:rPr>
          <w:rFonts w:ascii="Arial" w:hAnsi="Arial" w:cs="Arial"/>
          <w:sz w:val="24"/>
          <w:szCs w:val="24"/>
        </w:rPr>
        <w:t xml:space="preserve"> </w:t>
      </w:r>
      <w:r w:rsidR="001402C9" w:rsidRPr="004F2236">
        <w:rPr>
          <w:rFonts w:ascii="Arial" w:hAnsi="Arial" w:cs="Arial"/>
          <w:sz w:val="24"/>
          <w:szCs w:val="24"/>
        </w:rPr>
        <w:t>and</w:t>
      </w:r>
      <w:r w:rsidR="001402C9">
        <w:rPr>
          <w:rFonts w:ascii="Arial" w:hAnsi="Arial" w:cs="Arial"/>
          <w:sz w:val="24"/>
          <w:szCs w:val="24"/>
        </w:rPr>
        <w:t xml:space="preserve"> extent</w:t>
      </w:r>
    </w:p>
    <w:p w:rsidR="001B6AA0" w:rsidRPr="001B6AA0" w:rsidRDefault="001B6AA0" w:rsidP="001B6AA0">
      <w:pPr>
        <w:rPr>
          <w:color w:val="000000"/>
          <w:szCs w:val="22"/>
        </w:rPr>
      </w:pPr>
      <w:r w:rsidRPr="001B6AA0">
        <w:rPr>
          <w:color w:val="000000"/>
          <w:szCs w:val="22"/>
        </w:rPr>
        <w:t xml:space="preserve">The seagrass abundance score across the region was rated as very poor in 2014-15 (Figure 34). The long-term average seagrass cover at coastal habitats in the Wet Tropics NRM region varied greatly </w:t>
      </w:r>
      <w:r w:rsidRPr="001B6AA0">
        <w:rPr>
          <w:color w:val="000000"/>
          <w:szCs w:val="22"/>
        </w:rPr>
        <w:lastRenderedPageBreak/>
        <w:t xml:space="preserve">between seasons: 6.3 ±1.0% in the dry and 18.6 ±2.1% in the monsoon season. Changes in seagrass abundance were variable among sites, but generally, recovery rates stabilised or in some cases reversed. Seagrass abundance over the 2014-15 monitoring period remained on a recovering trajectory at Yule Point despite seasonal variations, but remained very poor at Lugger Bay (Figure 35). The seagrass meadows at Lugger Bay have fluctuated greatly since monitoring was established in late 2004, primarily from acute disturbances such as tropical cyclones. Seagrass cover declined in early 2010 and was completely lost in early 2011 following Tropical Cyclone Yasi. A few isolated shoots/plants established at Lugger Bay in late dry 2012, but they have failed to recolonise. </w:t>
      </w:r>
    </w:p>
    <w:p w:rsidR="001B6AA0" w:rsidRDefault="001B6AA0" w:rsidP="001B6AA0">
      <w:pPr>
        <w:jc w:val="center"/>
        <w:rPr>
          <w:color w:val="000000"/>
          <w:szCs w:val="22"/>
        </w:rPr>
      </w:pPr>
      <w:r>
        <w:rPr>
          <w:noProof/>
          <w:color w:val="000000"/>
          <w:szCs w:val="22"/>
          <w:lang w:eastAsia="en-AU"/>
        </w:rPr>
        <w:drawing>
          <wp:inline distT="0" distB="0" distL="0" distR="0" wp14:anchorId="379F9325" wp14:editId="7FDCB217">
            <wp:extent cx="5233504" cy="1918952"/>
            <wp:effectExtent l="0" t="0" r="5715" b="5715"/>
            <wp:docPr id="10147" name="Picture 10147" descr="Panel of two scatter plots with straight lines and markers showing seagrass abundance (% cover ± Standard Error) at inshore intertidal coastal habitats in the Wet Tropics region from 2000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coast_SG15.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236534" cy="1920063"/>
                    </a:xfrm>
                    <a:prstGeom prst="rect">
                      <a:avLst/>
                    </a:prstGeom>
                  </pic:spPr>
                </pic:pic>
              </a:graphicData>
            </a:graphic>
          </wp:inline>
        </w:drawing>
      </w:r>
    </w:p>
    <w:p w:rsidR="00012F2C" w:rsidRPr="007615D3" w:rsidRDefault="005132EF" w:rsidP="00012F2C">
      <w:pPr>
        <w:rPr>
          <w:i/>
          <w:vanish/>
          <w:color w:val="000000"/>
          <w:specVanish/>
        </w:rPr>
      </w:pPr>
      <w:bookmarkStart w:id="295" w:name="_Ref179412965"/>
      <w:bookmarkStart w:id="296" w:name="_Toc176158861"/>
      <w:bookmarkStart w:id="297" w:name="_Toc232845966"/>
      <w:bookmarkStart w:id="298" w:name="_Toc431493840"/>
      <w:bookmarkStart w:id="299" w:name="_Toc462684887"/>
      <w:bookmarkEnd w:id="283"/>
      <w:r w:rsidRPr="007615D3">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47</w:t>
      </w:r>
      <w:r w:rsidR="0073595B">
        <w:rPr>
          <w:color w:val="000000"/>
        </w:rPr>
        <w:fldChar w:fldCharType="end"/>
      </w:r>
      <w:bookmarkEnd w:id="295"/>
      <w:r w:rsidRPr="007615D3">
        <w:rPr>
          <w:color w:val="000000"/>
        </w:rPr>
        <w:t xml:space="preserve">. </w:t>
      </w:r>
      <w:bookmarkEnd w:id="296"/>
      <w:bookmarkEnd w:id="297"/>
      <w:r w:rsidRPr="007615D3">
        <w:rPr>
          <w:i/>
          <w:color w:val="000000"/>
        </w:rPr>
        <w:t xml:space="preserve">Changes in seagrass abundance (% cover ±Standard Error) </w:t>
      </w:r>
      <w:r w:rsidR="00A12512" w:rsidRPr="007615D3">
        <w:rPr>
          <w:i/>
          <w:color w:val="000000"/>
        </w:rPr>
        <w:t xml:space="preserve">at inshore </w:t>
      </w:r>
      <w:r w:rsidRPr="007615D3">
        <w:rPr>
          <w:i/>
          <w:color w:val="000000"/>
        </w:rPr>
        <w:t xml:space="preserve">intertidal </w:t>
      </w:r>
      <w:r w:rsidR="00A12512" w:rsidRPr="007615D3">
        <w:rPr>
          <w:i/>
          <w:color w:val="000000"/>
        </w:rPr>
        <w:t>coastal habitats</w:t>
      </w:r>
      <w:r w:rsidRPr="007615D3">
        <w:rPr>
          <w:i/>
          <w:color w:val="000000"/>
        </w:rPr>
        <w:t xml:space="preserve"> in the Wet Tropics region</w:t>
      </w:r>
      <w:r w:rsidR="00A12512" w:rsidRPr="007615D3">
        <w:rPr>
          <w:i/>
          <w:color w:val="000000"/>
        </w:rPr>
        <w:t>,</w:t>
      </w:r>
      <w:r w:rsidRPr="007615D3">
        <w:rPr>
          <w:i/>
          <w:color w:val="000000"/>
        </w:rPr>
        <w:t xml:space="preserve"> 2000 </w:t>
      </w:r>
      <w:r w:rsidR="00574C5B" w:rsidRPr="007615D3">
        <w:rPr>
          <w:i/>
          <w:color w:val="000000"/>
        </w:rPr>
        <w:t>-</w:t>
      </w:r>
      <w:r w:rsidRPr="007615D3">
        <w:rPr>
          <w:i/>
          <w:color w:val="000000"/>
        </w:rPr>
        <w:t xml:space="preserve"> 201</w:t>
      </w:r>
      <w:r w:rsidR="007615D3">
        <w:rPr>
          <w:i/>
          <w:color w:val="000000"/>
        </w:rPr>
        <w:t>5</w:t>
      </w:r>
      <w:r w:rsidRPr="007615D3">
        <w:rPr>
          <w:i/>
          <w:color w:val="000000"/>
        </w:rPr>
        <w:t>.</w:t>
      </w:r>
      <w:bookmarkEnd w:id="298"/>
      <w:bookmarkEnd w:id="299"/>
      <w:r w:rsidR="0035325A" w:rsidRPr="007615D3">
        <w:rPr>
          <w:i/>
          <w:vanish/>
          <w:color w:val="000000"/>
          <w:specVanish/>
        </w:rPr>
        <w:t xml:space="preserve"> </w:t>
      </w:r>
    </w:p>
    <w:p w:rsidR="00012F2C" w:rsidRDefault="005132EF" w:rsidP="00012F2C">
      <w:pPr>
        <w:rPr>
          <w:color w:val="000000"/>
        </w:rPr>
      </w:pPr>
      <w:r w:rsidRPr="007615D3">
        <w:rPr>
          <w:i/>
          <w:color w:val="000000"/>
        </w:rPr>
        <w:t xml:space="preserve"> </w:t>
      </w:r>
      <w:proofErr w:type="spellStart"/>
      <w:r w:rsidRPr="007615D3">
        <w:rPr>
          <w:i/>
          <w:color w:val="000000"/>
        </w:rPr>
        <w:t>Trendline</w:t>
      </w:r>
      <w:proofErr w:type="spellEnd"/>
      <w:r w:rsidRPr="007615D3">
        <w:rPr>
          <w:i/>
          <w:color w:val="000000"/>
        </w:rPr>
        <w:t xml:space="preserve"> is 3rd order polynomial (95% confidence intervals displayed) where Yule Pt r</w:t>
      </w:r>
      <w:r w:rsidRPr="007615D3">
        <w:rPr>
          <w:i/>
          <w:color w:val="000000"/>
          <w:vertAlign w:val="superscript"/>
        </w:rPr>
        <w:t>2</w:t>
      </w:r>
      <w:r w:rsidRPr="007615D3">
        <w:rPr>
          <w:i/>
          <w:color w:val="000000"/>
        </w:rPr>
        <w:t xml:space="preserve"> = 0.2</w:t>
      </w:r>
      <w:r w:rsidR="007615D3" w:rsidRPr="007615D3">
        <w:rPr>
          <w:i/>
          <w:color w:val="000000"/>
        </w:rPr>
        <w:t>0</w:t>
      </w:r>
      <w:r w:rsidRPr="007615D3">
        <w:rPr>
          <w:i/>
          <w:color w:val="000000"/>
        </w:rPr>
        <w:t xml:space="preserve"> and Lugger Bay r</w:t>
      </w:r>
      <w:r w:rsidRPr="007615D3">
        <w:rPr>
          <w:i/>
          <w:color w:val="000000"/>
          <w:vertAlign w:val="superscript"/>
        </w:rPr>
        <w:t>2</w:t>
      </w:r>
      <w:r w:rsidRPr="007615D3">
        <w:rPr>
          <w:i/>
          <w:color w:val="000000"/>
        </w:rPr>
        <w:t xml:space="preserve"> = 0.</w:t>
      </w:r>
      <w:r w:rsidR="007A450A" w:rsidRPr="007615D3">
        <w:rPr>
          <w:i/>
          <w:color w:val="000000"/>
        </w:rPr>
        <w:t>4</w:t>
      </w:r>
      <w:r w:rsidR="007615D3" w:rsidRPr="007615D3">
        <w:rPr>
          <w:i/>
          <w:color w:val="000000"/>
        </w:rPr>
        <w:t>5</w:t>
      </w:r>
      <w:r w:rsidRPr="007615D3">
        <w:rPr>
          <w:i/>
          <w:color w:val="000000"/>
        </w:rPr>
        <w:t>)</w:t>
      </w:r>
      <w:r w:rsidR="00A12512" w:rsidRPr="007615D3">
        <w:rPr>
          <w:i/>
          <w:color w:val="000000"/>
        </w:rPr>
        <w:t>.</w:t>
      </w:r>
      <w:r w:rsidR="00A12512" w:rsidRPr="007A450A">
        <w:rPr>
          <w:color w:val="000000"/>
        </w:rPr>
        <w:t xml:space="preserve"> </w:t>
      </w:r>
    </w:p>
    <w:p w:rsidR="00574D52" w:rsidRDefault="00574D52" w:rsidP="00574D52">
      <w:pPr>
        <w:rPr>
          <w:color w:val="000000"/>
          <w:szCs w:val="22"/>
        </w:rPr>
      </w:pPr>
      <w:r w:rsidRPr="001B6AA0">
        <w:rPr>
          <w:color w:val="000000"/>
          <w:szCs w:val="22"/>
        </w:rPr>
        <w:t xml:space="preserve">Abundances at Low Isles are seasonally variable, but in 2014-15 dry season maxima did not reach the peak in density recorded in 2008 or 2012. Seagrass abundance (% cover) stabilised at Green Island reef platform (intertidal) sites, but reached the lowest recorded levels at the subtidal site in the dry of 2014 (Figure 36). At Dunk Island, seagrass abundance remained low (&lt;6%), but showed signs of recovery at the subtidal sites with an increase in </w:t>
      </w:r>
      <w:proofErr w:type="spellStart"/>
      <w:r w:rsidRPr="001B6AA0">
        <w:rPr>
          <w:color w:val="000000"/>
          <w:szCs w:val="22"/>
        </w:rPr>
        <w:t>Halodule</w:t>
      </w:r>
      <w:proofErr w:type="spellEnd"/>
      <w:r w:rsidRPr="001B6AA0">
        <w:rPr>
          <w:color w:val="000000"/>
          <w:szCs w:val="22"/>
        </w:rPr>
        <w:t xml:space="preserve"> </w:t>
      </w:r>
      <w:proofErr w:type="spellStart"/>
      <w:r w:rsidRPr="001B6AA0">
        <w:rPr>
          <w:color w:val="000000"/>
          <w:szCs w:val="22"/>
        </w:rPr>
        <w:t>uninervis</w:t>
      </w:r>
      <w:proofErr w:type="spellEnd"/>
      <w:r w:rsidRPr="001B6AA0">
        <w:rPr>
          <w:color w:val="000000"/>
          <w:szCs w:val="22"/>
        </w:rPr>
        <w:t>, while intertidal seagrass abundance remained &lt;2%. Recovery at Dunk Island after the crossing of TC Yasi in 2011 has been limited by availability of recruits</w:t>
      </w:r>
      <w:r>
        <w:rPr>
          <w:color w:val="000000"/>
          <w:szCs w:val="22"/>
        </w:rPr>
        <w:t xml:space="preserve"> (e.g. seeds and propagules)</w:t>
      </w:r>
      <w:r w:rsidRPr="001B6AA0">
        <w:rPr>
          <w:color w:val="000000"/>
          <w:szCs w:val="22"/>
        </w:rPr>
        <w:t>.</w:t>
      </w:r>
    </w:p>
    <w:p w:rsidR="001B6AA0" w:rsidRDefault="001B6AA0" w:rsidP="007615D3">
      <w:pPr>
        <w:keepNext/>
        <w:widowControl w:val="0"/>
        <w:spacing w:after="0"/>
        <w:jc w:val="center"/>
        <w:rPr>
          <w:lang w:val="en-GB"/>
        </w:rPr>
      </w:pPr>
      <w:r>
        <w:rPr>
          <w:noProof/>
          <w:lang w:eastAsia="en-AU"/>
        </w:rPr>
        <w:lastRenderedPageBreak/>
        <w:drawing>
          <wp:inline distT="0" distB="0" distL="0" distR="0" wp14:anchorId="50A914FD" wp14:editId="019718D6">
            <wp:extent cx="4787536" cy="6684135"/>
            <wp:effectExtent l="0" t="0" r="0" b="2540"/>
            <wp:docPr id="10148" name="Picture 10148" descr="Set of seven scatter plots with straight lines and markers showing seagrass abundance (% cover ± Standard Error) at inshore intertidal and subtidal reef habitats in the Wet Tropics NRM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reef_SG15.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4787536" cy="6684135"/>
                    </a:xfrm>
                    <a:prstGeom prst="rect">
                      <a:avLst/>
                    </a:prstGeom>
                  </pic:spPr>
                </pic:pic>
              </a:graphicData>
            </a:graphic>
          </wp:inline>
        </w:drawing>
      </w:r>
    </w:p>
    <w:p w:rsidR="00574C5B" w:rsidRPr="007615D3" w:rsidRDefault="00ED32CE" w:rsidP="007615D3">
      <w:pPr>
        <w:rPr>
          <w:i/>
          <w:vanish/>
          <w:color w:val="000000"/>
          <w:szCs w:val="22"/>
          <w:specVanish/>
        </w:rPr>
      </w:pPr>
      <w:bookmarkStart w:id="300" w:name="_Ref348439596"/>
      <w:bookmarkStart w:id="301" w:name="_Toc431493841"/>
      <w:bookmarkStart w:id="302" w:name="_Toc462684888"/>
      <w:r w:rsidRPr="006D3C69">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48</w:t>
      </w:r>
      <w:r w:rsidR="0073595B">
        <w:rPr>
          <w:color w:val="000000"/>
          <w:szCs w:val="22"/>
        </w:rPr>
        <w:fldChar w:fldCharType="end"/>
      </w:r>
      <w:bookmarkEnd w:id="300"/>
      <w:r w:rsidRPr="006D3C69">
        <w:rPr>
          <w:color w:val="000000"/>
          <w:szCs w:val="22"/>
        </w:rPr>
        <w:t>.</w:t>
      </w:r>
      <w:r w:rsidRPr="006D3C69">
        <w:rPr>
          <w:i/>
          <w:color w:val="000000"/>
          <w:szCs w:val="22"/>
        </w:rPr>
        <w:t xml:space="preserve"> Changes in seagrass abundance (% cover ±Standard Error) </w:t>
      </w:r>
      <w:r w:rsidR="00574C5B" w:rsidRPr="006D3C69">
        <w:rPr>
          <w:i/>
          <w:color w:val="000000"/>
          <w:szCs w:val="22"/>
        </w:rPr>
        <w:t>for</w:t>
      </w:r>
      <w:r w:rsidRPr="006D3C69">
        <w:rPr>
          <w:i/>
          <w:color w:val="000000"/>
          <w:szCs w:val="22"/>
        </w:rPr>
        <w:t xml:space="preserve"> </w:t>
      </w:r>
      <w:r w:rsidR="00574C5B" w:rsidRPr="006D3C69">
        <w:rPr>
          <w:i/>
          <w:color w:val="000000"/>
          <w:szCs w:val="22"/>
        </w:rPr>
        <w:t xml:space="preserve">inshore intertidal and </w:t>
      </w:r>
      <w:r w:rsidR="00574C5B" w:rsidRPr="007615D3">
        <w:rPr>
          <w:i/>
          <w:color w:val="000000"/>
          <w:szCs w:val="22"/>
        </w:rPr>
        <w:t xml:space="preserve">subtidal </w:t>
      </w:r>
      <w:r w:rsidR="006B2240" w:rsidRPr="007615D3">
        <w:rPr>
          <w:i/>
          <w:color w:val="000000"/>
          <w:szCs w:val="22"/>
        </w:rPr>
        <w:t>reef habitat</w:t>
      </w:r>
      <w:r w:rsidR="00574C5B" w:rsidRPr="007615D3">
        <w:rPr>
          <w:i/>
          <w:color w:val="000000"/>
          <w:szCs w:val="22"/>
        </w:rPr>
        <w:t>s</w:t>
      </w:r>
      <w:r w:rsidR="006B2240" w:rsidRPr="007615D3">
        <w:rPr>
          <w:i/>
          <w:color w:val="000000"/>
          <w:szCs w:val="22"/>
        </w:rPr>
        <w:t xml:space="preserve"> </w:t>
      </w:r>
      <w:r w:rsidRPr="007615D3">
        <w:rPr>
          <w:i/>
          <w:color w:val="000000"/>
          <w:szCs w:val="22"/>
        </w:rPr>
        <w:t xml:space="preserve">(left and right respectively) </w:t>
      </w:r>
      <w:r w:rsidR="00574C5B" w:rsidRPr="007615D3">
        <w:rPr>
          <w:i/>
          <w:color w:val="000000"/>
          <w:szCs w:val="22"/>
        </w:rPr>
        <w:t>in the</w:t>
      </w:r>
      <w:r w:rsidRPr="007615D3">
        <w:rPr>
          <w:i/>
          <w:color w:val="000000"/>
          <w:szCs w:val="22"/>
        </w:rPr>
        <w:t xml:space="preserve"> </w:t>
      </w:r>
      <w:r w:rsidR="006B2240" w:rsidRPr="007615D3">
        <w:rPr>
          <w:i/>
          <w:color w:val="000000"/>
          <w:szCs w:val="22"/>
        </w:rPr>
        <w:t xml:space="preserve">Wet Tropics </w:t>
      </w:r>
      <w:r w:rsidR="00574C5B" w:rsidRPr="007615D3">
        <w:rPr>
          <w:i/>
          <w:color w:val="000000"/>
          <w:szCs w:val="22"/>
        </w:rPr>
        <w:t>region, 2001 - 201</w:t>
      </w:r>
      <w:r w:rsidR="007615D3" w:rsidRPr="007615D3">
        <w:rPr>
          <w:i/>
          <w:color w:val="000000"/>
          <w:szCs w:val="22"/>
        </w:rPr>
        <w:t>5</w:t>
      </w:r>
      <w:bookmarkEnd w:id="301"/>
      <w:bookmarkEnd w:id="302"/>
    </w:p>
    <w:p w:rsidR="00574C5B" w:rsidRPr="006D3C69" w:rsidRDefault="006B2240" w:rsidP="007615D3">
      <w:pPr>
        <w:rPr>
          <w:i/>
          <w:color w:val="000000"/>
          <w:szCs w:val="22"/>
        </w:rPr>
      </w:pPr>
      <w:r w:rsidRPr="007615D3">
        <w:rPr>
          <w:i/>
          <w:color w:val="000000"/>
          <w:szCs w:val="22"/>
        </w:rPr>
        <w:t xml:space="preserve">: </w:t>
      </w:r>
      <w:proofErr w:type="spellStart"/>
      <w:r w:rsidR="00574C5B" w:rsidRPr="007615D3">
        <w:rPr>
          <w:i/>
          <w:color w:val="000000"/>
          <w:szCs w:val="22"/>
        </w:rPr>
        <w:t>trendline</w:t>
      </w:r>
      <w:proofErr w:type="spellEnd"/>
      <w:r w:rsidR="00574C5B" w:rsidRPr="007615D3">
        <w:rPr>
          <w:i/>
          <w:color w:val="000000"/>
          <w:szCs w:val="22"/>
        </w:rPr>
        <w:t xml:space="preserve"> is 3rd order polynomial (95% confidence intervals displayed), </w:t>
      </w:r>
      <w:r w:rsidRPr="007615D3">
        <w:rPr>
          <w:i/>
          <w:color w:val="000000"/>
          <w:szCs w:val="22"/>
        </w:rPr>
        <w:t>a-b) Low Isles</w:t>
      </w:r>
      <w:r w:rsidR="00574C5B" w:rsidRPr="007615D3">
        <w:rPr>
          <w:i/>
          <w:color w:val="000000"/>
          <w:szCs w:val="22"/>
        </w:rPr>
        <w:t xml:space="preserve">, </w:t>
      </w:r>
      <w:r w:rsidRPr="007615D3">
        <w:rPr>
          <w:i/>
          <w:color w:val="000000"/>
          <w:szCs w:val="22"/>
        </w:rPr>
        <w:t>intertidal r</w:t>
      </w:r>
      <w:r w:rsidRPr="007615D3">
        <w:rPr>
          <w:i/>
          <w:color w:val="000000"/>
          <w:szCs w:val="22"/>
          <w:vertAlign w:val="superscript"/>
        </w:rPr>
        <w:t>2</w:t>
      </w:r>
      <w:r w:rsidRPr="007615D3">
        <w:rPr>
          <w:i/>
          <w:color w:val="000000"/>
          <w:szCs w:val="22"/>
        </w:rPr>
        <w:t xml:space="preserve"> = 0.5</w:t>
      </w:r>
      <w:r w:rsidR="007615D3" w:rsidRPr="007615D3">
        <w:rPr>
          <w:i/>
          <w:color w:val="000000"/>
          <w:szCs w:val="22"/>
        </w:rPr>
        <w:t>6</w:t>
      </w:r>
      <w:r w:rsidRPr="007615D3">
        <w:rPr>
          <w:i/>
          <w:color w:val="000000"/>
          <w:szCs w:val="22"/>
        </w:rPr>
        <w:t xml:space="preserve"> and subtidal r</w:t>
      </w:r>
      <w:r w:rsidRPr="007615D3">
        <w:rPr>
          <w:i/>
          <w:color w:val="000000"/>
          <w:szCs w:val="22"/>
          <w:vertAlign w:val="superscript"/>
        </w:rPr>
        <w:t>2</w:t>
      </w:r>
      <w:r w:rsidRPr="007615D3">
        <w:rPr>
          <w:i/>
          <w:color w:val="000000"/>
          <w:szCs w:val="22"/>
        </w:rPr>
        <w:t xml:space="preserve"> = 0.38; c-d) </w:t>
      </w:r>
      <w:bookmarkStart w:id="303" w:name="_Toc176158864"/>
      <w:bookmarkStart w:id="304" w:name="_Toc232845969"/>
      <w:r w:rsidRPr="007615D3">
        <w:rPr>
          <w:i/>
          <w:color w:val="000000"/>
          <w:szCs w:val="22"/>
        </w:rPr>
        <w:t>Green Island, intertidal r</w:t>
      </w:r>
      <w:r w:rsidRPr="007615D3">
        <w:rPr>
          <w:i/>
          <w:color w:val="000000"/>
          <w:szCs w:val="22"/>
          <w:vertAlign w:val="superscript"/>
        </w:rPr>
        <w:t>2</w:t>
      </w:r>
      <w:r w:rsidRPr="007615D3">
        <w:rPr>
          <w:i/>
          <w:color w:val="000000"/>
          <w:szCs w:val="22"/>
        </w:rPr>
        <w:t xml:space="preserve"> = 0.</w:t>
      </w:r>
      <w:r w:rsidR="007615D3" w:rsidRPr="007615D3">
        <w:rPr>
          <w:i/>
          <w:color w:val="000000"/>
          <w:szCs w:val="22"/>
        </w:rPr>
        <w:t>40</w:t>
      </w:r>
      <w:r w:rsidRPr="007615D3">
        <w:rPr>
          <w:i/>
          <w:color w:val="000000"/>
          <w:szCs w:val="22"/>
        </w:rPr>
        <w:t xml:space="preserve"> and subtidal r</w:t>
      </w:r>
      <w:r w:rsidRPr="007615D3">
        <w:rPr>
          <w:i/>
          <w:color w:val="000000"/>
          <w:szCs w:val="22"/>
          <w:vertAlign w:val="superscript"/>
        </w:rPr>
        <w:t>2</w:t>
      </w:r>
      <w:r w:rsidRPr="007615D3">
        <w:rPr>
          <w:i/>
          <w:color w:val="000000"/>
          <w:szCs w:val="22"/>
        </w:rPr>
        <w:t xml:space="preserve"> = 0.</w:t>
      </w:r>
      <w:r w:rsidR="006D3C69" w:rsidRPr="007615D3">
        <w:rPr>
          <w:i/>
          <w:color w:val="000000"/>
          <w:szCs w:val="22"/>
        </w:rPr>
        <w:t>3</w:t>
      </w:r>
      <w:r w:rsidR="007615D3" w:rsidRPr="007615D3">
        <w:rPr>
          <w:i/>
          <w:color w:val="000000"/>
          <w:szCs w:val="22"/>
        </w:rPr>
        <w:t>1</w:t>
      </w:r>
      <w:r w:rsidRPr="007615D3">
        <w:rPr>
          <w:i/>
          <w:color w:val="000000"/>
          <w:szCs w:val="22"/>
        </w:rPr>
        <w:t xml:space="preserve">; and </w:t>
      </w:r>
      <w:bookmarkEnd w:id="303"/>
      <w:bookmarkEnd w:id="304"/>
      <w:r w:rsidRPr="007615D3">
        <w:rPr>
          <w:i/>
          <w:color w:val="000000"/>
          <w:szCs w:val="22"/>
        </w:rPr>
        <w:t xml:space="preserve">e-f) </w:t>
      </w:r>
      <w:r w:rsidR="00ED32CE" w:rsidRPr="007615D3">
        <w:rPr>
          <w:i/>
          <w:color w:val="000000"/>
          <w:szCs w:val="22"/>
        </w:rPr>
        <w:t>Dunk Island</w:t>
      </w:r>
      <w:r w:rsidR="00574C5B" w:rsidRPr="007615D3">
        <w:rPr>
          <w:i/>
          <w:color w:val="000000"/>
          <w:szCs w:val="22"/>
        </w:rPr>
        <w:t>,</w:t>
      </w:r>
      <w:r w:rsidR="00ED32CE" w:rsidRPr="007615D3">
        <w:rPr>
          <w:i/>
          <w:color w:val="000000"/>
          <w:szCs w:val="22"/>
        </w:rPr>
        <w:t xml:space="preserve"> intertidal </w:t>
      </w:r>
      <w:r w:rsidRPr="007615D3">
        <w:rPr>
          <w:i/>
          <w:color w:val="000000"/>
          <w:szCs w:val="22"/>
        </w:rPr>
        <w:t>r</w:t>
      </w:r>
      <w:r w:rsidRPr="007615D3">
        <w:rPr>
          <w:i/>
          <w:color w:val="000000"/>
          <w:szCs w:val="22"/>
          <w:vertAlign w:val="superscript"/>
        </w:rPr>
        <w:t>2</w:t>
      </w:r>
      <w:r w:rsidR="00ED32CE" w:rsidRPr="007615D3">
        <w:rPr>
          <w:i/>
          <w:color w:val="000000"/>
          <w:szCs w:val="22"/>
        </w:rPr>
        <w:t xml:space="preserve"> = 0.</w:t>
      </w:r>
      <w:r w:rsidR="007615D3" w:rsidRPr="007615D3">
        <w:rPr>
          <w:i/>
          <w:color w:val="000000"/>
          <w:szCs w:val="22"/>
        </w:rPr>
        <w:t>77</w:t>
      </w:r>
      <w:r w:rsidR="00ED32CE" w:rsidRPr="007615D3">
        <w:rPr>
          <w:i/>
          <w:color w:val="000000"/>
          <w:szCs w:val="22"/>
        </w:rPr>
        <w:t xml:space="preserve"> and subtidal </w:t>
      </w:r>
      <w:r w:rsidRPr="007615D3">
        <w:rPr>
          <w:i/>
          <w:color w:val="000000"/>
          <w:szCs w:val="22"/>
        </w:rPr>
        <w:t>r</w:t>
      </w:r>
      <w:r w:rsidRPr="007615D3">
        <w:rPr>
          <w:i/>
          <w:color w:val="000000"/>
          <w:szCs w:val="22"/>
          <w:vertAlign w:val="superscript"/>
        </w:rPr>
        <w:t>2</w:t>
      </w:r>
      <w:r w:rsidR="00ED32CE" w:rsidRPr="007615D3">
        <w:rPr>
          <w:i/>
          <w:color w:val="000000"/>
          <w:szCs w:val="22"/>
        </w:rPr>
        <w:t xml:space="preserve"> = 0.6</w:t>
      </w:r>
      <w:r w:rsidR="007615D3" w:rsidRPr="007615D3">
        <w:rPr>
          <w:i/>
          <w:color w:val="000000"/>
          <w:szCs w:val="22"/>
        </w:rPr>
        <w:t>4</w:t>
      </w:r>
      <w:r w:rsidRPr="007615D3">
        <w:rPr>
          <w:i/>
          <w:color w:val="000000"/>
          <w:szCs w:val="22"/>
        </w:rPr>
        <w:t>. Subtidal sites not replicated.</w:t>
      </w:r>
      <w:r w:rsidR="00574C5B" w:rsidRPr="006D3C69">
        <w:rPr>
          <w:i/>
          <w:color w:val="000000"/>
          <w:szCs w:val="22"/>
        </w:rPr>
        <w:t xml:space="preserve"> </w:t>
      </w:r>
    </w:p>
    <w:p w:rsidR="00B07165" w:rsidRDefault="00B07165" w:rsidP="00B07165">
      <w:pPr>
        <w:rPr>
          <w:color w:val="000000"/>
          <w:szCs w:val="22"/>
        </w:rPr>
      </w:pPr>
      <w:r w:rsidRPr="00A009CE">
        <w:rPr>
          <w:color w:val="000000"/>
          <w:szCs w:val="22"/>
        </w:rPr>
        <w:t xml:space="preserve">An examination of the long term trends across the </w:t>
      </w:r>
      <w:r>
        <w:rPr>
          <w:color w:val="000000"/>
          <w:szCs w:val="22"/>
        </w:rPr>
        <w:t>Wet Tropics</w:t>
      </w:r>
      <w:r w:rsidRPr="00A009CE">
        <w:rPr>
          <w:color w:val="000000"/>
          <w:szCs w:val="22"/>
        </w:rPr>
        <w:t xml:space="preserve"> NRM region suggests seagrass abundance (% cover) </w:t>
      </w:r>
      <w:r>
        <w:rPr>
          <w:color w:val="000000"/>
          <w:szCs w:val="22"/>
        </w:rPr>
        <w:t>has improved little since declining in 2009</w:t>
      </w:r>
      <w:r w:rsidRPr="00A009CE">
        <w:rPr>
          <w:color w:val="000000"/>
          <w:szCs w:val="22"/>
        </w:rPr>
        <w:t xml:space="preserve"> (</w:t>
      </w:r>
      <w:r>
        <w:rPr>
          <w:color w:val="000000"/>
          <w:szCs w:val="22"/>
        </w:rPr>
        <w:fldChar w:fldCharType="begin"/>
      </w:r>
      <w:r>
        <w:rPr>
          <w:color w:val="000000"/>
          <w:szCs w:val="22"/>
        </w:rPr>
        <w:instrText xml:space="preserve"> REF _Ref442427651 \h </w:instrText>
      </w:r>
      <w:r>
        <w:rPr>
          <w:color w:val="000000"/>
          <w:szCs w:val="22"/>
        </w:rPr>
      </w:r>
      <w:r>
        <w:rPr>
          <w:color w:val="000000"/>
          <w:szCs w:val="22"/>
        </w:rPr>
        <w:fldChar w:fldCharType="separate"/>
      </w:r>
      <w:r w:rsidR="009C068F">
        <w:t xml:space="preserve">Figure </w:t>
      </w:r>
      <w:r w:rsidR="009C068F">
        <w:rPr>
          <w:noProof/>
        </w:rPr>
        <w:t>49</w:t>
      </w:r>
      <w:r>
        <w:rPr>
          <w:color w:val="000000"/>
          <w:szCs w:val="22"/>
        </w:rPr>
        <w:fldChar w:fldCharType="end"/>
      </w:r>
      <w:r w:rsidRPr="00A009CE">
        <w:rPr>
          <w:color w:val="000000"/>
          <w:szCs w:val="22"/>
        </w:rPr>
        <w:t>).</w:t>
      </w:r>
    </w:p>
    <w:p w:rsidR="001402C9" w:rsidRDefault="001402C9" w:rsidP="001402C9">
      <w:pPr>
        <w:keepNext/>
        <w:widowControl w:val="0"/>
        <w:spacing w:after="0"/>
        <w:jc w:val="center"/>
        <w:rPr>
          <w:color w:val="000000"/>
          <w:szCs w:val="22"/>
        </w:rPr>
      </w:pPr>
      <w:r>
        <w:rPr>
          <w:noProof/>
          <w:color w:val="000000"/>
          <w:szCs w:val="22"/>
          <w:lang w:eastAsia="en-AU"/>
        </w:rPr>
        <w:lastRenderedPageBreak/>
        <w:drawing>
          <wp:inline distT="0" distB="0" distL="0" distR="0" wp14:anchorId="1CA084F0" wp14:editId="5518B1B2">
            <wp:extent cx="3960000" cy="2343600"/>
            <wp:effectExtent l="0" t="0" r="2540" b="0"/>
            <wp:docPr id="126" name="Picture 126" descr="GAM plot showing long-term temporal trends in seagrass abundance for each location in the Wet Tropics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WT_cvr_GAM_Jan16.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3960000" cy="2343600"/>
                    </a:xfrm>
                    <a:prstGeom prst="rect">
                      <a:avLst/>
                    </a:prstGeom>
                  </pic:spPr>
                </pic:pic>
              </a:graphicData>
            </a:graphic>
          </wp:inline>
        </w:drawing>
      </w:r>
    </w:p>
    <w:p w:rsidR="00A009CE" w:rsidRPr="00A009CE" w:rsidRDefault="001402C9" w:rsidP="001402C9">
      <w:pPr>
        <w:rPr>
          <w:i/>
          <w:vanish/>
          <w:specVanish/>
        </w:rPr>
      </w:pPr>
      <w:bookmarkStart w:id="305" w:name="_Ref442427651"/>
      <w:bookmarkStart w:id="306" w:name="_Toc462684889"/>
      <w:r>
        <w:t xml:space="preserve">Figure </w:t>
      </w:r>
      <w:fldSimple w:instr=" SEQ Figure \* ARABIC ">
        <w:r w:rsidR="009C068F">
          <w:rPr>
            <w:noProof/>
          </w:rPr>
          <w:t>49</w:t>
        </w:r>
      </w:fldSimple>
      <w:bookmarkEnd w:id="305"/>
      <w:r>
        <w:t xml:space="preserve">.  </w:t>
      </w:r>
      <w:r w:rsidR="00A009CE" w:rsidRPr="00A009CE">
        <w:rPr>
          <w:i/>
        </w:rPr>
        <w:t xml:space="preserve">Temporal trends in seagrass abundance for each </w:t>
      </w:r>
      <w:r w:rsidR="00A009CE">
        <w:rPr>
          <w:i/>
        </w:rPr>
        <w:t>monitoring location</w:t>
      </w:r>
      <w:r w:rsidR="00A009CE" w:rsidRPr="00A009CE">
        <w:rPr>
          <w:i/>
        </w:rPr>
        <w:t xml:space="preserve"> in the </w:t>
      </w:r>
      <w:r w:rsidR="00A009CE">
        <w:rPr>
          <w:i/>
        </w:rPr>
        <w:t>Wet Tropics</w:t>
      </w:r>
      <w:r w:rsidR="00A009CE" w:rsidRPr="00A009CE">
        <w:rPr>
          <w:i/>
        </w:rPr>
        <w:t xml:space="preserve"> region represented by a GAM plot</w:t>
      </w:r>
      <w:r w:rsidR="00A009CE">
        <w:rPr>
          <w:i/>
        </w:rPr>
        <w:t>, 2001-2015</w:t>
      </w:r>
      <w:r w:rsidR="00A009CE" w:rsidRPr="00A009CE">
        <w:rPr>
          <w:i/>
        </w:rPr>
        <w:t>.</w:t>
      </w:r>
      <w:bookmarkEnd w:id="306"/>
    </w:p>
    <w:p w:rsidR="001402C9" w:rsidRPr="00A009CE" w:rsidRDefault="00A009CE" w:rsidP="001402C9">
      <w:pPr>
        <w:rPr>
          <w:i/>
          <w:color w:val="000000"/>
          <w:szCs w:val="22"/>
        </w:rPr>
      </w:pPr>
      <w:r w:rsidRPr="00A009CE">
        <w:rPr>
          <w:i/>
        </w:rPr>
        <w:t xml:space="preserve">  Regional trend (all </w:t>
      </w:r>
      <w:r>
        <w:rPr>
          <w:i/>
        </w:rPr>
        <w:t>locations</w:t>
      </w:r>
      <w:r w:rsidRPr="00A009CE">
        <w:rPr>
          <w:i/>
        </w:rPr>
        <w:t xml:space="preserve"> pooled) represented by black line with grey shaded area defining 95% confidence intervals.</w:t>
      </w:r>
    </w:p>
    <w:p w:rsidR="001B6AA0" w:rsidRDefault="001B6AA0" w:rsidP="006C46B4">
      <w:pPr>
        <w:rPr>
          <w:color w:val="000000"/>
          <w:szCs w:val="22"/>
        </w:rPr>
      </w:pPr>
      <w:r w:rsidRPr="001B6AA0">
        <w:rPr>
          <w:color w:val="000000"/>
          <w:szCs w:val="22"/>
        </w:rPr>
        <w:t xml:space="preserve">The proportion of </w:t>
      </w:r>
      <w:r w:rsidR="003F1B2E">
        <w:rPr>
          <w:color w:val="000000"/>
          <w:szCs w:val="22"/>
        </w:rPr>
        <w:t xml:space="preserve">seagrass species displaying </w:t>
      </w:r>
      <w:r w:rsidRPr="001B6AA0">
        <w:rPr>
          <w:color w:val="000000"/>
          <w:szCs w:val="22"/>
        </w:rPr>
        <w:t xml:space="preserve">colonising </w:t>
      </w:r>
      <w:r w:rsidR="003F1B2E">
        <w:rPr>
          <w:color w:val="000000"/>
          <w:szCs w:val="22"/>
        </w:rPr>
        <w:t>traits</w:t>
      </w:r>
      <w:r w:rsidRPr="001B6AA0">
        <w:rPr>
          <w:color w:val="000000"/>
          <w:szCs w:val="22"/>
        </w:rPr>
        <w:t xml:space="preserve"> at coastal habitats (Yule Point, Lugger Bay) had been above average for GBR coastal habitats following 2011 extreme events</w:t>
      </w:r>
      <w:r w:rsidR="00C61865">
        <w:rPr>
          <w:color w:val="000000"/>
          <w:szCs w:val="22"/>
        </w:rPr>
        <w:t>,</w:t>
      </w:r>
      <w:r w:rsidRPr="001B6AA0">
        <w:rPr>
          <w:color w:val="000000"/>
          <w:szCs w:val="22"/>
        </w:rPr>
        <w:t xml:space="preserve"> however, the proportion declined in 2014-15</w:t>
      </w:r>
      <w:r w:rsidR="00C61865">
        <w:rPr>
          <w:color w:val="000000"/>
          <w:szCs w:val="22"/>
        </w:rPr>
        <w:t>;</w:t>
      </w:r>
      <w:r w:rsidRPr="001B6AA0">
        <w:rPr>
          <w:color w:val="000000"/>
          <w:szCs w:val="22"/>
        </w:rPr>
        <w:t xml:space="preserve"> with colonising species replaced by opportunistic species (</w:t>
      </w:r>
      <w:proofErr w:type="spellStart"/>
      <w:r w:rsidRPr="00B07165">
        <w:rPr>
          <w:i/>
          <w:color w:val="000000"/>
          <w:szCs w:val="22"/>
        </w:rPr>
        <w:t>Halodule</w:t>
      </w:r>
      <w:proofErr w:type="spellEnd"/>
      <w:r w:rsidRPr="00B07165">
        <w:rPr>
          <w:i/>
          <w:color w:val="000000"/>
          <w:szCs w:val="22"/>
        </w:rPr>
        <w:t xml:space="preserve"> </w:t>
      </w:r>
      <w:proofErr w:type="spellStart"/>
      <w:r w:rsidRPr="00B07165">
        <w:rPr>
          <w:i/>
          <w:color w:val="000000"/>
          <w:szCs w:val="22"/>
        </w:rPr>
        <w:t>uninervis</w:t>
      </w:r>
      <w:proofErr w:type="spellEnd"/>
      <w:r w:rsidRPr="001B6AA0">
        <w:rPr>
          <w:color w:val="000000"/>
          <w:szCs w:val="22"/>
        </w:rPr>
        <w:t>), as meadows recover</w:t>
      </w:r>
      <w:r w:rsidR="00B07165">
        <w:rPr>
          <w:color w:val="000000"/>
          <w:szCs w:val="22"/>
        </w:rPr>
        <w:t xml:space="preserve"> (</w:t>
      </w:r>
      <w:r w:rsidR="00B07165">
        <w:rPr>
          <w:color w:val="000000"/>
          <w:szCs w:val="22"/>
        </w:rPr>
        <w:fldChar w:fldCharType="begin"/>
      </w:r>
      <w:r w:rsidR="00B07165">
        <w:rPr>
          <w:color w:val="000000"/>
          <w:szCs w:val="22"/>
        </w:rPr>
        <w:instrText xml:space="preserve"> REF _Ref380401548 \h </w:instrText>
      </w:r>
      <w:r w:rsidR="00B07165">
        <w:rPr>
          <w:color w:val="000000"/>
          <w:szCs w:val="22"/>
        </w:rPr>
      </w:r>
      <w:r w:rsidR="00B07165">
        <w:rPr>
          <w:color w:val="000000"/>
          <w:szCs w:val="22"/>
        </w:rPr>
        <w:fldChar w:fldCharType="separate"/>
      </w:r>
      <w:r w:rsidR="009C068F" w:rsidRPr="006B4212">
        <w:rPr>
          <w:color w:val="000000"/>
        </w:rPr>
        <w:t xml:space="preserve">Figure </w:t>
      </w:r>
      <w:r w:rsidR="009C068F">
        <w:rPr>
          <w:noProof/>
          <w:color w:val="000000"/>
        </w:rPr>
        <w:t>50</w:t>
      </w:r>
      <w:r w:rsidR="00B07165">
        <w:rPr>
          <w:color w:val="000000"/>
          <w:szCs w:val="22"/>
        </w:rPr>
        <w:fldChar w:fldCharType="end"/>
      </w:r>
      <w:r w:rsidR="00B07165">
        <w:rPr>
          <w:color w:val="000000"/>
          <w:szCs w:val="22"/>
        </w:rPr>
        <w:t>)</w:t>
      </w:r>
      <w:r w:rsidRPr="001B6AA0">
        <w:rPr>
          <w:color w:val="000000"/>
          <w:szCs w:val="22"/>
        </w:rPr>
        <w:t xml:space="preserve">. The reef subtidal habitats, in particular Low Isles and Dunk Island, have had greater than average proportion of colonising species from recent </w:t>
      </w:r>
      <w:r w:rsidRPr="00C61865">
        <w:rPr>
          <w:color w:val="000000"/>
          <w:szCs w:val="22"/>
        </w:rPr>
        <w:t>perturbations</w:t>
      </w:r>
      <w:r w:rsidR="00B07165" w:rsidRPr="00C61865">
        <w:rPr>
          <w:color w:val="000000"/>
          <w:szCs w:val="22"/>
        </w:rPr>
        <w:t xml:space="preserve"> (</w:t>
      </w:r>
      <w:r w:rsidR="00B07165" w:rsidRPr="00C61865">
        <w:rPr>
          <w:color w:val="000000"/>
          <w:szCs w:val="22"/>
        </w:rPr>
        <w:fldChar w:fldCharType="begin"/>
      </w:r>
      <w:r w:rsidR="00B07165" w:rsidRPr="00C61865">
        <w:rPr>
          <w:color w:val="000000"/>
          <w:szCs w:val="22"/>
        </w:rPr>
        <w:instrText xml:space="preserve"> REF _Ref380401548 \h </w:instrText>
      </w:r>
      <w:r w:rsidR="00C61865">
        <w:rPr>
          <w:color w:val="000000"/>
          <w:szCs w:val="22"/>
        </w:rPr>
        <w:instrText xml:space="preserve"> \* MERGEFORMAT </w:instrText>
      </w:r>
      <w:r w:rsidR="00B07165" w:rsidRPr="00C61865">
        <w:rPr>
          <w:color w:val="000000"/>
          <w:szCs w:val="22"/>
        </w:rPr>
      </w:r>
      <w:r w:rsidR="00B07165" w:rsidRPr="00C61865">
        <w:rPr>
          <w:color w:val="000000"/>
          <w:szCs w:val="22"/>
        </w:rPr>
        <w:fldChar w:fldCharType="separate"/>
      </w:r>
      <w:r w:rsidR="009C068F" w:rsidRPr="006B4212">
        <w:rPr>
          <w:color w:val="000000"/>
        </w:rPr>
        <w:t xml:space="preserve">Figure </w:t>
      </w:r>
      <w:r w:rsidR="009C068F">
        <w:rPr>
          <w:noProof/>
          <w:color w:val="000000"/>
        </w:rPr>
        <w:t>50</w:t>
      </w:r>
      <w:r w:rsidR="00B07165" w:rsidRPr="00C61865">
        <w:rPr>
          <w:color w:val="000000"/>
          <w:szCs w:val="22"/>
        </w:rPr>
        <w:fldChar w:fldCharType="end"/>
      </w:r>
      <w:r w:rsidR="00B07165" w:rsidRPr="00C61865">
        <w:rPr>
          <w:color w:val="000000"/>
          <w:szCs w:val="22"/>
        </w:rPr>
        <w:t>)</w:t>
      </w:r>
      <w:r w:rsidRPr="00C61865">
        <w:rPr>
          <w:color w:val="000000"/>
          <w:szCs w:val="22"/>
        </w:rPr>
        <w:t xml:space="preserve">. While a similar trend (peak density of colonising species post 2011) occurred at reef </w:t>
      </w:r>
      <w:r w:rsidR="003F1B2E" w:rsidRPr="00C61865">
        <w:rPr>
          <w:color w:val="000000"/>
          <w:szCs w:val="22"/>
        </w:rPr>
        <w:t xml:space="preserve">intertidal </w:t>
      </w:r>
      <w:r w:rsidRPr="00C61865">
        <w:rPr>
          <w:color w:val="000000"/>
          <w:szCs w:val="22"/>
        </w:rPr>
        <w:t>sites, the magnitude of change was not as great in reefs compared to coastal habitats</w:t>
      </w:r>
      <w:r w:rsidR="00B07165" w:rsidRPr="00C61865">
        <w:rPr>
          <w:color w:val="000000"/>
          <w:szCs w:val="22"/>
        </w:rPr>
        <w:t xml:space="preserve"> (</w:t>
      </w:r>
      <w:r w:rsidR="00B07165" w:rsidRPr="00C61865">
        <w:rPr>
          <w:color w:val="000000"/>
          <w:szCs w:val="22"/>
        </w:rPr>
        <w:fldChar w:fldCharType="begin"/>
      </w:r>
      <w:r w:rsidR="00B07165" w:rsidRPr="00C61865">
        <w:rPr>
          <w:color w:val="000000"/>
          <w:szCs w:val="22"/>
        </w:rPr>
        <w:instrText xml:space="preserve"> REF _Ref380401548 \h </w:instrText>
      </w:r>
      <w:r w:rsidR="00C2093A" w:rsidRPr="00C61865">
        <w:rPr>
          <w:color w:val="000000"/>
          <w:szCs w:val="22"/>
        </w:rPr>
        <w:instrText xml:space="preserve"> \* MERGEFORMAT </w:instrText>
      </w:r>
      <w:r w:rsidR="00B07165" w:rsidRPr="00C61865">
        <w:rPr>
          <w:color w:val="000000"/>
          <w:szCs w:val="22"/>
        </w:rPr>
      </w:r>
      <w:r w:rsidR="00B07165" w:rsidRPr="00C61865">
        <w:rPr>
          <w:color w:val="000000"/>
          <w:szCs w:val="22"/>
        </w:rPr>
        <w:fldChar w:fldCharType="separate"/>
      </w:r>
      <w:r w:rsidR="009C068F" w:rsidRPr="006B4212">
        <w:rPr>
          <w:color w:val="000000"/>
        </w:rPr>
        <w:t xml:space="preserve">Figure </w:t>
      </w:r>
      <w:r w:rsidR="009C068F">
        <w:rPr>
          <w:noProof/>
          <w:color w:val="000000"/>
        </w:rPr>
        <w:t>50</w:t>
      </w:r>
      <w:r w:rsidR="00B07165" w:rsidRPr="00C61865">
        <w:rPr>
          <w:color w:val="000000"/>
          <w:szCs w:val="22"/>
        </w:rPr>
        <w:fldChar w:fldCharType="end"/>
      </w:r>
      <w:r w:rsidR="00B07165" w:rsidRPr="00C61865">
        <w:rPr>
          <w:color w:val="000000"/>
          <w:szCs w:val="22"/>
        </w:rPr>
        <w:t>)</w:t>
      </w:r>
      <w:r w:rsidR="003F1B2E" w:rsidRPr="00C61865">
        <w:rPr>
          <w:color w:val="000000"/>
          <w:szCs w:val="22"/>
        </w:rPr>
        <w:t xml:space="preserve">. </w:t>
      </w:r>
    </w:p>
    <w:p w:rsidR="001B6AA0" w:rsidRDefault="001B6AA0" w:rsidP="00B07165">
      <w:pPr>
        <w:keepNext/>
        <w:widowControl w:val="0"/>
        <w:spacing w:after="0"/>
        <w:jc w:val="center"/>
        <w:rPr>
          <w:color w:val="000000"/>
          <w:szCs w:val="22"/>
        </w:rPr>
      </w:pPr>
      <w:r>
        <w:rPr>
          <w:noProof/>
          <w:color w:val="000000"/>
          <w:szCs w:val="22"/>
          <w:lang w:eastAsia="en-AU"/>
        </w:rPr>
        <w:drawing>
          <wp:inline distT="0" distB="0" distL="0" distR="0" wp14:anchorId="2F65DC15" wp14:editId="71B8EEB0">
            <wp:extent cx="5400000" cy="1951200"/>
            <wp:effectExtent l="0" t="0" r="0" b="0"/>
            <wp:docPr id="10149" name="Picture 10149" descr="Panel of three area plots showing proportion of seagrass abundance composed of species displaying colonising traits at inshore habitats in the Wet Tropics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colonising_2015.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5400000" cy="1951200"/>
                    </a:xfrm>
                    <a:prstGeom prst="rect">
                      <a:avLst/>
                    </a:prstGeom>
                  </pic:spPr>
                </pic:pic>
              </a:graphicData>
            </a:graphic>
          </wp:inline>
        </w:drawing>
      </w:r>
    </w:p>
    <w:p w:rsidR="001B6AA0" w:rsidRPr="00661CD3" w:rsidRDefault="001B6AA0" w:rsidP="001B6AA0">
      <w:pPr>
        <w:rPr>
          <w:i/>
          <w:vanish/>
          <w:szCs w:val="22"/>
          <w:specVanish/>
        </w:rPr>
      </w:pPr>
      <w:bookmarkStart w:id="307" w:name="_Ref380401548"/>
      <w:bookmarkStart w:id="308" w:name="_Toc462684890"/>
      <w:r w:rsidRPr="006B421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50</w:t>
      </w:r>
      <w:r w:rsidR="0073595B">
        <w:rPr>
          <w:color w:val="000000"/>
        </w:rPr>
        <w:fldChar w:fldCharType="end"/>
      </w:r>
      <w:bookmarkEnd w:id="307"/>
      <w:r w:rsidRPr="006B4212">
        <w:rPr>
          <w:color w:val="000000"/>
        </w:rPr>
        <w:t xml:space="preserve">. </w:t>
      </w:r>
      <w:r w:rsidRPr="006B4212">
        <w:rPr>
          <w:i/>
          <w:color w:val="000000"/>
        </w:rPr>
        <w:t xml:space="preserve">Proportion of seagrass abundance composed of </w:t>
      </w:r>
      <w:r>
        <w:rPr>
          <w:i/>
          <w:color w:val="000000"/>
        </w:rPr>
        <w:t>colonising</w:t>
      </w:r>
      <w:r w:rsidRPr="006B4212">
        <w:rPr>
          <w:i/>
          <w:color w:val="000000"/>
        </w:rPr>
        <w:t xml:space="preserve"> species at inshore habitats in </w:t>
      </w:r>
      <w:r w:rsidRPr="00661CD3">
        <w:rPr>
          <w:i/>
        </w:rPr>
        <w:t>the Wet Tropics region, 2001 - 2015.</w:t>
      </w:r>
      <w:bookmarkEnd w:id="308"/>
      <w:r w:rsidRPr="00661CD3">
        <w:rPr>
          <w:i/>
        </w:rPr>
        <w:t xml:space="preserve"> </w:t>
      </w:r>
    </w:p>
    <w:p w:rsidR="001B6AA0" w:rsidRPr="00661CD3" w:rsidRDefault="001B6AA0" w:rsidP="001B6AA0">
      <w:r w:rsidRPr="00661CD3">
        <w:rPr>
          <w:i/>
        </w:rPr>
        <w:t>The dashed line represents the GBR-wide average for each habitat type.</w:t>
      </w:r>
      <w:r w:rsidRPr="00661CD3">
        <w:t xml:space="preserve"> </w:t>
      </w:r>
    </w:p>
    <w:p w:rsidR="001B6AA0" w:rsidRPr="00526A6D" w:rsidRDefault="005373CC" w:rsidP="00034AD4">
      <w:pPr>
        <w:rPr>
          <w:szCs w:val="22"/>
          <w:lang w:val="en-US"/>
        </w:rPr>
      </w:pPr>
      <w:r w:rsidRPr="009526BE">
        <w:rPr>
          <w:szCs w:val="22"/>
          <w:lang w:val="en-GB"/>
        </w:rPr>
        <w:t>S</w:t>
      </w:r>
      <w:proofErr w:type="spellStart"/>
      <w:r w:rsidR="005132EF" w:rsidRPr="009526BE">
        <w:rPr>
          <w:szCs w:val="22"/>
          <w:lang w:val="en-US"/>
        </w:rPr>
        <w:t>eagrass</w:t>
      </w:r>
      <w:proofErr w:type="spellEnd"/>
      <w:r w:rsidR="005132EF" w:rsidRPr="009526BE">
        <w:rPr>
          <w:szCs w:val="22"/>
          <w:lang w:val="en-US"/>
        </w:rPr>
        <w:t xml:space="preserve"> meadow </w:t>
      </w:r>
      <w:r w:rsidR="00B07165">
        <w:rPr>
          <w:szCs w:val="22"/>
          <w:lang w:val="en-US"/>
        </w:rPr>
        <w:t>extent</w:t>
      </w:r>
      <w:r w:rsidR="005132EF" w:rsidRPr="009526BE">
        <w:rPr>
          <w:szCs w:val="22"/>
          <w:lang w:val="en-US"/>
        </w:rPr>
        <w:t xml:space="preserve"> within a 100m radius of all intertidal monitoring sites </w:t>
      </w:r>
      <w:r w:rsidR="00B07165">
        <w:rPr>
          <w:szCs w:val="22"/>
          <w:lang w:val="en-US"/>
        </w:rPr>
        <w:t>has</w:t>
      </w:r>
      <w:r w:rsidR="00A14B33" w:rsidRPr="00526A6D">
        <w:rPr>
          <w:szCs w:val="22"/>
          <w:lang w:val="en-US"/>
        </w:rPr>
        <w:t xml:space="preserve"> fluctuated within and between years (</w:t>
      </w:r>
      <w:r w:rsidR="004A743E" w:rsidRPr="00526A6D">
        <w:rPr>
          <w:szCs w:val="22"/>
          <w:lang w:val="en-US"/>
        </w:rPr>
        <w:fldChar w:fldCharType="begin"/>
      </w:r>
      <w:r w:rsidR="004A743E" w:rsidRPr="00526A6D">
        <w:rPr>
          <w:szCs w:val="22"/>
          <w:lang w:val="en-US"/>
        </w:rPr>
        <w:instrText xml:space="preserve"> REF _Ref382149718 \h </w:instrText>
      </w:r>
      <w:r w:rsidR="00015190" w:rsidRPr="00526A6D">
        <w:rPr>
          <w:szCs w:val="22"/>
          <w:lang w:val="en-US"/>
        </w:rPr>
        <w:instrText xml:space="preserve"> \* MERGEFORMAT </w:instrText>
      </w:r>
      <w:r w:rsidR="004A743E" w:rsidRPr="00526A6D">
        <w:rPr>
          <w:szCs w:val="22"/>
          <w:lang w:val="en-US"/>
        </w:rPr>
      </w:r>
      <w:r w:rsidR="004A743E" w:rsidRPr="00526A6D">
        <w:rPr>
          <w:szCs w:val="22"/>
          <w:lang w:val="en-US"/>
        </w:rPr>
        <w:fldChar w:fldCharType="separate"/>
      </w:r>
      <w:r w:rsidR="009C068F" w:rsidRPr="009C068F">
        <w:rPr>
          <w:szCs w:val="22"/>
        </w:rPr>
        <w:t xml:space="preserve">Figure </w:t>
      </w:r>
      <w:r w:rsidR="009C068F" w:rsidRPr="009C068F">
        <w:rPr>
          <w:noProof/>
          <w:szCs w:val="22"/>
        </w:rPr>
        <w:t>51</w:t>
      </w:r>
      <w:r w:rsidR="004A743E" w:rsidRPr="00526A6D">
        <w:rPr>
          <w:szCs w:val="22"/>
          <w:lang w:val="en-US"/>
        </w:rPr>
        <w:fldChar w:fldCharType="end"/>
      </w:r>
      <w:r w:rsidR="00A14B33" w:rsidRPr="00526A6D">
        <w:rPr>
          <w:szCs w:val="22"/>
          <w:lang w:val="en-US"/>
        </w:rPr>
        <w:t>), primar</w:t>
      </w:r>
      <w:r w:rsidR="00A76A80" w:rsidRPr="00526A6D">
        <w:rPr>
          <w:szCs w:val="22"/>
          <w:lang w:val="en-US"/>
        </w:rPr>
        <w:t>il</w:t>
      </w:r>
      <w:r w:rsidR="00A14B33" w:rsidRPr="00526A6D">
        <w:rPr>
          <w:szCs w:val="22"/>
          <w:lang w:val="en-US"/>
        </w:rPr>
        <w:t xml:space="preserve">y due to losses and </w:t>
      </w:r>
      <w:r w:rsidR="00A76A80" w:rsidRPr="00526A6D">
        <w:rPr>
          <w:szCs w:val="22"/>
          <w:lang w:val="en-US"/>
        </w:rPr>
        <w:t xml:space="preserve">subsequent </w:t>
      </w:r>
      <w:proofErr w:type="spellStart"/>
      <w:r w:rsidR="00A76A80" w:rsidRPr="00526A6D">
        <w:rPr>
          <w:szCs w:val="22"/>
          <w:lang w:val="en-US"/>
        </w:rPr>
        <w:t>recolonisation</w:t>
      </w:r>
      <w:proofErr w:type="spellEnd"/>
      <w:r w:rsidR="00B07165">
        <w:rPr>
          <w:szCs w:val="22"/>
          <w:lang w:val="en-US"/>
        </w:rPr>
        <w:t xml:space="preserve">. At coastal meadows, the extent has </w:t>
      </w:r>
      <w:r w:rsidR="00B07165" w:rsidRPr="00526A6D">
        <w:rPr>
          <w:szCs w:val="22"/>
          <w:lang w:val="en-US"/>
        </w:rPr>
        <w:t xml:space="preserve">gradually </w:t>
      </w:r>
      <w:r w:rsidR="00B07165">
        <w:rPr>
          <w:szCs w:val="22"/>
          <w:lang w:val="en-US"/>
        </w:rPr>
        <w:t>improved since 2012</w:t>
      </w:r>
      <w:r w:rsidR="002901F4" w:rsidRPr="00526A6D">
        <w:rPr>
          <w:szCs w:val="22"/>
          <w:lang w:val="en-US"/>
        </w:rPr>
        <w:t xml:space="preserve">, but </w:t>
      </w:r>
      <w:r w:rsidR="00B07165">
        <w:rPr>
          <w:szCs w:val="22"/>
          <w:lang w:val="en-US"/>
        </w:rPr>
        <w:t>still remains well below the greatest extent in 2008</w:t>
      </w:r>
      <w:r w:rsidR="00A76A80" w:rsidRPr="00526A6D">
        <w:rPr>
          <w:szCs w:val="22"/>
          <w:lang w:val="en-US"/>
        </w:rPr>
        <w:t xml:space="preserve">. </w:t>
      </w:r>
      <w:r w:rsidR="002901F4" w:rsidRPr="00526A6D">
        <w:rPr>
          <w:szCs w:val="22"/>
          <w:lang w:val="en-US"/>
        </w:rPr>
        <w:t xml:space="preserve">Intertidal meadows on reef habitats similarly continued to improve (greater extent) over the last 3 years, however, subtidal meadows have </w:t>
      </w:r>
      <w:r w:rsidR="00526A6D" w:rsidRPr="00526A6D">
        <w:rPr>
          <w:szCs w:val="22"/>
          <w:lang w:val="en-US"/>
        </w:rPr>
        <w:t>only slight increase</w:t>
      </w:r>
      <w:r w:rsidR="002901F4" w:rsidRPr="00526A6D">
        <w:rPr>
          <w:szCs w:val="22"/>
          <w:lang w:val="en-US"/>
        </w:rPr>
        <w:t xml:space="preserve"> i</w:t>
      </w:r>
      <w:r w:rsidR="00430B7F" w:rsidRPr="00526A6D">
        <w:rPr>
          <w:szCs w:val="22"/>
          <w:lang w:val="en-US"/>
        </w:rPr>
        <w:t>n</w:t>
      </w:r>
      <w:r w:rsidR="002901F4" w:rsidRPr="00526A6D">
        <w:rPr>
          <w:szCs w:val="22"/>
          <w:lang w:val="en-US"/>
        </w:rPr>
        <w:t xml:space="preserve"> extent </w:t>
      </w:r>
      <w:r w:rsidR="00A14B33" w:rsidRPr="00526A6D">
        <w:rPr>
          <w:szCs w:val="22"/>
          <w:lang w:val="en-US"/>
        </w:rPr>
        <w:t>over the past 18 months (</w:t>
      </w:r>
      <w:r w:rsidR="004A743E" w:rsidRPr="00526A6D">
        <w:rPr>
          <w:szCs w:val="22"/>
          <w:lang w:val="en-US"/>
        </w:rPr>
        <w:fldChar w:fldCharType="begin"/>
      </w:r>
      <w:r w:rsidR="004A743E" w:rsidRPr="00526A6D">
        <w:rPr>
          <w:szCs w:val="22"/>
          <w:lang w:val="en-US"/>
        </w:rPr>
        <w:instrText xml:space="preserve"> REF _Ref382149718 \h </w:instrText>
      </w:r>
      <w:r w:rsidR="00015190" w:rsidRPr="00526A6D">
        <w:rPr>
          <w:szCs w:val="22"/>
          <w:lang w:val="en-US"/>
        </w:rPr>
        <w:instrText xml:space="preserve"> \* MERGEFORMAT </w:instrText>
      </w:r>
      <w:r w:rsidR="004A743E" w:rsidRPr="00526A6D">
        <w:rPr>
          <w:szCs w:val="22"/>
          <w:lang w:val="en-US"/>
        </w:rPr>
      </w:r>
      <w:r w:rsidR="004A743E" w:rsidRPr="00526A6D">
        <w:rPr>
          <w:szCs w:val="22"/>
          <w:lang w:val="en-US"/>
        </w:rPr>
        <w:fldChar w:fldCharType="separate"/>
      </w:r>
      <w:r w:rsidR="009C068F" w:rsidRPr="009C068F">
        <w:rPr>
          <w:szCs w:val="22"/>
        </w:rPr>
        <w:t xml:space="preserve">Figure </w:t>
      </w:r>
      <w:r w:rsidR="009C068F" w:rsidRPr="009C068F">
        <w:rPr>
          <w:noProof/>
          <w:szCs w:val="22"/>
        </w:rPr>
        <w:t>51</w:t>
      </w:r>
      <w:r w:rsidR="004A743E" w:rsidRPr="00526A6D">
        <w:rPr>
          <w:szCs w:val="22"/>
          <w:lang w:val="en-US"/>
        </w:rPr>
        <w:fldChar w:fldCharType="end"/>
      </w:r>
      <w:r w:rsidR="004A743E" w:rsidRPr="00526A6D">
        <w:rPr>
          <w:szCs w:val="22"/>
          <w:lang w:val="en-US"/>
        </w:rPr>
        <w:t>)</w:t>
      </w:r>
      <w:r w:rsidR="001B6AA0" w:rsidRPr="00526A6D">
        <w:rPr>
          <w:szCs w:val="22"/>
          <w:lang w:val="en-US"/>
        </w:rPr>
        <w:t>.</w:t>
      </w:r>
    </w:p>
    <w:p w:rsidR="001B6AA0" w:rsidRDefault="001B6AA0" w:rsidP="003523A5">
      <w:pPr>
        <w:keepNext/>
        <w:widowControl w:val="0"/>
        <w:spacing w:before="0" w:after="0"/>
        <w:jc w:val="center"/>
        <w:rPr>
          <w:color w:val="000000"/>
          <w:szCs w:val="22"/>
          <w:lang w:val="en-US"/>
        </w:rPr>
      </w:pPr>
      <w:r>
        <w:rPr>
          <w:noProof/>
          <w:color w:val="000000"/>
          <w:szCs w:val="22"/>
          <w:lang w:eastAsia="en-AU"/>
        </w:rPr>
        <w:lastRenderedPageBreak/>
        <w:drawing>
          <wp:inline distT="0" distB="0" distL="0" distR="0" wp14:anchorId="5EA9C6B4" wp14:editId="3238CF78">
            <wp:extent cx="4320000" cy="1864800"/>
            <wp:effectExtent l="0" t="0" r="4445" b="2540"/>
            <wp:docPr id="10160" name="Picture 10160" descr="Line graph showing spatial extent of seagrass meadows within a 100m radius of monitoring sites for each habitat and monitoring period across the eastern Wet Tropics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extent_avg_2015.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4320000" cy="1864800"/>
                    </a:xfrm>
                    <a:prstGeom prst="rect">
                      <a:avLst/>
                    </a:prstGeom>
                  </pic:spPr>
                </pic:pic>
              </a:graphicData>
            </a:graphic>
          </wp:inline>
        </w:drawing>
      </w:r>
    </w:p>
    <w:p w:rsidR="003A14DB" w:rsidRPr="005373CC" w:rsidRDefault="006307D2" w:rsidP="006307D2">
      <w:pPr>
        <w:rPr>
          <w:i/>
          <w:color w:val="000000"/>
          <w:szCs w:val="22"/>
        </w:rPr>
      </w:pPr>
      <w:bookmarkStart w:id="309" w:name="_Ref382149718"/>
      <w:bookmarkStart w:id="310" w:name="_Toc431493843"/>
      <w:bookmarkStart w:id="311" w:name="_Toc462684891"/>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51</w:t>
      </w:r>
      <w:r w:rsidR="0073595B">
        <w:rPr>
          <w:color w:val="000000"/>
          <w:szCs w:val="22"/>
        </w:rPr>
        <w:fldChar w:fldCharType="end"/>
      </w:r>
      <w:bookmarkEnd w:id="309"/>
      <w:r w:rsidRPr="005373CC">
        <w:rPr>
          <w:color w:val="000000"/>
          <w:szCs w:val="22"/>
        </w:rPr>
        <w:t xml:space="preserve">. </w:t>
      </w:r>
      <w:r w:rsidRPr="005373CC">
        <w:rPr>
          <w:i/>
          <w:color w:val="000000"/>
          <w:szCs w:val="22"/>
        </w:rPr>
        <w:t>Change in spatial extent of seagrass meadows within a 100m radius of monitoring sites for each habitat and monitoring period across the Wet Tropics region.</w:t>
      </w:r>
      <w:bookmarkEnd w:id="310"/>
      <w:bookmarkEnd w:id="311"/>
    </w:p>
    <w:p w:rsidR="001B6AA0" w:rsidRDefault="001B6AA0" w:rsidP="001B6AA0">
      <w:bookmarkStart w:id="312" w:name="_Toc184101986"/>
      <w:r w:rsidRPr="00184B45">
        <w:rPr>
          <w:lang w:val="en-GB"/>
        </w:rPr>
        <w:t xml:space="preserve">Annual monitoring for Ports North reported </w:t>
      </w:r>
      <w:r>
        <w:rPr>
          <w:lang w:val="en-GB"/>
        </w:rPr>
        <w:t xml:space="preserve">that </w:t>
      </w:r>
      <w:r w:rsidRPr="00184B45">
        <w:t xml:space="preserve">large scale </w:t>
      </w:r>
      <w:r w:rsidRPr="00184B45">
        <w:rPr>
          <w:lang w:val="en-GB"/>
        </w:rPr>
        <w:t xml:space="preserve">declines in biomass and distribution of estuarine meadows in the Ports of Cairns and </w:t>
      </w:r>
      <w:proofErr w:type="spellStart"/>
      <w:r w:rsidRPr="00184B45">
        <w:rPr>
          <w:lang w:val="en-GB"/>
        </w:rPr>
        <w:t>Mourilyan</w:t>
      </w:r>
      <w:proofErr w:type="spellEnd"/>
      <w:r w:rsidRPr="00184B45">
        <w:rPr>
          <w:lang w:val="en-GB"/>
        </w:rPr>
        <w:t xml:space="preserve"> Harbours </w:t>
      </w:r>
      <w:r w:rsidRPr="00184B45">
        <w:t>began in 2009 and continued through 2012</w:t>
      </w:r>
      <w:r w:rsidRPr="00184B45">
        <w:rPr>
          <w:lang w:val="en-GB"/>
        </w:rPr>
        <w:t xml:space="preserve"> (</w:t>
      </w:r>
      <w:r w:rsidR="00644A84">
        <w:rPr>
          <w:lang w:val="en-GB"/>
        </w:rPr>
        <w:fldChar w:fldCharType="begin"/>
      </w:r>
      <w:r w:rsidR="00644A84">
        <w:rPr>
          <w:lang w:val="en-GB"/>
        </w:rPr>
        <w:instrText xml:space="preserve"> ADDIN EN.CITE &lt;EndNote&gt;&lt;Cite&gt;&lt;Author&gt;Jarvis&lt;/Author&gt;&lt;Year&gt;2014&lt;/Year&gt;&lt;RecNum&gt;9826&lt;/RecNum&gt;&lt;DisplayText&gt;Jarvis&lt;style face="italic"&gt; et al.&lt;/style&gt; 2014; York&lt;style face="italic"&gt; et al.&lt;/style&gt; 2014&lt;/DisplayText&gt;&lt;record&gt;&lt;rec-number&gt;9826&lt;/rec-number&gt;&lt;foreign-keys&gt;&lt;key app="EN" db-id="0eve55x9y5vfd6e9dacxtew4eatve2dzds9a"&gt;9826&lt;/key&gt;&lt;/foreign-keys&gt;&lt;ref-type name="Book"&gt;6&lt;/ref-type&gt;&lt;contributors&gt;&lt;authors&gt;&lt;author&gt;Jarvis, J C&lt;/author&gt;&lt;author&gt;Rasheed, M A&lt;/author&gt;&lt;author&gt;McKenna, S A&lt;/author&gt;&lt;author&gt;Sankey, T&lt;/author&gt;&lt;/authors&gt;&lt;/contributors&gt;&lt;titles&gt;&lt;title&gt;Seagrass habitat of Cairns Harbour and Trinity Inlet: Annual and Quarterly Monitoring Report. JCU Publication, Centre for Tropical Water &amp;amp; Aquatic Ecosystem Research Publication 14/09&lt;/title&gt;&lt;/titles&gt;&lt;pages&gt;51&lt;/pages&gt;&lt;dates&gt;&lt;year&gt;2014&lt;/year&gt;&lt;/dates&gt;&lt;pub-location&gt;Cairns&lt;/pub-location&gt;&lt;publisher&gt;James Cook University&lt;/publisher&gt;&lt;urls&gt;&lt;/urls&gt;&lt;/record&gt;&lt;/Cite&gt;&lt;Cite&gt;&lt;Author&gt;York&lt;/Author&gt;&lt;Year&gt;2014&lt;/Year&gt;&lt;RecNum&gt;9827&lt;/RecNum&gt;&lt;record&gt;&lt;rec-number&gt;9827&lt;/rec-number&gt;&lt;foreign-keys&gt;&lt;key app="EN" db-id="0eve55x9y5vfd6e9dacxtew4eatve2dzds9a"&gt;9827&lt;/key&gt;&lt;/foreign-keys&gt;&lt;ref-type name="Book"&gt;6&lt;/ref-type&gt;&lt;contributors&gt;&lt;authors&gt;&lt;author&gt;York, P H&lt;/author&gt;&lt;author&gt;Davies, J N&lt;/author&gt;&lt;author&gt;Rasheed, M A &lt;/author&gt;&lt;/authors&gt;&lt;/contributors&gt;&lt;titles&gt;&lt;title&gt;Long-term seagrass monitoring in the Port of Mourilyan – 2013, JCU Publication, Centre for Tropical Water &amp;amp; Aquatic Ecosystem Research report 14/06&lt;/title&gt;&lt;/titles&gt;&lt;pages&gt;35&lt;/pages&gt;&lt;dates&gt;&lt;year&gt;2014&lt;/year&gt;&lt;/dates&gt;&lt;pub-location&gt;Cairns&lt;/pub-location&gt;&lt;publisher&gt;James Cook University&lt;/publisher&gt;&lt;urls&gt;&lt;/urls&gt;&lt;/record&gt;&lt;/Cite&gt;&lt;/EndNote&gt;</w:instrText>
      </w:r>
      <w:r w:rsidR="00644A84">
        <w:rPr>
          <w:lang w:val="en-GB"/>
        </w:rPr>
        <w:fldChar w:fldCharType="separate"/>
      </w:r>
      <w:hyperlink w:anchor="_ENREF_131" w:tooltip="Jarvis, 2014 #9826" w:history="1">
        <w:r w:rsidR="00E6043D">
          <w:rPr>
            <w:noProof/>
            <w:lang w:val="en-GB"/>
          </w:rPr>
          <w:t>Jarvis</w:t>
        </w:r>
        <w:r w:rsidR="00E6043D" w:rsidRPr="00644A84">
          <w:rPr>
            <w:i/>
            <w:noProof/>
            <w:lang w:val="en-GB"/>
          </w:rPr>
          <w:t xml:space="preserve"> et al.</w:t>
        </w:r>
        <w:r w:rsidR="00E6043D">
          <w:rPr>
            <w:noProof/>
            <w:lang w:val="en-GB"/>
          </w:rPr>
          <w:t xml:space="preserve"> 2014</w:t>
        </w:r>
      </w:hyperlink>
      <w:r w:rsidR="00644A84">
        <w:rPr>
          <w:noProof/>
          <w:lang w:val="en-GB"/>
        </w:rPr>
        <w:t xml:space="preserve">; </w:t>
      </w:r>
      <w:hyperlink w:anchor="_ENREF_247" w:tooltip="York, 2014 #9827" w:history="1">
        <w:r w:rsidR="00E6043D">
          <w:rPr>
            <w:noProof/>
            <w:lang w:val="en-GB"/>
          </w:rPr>
          <w:t>York</w:t>
        </w:r>
        <w:r w:rsidR="00E6043D" w:rsidRPr="00644A84">
          <w:rPr>
            <w:i/>
            <w:noProof/>
            <w:lang w:val="en-GB"/>
          </w:rPr>
          <w:t xml:space="preserve"> et al.</w:t>
        </w:r>
        <w:r w:rsidR="00E6043D">
          <w:rPr>
            <w:noProof/>
            <w:lang w:val="en-GB"/>
          </w:rPr>
          <w:t xml:space="preserve"> 2014</w:t>
        </w:r>
      </w:hyperlink>
      <w:r w:rsidR="00644A84">
        <w:rPr>
          <w:lang w:val="en-GB"/>
        </w:rPr>
        <w:fldChar w:fldCharType="end"/>
      </w:r>
      <w:r w:rsidRPr="00184B45">
        <w:rPr>
          <w:lang w:val="en-GB"/>
        </w:rPr>
        <w:t xml:space="preserve">). However, recovery in the estuarine port habitats </w:t>
      </w:r>
      <w:r w:rsidRPr="000072DE">
        <w:rPr>
          <w:lang w:val="en-GB"/>
        </w:rPr>
        <w:t xml:space="preserve">has been slower than observed in most coastal and reef habitats monitored across the region as part of the MMP. An assessment of 6 meadows (predominately aggregated patches) </w:t>
      </w:r>
      <w:r w:rsidRPr="000072DE">
        <w:t>in Cairns Harbour and Trinity Inlet</w:t>
      </w:r>
      <w:r w:rsidRPr="000072DE">
        <w:rPr>
          <w:lang w:val="en-GB"/>
        </w:rPr>
        <w:t xml:space="preserve"> between November and December 2014, </w:t>
      </w:r>
      <w:r>
        <w:rPr>
          <w:lang w:val="en-GB"/>
        </w:rPr>
        <w:t xml:space="preserve">found that </w:t>
      </w:r>
      <w:r w:rsidRPr="000072DE">
        <w:t xml:space="preserve">although seagrass extent increased ~33% from 2013 to 2014, the total area in 2014 </w:t>
      </w:r>
      <w:r>
        <w:t>remained</w:t>
      </w:r>
      <w:r w:rsidRPr="000072DE">
        <w:t xml:space="preserve"> &lt;8% of the maximum extent reported since annual monitoring commenced in 2001. Similarly, seagrass abundance </w:t>
      </w:r>
      <w:r w:rsidRPr="000072DE">
        <w:rPr>
          <w:lang w:val="en-GB"/>
        </w:rPr>
        <w:t xml:space="preserve">(visual estimate of above-ground biomass from a helicopter) </w:t>
      </w:r>
      <w:r w:rsidRPr="000072DE">
        <w:t xml:space="preserve">increased ~45% from 2013 to 2014, but 2014 abundances (all monitoring meadows pooled) remained &lt;17% of the maximum mean biomass reported since annual monitoring commenced in 2001. </w:t>
      </w:r>
      <w:r w:rsidRPr="005A6F57">
        <w:t xml:space="preserve">Additional quarterly sampling </w:t>
      </w:r>
      <w:r>
        <w:t xml:space="preserve">from </w:t>
      </w:r>
      <w:r w:rsidRPr="002F5A10">
        <w:t xml:space="preserve">June 2014 </w:t>
      </w:r>
      <w:r>
        <w:t xml:space="preserve">(including non-replicated site adjacent to the mouth of Saltwater Creek) </w:t>
      </w:r>
      <w:r w:rsidRPr="005A6F57">
        <w:t>showed a significant increase in the intertidal Esplanade meadow between November 2014 and February 2015</w:t>
      </w:r>
      <w:r w:rsidRPr="002F5A10">
        <w:t xml:space="preserve">, </w:t>
      </w:r>
      <w:r>
        <w:t>but still</w:t>
      </w:r>
      <w:r w:rsidRPr="002F5A10">
        <w:t xml:space="preserve"> remain</w:t>
      </w:r>
      <w:r>
        <w:t>ing</w:t>
      </w:r>
      <w:r w:rsidRPr="002F5A10">
        <w:t xml:space="preserve"> 95% </w:t>
      </w:r>
      <w:r>
        <w:t xml:space="preserve">and 69% </w:t>
      </w:r>
      <w:r w:rsidRPr="002F5A10">
        <w:t xml:space="preserve">below the long-term (10 year) average </w:t>
      </w:r>
      <w:r>
        <w:t>in both visually estimated biomass and extent, respectively</w:t>
      </w:r>
      <w:r w:rsidRPr="002F5A10">
        <w:t>.</w:t>
      </w:r>
      <w:r w:rsidRPr="00534E3B">
        <w:t xml:space="preserve"> </w:t>
      </w:r>
      <w:r>
        <w:t xml:space="preserve">A small seed bank reportedly persists, however, no sampled seeds were viable. </w:t>
      </w:r>
      <w:r w:rsidRPr="002F5780">
        <w:t xml:space="preserve">Despite the </w:t>
      </w:r>
      <w:r>
        <w:t>onset of r</w:t>
      </w:r>
      <w:r w:rsidRPr="002F5780">
        <w:t xml:space="preserve">ecovery, </w:t>
      </w:r>
      <w:r>
        <w:t xml:space="preserve">seagrasses in Cairns Harbour remain </w:t>
      </w:r>
      <w:r w:rsidRPr="002F5780">
        <w:t xml:space="preserve">predominately </w:t>
      </w:r>
      <w:r>
        <w:t>as</w:t>
      </w:r>
      <w:r w:rsidRPr="002F5780">
        <w:t xml:space="preserve"> aggregates of small patches </w:t>
      </w:r>
      <w:r>
        <w:t>in a very poor state in 2014-15,</w:t>
      </w:r>
    </w:p>
    <w:p w:rsidR="002B3448" w:rsidRDefault="001B6AA0" w:rsidP="001B6AA0">
      <w:pPr>
        <w:rPr>
          <w:szCs w:val="22"/>
        </w:rPr>
      </w:pPr>
      <w:r w:rsidRPr="00117E94">
        <w:rPr>
          <w:szCs w:val="22"/>
        </w:rPr>
        <w:t>Similarly, an assessment of 5 seagrass meadows in Mourilyan Harbour in November</w:t>
      </w:r>
      <w:r w:rsidR="002B3448" w:rsidRPr="00117E94">
        <w:rPr>
          <w:szCs w:val="22"/>
        </w:rPr>
        <w:t>-December</w:t>
      </w:r>
      <w:r w:rsidRPr="00117E94">
        <w:rPr>
          <w:szCs w:val="22"/>
        </w:rPr>
        <w:t xml:space="preserve"> 201</w:t>
      </w:r>
      <w:r w:rsidR="002B3448" w:rsidRPr="00117E94">
        <w:rPr>
          <w:szCs w:val="22"/>
        </w:rPr>
        <w:t>4</w:t>
      </w:r>
      <w:r w:rsidRPr="00117E94">
        <w:rPr>
          <w:szCs w:val="22"/>
        </w:rPr>
        <w:t xml:space="preserve"> reported seagrass in a </w:t>
      </w:r>
      <w:r w:rsidR="002B3448" w:rsidRPr="00117E94">
        <w:rPr>
          <w:szCs w:val="22"/>
        </w:rPr>
        <w:t xml:space="preserve">very </w:t>
      </w:r>
      <w:r w:rsidRPr="00117E94">
        <w:rPr>
          <w:szCs w:val="22"/>
        </w:rPr>
        <w:t xml:space="preserve">poor state with </w:t>
      </w:r>
      <w:r w:rsidR="002B3448" w:rsidRPr="00117E94">
        <w:rPr>
          <w:szCs w:val="22"/>
        </w:rPr>
        <w:t>all 4</w:t>
      </w:r>
      <w:r w:rsidRPr="00117E94">
        <w:rPr>
          <w:szCs w:val="22"/>
        </w:rPr>
        <w:t xml:space="preserve"> of the </w:t>
      </w:r>
      <w:r w:rsidR="002B3448" w:rsidRPr="00117E94">
        <w:rPr>
          <w:szCs w:val="22"/>
        </w:rPr>
        <w:t xml:space="preserve">intertidal </w:t>
      </w:r>
      <w:r w:rsidRPr="00117E94">
        <w:rPr>
          <w:szCs w:val="22"/>
        </w:rPr>
        <w:t>monitoring meadows absent</w:t>
      </w:r>
      <w:r w:rsidR="00117E94">
        <w:rPr>
          <w:szCs w:val="22"/>
        </w:rPr>
        <w:t xml:space="preserve"> </w:t>
      </w:r>
      <w:r w:rsidR="00117E94" w:rsidRPr="00117E94">
        <w:rPr>
          <w:szCs w:val="22"/>
        </w:rPr>
        <w:t>(</w:t>
      </w:r>
      <w:hyperlink w:anchor="_ENREF_246" w:tooltip="York, 2015 #10487" w:history="1">
        <w:r w:rsidR="00E6043D">
          <w:rPr>
            <w:szCs w:val="22"/>
          </w:rPr>
          <w:fldChar w:fldCharType="begin"/>
        </w:r>
        <w:r w:rsidR="00E6043D">
          <w:rPr>
            <w:szCs w:val="22"/>
          </w:rPr>
          <w:instrText xml:space="preserve"> ADDIN EN.CITE &lt;EndNote&gt;&lt;Cite&gt;&lt;Author&gt;York&lt;/Author&gt;&lt;Year&gt;2015&lt;/Year&gt;&lt;RecNum&gt;10487&lt;/RecNum&gt;&lt;DisplayText&gt;York&lt;style face="italic"&gt; et al.&lt;/style&gt; 2015&lt;/DisplayText&gt;&lt;record&gt;&lt;rec-number&gt;10487&lt;/rec-number&gt;&lt;foreign-keys&gt;&lt;key app="EN" db-id="0eve55x9y5vfd6e9dacxtew4eatve2dzds9a"&gt;10487&lt;/key&gt;&lt;/foreign-keys&gt;&lt;ref-type name="Book"&gt;6&lt;/ref-type&gt;&lt;contributors&gt;&lt;authors&gt;&lt;author&gt;York, PH&lt;/author&gt;&lt;author&gt;Scott, E &lt;/author&gt;&lt;author&gt;Rasheed, MA&lt;/author&gt;&lt;/authors&gt;&lt;/contributors&gt;&lt;titles&gt;&lt;title&gt;Long-term seagrass monitoring in the Port of Mourilyan – 2014&lt;/title&gt;&lt;/titles&gt;&lt;pages&gt;36&lt;/pages&gt;&lt;dates&gt;&lt;year&gt;2015&lt;/year&gt;&lt;/dates&gt;&lt;pub-location&gt;Cairns&lt;/pub-location&gt;&lt;publisher&gt;JCU Publication, Centre for Tropical Water &amp;amp; Aquatic Ecosystem Research&lt;/publisher&gt;&lt;urls&gt;&lt;/urls&gt;&lt;/record&gt;&lt;/Cite&gt;&lt;/EndNote&gt;</w:instrText>
        </w:r>
        <w:r w:rsidR="00E6043D">
          <w:rPr>
            <w:szCs w:val="22"/>
          </w:rPr>
          <w:fldChar w:fldCharType="separate"/>
        </w:r>
        <w:r w:rsidR="00E6043D">
          <w:rPr>
            <w:noProof/>
            <w:szCs w:val="22"/>
          </w:rPr>
          <w:t>York</w:t>
        </w:r>
        <w:r w:rsidR="00E6043D" w:rsidRPr="00644A84">
          <w:rPr>
            <w:i/>
            <w:noProof/>
            <w:szCs w:val="22"/>
          </w:rPr>
          <w:t xml:space="preserve"> et al.</w:t>
        </w:r>
        <w:r w:rsidR="00E6043D">
          <w:rPr>
            <w:noProof/>
            <w:szCs w:val="22"/>
          </w:rPr>
          <w:t xml:space="preserve"> 2015</w:t>
        </w:r>
        <w:r w:rsidR="00E6043D">
          <w:rPr>
            <w:szCs w:val="22"/>
          </w:rPr>
          <w:fldChar w:fldCharType="end"/>
        </w:r>
      </w:hyperlink>
      <w:r w:rsidR="00117E94">
        <w:rPr>
          <w:szCs w:val="22"/>
        </w:rPr>
        <w:t>)</w:t>
      </w:r>
      <w:r w:rsidR="002B3448" w:rsidRPr="00117E94">
        <w:rPr>
          <w:szCs w:val="22"/>
        </w:rPr>
        <w:t xml:space="preserve">. </w:t>
      </w:r>
      <w:r w:rsidRPr="00117E94">
        <w:rPr>
          <w:szCs w:val="22"/>
        </w:rPr>
        <w:t xml:space="preserve"> </w:t>
      </w:r>
      <w:r w:rsidR="002B3448" w:rsidRPr="00117E94">
        <w:rPr>
          <w:szCs w:val="22"/>
        </w:rPr>
        <w:t xml:space="preserve">The only monitoring meadow remaining in 2014 was subtidal, and although seagrass abundance </w:t>
      </w:r>
      <w:r w:rsidRPr="00117E94">
        <w:rPr>
          <w:szCs w:val="22"/>
        </w:rPr>
        <w:t xml:space="preserve">(visual estimate of </w:t>
      </w:r>
      <w:r w:rsidR="002B3448" w:rsidRPr="00117E94">
        <w:rPr>
          <w:szCs w:val="22"/>
        </w:rPr>
        <w:t xml:space="preserve">above-ground </w:t>
      </w:r>
      <w:r w:rsidRPr="00117E94">
        <w:rPr>
          <w:szCs w:val="22"/>
        </w:rPr>
        <w:t xml:space="preserve">biomass) and area (extent) </w:t>
      </w:r>
      <w:r w:rsidR="002B3448" w:rsidRPr="00117E94">
        <w:rPr>
          <w:szCs w:val="22"/>
        </w:rPr>
        <w:t>had improved significantly since 2013, abundance was more than 80% below the long term average</w:t>
      </w:r>
      <w:r w:rsidR="00117E94">
        <w:rPr>
          <w:szCs w:val="22"/>
        </w:rPr>
        <w:t xml:space="preserve"> </w:t>
      </w:r>
      <w:r w:rsidR="00117E94" w:rsidRPr="00117E94">
        <w:rPr>
          <w:szCs w:val="22"/>
        </w:rPr>
        <w:t>(</w:t>
      </w:r>
      <w:hyperlink w:anchor="_ENREF_246" w:tooltip="York, 2015 #10487" w:history="1">
        <w:r w:rsidR="00E6043D">
          <w:rPr>
            <w:szCs w:val="22"/>
          </w:rPr>
          <w:fldChar w:fldCharType="begin"/>
        </w:r>
        <w:r w:rsidR="00E6043D">
          <w:rPr>
            <w:szCs w:val="22"/>
          </w:rPr>
          <w:instrText xml:space="preserve"> ADDIN EN.CITE &lt;EndNote&gt;&lt;Cite&gt;&lt;Author&gt;York&lt;/Author&gt;&lt;Year&gt;2015&lt;/Year&gt;&lt;RecNum&gt;10487&lt;/RecNum&gt;&lt;DisplayText&gt;York&lt;style face="italic"&gt;, et al.&lt;/style&gt; 2015&lt;/DisplayText&gt;&lt;record&gt;&lt;rec-number&gt;10487&lt;/rec-number&gt;&lt;foreign-keys&gt;&lt;key app="EN" db-id="0eve55x9y5vfd6e9dacxtew4eatve2dzds9a"&gt;10487&lt;/key&gt;&lt;/foreign-keys&gt;&lt;ref-type name="Book"&gt;6&lt;/ref-type&gt;&lt;contributors&gt;&lt;authors&gt;&lt;author&gt;York, PH&lt;/author&gt;&lt;author&gt;Scott, E &lt;/author&gt;&lt;author&gt;Rasheed, MA&lt;/author&gt;&lt;/authors&gt;&lt;/contributors&gt;&lt;titles&gt;&lt;title&gt;Long-term seagrass monitoring in the Port of Mourilyan – 2014&lt;/title&gt;&lt;/titles&gt;&lt;pages&gt;36&lt;/pages&gt;&lt;dates&gt;&lt;year&gt;2015&lt;/year&gt;&lt;/dates&gt;&lt;pub-location&gt;Cairns&lt;/pub-location&gt;&lt;publisher&gt;JCU Publication, Centre for Tropical Water &amp;amp; Aquatic Ecosystem Research&lt;/publisher&gt;&lt;urls&gt;&lt;/urls&gt;&lt;/record&gt;&lt;/Cite&gt;&lt;/EndNote&gt;</w:instrText>
        </w:r>
        <w:r w:rsidR="00E6043D">
          <w:rPr>
            <w:szCs w:val="22"/>
          </w:rPr>
          <w:fldChar w:fldCharType="separate"/>
        </w:r>
        <w:r w:rsidR="00E6043D">
          <w:rPr>
            <w:noProof/>
            <w:szCs w:val="22"/>
          </w:rPr>
          <w:t>York</w:t>
        </w:r>
        <w:r w:rsidR="00E6043D" w:rsidRPr="00644A84">
          <w:rPr>
            <w:i/>
            <w:noProof/>
            <w:szCs w:val="22"/>
          </w:rPr>
          <w:t>, et al.</w:t>
        </w:r>
        <w:r w:rsidR="00E6043D">
          <w:rPr>
            <w:noProof/>
            <w:szCs w:val="22"/>
          </w:rPr>
          <w:t xml:space="preserve"> 2015</w:t>
        </w:r>
        <w:r w:rsidR="00E6043D">
          <w:rPr>
            <w:szCs w:val="22"/>
          </w:rPr>
          <w:fldChar w:fldCharType="end"/>
        </w:r>
      </w:hyperlink>
      <w:r w:rsidR="00117E94">
        <w:rPr>
          <w:szCs w:val="22"/>
        </w:rPr>
        <w:t>)</w:t>
      </w:r>
      <w:r w:rsidR="002B3448" w:rsidRPr="00117E94">
        <w:rPr>
          <w:szCs w:val="22"/>
        </w:rPr>
        <w:t xml:space="preserve">. The low abundance was a consequence of the meadow being composed entirely of aggregated patches of colonising </w:t>
      </w:r>
      <w:proofErr w:type="spellStart"/>
      <w:r w:rsidR="002B3448" w:rsidRPr="00117E94">
        <w:rPr>
          <w:i/>
          <w:szCs w:val="22"/>
        </w:rPr>
        <w:t>Halophila</w:t>
      </w:r>
      <w:proofErr w:type="spellEnd"/>
      <w:r w:rsidR="002B3448" w:rsidRPr="00117E94">
        <w:rPr>
          <w:szCs w:val="22"/>
        </w:rPr>
        <w:t xml:space="preserve"> species. The foundation species (</w:t>
      </w:r>
      <w:proofErr w:type="spellStart"/>
      <w:r w:rsidR="002B3448" w:rsidRPr="00117E94">
        <w:rPr>
          <w:i/>
          <w:szCs w:val="22"/>
        </w:rPr>
        <w:t>Zostera</w:t>
      </w:r>
      <w:proofErr w:type="spellEnd"/>
      <w:r w:rsidR="002B3448" w:rsidRPr="00117E94">
        <w:rPr>
          <w:i/>
          <w:szCs w:val="22"/>
        </w:rPr>
        <w:t xml:space="preserve"> </w:t>
      </w:r>
      <w:proofErr w:type="spellStart"/>
      <w:r w:rsidR="002B3448" w:rsidRPr="00117E94">
        <w:rPr>
          <w:i/>
          <w:szCs w:val="22"/>
        </w:rPr>
        <w:t>muelleri</w:t>
      </w:r>
      <w:proofErr w:type="spellEnd"/>
      <w:r w:rsidR="002B3448" w:rsidRPr="00117E94">
        <w:rPr>
          <w:i/>
          <w:szCs w:val="22"/>
        </w:rPr>
        <w:t xml:space="preserve"> </w:t>
      </w:r>
      <w:r w:rsidR="002B3448" w:rsidRPr="00117E94">
        <w:rPr>
          <w:szCs w:val="22"/>
        </w:rPr>
        <w:t>and</w:t>
      </w:r>
      <w:r w:rsidR="002B3448" w:rsidRPr="00117E94">
        <w:rPr>
          <w:i/>
          <w:szCs w:val="22"/>
        </w:rPr>
        <w:t xml:space="preserve"> </w:t>
      </w:r>
      <w:proofErr w:type="spellStart"/>
      <w:r w:rsidR="002B3448" w:rsidRPr="00117E94">
        <w:rPr>
          <w:i/>
          <w:szCs w:val="22"/>
        </w:rPr>
        <w:t>Halodule</w:t>
      </w:r>
      <w:proofErr w:type="spellEnd"/>
      <w:r w:rsidR="002B3448" w:rsidRPr="00117E94">
        <w:rPr>
          <w:i/>
          <w:szCs w:val="22"/>
        </w:rPr>
        <w:t xml:space="preserve"> </w:t>
      </w:r>
      <w:proofErr w:type="spellStart"/>
      <w:r w:rsidR="002B3448" w:rsidRPr="00117E94">
        <w:rPr>
          <w:i/>
          <w:szCs w:val="22"/>
        </w:rPr>
        <w:t>uninervis</w:t>
      </w:r>
      <w:proofErr w:type="spellEnd"/>
      <w:r w:rsidR="002B3448" w:rsidRPr="00117E94">
        <w:rPr>
          <w:szCs w:val="22"/>
        </w:rPr>
        <w:t>) were absent for the fifth consecutive year. The authors attributed the lack of recovery, despite improved growing conditions in 201</w:t>
      </w:r>
      <w:r w:rsidR="00117E94" w:rsidRPr="00117E94">
        <w:rPr>
          <w:szCs w:val="22"/>
        </w:rPr>
        <w:t>4</w:t>
      </w:r>
      <w:r w:rsidR="002B3448" w:rsidRPr="00117E94">
        <w:rPr>
          <w:szCs w:val="22"/>
        </w:rPr>
        <w:t>-1</w:t>
      </w:r>
      <w:r w:rsidR="00117E94" w:rsidRPr="00117E94">
        <w:rPr>
          <w:szCs w:val="22"/>
        </w:rPr>
        <w:t>5</w:t>
      </w:r>
      <w:r w:rsidR="002B3448" w:rsidRPr="00117E94">
        <w:rPr>
          <w:szCs w:val="22"/>
        </w:rPr>
        <w:t xml:space="preserve">, was likely due to a lack of seagrass propagules </w:t>
      </w:r>
      <w:r w:rsidR="00117E94">
        <w:rPr>
          <w:szCs w:val="22"/>
        </w:rPr>
        <w:t xml:space="preserve">(e.g. </w:t>
      </w:r>
      <w:r w:rsidR="00117E94" w:rsidRPr="00117E94">
        <w:rPr>
          <w:szCs w:val="22"/>
        </w:rPr>
        <w:t>high likelihood of remaining seeds being unviable</w:t>
      </w:r>
      <w:r w:rsidR="00117E94">
        <w:rPr>
          <w:szCs w:val="22"/>
        </w:rPr>
        <w:t xml:space="preserve">) </w:t>
      </w:r>
      <w:r w:rsidR="002B3448" w:rsidRPr="00117E94">
        <w:rPr>
          <w:szCs w:val="22"/>
        </w:rPr>
        <w:t>(</w:t>
      </w:r>
      <w:hyperlink w:anchor="_ENREF_246" w:tooltip="York, 2015 #10487" w:history="1">
        <w:r w:rsidR="00E6043D">
          <w:rPr>
            <w:szCs w:val="22"/>
          </w:rPr>
          <w:fldChar w:fldCharType="begin"/>
        </w:r>
        <w:r w:rsidR="00E6043D">
          <w:rPr>
            <w:szCs w:val="22"/>
          </w:rPr>
          <w:instrText xml:space="preserve"> ADDIN EN.CITE &lt;EndNote&gt;&lt;Cite&gt;&lt;Author&gt;York&lt;/Author&gt;&lt;Year&gt;2015&lt;/Year&gt;&lt;RecNum&gt;10487&lt;/RecNum&gt;&lt;DisplayText&gt;York&lt;style face="italic"&gt;, et al.&lt;/style&gt; 2015&lt;/DisplayText&gt;&lt;record&gt;&lt;rec-number&gt;10487&lt;/rec-number&gt;&lt;foreign-keys&gt;&lt;key app="EN" db-id="0eve55x9y5vfd6e9dacxtew4eatve2dzds9a"&gt;10487&lt;/key&gt;&lt;/foreign-keys&gt;&lt;ref-type name="Book"&gt;6&lt;/ref-type&gt;&lt;contributors&gt;&lt;authors&gt;&lt;author&gt;York, PH&lt;/author&gt;&lt;author&gt;Scott, E &lt;/author&gt;&lt;author&gt;Rasheed, MA&lt;/author&gt;&lt;/authors&gt;&lt;/contributors&gt;&lt;titles&gt;&lt;title&gt;Long-term seagrass monitoring in the Port of Mourilyan – 2014&lt;/title&gt;&lt;/titles&gt;&lt;pages&gt;36&lt;/pages&gt;&lt;dates&gt;&lt;year&gt;2015&lt;/year&gt;&lt;/dates&gt;&lt;pub-location&gt;Cairns&lt;/pub-location&gt;&lt;publisher&gt;JCU Publication, Centre for Tropical Water &amp;amp; Aquatic Ecosystem Research&lt;/publisher&gt;&lt;urls&gt;&lt;/urls&gt;&lt;/record&gt;&lt;/Cite&gt;&lt;/EndNote&gt;</w:instrText>
        </w:r>
        <w:r w:rsidR="00E6043D">
          <w:rPr>
            <w:szCs w:val="22"/>
          </w:rPr>
          <w:fldChar w:fldCharType="separate"/>
        </w:r>
        <w:r w:rsidR="00E6043D">
          <w:rPr>
            <w:noProof/>
            <w:szCs w:val="22"/>
          </w:rPr>
          <w:t>York</w:t>
        </w:r>
        <w:r w:rsidR="00E6043D" w:rsidRPr="00644A84">
          <w:rPr>
            <w:i/>
            <w:noProof/>
            <w:szCs w:val="22"/>
          </w:rPr>
          <w:t>, et al.</w:t>
        </w:r>
        <w:r w:rsidR="00E6043D">
          <w:rPr>
            <w:noProof/>
            <w:szCs w:val="22"/>
          </w:rPr>
          <w:t xml:space="preserve"> 2015</w:t>
        </w:r>
        <w:r w:rsidR="00E6043D">
          <w:rPr>
            <w:szCs w:val="22"/>
          </w:rPr>
          <w:fldChar w:fldCharType="end"/>
        </w:r>
      </w:hyperlink>
      <w:r w:rsidR="00117E94">
        <w:rPr>
          <w:szCs w:val="22"/>
        </w:rPr>
        <w:t>)</w:t>
      </w:r>
      <w:r w:rsidR="002B3448" w:rsidRPr="00117E94">
        <w:rPr>
          <w:szCs w:val="22"/>
        </w:rPr>
        <w:t>.</w:t>
      </w:r>
    </w:p>
    <w:p w:rsidR="00217806" w:rsidRPr="00117E94" w:rsidRDefault="00217806" w:rsidP="001B6AA0">
      <w:pPr>
        <w:rPr>
          <w:szCs w:val="22"/>
        </w:rPr>
      </w:pPr>
    </w:p>
    <w:p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Seagrass reproductive status</w:t>
      </w:r>
      <w:bookmarkEnd w:id="312"/>
    </w:p>
    <w:p w:rsidR="001B6AA0" w:rsidRDefault="001B6AA0" w:rsidP="001B6AA0">
      <w:pPr>
        <w:autoSpaceDE w:val="0"/>
        <w:autoSpaceDN w:val="0"/>
        <w:adjustRightInd w:val="0"/>
        <w:spacing w:before="0" w:after="0"/>
        <w:rPr>
          <w:color w:val="000000"/>
          <w:szCs w:val="22"/>
        </w:rPr>
      </w:pPr>
      <w:r>
        <w:rPr>
          <w:color w:val="000000"/>
          <w:szCs w:val="22"/>
          <w:lang w:eastAsia="en-AU"/>
        </w:rPr>
        <w:t xml:space="preserve">There was a large increase in reproductive effort in coastal intertidal and reef subtidal habitats during 2014-15. However, to date, this has not resulted in an increased seed bank; which remained very low across the region </w:t>
      </w:r>
      <w:r w:rsidRPr="001876B8">
        <w:rPr>
          <w:color w:val="000000"/>
          <w:szCs w:val="22"/>
        </w:rPr>
        <w:t>(</w:t>
      </w:r>
      <w:r w:rsidRPr="001876B8">
        <w:rPr>
          <w:color w:val="000000"/>
        </w:rPr>
        <w:fldChar w:fldCharType="begin"/>
      </w:r>
      <w:r w:rsidRPr="001876B8">
        <w:rPr>
          <w:color w:val="000000"/>
        </w:rPr>
        <w:instrText xml:space="preserve"> REF _Ref271530838 \h  \* MERGEFORMAT </w:instrText>
      </w:r>
      <w:r w:rsidRPr="001876B8">
        <w:rPr>
          <w:color w:val="000000"/>
        </w:rPr>
      </w:r>
      <w:r w:rsidRPr="001876B8">
        <w:rPr>
          <w:color w:val="000000"/>
        </w:rPr>
        <w:fldChar w:fldCharType="separate"/>
      </w:r>
      <w:r w:rsidR="009C068F" w:rsidRPr="009C068F">
        <w:rPr>
          <w:color w:val="000000"/>
          <w:szCs w:val="22"/>
        </w:rPr>
        <w:t xml:space="preserve">Figure </w:t>
      </w:r>
      <w:r w:rsidR="009C068F" w:rsidRPr="009C068F">
        <w:rPr>
          <w:noProof/>
          <w:color w:val="000000"/>
          <w:szCs w:val="22"/>
        </w:rPr>
        <w:t>52</w:t>
      </w:r>
      <w:r w:rsidRPr="001876B8">
        <w:rPr>
          <w:color w:val="000000"/>
        </w:rPr>
        <w:fldChar w:fldCharType="end"/>
      </w:r>
      <w:r w:rsidRPr="001876B8">
        <w:rPr>
          <w:color w:val="000000"/>
          <w:szCs w:val="22"/>
        </w:rPr>
        <w:t>).</w:t>
      </w:r>
      <w:r>
        <w:rPr>
          <w:color w:val="000000"/>
          <w:szCs w:val="22"/>
        </w:rPr>
        <w:t xml:space="preserve"> The most notable changes in seed bank density were at coastal intertidal sites, particularly Yule Point where a</w:t>
      </w:r>
      <w:r w:rsidRPr="001876B8">
        <w:rPr>
          <w:color w:val="000000"/>
          <w:szCs w:val="22"/>
        </w:rPr>
        <w:t xml:space="preserve"> </w:t>
      </w:r>
      <w:proofErr w:type="spellStart"/>
      <w:r w:rsidRPr="001876B8">
        <w:rPr>
          <w:i/>
          <w:color w:val="000000"/>
          <w:szCs w:val="22"/>
        </w:rPr>
        <w:t>Halodule</w:t>
      </w:r>
      <w:proofErr w:type="spellEnd"/>
      <w:r w:rsidRPr="001876B8">
        <w:rPr>
          <w:i/>
          <w:color w:val="000000"/>
          <w:szCs w:val="22"/>
        </w:rPr>
        <w:t xml:space="preserve"> </w:t>
      </w:r>
      <w:proofErr w:type="spellStart"/>
      <w:r w:rsidRPr="001876B8">
        <w:rPr>
          <w:i/>
          <w:color w:val="000000"/>
          <w:szCs w:val="22"/>
        </w:rPr>
        <w:t>uninervis</w:t>
      </w:r>
      <w:proofErr w:type="spellEnd"/>
      <w:r w:rsidRPr="001876B8">
        <w:rPr>
          <w:color w:val="000000"/>
          <w:szCs w:val="22"/>
        </w:rPr>
        <w:t xml:space="preserve"> seed bank substantially reduced </w:t>
      </w:r>
      <w:r>
        <w:rPr>
          <w:color w:val="000000"/>
          <w:szCs w:val="22"/>
        </w:rPr>
        <w:t>following the 2010-11 disturbance events</w:t>
      </w:r>
      <w:r w:rsidRPr="001876B8">
        <w:rPr>
          <w:color w:val="000000"/>
          <w:szCs w:val="22"/>
        </w:rPr>
        <w:t xml:space="preserve">. </w:t>
      </w:r>
      <w:r>
        <w:rPr>
          <w:color w:val="000000"/>
          <w:szCs w:val="22"/>
        </w:rPr>
        <w:t>Wet Tropics m</w:t>
      </w:r>
      <w:r w:rsidRPr="001876B8">
        <w:rPr>
          <w:color w:val="000000"/>
          <w:szCs w:val="22"/>
          <w:lang w:eastAsia="en-AU"/>
        </w:rPr>
        <w:t xml:space="preserve">eadows may be at risk from </w:t>
      </w:r>
      <w:r>
        <w:rPr>
          <w:color w:val="000000"/>
          <w:szCs w:val="22"/>
          <w:lang w:eastAsia="en-AU"/>
        </w:rPr>
        <w:t>further disturbances, as recovery potential remains very low without a substantial seed bank</w:t>
      </w:r>
      <w:r w:rsidRPr="001876B8">
        <w:rPr>
          <w:color w:val="000000"/>
          <w:szCs w:val="22"/>
        </w:rPr>
        <w:t>.</w:t>
      </w:r>
    </w:p>
    <w:p w:rsidR="001B6AA0" w:rsidRDefault="001B6AA0" w:rsidP="001B6AA0">
      <w:pPr>
        <w:autoSpaceDE w:val="0"/>
        <w:autoSpaceDN w:val="0"/>
        <w:adjustRightInd w:val="0"/>
        <w:spacing w:before="0" w:after="0"/>
        <w:rPr>
          <w:color w:val="000000"/>
          <w:szCs w:val="22"/>
        </w:rPr>
      </w:pPr>
    </w:p>
    <w:p w:rsidR="001B6AA0" w:rsidRDefault="001B6AA0" w:rsidP="001B6AA0">
      <w:pPr>
        <w:autoSpaceDE w:val="0"/>
        <w:autoSpaceDN w:val="0"/>
        <w:adjustRightInd w:val="0"/>
        <w:spacing w:before="0" w:after="0"/>
        <w:rPr>
          <w:color w:val="000000"/>
          <w:szCs w:val="22"/>
        </w:rPr>
      </w:pPr>
      <w:r>
        <w:rPr>
          <w:noProof/>
          <w:color w:val="000000"/>
          <w:szCs w:val="22"/>
          <w:lang w:eastAsia="en-AU"/>
        </w:rPr>
        <w:lastRenderedPageBreak/>
        <w:drawing>
          <wp:inline distT="0" distB="0" distL="0" distR="0" wp14:anchorId="487BED89" wp14:editId="55546A6C">
            <wp:extent cx="5759450" cy="1423035"/>
            <wp:effectExtent l="0" t="0" r="0" b="5715"/>
            <wp:docPr id="10161" name="Picture 10161" descr="Panel of three composite bar and scatter plot graphs showing seed banks (bars) and reproductive effort (dots) at inshore intertidal coast and reef habitats in the Wet Tropics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repro15.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5759450" cy="1423035"/>
                    </a:xfrm>
                    <a:prstGeom prst="rect">
                      <a:avLst/>
                    </a:prstGeom>
                  </pic:spPr>
                </pic:pic>
              </a:graphicData>
            </a:graphic>
          </wp:inline>
        </w:drawing>
      </w:r>
    </w:p>
    <w:p w:rsidR="001876B8" w:rsidRPr="001876B8" w:rsidRDefault="005132EF" w:rsidP="001876B8">
      <w:pPr>
        <w:keepLines/>
        <w:spacing w:before="0"/>
        <w:rPr>
          <w:i/>
          <w:vanish/>
          <w:color w:val="000000"/>
          <w:specVanish/>
        </w:rPr>
      </w:pPr>
      <w:bookmarkStart w:id="313" w:name="_Ref271530838"/>
      <w:bookmarkStart w:id="314" w:name="_Toc431493844"/>
      <w:bookmarkStart w:id="315" w:name="_Toc462684892"/>
      <w:r w:rsidRPr="00FE2FFB">
        <w:t xml:space="preserve">Figure </w:t>
      </w:r>
      <w:fldSimple w:instr=" SEQ Figure \* ARABIC ">
        <w:r w:rsidR="009C068F">
          <w:rPr>
            <w:noProof/>
          </w:rPr>
          <w:t>52</w:t>
        </w:r>
      </w:fldSimple>
      <w:bookmarkEnd w:id="313"/>
      <w:r w:rsidRPr="00FE2FFB">
        <w:t xml:space="preserve">. </w:t>
      </w:r>
      <w:r w:rsidR="00CC60D9" w:rsidRPr="001876B8">
        <w:rPr>
          <w:i/>
        </w:rPr>
        <w:t xml:space="preserve">Seed bank and late dry season reproductive effort for inshore intertidal coast and reef habitats in the </w:t>
      </w:r>
      <w:r w:rsidR="003509A0" w:rsidRPr="001876B8">
        <w:rPr>
          <w:i/>
        </w:rPr>
        <w:t xml:space="preserve">Wet Tropics </w:t>
      </w:r>
      <w:r w:rsidR="00CC60D9" w:rsidRPr="001876B8">
        <w:rPr>
          <w:i/>
        </w:rPr>
        <w:t>region, 2001 - 201</w:t>
      </w:r>
      <w:r w:rsidR="001B6AA0">
        <w:rPr>
          <w:i/>
        </w:rPr>
        <w:t>5</w:t>
      </w:r>
      <w:r w:rsidR="003509A0" w:rsidRPr="001876B8">
        <w:rPr>
          <w:i/>
        </w:rPr>
        <w:t>.</w:t>
      </w:r>
      <w:bookmarkEnd w:id="314"/>
      <w:bookmarkEnd w:id="315"/>
      <w:r w:rsidR="00CC60D9" w:rsidRPr="001876B8">
        <w:rPr>
          <w:i/>
          <w:vanish/>
          <w:szCs w:val="22"/>
          <w:specVanish/>
        </w:rPr>
        <w:t xml:space="preserve"> </w:t>
      </w:r>
    </w:p>
    <w:p w:rsidR="00A27EC0" w:rsidRDefault="00CC60D9" w:rsidP="001876B8">
      <w:pPr>
        <w:keepLines/>
        <w:spacing w:before="0"/>
        <w:rPr>
          <w:i/>
        </w:rPr>
      </w:pPr>
      <w:r w:rsidRPr="001876B8">
        <w:rPr>
          <w:i/>
        </w:rPr>
        <w:t>Seed banks presented as the total number of seeds per m</w:t>
      </w:r>
      <w:r w:rsidRPr="001876B8">
        <w:rPr>
          <w:i/>
          <w:vertAlign w:val="superscript"/>
        </w:rPr>
        <w:t>2</w:t>
      </w:r>
      <w:r w:rsidRPr="001876B8">
        <w:rPr>
          <w:i/>
        </w:rPr>
        <w:t xml:space="preserve"> sediment surface</w:t>
      </w:r>
      <w:r w:rsidR="003523A5">
        <w:rPr>
          <w:i/>
        </w:rPr>
        <w:t xml:space="preserve"> (bars ±SE)</w:t>
      </w:r>
      <w:r w:rsidRPr="001876B8">
        <w:rPr>
          <w:i/>
        </w:rPr>
        <w:t>, and reproductive effort presented as the average number of reproductive structures per core (species and sites pooled)</w:t>
      </w:r>
      <w:r w:rsidR="003523A5" w:rsidRPr="003523A5">
        <w:rPr>
          <w:i/>
        </w:rPr>
        <w:t xml:space="preserve"> </w:t>
      </w:r>
      <w:r w:rsidR="003523A5">
        <w:rPr>
          <w:i/>
        </w:rPr>
        <w:t>(dots ±SE)</w:t>
      </w:r>
      <w:r w:rsidRPr="001876B8">
        <w:rPr>
          <w:i/>
        </w:rPr>
        <w:t xml:space="preserve">. </w:t>
      </w:r>
    </w:p>
    <w:p w:rsidR="001B6AA0" w:rsidRPr="001B6AA0" w:rsidRDefault="001B6AA0" w:rsidP="001B6AA0">
      <w:pPr>
        <w:rPr>
          <w:lang w:val="en-GB"/>
        </w:rPr>
      </w:pPr>
    </w:p>
    <w:p w:rsidR="005132EF" w:rsidRPr="00BD0604" w:rsidRDefault="00FF0A86" w:rsidP="00926892">
      <w:pPr>
        <w:pStyle w:val="Heading3"/>
        <w:numPr>
          <w:ilvl w:val="2"/>
          <w:numId w:val="9"/>
        </w:numPr>
        <w:rPr>
          <w:rFonts w:ascii="Arial" w:hAnsi="Arial" w:cs="Arial"/>
          <w:color w:val="000000"/>
        </w:rPr>
      </w:pPr>
      <w:bookmarkStart w:id="316" w:name="_Toc462047346"/>
      <w:r>
        <w:rPr>
          <w:rFonts w:ascii="Arial" w:hAnsi="Arial" w:cs="Arial"/>
          <w:color w:val="000000"/>
        </w:rPr>
        <w:t>Indicators of environmental condition</w:t>
      </w:r>
      <w:bookmarkEnd w:id="316"/>
    </w:p>
    <w:p w:rsidR="005132EF" w:rsidRPr="004F2236" w:rsidRDefault="005132EF" w:rsidP="004F2236">
      <w:pPr>
        <w:pStyle w:val="Heading4"/>
        <w:numPr>
          <w:ilvl w:val="0"/>
          <w:numId w:val="0"/>
        </w:numPr>
        <w:rPr>
          <w:rFonts w:ascii="Arial" w:hAnsi="Arial" w:cs="Arial"/>
          <w:sz w:val="24"/>
          <w:szCs w:val="24"/>
        </w:rPr>
      </w:pPr>
      <w:bookmarkStart w:id="317" w:name="_Toc184101988"/>
      <w:r w:rsidRPr="004F2236">
        <w:rPr>
          <w:rFonts w:ascii="Arial" w:hAnsi="Arial" w:cs="Arial"/>
          <w:sz w:val="24"/>
          <w:szCs w:val="24"/>
        </w:rPr>
        <w:t>Seagrass tissue nutrients</w:t>
      </w:r>
      <w:bookmarkEnd w:id="317"/>
    </w:p>
    <w:p w:rsidR="001B6AA0" w:rsidRPr="00E6374C" w:rsidRDefault="001B6AA0" w:rsidP="001B6AA0">
      <w:pPr>
        <w:rPr>
          <w:szCs w:val="22"/>
          <w:lang w:val="en-GB"/>
        </w:rPr>
      </w:pPr>
      <w:bookmarkStart w:id="318" w:name="_Toc175991069"/>
      <w:bookmarkStart w:id="319" w:name="_Toc232845913"/>
      <w:r w:rsidRPr="001B6AA0">
        <w:rPr>
          <w:color w:val="000000"/>
          <w:szCs w:val="22"/>
          <w:lang w:val="en-GB"/>
        </w:rPr>
        <w:t>C</w:t>
      </w:r>
      <w:proofErr w:type="gramStart"/>
      <w:r w:rsidRPr="001B6AA0">
        <w:rPr>
          <w:color w:val="000000"/>
          <w:szCs w:val="22"/>
          <w:lang w:val="en-GB"/>
        </w:rPr>
        <w:t>:N</w:t>
      </w:r>
      <w:proofErr w:type="gramEnd"/>
      <w:r w:rsidRPr="001B6AA0">
        <w:rPr>
          <w:color w:val="000000"/>
          <w:szCs w:val="22"/>
          <w:lang w:val="en-GB"/>
        </w:rPr>
        <w:t xml:space="preserve"> ratios in the leaves of the foundation seagrass species (in the late dry season 2014) were below 20 </w:t>
      </w:r>
      <w:r w:rsidRPr="00E6374C">
        <w:rPr>
          <w:szCs w:val="22"/>
          <w:lang w:val="en-GB"/>
        </w:rPr>
        <w:t>at coast and reef intertidal habitats, and were marginal (around 20), at reef subtidal habitats (</w:t>
      </w:r>
      <w:r w:rsidR="00E6374C" w:rsidRPr="00E6374C">
        <w:rPr>
          <w:szCs w:val="22"/>
          <w:lang w:val="en-GB"/>
        </w:rPr>
        <w:fldChar w:fldCharType="begin"/>
      </w:r>
      <w:r w:rsidR="00E6374C" w:rsidRPr="00E6374C">
        <w:rPr>
          <w:szCs w:val="22"/>
          <w:lang w:val="en-GB"/>
        </w:rPr>
        <w:instrText xml:space="preserve"> REF _Ref304271974 \h </w:instrText>
      </w:r>
      <w:r w:rsidR="00E6374C" w:rsidRPr="00E6374C">
        <w:rPr>
          <w:szCs w:val="22"/>
          <w:lang w:val="en-GB"/>
        </w:rPr>
      </w:r>
      <w:r w:rsidR="00E6374C" w:rsidRPr="00E6374C">
        <w:rPr>
          <w:szCs w:val="22"/>
          <w:lang w:val="en-GB"/>
        </w:rPr>
        <w:fldChar w:fldCharType="separate"/>
      </w:r>
      <w:r w:rsidR="009C068F" w:rsidRPr="00E93489">
        <w:rPr>
          <w:color w:val="000000"/>
        </w:rPr>
        <w:t xml:space="preserve">Figure </w:t>
      </w:r>
      <w:r w:rsidR="009C068F">
        <w:rPr>
          <w:noProof/>
          <w:color w:val="000000"/>
        </w:rPr>
        <w:t>53</w:t>
      </w:r>
      <w:r w:rsidR="00E6374C" w:rsidRPr="00E6374C">
        <w:rPr>
          <w:szCs w:val="22"/>
          <w:lang w:val="en-GB"/>
        </w:rPr>
        <w:fldChar w:fldCharType="end"/>
      </w:r>
      <w:r w:rsidRPr="00E6374C">
        <w:rPr>
          <w:szCs w:val="22"/>
          <w:lang w:val="en-GB"/>
        </w:rPr>
        <w:t xml:space="preserve">; Appendix </w:t>
      </w:r>
      <w:r w:rsidR="00F70D76" w:rsidRPr="00E6374C">
        <w:rPr>
          <w:szCs w:val="22"/>
          <w:lang w:val="en-GB"/>
        </w:rPr>
        <w:t>4</w:t>
      </w:r>
      <w:r w:rsidRPr="00E6374C">
        <w:rPr>
          <w:szCs w:val="22"/>
          <w:lang w:val="en-GB"/>
        </w:rPr>
        <w:t>). Seagrasses in reef habitats (intertidal and subtidal) had higher leaf molar C</w:t>
      </w:r>
      <w:proofErr w:type="gramStart"/>
      <w:r w:rsidRPr="00E6374C">
        <w:rPr>
          <w:szCs w:val="22"/>
          <w:lang w:val="en-GB"/>
        </w:rPr>
        <w:t>:N</w:t>
      </w:r>
      <w:proofErr w:type="gramEnd"/>
      <w:r w:rsidRPr="00E6374C">
        <w:rPr>
          <w:szCs w:val="22"/>
          <w:lang w:val="en-GB"/>
        </w:rPr>
        <w:t xml:space="preserve"> ratios than those in coastal habitats (</w:t>
      </w:r>
      <w:r w:rsidR="00E6374C" w:rsidRPr="00E6374C">
        <w:rPr>
          <w:szCs w:val="22"/>
          <w:lang w:val="en-GB"/>
        </w:rPr>
        <w:fldChar w:fldCharType="begin"/>
      </w:r>
      <w:r w:rsidR="00E6374C" w:rsidRPr="00E6374C">
        <w:rPr>
          <w:szCs w:val="22"/>
          <w:lang w:val="en-GB"/>
        </w:rPr>
        <w:instrText xml:space="preserve"> REF _Ref304271974 \h </w:instrText>
      </w:r>
      <w:r w:rsidR="00E6374C" w:rsidRPr="00E6374C">
        <w:rPr>
          <w:szCs w:val="22"/>
          <w:lang w:val="en-GB"/>
        </w:rPr>
      </w:r>
      <w:r w:rsidR="00E6374C" w:rsidRPr="00E6374C">
        <w:rPr>
          <w:szCs w:val="22"/>
          <w:lang w:val="en-GB"/>
        </w:rPr>
        <w:fldChar w:fldCharType="separate"/>
      </w:r>
      <w:r w:rsidR="009C068F" w:rsidRPr="00E93489">
        <w:rPr>
          <w:color w:val="000000"/>
        </w:rPr>
        <w:t xml:space="preserve">Figure </w:t>
      </w:r>
      <w:r w:rsidR="009C068F">
        <w:rPr>
          <w:noProof/>
          <w:color w:val="000000"/>
        </w:rPr>
        <w:t>53</w:t>
      </w:r>
      <w:r w:rsidR="00E6374C" w:rsidRPr="00E6374C">
        <w:rPr>
          <w:szCs w:val="22"/>
          <w:lang w:val="en-GB"/>
        </w:rPr>
        <w:fldChar w:fldCharType="end"/>
      </w:r>
      <w:r w:rsidRPr="00E6374C">
        <w:rPr>
          <w:szCs w:val="22"/>
          <w:lang w:val="en-GB"/>
        </w:rPr>
        <w:t>), which has remained consistent across all years of monitoring. C:N ratios have remained relatively unchanged across all intertidal seagrass habitats over the last 2-3 years (</w:t>
      </w:r>
      <w:r w:rsidR="00E6374C" w:rsidRPr="00E6374C">
        <w:rPr>
          <w:szCs w:val="22"/>
          <w:lang w:val="en-GB"/>
        </w:rPr>
        <w:fldChar w:fldCharType="begin"/>
      </w:r>
      <w:r w:rsidR="00E6374C" w:rsidRPr="00E6374C">
        <w:rPr>
          <w:szCs w:val="22"/>
          <w:lang w:val="en-GB"/>
        </w:rPr>
        <w:instrText xml:space="preserve"> REF _Ref304271974 \h </w:instrText>
      </w:r>
      <w:r w:rsidR="00E6374C" w:rsidRPr="00E6374C">
        <w:rPr>
          <w:szCs w:val="22"/>
          <w:lang w:val="en-GB"/>
        </w:rPr>
      </w:r>
      <w:r w:rsidR="00E6374C" w:rsidRPr="00E6374C">
        <w:rPr>
          <w:szCs w:val="22"/>
          <w:lang w:val="en-GB"/>
        </w:rPr>
        <w:fldChar w:fldCharType="separate"/>
      </w:r>
      <w:r w:rsidR="009C068F" w:rsidRPr="00E93489">
        <w:rPr>
          <w:color w:val="000000"/>
        </w:rPr>
        <w:t xml:space="preserve">Figure </w:t>
      </w:r>
      <w:r w:rsidR="009C068F">
        <w:rPr>
          <w:noProof/>
          <w:color w:val="000000"/>
        </w:rPr>
        <w:t>53</w:t>
      </w:r>
      <w:r w:rsidR="00E6374C" w:rsidRPr="00E6374C">
        <w:rPr>
          <w:szCs w:val="22"/>
          <w:lang w:val="en-GB"/>
        </w:rPr>
        <w:fldChar w:fldCharType="end"/>
      </w:r>
      <w:r w:rsidRPr="00E6374C">
        <w:rPr>
          <w:szCs w:val="22"/>
          <w:lang w:val="en-GB"/>
        </w:rPr>
        <w:t xml:space="preserve">; Appendix </w:t>
      </w:r>
      <w:r w:rsidR="00E6374C" w:rsidRPr="00E6374C">
        <w:rPr>
          <w:szCs w:val="22"/>
          <w:lang w:val="en-GB"/>
        </w:rPr>
        <w:t>4</w:t>
      </w:r>
      <w:r w:rsidRPr="00E6374C">
        <w:rPr>
          <w:szCs w:val="22"/>
          <w:lang w:val="en-GB"/>
        </w:rPr>
        <w:t xml:space="preserve">), while at subtidal sites, other than a sharp increase at Green Island in 2012, C:N ratios at reef subtidal habitats have been relatively stable since monitoring commenced in 2008 (Appendix </w:t>
      </w:r>
      <w:r w:rsidR="00E6374C" w:rsidRPr="00E6374C">
        <w:rPr>
          <w:szCs w:val="22"/>
          <w:lang w:val="en-GB"/>
        </w:rPr>
        <w:t>4</w:t>
      </w:r>
      <w:r w:rsidRPr="00E6374C">
        <w:rPr>
          <w:szCs w:val="22"/>
          <w:lang w:val="en-GB"/>
        </w:rPr>
        <w:t xml:space="preserve">). C:N ratios at the coastal sites </w:t>
      </w:r>
      <w:r w:rsidR="00E6374C">
        <w:rPr>
          <w:szCs w:val="22"/>
          <w:lang w:val="en-GB"/>
        </w:rPr>
        <w:t>we</w:t>
      </w:r>
      <w:r w:rsidRPr="00E6374C">
        <w:rPr>
          <w:szCs w:val="22"/>
          <w:lang w:val="en-GB"/>
        </w:rPr>
        <w:t>re particularly low compared to other sites throughout the GBR, and decreased in 2014-15. A further exploration of tissue nutrient content shows that C</w:t>
      </w:r>
      <w:proofErr w:type="gramStart"/>
      <w:r w:rsidRPr="00E6374C">
        <w:rPr>
          <w:szCs w:val="22"/>
          <w:lang w:val="en-GB"/>
        </w:rPr>
        <w:t>:P</w:t>
      </w:r>
      <w:proofErr w:type="gramEnd"/>
      <w:r w:rsidRPr="00E6374C">
        <w:rPr>
          <w:szCs w:val="22"/>
          <w:lang w:val="en-GB"/>
        </w:rPr>
        <w:t xml:space="preserve"> and N:P increased</w:t>
      </w:r>
      <w:r w:rsidR="00E6374C">
        <w:rPr>
          <w:szCs w:val="22"/>
          <w:lang w:val="en-GB"/>
        </w:rPr>
        <w:t xml:space="preserve"> (</w:t>
      </w:r>
      <w:r w:rsidR="00E6374C">
        <w:rPr>
          <w:szCs w:val="22"/>
          <w:lang w:val="en-GB"/>
        </w:rPr>
        <w:fldChar w:fldCharType="begin"/>
      </w:r>
      <w:r w:rsidR="00E6374C">
        <w:rPr>
          <w:szCs w:val="22"/>
          <w:lang w:val="en-GB"/>
        </w:rPr>
        <w:instrText xml:space="preserve"> REF _Ref237498756 \h </w:instrText>
      </w:r>
      <w:r w:rsidR="00E6374C">
        <w:rPr>
          <w:szCs w:val="22"/>
          <w:lang w:val="en-GB"/>
        </w:rPr>
      </w:r>
      <w:r w:rsidR="00E6374C">
        <w:rPr>
          <w:szCs w:val="22"/>
          <w:lang w:val="en-GB"/>
        </w:rPr>
        <w:fldChar w:fldCharType="separate"/>
      </w:r>
      <w:r w:rsidR="009C068F" w:rsidRPr="00E93489">
        <w:rPr>
          <w:color w:val="000000"/>
          <w:szCs w:val="22"/>
        </w:rPr>
        <w:t xml:space="preserve">Figure </w:t>
      </w:r>
      <w:r w:rsidR="009C068F">
        <w:rPr>
          <w:noProof/>
          <w:color w:val="000000"/>
          <w:szCs w:val="22"/>
        </w:rPr>
        <w:t>54</w:t>
      </w:r>
      <w:r w:rsidR="00E6374C">
        <w:rPr>
          <w:szCs w:val="22"/>
          <w:lang w:val="en-GB"/>
        </w:rPr>
        <w:fldChar w:fldCharType="end"/>
      </w:r>
      <w:r w:rsidR="00E6374C">
        <w:rPr>
          <w:szCs w:val="22"/>
          <w:lang w:val="en-GB"/>
        </w:rPr>
        <w:t>)</w:t>
      </w:r>
      <w:r w:rsidRPr="00E6374C">
        <w:rPr>
          <w:szCs w:val="22"/>
          <w:lang w:val="en-GB"/>
        </w:rPr>
        <w:t>. This, taken together with the average light levels and isotopically depleted δ</w:t>
      </w:r>
      <w:r w:rsidRPr="00E6374C">
        <w:rPr>
          <w:szCs w:val="22"/>
          <w:vertAlign w:val="superscript"/>
          <w:lang w:val="en-GB"/>
        </w:rPr>
        <w:t>13</w:t>
      </w:r>
      <w:r w:rsidRPr="00E6374C">
        <w:rPr>
          <w:szCs w:val="22"/>
          <w:lang w:val="en-GB"/>
        </w:rPr>
        <w:t xml:space="preserve">C at Yule Point in 2014-15, indicate that increased availability of N is likely to be the principal cause of the low C:N ratios. Although river discharge was low in the past year, there was high exposure to secondary, and to a lesser extent primary water types at all sites, except Green Island, which further indicates availability of N. </w:t>
      </w:r>
    </w:p>
    <w:p w:rsidR="001B6AA0" w:rsidRDefault="001B6AA0" w:rsidP="00526A6D">
      <w:pPr>
        <w:keepNext/>
        <w:widowControl w:val="0"/>
        <w:spacing w:after="0"/>
        <w:jc w:val="center"/>
        <w:rPr>
          <w:color w:val="000000"/>
          <w:szCs w:val="22"/>
          <w:lang w:val="en-GB"/>
        </w:rPr>
      </w:pPr>
      <w:r>
        <w:rPr>
          <w:noProof/>
          <w:color w:val="000000"/>
          <w:szCs w:val="22"/>
          <w:lang w:eastAsia="en-AU"/>
        </w:rPr>
        <w:drawing>
          <wp:inline distT="0" distB="0" distL="0" distR="0" wp14:anchorId="2283A048" wp14:editId="2EA8A4FA">
            <wp:extent cx="5400000" cy="1652400"/>
            <wp:effectExtent l="0" t="0" r="0" b="5080"/>
            <wp:docPr id="10162" name="Picture 10162" descr="Panel of three scatter plots with straight lines and markers showing elemental ratios (atomic) of seagrass leaf tissue C:N for the foundation species in inshore seagrass habitats in the Wet Tropics NRM region from 2005 to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CN_yr_Dec15.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400000" cy="1652400"/>
                    </a:xfrm>
                    <a:prstGeom prst="rect">
                      <a:avLst/>
                    </a:prstGeom>
                  </pic:spPr>
                </pic:pic>
              </a:graphicData>
            </a:graphic>
          </wp:inline>
        </w:drawing>
      </w:r>
    </w:p>
    <w:p w:rsidR="00D15580" w:rsidRPr="00E93489" w:rsidRDefault="00D15580" w:rsidP="00D15580">
      <w:pPr>
        <w:rPr>
          <w:i/>
          <w:iCs/>
          <w:vanish/>
          <w:color w:val="000000"/>
          <w:szCs w:val="22"/>
          <w:lang w:eastAsia="en-AU"/>
          <w:specVanish/>
        </w:rPr>
      </w:pPr>
      <w:bookmarkStart w:id="320" w:name="_Ref304271974"/>
      <w:bookmarkStart w:id="321" w:name="_Toc431493846"/>
      <w:bookmarkStart w:id="322" w:name="_Toc462684893"/>
      <w:r w:rsidRPr="00E93489">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53</w:t>
      </w:r>
      <w:r w:rsidR="0073595B">
        <w:rPr>
          <w:color w:val="000000"/>
        </w:rPr>
        <w:fldChar w:fldCharType="end"/>
      </w:r>
      <w:bookmarkEnd w:id="320"/>
      <w:r w:rsidRPr="00E93489">
        <w:rPr>
          <w:color w:val="000000"/>
        </w:rPr>
        <w:t xml:space="preserve">. </w:t>
      </w:r>
      <w:r w:rsidRPr="00E93489">
        <w:rPr>
          <w:i/>
          <w:color w:val="000000"/>
          <w:lang w:eastAsia="en-AU"/>
        </w:rPr>
        <w:t xml:space="preserve">Elemental ratios (atomic) of seagrass leaf tissue C:N for </w:t>
      </w:r>
      <w:r w:rsidRPr="00E93489">
        <w:rPr>
          <w:i/>
          <w:color w:val="000000"/>
        </w:rPr>
        <w:t xml:space="preserve">the foundation seagrass species examined at each inshore habitat in the Wet Tropics region </w:t>
      </w:r>
      <w:r w:rsidRPr="00E93489">
        <w:rPr>
          <w:i/>
          <w:color w:val="000000"/>
          <w:lang w:eastAsia="en-AU"/>
        </w:rPr>
        <w:t>each year</w:t>
      </w:r>
      <w:bookmarkEnd w:id="321"/>
      <w:bookmarkEnd w:id="322"/>
      <w:r w:rsidRPr="00E93489">
        <w:rPr>
          <w:i/>
          <w:color w:val="000000"/>
          <w:lang w:eastAsia="en-AU"/>
        </w:rPr>
        <w:t xml:space="preserve"> </w:t>
      </w:r>
    </w:p>
    <w:p w:rsidR="000C1447" w:rsidRDefault="00D15580" w:rsidP="00FD0889">
      <w:pPr>
        <w:rPr>
          <w:rFonts w:cs="TimesNewRoman,Italic"/>
          <w:iCs/>
          <w:color w:val="000000"/>
          <w:szCs w:val="22"/>
        </w:rPr>
      </w:pPr>
      <w:r w:rsidRPr="00E93489">
        <w:rPr>
          <w:i/>
          <w:color w:val="000000"/>
          <w:lang w:eastAsia="en-AU"/>
        </w:rPr>
        <w:t xml:space="preserve"> (species pooled) </w:t>
      </w:r>
      <w:r w:rsidRPr="00E93489">
        <w:rPr>
          <w:i/>
          <w:color w:val="000000"/>
        </w:rPr>
        <w:t>(mean</w:t>
      </w:r>
      <w:r w:rsidRPr="00E93489">
        <w:rPr>
          <w:i/>
          <w:color w:val="000000"/>
          <w:lang w:eastAsia="en-AU"/>
        </w:rPr>
        <w:t xml:space="preserve"> ± Standard Error</w:t>
      </w:r>
      <w:r w:rsidRPr="00E93489">
        <w:rPr>
          <w:i/>
          <w:color w:val="000000"/>
        </w:rPr>
        <w:t>)</w:t>
      </w:r>
      <w:r w:rsidRPr="00E93489">
        <w:rPr>
          <w:i/>
          <w:color w:val="000000"/>
          <w:lang w:eastAsia="en-AU"/>
        </w:rPr>
        <w:t xml:space="preserve">. Horizontal shaded band on the C:N ratio panel represents the accepted </w:t>
      </w:r>
      <w:r w:rsidRPr="00E93489">
        <w:rPr>
          <w:i/>
          <w:color w:val="000000"/>
        </w:rPr>
        <w:t xml:space="preserve">guideline </w:t>
      </w:r>
      <w:r w:rsidRPr="00E93489">
        <w:rPr>
          <w:i/>
          <w:color w:val="000000"/>
          <w:lang w:eastAsia="en-AU"/>
        </w:rPr>
        <w:t xml:space="preserve">seagrass “Redfield” ratio </w:t>
      </w:r>
      <w:r w:rsidRPr="00E93489">
        <w:rPr>
          <w:i/>
          <w:color w:val="000000"/>
        </w:rPr>
        <w:t>of 20:1</w:t>
      </w:r>
      <w:r w:rsidRPr="00E93489">
        <w:rPr>
          <w:i/>
          <w:color w:val="000000"/>
          <w:lang w:eastAsia="en-AU"/>
        </w:rPr>
        <w:t xml:space="preserve">. C:N ratios below this line </w:t>
      </w:r>
      <w:r w:rsidRPr="00E93489">
        <w:rPr>
          <w:i/>
          <w:color w:val="000000"/>
        </w:rPr>
        <w:t>indicate reduced light availability and/or N enrichment</w:t>
      </w:r>
      <w:r w:rsidRPr="00E93489">
        <w:rPr>
          <w:i/>
          <w:color w:val="000000"/>
          <w:lang w:eastAsia="en-AU"/>
        </w:rPr>
        <w:t xml:space="preserve">. </w:t>
      </w:r>
    </w:p>
    <w:p w:rsidR="000C1447" w:rsidRDefault="000C1447" w:rsidP="000C1447">
      <w:pPr>
        <w:jc w:val="center"/>
        <w:rPr>
          <w:rFonts w:cs="TimesNewRoman,Italic"/>
          <w:iCs/>
          <w:color w:val="000000"/>
          <w:szCs w:val="22"/>
        </w:rPr>
      </w:pPr>
      <w:r>
        <w:rPr>
          <w:rFonts w:cs="TimesNewRoman,Italic"/>
          <w:iCs/>
          <w:noProof/>
          <w:color w:val="000000"/>
          <w:szCs w:val="22"/>
          <w:lang w:eastAsia="en-AU"/>
        </w:rPr>
        <w:lastRenderedPageBreak/>
        <w:drawing>
          <wp:inline distT="0" distB="0" distL="0" distR="0" wp14:anchorId="16CDD4DA" wp14:editId="716B745A">
            <wp:extent cx="4680000" cy="2757600"/>
            <wp:effectExtent l="0" t="0" r="6350" b="5080"/>
            <wp:docPr id="10163" name="Picture 10163" descr="Set of four scatter plots with straight lines and markers showing  elemental ratios (atomic) of seagrass leaf tissue N:P and C:P for the foundation species in inshore seagrass habitats in the Wet Tropics NRM region from 2005 to 20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CNP_yr_Dec15.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4680000" cy="2757600"/>
                    </a:xfrm>
                    <a:prstGeom prst="rect">
                      <a:avLst/>
                    </a:prstGeom>
                  </pic:spPr>
                </pic:pic>
              </a:graphicData>
            </a:graphic>
          </wp:inline>
        </w:drawing>
      </w:r>
    </w:p>
    <w:p w:rsidR="00CC60D9" w:rsidRPr="00E93489" w:rsidRDefault="005132EF" w:rsidP="00CC60D9">
      <w:pPr>
        <w:rPr>
          <w:i/>
          <w:iCs/>
          <w:vanish/>
          <w:color w:val="000000"/>
          <w:szCs w:val="22"/>
          <w:lang w:eastAsia="en-AU"/>
          <w:specVanish/>
        </w:rPr>
      </w:pPr>
      <w:bookmarkStart w:id="323" w:name="_Ref237498756"/>
      <w:bookmarkStart w:id="324" w:name="_Toc462684894"/>
      <w:bookmarkStart w:id="325" w:name="_Toc431493847"/>
      <w:bookmarkEnd w:id="318"/>
      <w:bookmarkEnd w:id="319"/>
      <w:r w:rsidRPr="00E93489">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54</w:t>
      </w:r>
      <w:r w:rsidR="0073595B">
        <w:rPr>
          <w:color w:val="000000"/>
          <w:szCs w:val="22"/>
        </w:rPr>
        <w:fldChar w:fldCharType="end"/>
      </w:r>
      <w:bookmarkEnd w:id="323"/>
      <w:r w:rsidRPr="00E93489">
        <w:rPr>
          <w:color w:val="000000"/>
          <w:szCs w:val="22"/>
        </w:rPr>
        <w:t xml:space="preserve">. </w:t>
      </w:r>
      <w:r w:rsidRPr="00E93489">
        <w:rPr>
          <w:i/>
          <w:iCs/>
          <w:color w:val="000000"/>
          <w:szCs w:val="22"/>
          <w:lang w:eastAsia="en-AU"/>
        </w:rPr>
        <w:t xml:space="preserve">Elemental ratios (atomic) of seagrass leaf tissue N:P and C:P </w:t>
      </w:r>
      <w:r w:rsidRPr="00E93489">
        <w:rPr>
          <w:i/>
          <w:iCs/>
          <w:color w:val="000000"/>
          <w:szCs w:val="22"/>
        </w:rPr>
        <w:t xml:space="preserve">for the foundation seagrass species </w:t>
      </w:r>
      <w:r w:rsidR="00CC60D9" w:rsidRPr="00E93489">
        <w:rPr>
          <w:i/>
          <w:color w:val="000000"/>
        </w:rPr>
        <w:t>examined at each inshore habitat in the Wet Tropics region</w:t>
      </w:r>
      <w:bookmarkEnd w:id="324"/>
      <w:r w:rsidR="00CC60D9" w:rsidRPr="00E93489">
        <w:rPr>
          <w:i/>
          <w:color w:val="000000"/>
        </w:rPr>
        <w:t xml:space="preserve"> </w:t>
      </w:r>
      <w:bookmarkEnd w:id="325"/>
    </w:p>
    <w:p w:rsidR="00CC60D9" w:rsidRDefault="00CC60D9" w:rsidP="00CC60D9">
      <w:pPr>
        <w:rPr>
          <w:color w:val="000000"/>
          <w:lang w:val="en-GB"/>
        </w:rPr>
      </w:pPr>
      <w:r w:rsidRPr="00E93489">
        <w:rPr>
          <w:i/>
          <w:iCs/>
          <w:color w:val="000000"/>
          <w:szCs w:val="22"/>
          <w:lang w:eastAsia="en-AU"/>
        </w:rPr>
        <w:t xml:space="preserve"> </w:t>
      </w:r>
      <w:r w:rsidR="005132EF" w:rsidRPr="00E93489">
        <w:rPr>
          <w:i/>
          <w:iCs/>
          <w:color w:val="000000"/>
          <w:szCs w:val="22"/>
          <w:lang w:eastAsia="en-AU"/>
        </w:rPr>
        <w:t>(species pooled) (</w:t>
      </w:r>
      <w:r w:rsidR="005132EF" w:rsidRPr="00E93489">
        <w:rPr>
          <w:i/>
          <w:iCs/>
          <w:color w:val="000000"/>
          <w:szCs w:val="22"/>
        </w:rPr>
        <w:t>mean</w:t>
      </w:r>
      <w:r w:rsidR="005132EF" w:rsidRPr="00E93489">
        <w:rPr>
          <w:i/>
          <w:iCs/>
          <w:color w:val="000000"/>
          <w:szCs w:val="22"/>
          <w:lang w:eastAsia="en-AU"/>
        </w:rPr>
        <w:t xml:space="preserve"> ± Standard Error). Horizontal shaded band on the N:P ratio panel represents the range of value associated with N:P balance rat</w:t>
      </w:r>
      <w:r w:rsidR="00E6374C">
        <w:rPr>
          <w:i/>
          <w:iCs/>
          <w:color w:val="000000"/>
          <w:szCs w:val="22"/>
          <w:lang w:eastAsia="en-AU"/>
        </w:rPr>
        <w:t>io in the plant tissues</w:t>
      </w:r>
      <w:r w:rsidR="005132EF" w:rsidRPr="00E93489">
        <w:rPr>
          <w:i/>
          <w:iCs/>
          <w:color w:val="000000"/>
          <w:szCs w:val="22"/>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E93489">
        <w:rPr>
          <w:color w:val="000000"/>
          <w:lang w:val="en-GB"/>
        </w:rPr>
        <w:t xml:space="preserve"> </w:t>
      </w:r>
    </w:p>
    <w:p w:rsidR="00BC4EC5" w:rsidRDefault="00D15580" w:rsidP="00BC4EC5">
      <w:pPr>
        <w:rPr>
          <w:color w:val="000000"/>
          <w:szCs w:val="22"/>
          <w:lang w:val="en-GB"/>
        </w:rPr>
      </w:pPr>
      <w:r w:rsidRPr="00526A6D">
        <w:rPr>
          <w:rFonts w:cs="TimesNewRoman,Italic"/>
          <w:iCs/>
          <w:szCs w:val="22"/>
        </w:rPr>
        <w:t xml:space="preserve">The </w:t>
      </w:r>
      <w:r w:rsidRPr="00526A6D">
        <w:rPr>
          <w:sz w:val="18"/>
          <w:szCs w:val="18"/>
        </w:rPr>
        <w:t>δ</w:t>
      </w:r>
      <w:r w:rsidRPr="00526A6D">
        <w:rPr>
          <w:sz w:val="18"/>
          <w:szCs w:val="18"/>
          <w:vertAlign w:val="superscript"/>
        </w:rPr>
        <w:t>15</w:t>
      </w:r>
      <w:r w:rsidRPr="00526A6D">
        <w:rPr>
          <w:sz w:val="18"/>
          <w:szCs w:val="18"/>
        </w:rPr>
        <w:t>N</w:t>
      </w:r>
      <w:r w:rsidRPr="00526A6D">
        <w:rPr>
          <w:szCs w:val="22"/>
        </w:rPr>
        <w:t xml:space="preserve"> values in the leaf tissue of all foundation seagrass species across reef habitats (intertidal and subtidal) were </w:t>
      </w:r>
      <w:r w:rsidR="00526A6D" w:rsidRPr="00526A6D">
        <w:rPr>
          <w:szCs w:val="22"/>
        </w:rPr>
        <w:t xml:space="preserve">similar or slight </w:t>
      </w:r>
      <w:r w:rsidRPr="00526A6D">
        <w:rPr>
          <w:szCs w:val="22"/>
        </w:rPr>
        <w:t>higher in 201</w:t>
      </w:r>
      <w:r w:rsidR="00526A6D" w:rsidRPr="00526A6D">
        <w:rPr>
          <w:szCs w:val="22"/>
        </w:rPr>
        <w:t>4</w:t>
      </w:r>
      <w:r w:rsidRPr="00526A6D">
        <w:rPr>
          <w:szCs w:val="22"/>
        </w:rPr>
        <w:t xml:space="preserve"> than previous measured in the MMP, suggesting that their primary source of N was influenced by anthropogenic N sources such as fertiliser</w:t>
      </w:r>
      <w:r w:rsidR="003523A5">
        <w:rPr>
          <w:szCs w:val="22"/>
        </w:rPr>
        <w:t xml:space="preserve"> (i.e. </w:t>
      </w:r>
      <w:r w:rsidR="003523A5" w:rsidRPr="00526A6D">
        <w:rPr>
          <w:sz w:val="18"/>
          <w:szCs w:val="18"/>
        </w:rPr>
        <w:t>δ</w:t>
      </w:r>
      <w:r w:rsidR="003523A5" w:rsidRPr="00526A6D">
        <w:rPr>
          <w:sz w:val="18"/>
          <w:szCs w:val="18"/>
          <w:vertAlign w:val="superscript"/>
        </w:rPr>
        <w:t>15</w:t>
      </w:r>
      <w:r w:rsidR="003523A5" w:rsidRPr="00526A6D">
        <w:rPr>
          <w:sz w:val="18"/>
          <w:szCs w:val="18"/>
        </w:rPr>
        <w:t>N</w:t>
      </w:r>
      <w:r w:rsidR="003523A5">
        <w:rPr>
          <w:sz w:val="18"/>
          <w:szCs w:val="18"/>
        </w:rPr>
        <w:t xml:space="preserve"> &gt;0&lt;1%, </w:t>
      </w:r>
      <w:hyperlink w:anchor="_ENREF_228" w:tooltip="Udy, 1997 #9791" w:history="1">
        <w:r w:rsidR="00E6043D">
          <w:rPr>
            <w:szCs w:val="22"/>
          </w:rPr>
          <w:fldChar w:fldCharType="begin"/>
        </w:r>
        <w:r w:rsidR="00E6043D">
          <w:rPr>
            <w:szCs w:val="22"/>
          </w:rPr>
          <w:instrText xml:space="preserve"> ADDIN EN.CITE &lt;EndNote&gt;&lt;Cite&gt;&lt;Author&gt;Udy&lt;/Author&gt;&lt;Year&gt;1997&lt;/Year&gt;&lt;RecNum&gt;9791&lt;/RecNum&gt;&lt;DisplayText&gt;Udy and Dennison 1997b&lt;/DisplayText&gt;&lt;record&gt;&lt;rec-number&gt;9791&lt;/rec-number&gt;&lt;foreign-keys&gt;&lt;key app="EN" db-id="0eve55x9y5vfd6e9dacxtew4eatve2dzds9a"&gt;9791&lt;/key&gt;&lt;/foreign-keys&gt;&lt;ref-type name="Journal Article"&gt;17&lt;/ref-type&gt;&lt;contributors&gt;&lt;authors&gt;&lt;author&gt;Udy,James W.&lt;/author&gt;&lt;author&gt;Dennison,William C.&lt;/author&gt;&lt;/authors&gt;&lt;/contributors&gt;&lt;titles&gt;&lt;title&gt;Physiological responses of seagrasses used to identify anthropogenic nutrient inputs&lt;/title&gt;&lt;secondary-title&gt;Marine and Freshwater Research&lt;/secondary-title&gt;&lt;/titles&gt;&lt;periodical&gt;&lt;full-title&gt;Marine and Freshwater Research&lt;/full-title&gt;&lt;/periodical&gt;&lt;pages&gt;605-614&lt;/pages&gt;&lt;volume&gt;48&lt;/volume&gt;&lt;number&gt;7&lt;/number&gt;&lt;dates&gt;&lt;year&gt;1997&lt;/year&gt;&lt;/dates&gt;&lt;urls&gt;&lt;related-urls&gt;&lt;url&gt;http://www.publish.csiro.au/paper/MF97001&lt;/url&gt;&lt;/related-urls&gt;&lt;/urls&gt;&lt;electronic-resource-num&gt;http://dx.doi.org/10.1071/MF97001&lt;/electronic-resource-num&gt;&lt;/record&gt;&lt;/Cite&gt;&lt;/EndNote&gt;</w:instrText>
        </w:r>
        <w:r w:rsidR="00E6043D">
          <w:rPr>
            <w:szCs w:val="22"/>
          </w:rPr>
          <w:fldChar w:fldCharType="separate"/>
        </w:r>
        <w:r w:rsidR="00E6043D">
          <w:rPr>
            <w:noProof/>
            <w:szCs w:val="22"/>
          </w:rPr>
          <w:t>Udy and Dennison 1997b</w:t>
        </w:r>
        <w:r w:rsidR="00E6043D">
          <w:rPr>
            <w:szCs w:val="22"/>
          </w:rPr>
          <w:fldChar w:fldCharType="end"/>
        </w:r>
      </w:hyperlink>
      <w:r w:rsidR="003523A5">
        <w:rPr>
          <w:szCs w:val="22"/>
        </w:rPr>
        <w:t>, see also Appendix A2.3)</w:t>
      </w:r>
      <w:r w:rsidRPr="00526A6D">
        <w:rPr>
          <w:szCs w:val="22"/>
        </w:rPr>
        <w:t xml:space="preserve"> (Appendix </w:t>
      </w:r>
      <w:r w:rsidR="003763EC">
        <w:rPr>
          <w:szCs w:val="22"/>
        </w:rPr>
        <w:t>4</w:t>
      </w:r>
      <w:r w:rsidRPr="00526A6D">
        <w:rPr>
          <w:szCs w:val="22"/>
        </w:rPr>
        <w:t>).</w:t>
      </w:r>
      <w:bookmarkStart w:id="326" w:name="_Toc232845914"/>
      <w:bookmarkStart w:id="327" w:name="_Toc184101989"/>
    </w:p>
    <w:p w:rsidR="00BC4EC5" w:rsidRPr="001D05D4" w:rsidRDefault="00BC4EC5" w:rsidP="00BC4EC5">
      <w:pPr>
        <w:pStyle w:val="Heading4"/>
        <w:numPr>
          <w:ilvl w:val="0"/>
          <w:numId w:val="0"/>
        </w:numPr>
        <w:rPr>
          <w:rFonts w:ascii="Arial" w:hAnsi="Arial" w:cs="Arial"/>
          <w:sz w:val="24"/>
          <w:szCs w:val="24"/>
        </w:rPr>
      </w:pPr>
      <w:r>
        <w:rPr>
          <w:rFonts w:ascii="Arial" w:hAnsi="Arial" w:cs="Arial"/>
          <w:sz w:val="24"/>
          <w:szCs w:val="24"/>
        </w:rPr>
        <w:t>Seagrass meadow sediments</w:t>
      </w:r>
    </w:p>
    <w:p w:rsidR="00BC4EC5" w:rsidRPr="00372A66" w:rsidRDefault="00526A6D" w:rsidP="00BC4EC5">
      <w:pPr>
        <w:rPr>
          <w:color w:val="000000"/>
          <w:szCs w:val="22"/>
          <w:lang w:val="en-GB"/>
        </w:rPr>
      </w:pPr>
      <w:r>
        <w:rPr>
          <w:color w:val="000000"/>
          <w:szCs w:val="22"/>
          <w:lang w:val="en-GB"/>
        </w:rPr>
        <w:t xml:space="preserve">Coastal sediments were composed primarily of fine sand, </w:t>
      </w:r>
      <w:r w:rsidR="00E143D7">
        <w:rPr>
          <w:color w:val="000000"/>
          <w:szCs w:val="22"/>
          <w:lang w:val="en-GB"/>
        </w:rPr>
        <w:t>while reef habitats were compose</w:t>
      </w:r>
      <w:r w:rsidR="003763EC">
        <w:rPr>
          <w:color w:val="000000"/>
          <w:szCs w:val="22"/>
          <w:lang w:val="en-GB"/>
        </w:rPr>
        <w:t>d of sand and coarser sediments;</w:t>
      </w:r>
      <w:r w:rsidR="00E143D7">
        <w:rPr>
          <w:color w:val="000000"/>
          <w:szCs w:val="22"/>
          <w:lang w:val="en-GB"/>
        </w:rPr>
        <w:t xml:space="preserve"> although finer sediments have been observed on occasion during 2012 and 2013</w:t>
      </w:r>
      <w:r w:rsidR="003763EC">
        <w:rPr>
          <w:color w:val="000000"/>
          <w:szCs w:val="22"/>
          <w:lang w:val="en-GB"/>
        </w:rPr>
        <w:t xml:space="preserve"> (Appendix 4)</w:t>
      </w:r>
      <w:r w:rsidR="00E143D7">
        <w:rPr>
          <w:color w:val="000000"/>
          <w:szCs w:val="22"/>
          <w:lang w:val="en-GB"/>
        </w:rPr>
        <w:t>. In 2014-15, sediments appeared similar to the long-term and the proportion of fine sediments (i.e. mud) was well below the GBR long-term average.</w:t>
      </w:r>
    </w:p>
    <w:p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 xml:space="preserve">Epiphytes and </w:t>
      </w:r>
      <w:proofErr w:type="spellStart"/>
      <w:r w:rsidRPr="004F2236">
        <w:rPr>
          <w:rFonts w:ascii="Arial" w:hAnsi="Arial" w:cs="Arial"/>
          <w:sz w:val="24"/>
          <w:szCs w:val="24"/>
        </w:rPr>
        <w:t>macroalgae</w:t>
      </w:r>
      <w:bookmarkEnd w:id="326"/>
      <w:bookmarkEnd w:id="327"/>
      <w:proofErr w:type="spellEnd"/>
    </w:p>
    <w:p w:rsidR="00621CD4" w:rsidRPr="00F523BC" w:rsidRDefault="00621CD4" w:rsidP="00621CD4">
      <w:pPr>
        <w:rPr>
          <w:szCs w:val="22"/>
          <w:lang w:val="en-US"/>
        </w:rPr>
      </w:pPr>
      <w:r w:rsidRPr="00F523BC">
        <w:rPr>
          <w:szCs w:val="22"/>
          <w:lang w:val="en-US"/>
        </w:rPr>
        <w:t>Epiphyte cover on seagrass le</w:t>
      </w:r>
      <w:r w:rsidR="004A743E" w:rsidRPr="00F523BC">
        <w:rPr>
          <w:szCs w:val="22"/>
          <w:lang w:val="en-US"/>
        </w:rPr>
        <w:t>af blades wa</w:t>
      </w:r>
      <w:r w:rsidRPr="00F523BC">
        <w:rPr>
          <w:szCs w:val="22"/>
          <w:lang w:val="en-US"/>
        </w:rPr>
        <w:t xml:space="preserve">s generally higher in the wet season across all habitats in </w:t>
      </w:r>
      <w:r w:rsidR="001016B3" w:rsidRPr="00F523BC">
        <w:rPr>
          <w:szCs w:val="22"/>
          <w:lang w:val="en-US"/>
        </w:rPr>
        <w:t>the</w:t>
      </w:r>
      <w:r w:rsidRPr="00F523BC">
        <w:rPr>
          <w:szCs w:val="22"/>
          <w:lang w:val="en-US"/>
        </w:rPr>
        <w:t xml:space="preserve"> </w:t>
      </w:r>
      <w:r w:rsidR="00E143D7" w:rsidRPr="00F523BC">
        <w:rPr>
          <w:szCs w:val="22"/>
          <w:lang w:val="en-US"/>
        </w:rPr>
        <w:t xml:space="preserve">Wet </w:t>
      </w:r>
      <w:r w:rsidRPr="00F523BC">
        <w:rPr>
          <w:szCs w:val="22"/>
          <w:lang w:val="en-US"/>
        </w:rPr>
        <w:t>Tropics region (</w:t>
      </w:r>
      <w:r w:rsidRPr="00F523BC">
        <w:rPr>
          <w:szCs w:val="22"/>
          <w:lang w:val="en-US"/>
        </w:rPr>
        <w:fldChar w:fldCharType="begin"/>
      </w:r>
      <w:r w:rsidRPr="00F523BC">
        <w:rPr>
          <w:szCs w:val="22"/>
          <w:lang w:val="en-US"/>
        </w:rPr>
        <w:instrText xml:space="preserve"> REF _Ref380413215 \h </w:instrText>
      </w:r>
      <w:r w:rsidR="00015190" w:rsidRPr="00F523BC">
        <w:rPr>
          <w:szCs w:val="22"/>
          <w:lang w:val="en-US"/>
        </w:rPr>
        <w:instrText xml:space="preserve"> \* MERGEFORMAT </w:instrText>
      </w:r>
      <w:r w:rsidRPr="00F523BC">
        <w:rPr>
          <w:szCs w:val="22"/>
          <w:lang w:val="en-US"/>
        </w:rPr>
      </w:r>
      <w:r w:rsidRPr="00F523BC">
        <w:rPr>
          <w:szCs w:val="22"/>
          <w:lang w:val="en-US"/>
        </w:rPr>
        <w:fldChar w:fldCharType="separate"/>
      </w:r>
      <w:r w:rsidR="009C068F" w:rsidRPr="009C068F">
        <w:rPr>
          <w:szCs w:val="22"/>
        </w:rPr>
        <w:t xml:space="preserve">Figure </w:t>
      </w:r>
      <w:r w:rsidR="009C068F" w:rsidRPr="009C068F">
        <w:rPr>
          <w:noProof/>
          <w:szCs w:val="22"/>
        </w:rPr>
        <w:t>55</w:t>
      </w:r>
      <w:r w:rsidRPr="00F523BC">
        <w:rPr>
          <w:szCs w:val="22"/>
          <w:lang w:val="en-US"/>
        </w:rPr>
        <w:fldChar w:fldCharType="end"/>
      </w:r>
      <w:r w:rsidRPr="00F523BC">
        <w:rPr>
          <w:szCs w:val="22"/>
          <w:lang w:val="en-US"/>
        </w:rPr>
        <w:t xml:space="preserve">). </w:t>
      </w:r>
      <w:r w:rsidR="001016B3" w:rsidRPr="00F523BC">
        <w:rPr>
          <w:szCs w:val="22"/>
          <w:lang w:val="en-US"/>
        </w:rPr>
        <w:t xml:space="preserve">Epiphyte abundance varied across </w:t>
      </w:r>
      <w:r w:rsidR="009C69A5" w:rsidRPr="00F523BC">
        <w:rPr>
          <w:szCs w:val="22"/>
          <w:lang w:val="en-US"/>
        </w:rPr>
        <w:t xml:space="preserve">habitats and </w:t>
      </w:r>
      <w:r w:rsidR="001016B3" w:rsidRPr="00F523BC">
        <w:rPr>
          <w:szCs w:val="22"/>
          <w:lang w:val="en-US"/>
        </w:rPr>
        <w:t>locations</w:t>
      </w:r>
      <w:r w:rsidR="00B24516" w:rsidRPr="00B24516">
        <w:rPr>
          <w:szCs w:val="22"/>
          <w:lang w:val="en-US"/>
        </w:rPr>
        <w:t xml:space="preserve"> </w:t>
      </w:r>
      <w:r w:rsidR="00B24516" w:rsidRPr="00F523BC">
        <w:rPr>
          <w:szCs w:val="22"/>
          <w:lang w:val="en-US"/>
        </w:rPr>
        <w:t>in 2014-15</w:t>
      </w:r>
      <w:r w:rsidR="001016B3" w:rsidRPr="00F523BC">
        <w:rPr>
          <w:szCs w:val="22"/>
          <w:lang w:val="en-US"/>
        </w:rPr>
        <w:t xml:space="preserve">, </w:t>
      </w:r>
      <w:r w:rsidR="009C69A5" w:rsidRPr="00F523BC">
        <w:rPr>
          <w:szCs w:val="22"/>
          <w:lang w:val="en-US"/>
        </w:rPr>
        <w:t xml:space="preserve">but was much higher at </w:t>
      </w:r>
      <w:r w:rsidR="00F523BC" w:rsidRPr="00F523BC">
        <w:rPr>
          <w:szCs w:val="22"/>
          <w:lang w:val="en-US"/>
        </w:rPr>
        <w:t xml:space="preserve">reef habitats, in particular subtidal (e.g. </w:t>
      </w:r>
      <w:r w:rsidR="00E143D7" w:rsidRPr="00F523BC">
        <w:rPr>
          <w:szCs w:val="22"/>
          <w:lang w:val="en-US"/>
        </w:rPr>
        <w:t>Green Island</w:t>
      </w:r>
      <w:r w:rsidR="009C69A5" w:rsidRPr="00F523BC">
        <w:rPr>
          <w:szCs w:val="22"/>
          <w:lang w:val="en-US"/>
        </w:rPr>
        <w:t xml:space="preserve"> and </w:t>
      </w:r>
      <w:r w:rsidR="00F523BC" w:rsidRPr="00F523BC">
        <w:rPr>
          <w:szCs w:val="22"/>
          <w:lang w:val="en-US"/>
        </w:rPr>
        <w:t>Dunk Island)</w:t>
      </w:r>
      <w:r w:rsidR="00F80777" w:rsidRPr="00F523BC">
        <w:rPr>
          <w:szCs w:val="22"/>
          <w:lang w:val="en-US"/>
        </w:rPr>
        <w:t xml:space="preserve"> (Appendix 2, </w:t>
      </w:r>
      <w:r w:rsidR="00F80777" w:rsidRPr="00F523BC">
        <w:rPr>
          <w:szCs w:val="22"/>
          <w:lang w:val="en-US"/>
        </w:rPr>
        <w:fldChar w:fldCharType="begin"/>
      </w:r>
      <w:r w:rsidR="00F80777" w:rsidRPr="00F523BC">
        <w:rPr>
          <w:szCs w:val="22"/>
          <w:lang w:val="en-US"/>
        </w:rPr>
        <w:instrText xml:space="preserve"> REF _Ref211846521 \h  \* MERGEFORMAT </w:instrText>
      </w:r>
      <w:r w:rsidR="00F80777" w:rsidRPr="00F523BC">
        <w:rPr>
          <w:szCs w:val="22"/>
          <w:lang w:val="en-US"/>
        </w:rPr>
      </w:r>
      <w:r w:rsidR="00F80777" w:rsidRPr="00F523BC">
        <w:rPr>
          <w:szCs w:val="22"/>
          <w:lang w:val="en-US"/>
        </w:rPr>
        <w:fldChar w:fldCharType="separate"/>
      </w:r>
      <w:r w:rsidR="009C068F" w:rsidRPr="009C068F">
        <w:rPr>
          <w:szCs w:val="22"/>
        </w:rPr>
        <w:t xml:space="preserve">Figure </w:t>
      </w:r>
      <w:r w:rsidR="009C068F" w:rsidRPr="009C068F">
        <w:rPr>
          <w:noProof/>
          <w:szCs w:val="22"/>
        </w:rPr>
        <w:t>202</w:t>
      </w:r>
      <w:r w:rsidR="00F80777" w:rsidRPr="00F523BC">
        <w:rPr>
          <w:szCs w:val="22"/>
          <w:lang w:val="en-US"/>
        </w:rPr>
        <w:fldChar w:fldCharType="end"/>
      </w:r>
      <w:r w:rsidR="00F80777" w:rsidRPr="00F523BC">
        <w:rPr>
          <w:szCs w:val="22"/>
          <w:lang w:val="en-US"/>
        </w:rPr>
        <w:t xml:space="preserve">, </w:t>
      </w:r>
      <w:r w:rsidR="00F80777" w:rsidRPr="00F523BC">
        <w:rPr>
          <w:szCs w:val="22"/>
          <w:lang w:val="en-US"/>
        </w:rPr>
        <w:fldChar w:fldCharType="begin"/>
      </w:r>
      <w:r w:rsidR="00F80777" w:rsidRPr="00F523BC">
        <w:rPr>
          <w:szCs w:val="22"/>
          <w:lang w:val="en-US"/>
        </w:rPr>
        <w:instrText xml:space="preserve"> REF _Ref211846231 \h  \* MERGEFORMAT </w:instrText>
      </w:r>
      <w:r w:rsidR="00F80777" w:rsidRPr="00F523BC">
        <w:rPr>
          <w:szCs w:val="22"/>
          <w:lang w:val="en-US"/>
        </w:rPr>
      </w:r>
      <w:r w:rsidR="00F80777" w:rsidRPr="00F523BC">
        <w:rPr>
          <w:szCs w:val="22"/>
          <w:lang w:val="en-US"/>
        </w:rPr>
        <w:fldChar w:fldCharType="separate"/>
      </w:r>
      <w:r w:rsidR="009C068F" w:rsidRPr="009C068F">
        <w:rPr>
          <w:szCs w:val="22"/>
        </w:rPr>
        <w:t xml:space="preserve">Figure </w:t>
      </w:r>
      <w:r w:rsidR="009C068F" w:rsidRPr="009C068F">
        <w:rPr>
          <w:noProof/>
          <w:szCs w:val="22"/>
        </w:rPr>
        <w:t>203</w:t>
      </w:r>
      <w:r w:rsidR="00F80777" w:rsidRPr="00F523BC">
        <w:rPr>
          <w:szCs w:val="22"/>
          <w:lang w:val="en-US"/>
        </w:rPr>
        <w:fldChar w:fldCharType="end"/>
      </w:r>
      <w:r w:rsidR="00F80777" w:rsidRPr="00F523BC">
        <w:rPr>
          <w:szCs w:val="22"/>
          <w:lang w:val="en-US"/>
        </w:rPr>
        <w:t>,</w:t>
      </w:r>
      <w:r w:rsidR="00853091">
        <w:rPr>
          <w:szCs w:val="22"/>
          <w:lang w:val="en-US"/>
        </w:rPr>
        <w:t xml:space="preserve"> </w:t>
      </w:r>
      <w:r w:rsidR="00F80777" w:rsidRPr="00F523BC">
        <w:rPr>
          <w:szCs w:val="22"/>
          <w:lang w:val="en-US"/>
        </w:rPr>
        <w:fldChar w:fldCharType="begin"/>
      </w:r>
      <w:r w:rsidR="00F80777" w:rsidRPr="00F523BC">
        <w:rPr>
          <w:szCs w:val="22"/>
          <w:lang w:val="en-US"/>
        </w:rPr>
        <w:instrText xml:space="preserve"> REF _Ref410233525 \h </w:instrText>
      </w:r>
      <w:r w:rsidR="00F80777" w:rsidRPr="00F523BC">
        <w:rPr>
          <w:szCs w:val="22"/>
          <w:lang w:val="en-US"/>
        </w:rPr>
      </w:r>
      <w:r w:rsidR="00F80777" w:rsidRPr="00F523BC">
        <w:rPr>
          <w:szCs w:val="22"/>
          <w:lang w:val="en-US"/>
        </w:rPr>
        <w:fldChar w:fldCharType="separate"/>
      </w:r>
      <w:proofErr w:type="gramStart"/>
      <w:r w:rsidR="009C068F" w:rsidRPr="00642F1C">
        <w:t>Figure</w:t>
      </w:r>
      <w:proofErr w:type="gramEnd"/>
      <w:r w:rsidR="009C068F" w:rsidRPr="00642F1C">
        <w:t xml:space="preserve"> </w:t>
      </w:r>
      <w:r w:rsidR="009C068F">
        <w:rPr>
          <w:noProof/>
        </w:rPr>
        <w:t>204</w:t>
      </w:r>
      <w:r w:rsidR="00F80777" w:rsidRPr="00F523BC">
        <w:rPr>
          <w:szCs w:val="22"/>
          <w:lang w:val="en-US"/>
        </w:rPr>
        <w:fldChar w:fldCharType="end"/>
      </w:r>
      <w:r w:rsidR="00F523BC" w:rsidRPr="00F523BC">
        <w:rPr>
          <w:szCs w:val="22"/>
          <w:lang w:val="en-US"/>
        </w:rPr>
        <w:t xml:space="preserve">). </w:t>
      </w:r>
      <w:r w:rsidR="009C69A5" w:rsidRPr="00F523BC">
        <w:rPr>
          <w:szCs w:val="22"/>
          <w:lang w:val="en-US"/>
        </w:rPr>
        <w:t xml:space="preserve">With the exception of </w:t>
      </w:r>
      <w:r w:rsidR="00F523BC" w:rsidRPr="00F523BC">
        <w:rPr>
          <w:szCs w:val="22"/>
          <w:lang w:val="en-US"/>
        </w:rPr>
        <w:t xml:space="preserve">Low Isles and </w:t>
      </w:r>
      <w:r w:rsidR="009C69A5" w:rsidRPr="00F523BC">
        <w:rPr>
          <w:szCs w:val="22"/>
          <w:lang w:val="en-US"/>
        </w:rPr>
        <w:t>the subtidal habitats, p</w:t>
      </w:r>
      <w:r w:rsidRPr="00F523BC">
        <w:rPr>
          <w:szCs w:val="22"/>
          <w:lang w:val="en-US"/>
        </w:rPr>
        <w:t xml:space="preserve">ercentage cover of </w:t>
      </w:r>
      <w:proofErr w:type="spellStart"/>
      <w:r w:rsidRPr="00F523BC">
        <w:rPr>
          <w:szCs w:val="22"/>
          <w:lang w:val="en-US"/>
        </w:rPr>
        <w:t>macroalgae</w:t>
      </w:r>
      <w:proofErr w:type="spellEnd"/>
      <w:r w:rsidRPr="00F523BC">
        <w:rPr>
          <w:szCs w:val="22"/>
          <w:lang w:val="en-US"/>
        </w:rPr>
        <w:t xml:space="preserve"> </w:t>
      </w:r>
      <w:r w:rsidR="00F523BC" w:rsidRPr="00F523BC">
        <w:rPr>
          <w:szCs w:val="22"/>
          <w:lang w:val="en-US"/>
        </w:rPr>
        <w:t xml:space="preserve">generally </w:t>
      </w:r>
      <w:r w:rsidRPr="00F523BC">
        <w:rPr>
          <w:szCs w:val="22"/>
          <w:lang w:val="en-US"/>
        </w:rPr>
        <w:t>remained stable between years across both coastal and reef intertidal habitats, either below or at the GBR average (</w:t>
      </w:r>
      <w:r w:rsidRPr="00F523BC">
        <w:rPr>
          <w:szCs w:val="22"/>
          <w:lang w:val="en-US"/>
        </w:rPr>
        <w:fldChar w:fldCharType="begin"/>
      </w:r>
      <w:r w:rsidRPr="00F523BC">
        <w:rPr>
          <w:szCs w:val="22"/>
          <w:lang w:val="en-US"/>
        </w:rPr>
        <w:instrText xml:space="preserve"> REF _Ref380413215 \h </w:instrText>
      </w:r>
      <w:r w:rsidR="00015190" w:rsidRPr="00F523BC">
        <w:rPr>
          <w:szCs w:val="22"/>
          <w:lang w:val="en-US"/>
        </w:rPr>
        <w:instrText xml:space="preserve"> \* MERGEFORMAT </w:instrText>
      </w:r>
      <w:r w:rsidRPr="00F523BC">
        <w:rPr>
          <w:szCs w:val="22"/>
          <w:lang w:val="en-US"/>
        </w:rPr>
      </w:r>
      <w:r w:rsidRPr="00F523BC">
        <w:rPr>
          <w:szCs w:val="22"/>
          <w:lang w:val="en-US"/>
        </w:rPr>
        <w:fldChar w:fldCharType="separate"/>
      </w:r>
      <w:r w:rsidR="009C068F" w:rsidRPr="009C068F">
        <w:rPr>
          <w:szCs w:val="22"/>
        </w:rPr>
        <w:t xml:space="preserve">Figure </w:t>
      </w:r>
      <w:r w:rsidR="009C068F" w:rsidRPr="009C068F">
        <w:rPr>
          <w:noProof/>
          <w:szCs w:val="22"/>
        </w:rPr>
        <w:t>55</w:t>
      </w:r>
      <w:r w:rsidRPr="00F523BC">
        <w:rPr>
          <w:szCs w:val="22"/>
          <w:lang w:val="en-US"/>
        </w:rPr>
        <w:fldChar w:fldCharType="end"/>
      </w:r>
      <w:r w:rsidR="00EA2B11" w:rsidRPr="00F523BC">
        <w:rPr>
          <w:szCs w:val="22"/>
          <w:lang w:val="en-US"/>
        </w:rPr>
        <w:t xml:space="preserve">; Appendix </w:t>
      </w:r>
      <w:r w:rsidR="002707CB" w:rsidRPr="00F523BC">
        <w:rPr>
          <w:szCs w:val="22"/>
          <w:lang w:val="en-US"/>
        </w:rPr>
        <w:t>2</w:t>
      </w:r>
      <w:r w:rsidR="00EA2B11" w:rsidRPr="00F523BC">
        <w:rPr>
          <w:szCs w:val="22"/>
          <w:lang w:val="en-US"/>
        </w:rPr>
        <w:t xml:space="preserve">, </w:t>
      </w:r>
      <w:r w:rsidR="00EA2B11" w:rsidRPr="00F523BC">
        <w:rPr>
          <w:szCs w:val="22"/>
          <w:highlight w:val="yellow"/>
          <w:lang w:val="en-US"/>
        </w:rPr>
        <w:fldChar w:fldCharType="begin"/>
      </w:r>
      <w:r w:rsidR="00EA2B11" w:rsidRPr="00F523BC">
        <w:rPr>
          <w:szCs w:val="22"/>
          <w:lang w:val="en-US"/>
        </w:rPr>
        <w:instrText xml:space="preserve"> REF _Ref211846521 \h </w:instrText>
      </w:r>
      <w:r w:rsidR="00015190" w:rsidRPr="00F523BC">
        <w:rPr>
          <w:szCs w:val="22"/>
          <w:highlight w:val="yellow"/>
          <w:lang w:val="en-US"/>
        </w:rPr>
        <w:instrText xml:space="preserve"> \* MERGEFORMAT </w:instrText>
      </w:r>
      <w:r w:rsidR="00EA2B11" w:rsidRPr="00F523BC">
        <w:rPr>
          <w:szCs w:val="22"/>
          <w:highlight w:val="yellow"/>
          <w:lang w:val="en-US"/>
        </w:rPr>
      </w:r>
      <w:r w:rsidR="00EA2B11" w:rsidRPr="00F523BC">
        <w:rPr>
          <w:szCs w:val="22"/>
          <w:highlight w:val="yellow"/>
          <w:lang w:val="en-US"/>
        </w:rPr>
        <w:fldChar w:fldCharType="separate"/>
      </w:r>
      <w:r w:rsidR="009C068F" w:rsidRPr="009C068F">
        <w:rPr>
          <w:szCs w:val="22"/>
        </w:rPr>
        <w:t xml:space="preserve">Figure </w:t>
      </w:r>
      <w:r w:rsidR="009C068F" w:rsidRPr="009C068F">
        <w:rPr>
          <w:noProof/>
          <w:szCs w:val="22"/>
        </w:rPr>
        <w:t>202</w:t>
      </w:r>
      <w:r w:rsidR="00EA2B11" w:rsidRPr="00F523BC">
        <w:rPr>
          <w:szCs w:val="22"/>
          <w:highlight w:val="yellow"/>
          <w:lang w:val="en-US"/>
        </w:rPr>
        <w:fldChar w:fldCharType="end"/>
      </w:r>
      <w:r w:rsidR="00EA2B11" w:rsidRPr="00F523BC">
        <w:rPr>
          <w:szCs w:val="22"/>
          <w:lang w:val="en-US"/>
        </w:rPr>
        <w:t>,</w:t>
      </w:r>
      <w:r w:rsidR="00EA2B11" w:rsidRPr="00F523BC">
        <w:rPr>
          <w:szCs w:val="22"/>
          <w:highlight w:val="yellow"/>
          <w:lang w:val="en-US"/>
        </w:rPr>
        <w:fldChar w:fldCharType="begin"/>
      </w:r>
      <w:r w:rsidR="00EA2B11" w:rsidRPr="00F523BC">
        <w:rPr>
          <w:szCs w:val="22"/>
          <w:lang w:val="en-US"/>
        </w:rPr>
        <w:instrText xml:space="preserve"> REF _Ref211846231 \h </w:instrText>
      </w:r>
      <w:r w:rsidR="00015190" w:rsidRPr="00F523BC">
        <w:rPr>
          <w:szCs w:val="22"/>
          <w:highlight w:val="yellow"/>
          <w:lang w:val="en-US"/>
        </w:rPr>
        <w:instrText xml:space="preserve"> \* MERGEFORMAT </w:instrText>
      </w:r>
      <w:r w:rsidR="00EA2B11" w:rsidRPr="00F523BC">
        <w:rPr>
          <w:szCs w:val="22"/>
          <w:highlight w:val="yellow"/>
          <w:lang w:val="en-US"/>
        </w:rPr>
      </w:r>
      <w:r w:rsidR="00EA2B11" w:rsidRPr="00F523BC">
        <w:rPr>
          <w:szCs w:val="22"/>
          <w:highlight w:val="yellow"/>
          <w:lang w:val="en-US"/>
        </w:rPr>
        <w:fldChar w:fldCharType="separate"/>
      </w:r>
      <w:r w:rsidR="009C068F" w:rsidRPr="009C068F">
        <w:rPr>
          <w:szCs w:val="22"/>
        </w:rPr>
        <w:t xml:space="preserve">Figure </w:t>
      </w:r>
      <w:r w:rsidR="009C068F" w:rsidRPr="009C068F">
        <w:rPr>
          <w:noProof/>
          <w:szCs w:val="22"/>
        </w:rPr>
        <w:t>203</w:t>
      </w:r>
      <w:r w:rsidR="00EA2B11" w:rsidRPr="00F523BC">
        <w:rPr>
          <w:szCs w:val="22"/>
          <w:highlight w:val="yellow"/>
          <w:lang w:val="en-US"/>
        </w:rPr>
        <w:fldChar w:fldCharType="end"/>
      </w:r>
      <w:r w:rsidRPr="00F523BC">
        <w:rPr>
          <w:szCs w:val="22"/>
          <w:lang w:val="en-US"/>
        </w:rPr>
        <w:t xml:space="preserve">). </w:t>
      </w:r>
      <w:r w:rsidR="00F523BC" w:rsidRPr="00F523BC">
        <w:rPr>
          <w:szCs w:val="22"/>
          <w:lang w:val="en-US"/>
        </w:rPr>
        <w:t xml:space="preserve">At Low Isles, however, </w:t>
      </w:r>
      <w:proofErr w:type="spellStart"/>
      <w:r w:rsidR="00F523BC" w:rsidRPr="00F523BC">
        <w:rPr>
          <w:szCs w:val="22"/>
          <w:lang w:val="en-US"/>
        </w:rPr>
        <w:t>m</w:t>
      </w:r>
      <w:r w:rsidR="002707CB" w:rsidRPr="00F523BC">
        <w:rPr>
          <w:szCs w:val="22"/>
          <w:lang w:val="en-US"/>
        </w:rPr>
        <w:t>acroalgae</w:t>
      </w:r>
      <w:proofErr w:type="spellEnd"/>
      <w:r w:rsidR="002707CB" w:rsidRPr="00F523BC">
        <w:rPr>
          <w:szCs w:val="22"/>
          <w:lang w:val="en-US"/>
        </w:rPr>
        <w:t xml:space="preserve"> </w:t>
      </w:r>
      <w:r w:rsidR="00F523BC" w:rsidRPr="00F523BC">
        <w:rPr>
          <w:szCs w:val="22"/>
          <w:lang w:val="en-US"/>
        </w:rPr>
        <w:t xml:space="preserve">abundances have continued to increase and </w:t>
      </w:r>
      <w:r w:rsidR="002707CB" w:rsidRPr="00F523BC">
        <w:rPr>
          <w:szCs w:val="22"/>
          <w:lang w:val="en-US"/>
        </w:rPr>
        <w:t xml:space="preserve">abundances increased above the GBR average </w:t>
      </w:r>
      <w:r w:rsidR="00F523BC" w:rsidRPr="00F523BC">
        <w:rPr>
          <w:szCs w:val="22"/>
          <w:lang w:val="en-US"/>
        </w:rPr>
        <w:t>across all</w:t>
      </w:r>
      <w:r w:rsidR="002707CB" w:rsidRPr="00F523BC">
        <w:rPr>
          <w:szCs w:val="22"/>
          <w:lang w:val="en-US"/>
        </w:rPr>
        <w:t xml:space="preserve"> subtidal habitats ov</w:t>
      </w:r>
      <w:r w:rsidR="00F523BC" w:rsidRPr="00F523BC">
        <w:rPr>
          <w:szCs w:val="22"/>
          <w:lang w:val="en-US"/>
        </w:rPr>
        <w:t>er the 2014</w:t>
      </w:r>
      <w:r w:rsidR="002707CB" w:rsidRPr="00F523BC">
        <w:rPr>
          <w:szCs w:val="22"/>
          <w:lang w:val="en-US"/>
        </w:rPr>
        <w:t>-1</w:t>
      </w:r>
      <w:r w:rsidR="00F523BC" w:rsidRPr="00F523BC">
        <w:rPr>
          <w:szCs w:val="22"/>
          <w:lang w:val="en-US"/>
        </w:rPr>
        <w:t>5</w:t>
      </w:r>
      <w:r w:rsidR="002707CB" w:rsidRPr="00F523BC">
        <w:rPr>
          <w:szCs w:val="22"/>
          <w:lang w:val="en-US"/>
        </w:rPr>
        <w:t xml:space="preserve"> </w:t>
      </w:r>
      <w:proofErr w:type="gramStart"/>
      <w:r w:rsidR="002707CB" w:rsidRPr="00F523BC">
        <w:rPr>
          <w:szCs w:val="22"/>
          <w:lang w:val="en-US"/>
        </w:rPr>
        <w:t>period</w:t>
      </w:r>
      <w:proofErr w:type="gramEnd"/>
      <w:r w:rsidR="002707CB" w:rsidRPr="00F523BC">
        <w:rPr>
          <w:szCs w:val="22"/>
          <w:lang w:val="en-US"/>
        </w:rPr>
        <w:t xml:space="preserve"> (</w:t>
      </w:r>
      <w:r w:rsidR="002707CB" w:rsidRPr="00F523BC">
        <w:rPr>
          <w:szCs w:val="22"/>
          <w:lang w:val="en-US"/>
        </w:rPr>
        <w:fldChar w:fldCharType="begin"/>
      </w:r>
      <w:r w:rsidR="002707CB" w:rsidRPr="00F523BC">
        <w:rPr>
          <w:szCs w:val="22"/>
          <w:lang w:val="en-US"/>
        </w:rPr>
        <w:instrText xml:space="preserve"> REF _Ref380413215 \h  \* MERGEFORMAT </w:instrText>
      </w:r>
      <w:r w:rsidR="002707CB" w:rsidRPr="00F523BC">
        <w:rPr>
          <w:szCs w:val="22"/>
          <w:lang w:val="en-US"/>
        </w:rPr>
      </w:r>
      <w:r w:rsidR="002707CB" w:rsidRPr="00F523BC">
        <w:rPr>
          <w:szCs w:val="22"/>
          <w:lang w:val="en-US"/>
        </w:rPr>
        <w:fldChar w:fldCharType="separate"/>
      </w:r>
      <w:r w:rsidR="009C068F" w:rsidRPr="009C068F">
        <w:rPr>
          <w:szCs w:val="22"/>
        </w:rPr>
        <w:t xml:space="preserve">Figure </w:t>
      </w:r>
      <w:r w:rsidR="009C068F" w:rsidRPr="009C068F">
        <w:rPr>
          <w:noProof/>
          <w:szCs w:val="22"/>
        </w:rPr>
        <w:t>55</w:t>
      </w:r>
      <w:r w:rsidR="002707CB" w:rsidRPr="00F523BC">
        <w:rPr>
          <w:szCs w:val="22"/>
          <w:lang w:val="en-US"/>
        </w:rPr>
        <w:fldChar w:fldCharType="end"/>
      </w:r>
      <w:r w:rsidR="002707CB" w:rsidRPr="00F523BC">
        <w:rPr>
          <w:szCs w:val="22"/>
          <w:lang w:val="en-US"/>
        </w:rPr>
        <w:t>; Appendix 2,</w:t>
      </w:r>
      <w:r w:rsidR="00F80777" w:rsidRPr="00F523BC">
        <w:rPr>
          <w:szCs w:val="22"/>
          <w:lang w:val="en-US"/>
        </w:rPr>
        <w:t xml:space="preserve"> </w:t>
      </w:r>
      <w:r w:rsidR="00F80777" w:rsidRPr="00F523BC">
        <w:rPr>
          <w:szCs w:val="22"/>
          <w:lang w:val="en-US"/>
        </w:rPr>
        <w:fldChar w:fldCharType="begin"/>
      </w:r>
      <w:r w:rsidR="00F80777" w:rsidRPr="00F523BC">
        <w:rPr>
          <w:szCs w:val="22"/>
          <w:lang w:val="en-US"/>
        </w:rPr>
        <w:instrText xml:space="preserve"> REF _Ref410233525 \h </w:instrText>
      </w:r>
      <w:r w:rsidR="00F80777" w:rsidRPr="00F523BC">
        <w:rPr>
          <w:szCs w:val="22"/>
          <w:lang w:val="en-US"/>
        </w:rPr>
      </w:r>
      <w:r w:rsidR="00F80777" w:rsidRPr="00F523BC">
        <w:rPr>
          <w:szCs w:val="22"/>
          <w:lang w:val="en-US"/>
        </w:rPr>
        <w:fldChar w:fldCharType="separate"/>
      </w:r>
      <w:r w:rsidR="009C068F" w:rsidRPr="00642F1C">
        <w:t xml:space="preserve">Figure </w:t>
      </w:r>
      <w:r w:rsidR="009C068F">
        <w:rPr>
          <w:noProof/>
        </w:rPr>
        <w:t>204</w:t>
      </w:r>
      <w:r w:rsidR="00F80777" w:rsidRPr="00F523BC">
        <w:rPr>
          <w:szCs w:val="22"/>
          <w:lang w:val="en-US"/>
        </w:rPr>
        <w:fldChar w:fldCharType="end"/>
      </w:r>
      <w:r w:rsidR="002707CB" w:rsidRPr="00F523BC">
        <w:rPr>
          <w:szCs w:val="22"/>
          <w:lang w:val="en-US"/>
        </w:rPr>
        <w:t>).</w:t>
      </w:r>
    </w:p>
    <w:p w:rsidR="00DF06E4" w:rsidRPr="004C0582" w:rsidRDefault="0050510D" w:rsidP="006307D2">
      <w:pPr>
        <w:keepNext/>
        <w:spacing w:after="0"/>
        <w:rPr>
          <w:color w:val="000000"/>
          <w:szCs w:val="22"/>
          <w:lang w:val="en-GB"/>
        </w:rPr>
      </w:pPr>
      <w:r>
        <w:rPr>
          <w:noProof/>
          <w:color w:val="000000"/>
          <w:szCs w:val="22"/>
          <w:lang w:eastAsia="en-AU"/>
        </w:rPr>
        <w:lastRenderedPageBreak/>
        <w:drawing>
          <wp:inline distT="0" distB="0" distL="0" distR="0" wp14:anchorId="425B93A3" wp14:editId="4E3BA044">
            <wp:extent cx="5759450" cy="3093720"/>
            <wp:effectExtent l="0" t="0" r="0" b="0"/>
            <wp:docPr id="48" name="Picture 48" descr="Set of six scatter plots with straight lines and markers showing long-term trend in mean epiphyte and macroalgae abundance (% cover) at each inshore seagrass habitats in the Wet Tropics NRM region, relative to the long-term average for each inshore GBR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WT_epi_algae_change_2015.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759450" cy="3093720"/>
                    </a:xfrm>
                    <a:prstGeom prst="rect">
                      <a:avLst/>
                    </a:prstGeom>
                  </pic:spPr>
                </pic:pic>
              </a:graphicData>
            </a:graphic>
          </wp:inline>
        </w:drawing>
      </w:r>
    </w:p>
    <w:p w:rsidR="00CC60D9" w:rsidRPr="004C0582" w:rsidRDefault="006307D2" w:rsidP="00CC60D9">
      <w:pPr>
        <w:rPr>
          <w:i/>
          <w:vanish/>
          <w:color w:val="000000"/>
          <w:szCs w:val="22"/>
          <w:specVanish/>
        </w:rPr>
      </w:pPr>
      <w:bookmarkStart w:id="328" w:name="_Ref380413215"/>
      <w:bookmarkStart w:id="329" w:name="_Toc431493848"/>
      <w:bookmarkStart w:id="330" w:name="_Toc462684895"/>
      <w:r w:rsidRPr="004C058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55</w:t>
      </w:r>
      <w:r w:rsidR="0073595B">
        <w:rPr>
          <w:color w:val="000000"/>
          <w:szCs w:val="22"/>
        </w:rPr>
        <w:fldChar w:fldCharType="end"/>
      </w:r>
      <w:bookmarkEnd w:id="328"/>
      <w:r w:rsidRPr="004C0582">
        <w:rPr>
          <w:color w:val="000000"/>
          <w:szCs w:val="22"/>
        </w:rPr>
        <w:t xml:space="preserve">. </w:t>
      </w:r>
      <w:r w:rsidRPr="004C0582">
        <w:rPr>
          <w:i/>
          <w:color w:val="000000"/>
          <w:szCs w:val="22"/>
        </w:rPr>
        <w:t xml:space="preserve">Long-term trend in mean epiphyte and </w:t>
      </w:r>
      <w:proofErr w:type="spellStart"/>
      <w:r w:rsidRPr="004C0582">
        <w:rPr>
          <w:i/>
          <w:color w:val="000000"/>
          <w:szCs w:val="22"/>
        </w:rPr>
        <w:t>macroalgae</w:t>
      </w:r>
      <w:proofErr w:type="spellEnd"/>
      <w:r w:rsidRPr="004C0582">
        <w:rPr>
          <w:i/>
          <w:color w:val="000000"/>
          <w:szCs w:val="22"/>
        </w:rPr>
        <w:t xml:space="preserve"> abundance (% cover) relative to the long-term average for each </w:t>
      </w:r>
      <w:r w:rsidR="00CC60D9" w:rsidRPr="004C0582">
        <w:rPr>
          <w:i/>
          <w:color w:val="000000"/>
          <w:szCs w:val="22"/>
        </w:rPr>
        <w:t xml:space="preserve">inshore </w:t>
      </w:r>
      <w:r w:rsidRPr="004C0582">
        <w:rPr>
          <w:i/>
          <w:color w:val="000000"/>
          <w:szCs w:val="22"/>
        </w:rPr>
        <w:t>seagrass habitat</w:t>
      </w:r>
      <w:r w:rsidR="00CC60D9" w:rsidRPr="004C0582">
        <w:rPr>
          <w:i/>
          <w:color w:val="000000"/>
          <w:szCs w:val="22"/>
        </w:rPr>
        <w:t xml:space="preserve"> in the Wet Tropics region, 2001 - 201</w:t>
      </w:r>
      <w:r w:rsidR="000C1447">
        <w:rPr>
          <w:i/>
          <w:color w:val="000000"/>
          <w:szCs w:val="22"/>
        </w:rPr>
        <w:t>4</w:t>
      </w:r>
      <w:bookmarkEnd w:id="329"/>
      <w:bookmarkEnd w:id="330"/>
      <w:r w:rsidRPr="004C0582">
        <w:rPr>
          <w:i/>
          <w:color w:val="000000"/>
          <w:szCs w:val="22"/>
        </w:rPr>
        <w:t xml:space="preserve"> </w:t>
      </w:r>
    </w:p>
    <w:p w:rsidR="00CC60D9" w:rsidRDefault="00CC60D9" w:rsidP="00CC60D9">
      <w:pPr>
        <w:rPr>
          <w:i/>
          <w:color w:val="000000"/>
          <w:szCs w:val="22"/>
        </w:rPr>
      </w:pPr>
      <w:r w:rsidRPr="004C0582">
        <w:rPr>
          <w:i/>
          <w:color w:val="000000"/>
          <w:szCs w:val="22"/>
        </w:rPr>
        <w:t xml:space="preserve"> </w:t>
      </w:r>
      <w:r w:rsidR="006307D2" w:rsidRPr="004C0582">
        <w:rPr>
          <w:i/>
          <w:color w:val="000000"/>
          <w:szCs w:val="22"/>
        </w:rPr>
        <w:t xml:space="preserve">(sites pooled, ±SE). </w:t>
      </w:r>
    </w:p>
    <w:p w:rsidR="00BC6384" w:rsidRDefault="00BC6384" w:rsidP="00BC6384">
      <w:pPr>
        <w:rPr>
          <w:color w:val="000000"/>
          <w:lang w:val="en-GB"/>
        </w:rPr>
      </w:pPr>
    </w:p>
    <w:p w:rsidR="00BC6384" w:rsidRPr="00BD0604" w:rsidRDefault="00BC6384" w:rsidP="00926892">
      <w:pPr>
        <w:pStyle w:val="Heading3"/>
        <w:numPr>
          <w:ilvl w:val="2"/>
          <w:numId w:val="9"/>
        </w:numPr>
        <w:rPr>
          <w:rFonts w:ascii="Arial" w:hAnsi="Arial" w:cs="Arial"/>
          <w:color w:val="000000"/>
        </w:rPr>
      </w:pPr>
      <w:bookmarkStart w:id="331" w:name="_Toc462047347"/>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331"/>
      <w:r w:rsidRPr="000C1668">
        <w:rPr>
          <w:rFonts w:ascii="Arial" w:hAnsi="Arial" w:cs="Arial"/>
          <w:color w:val="000000"/>
        </w:rPr>
        <w:t xml:space="preserve"> </w:t>
      </w:r>
    </w:p>
    <w:p w:rsidR="00BC6384" w:rsidRDefault="00BC6384" w:rsidP="00BC6384">
      <w:pPr>
        <w:rPr>
          <w:color w:val="000000"/>
          <w:lang w:val="en-GB"/>
        </w:rPr>
      </w:pPr>
      <w:r>
        <w:rPr>
          <w:color w:val="000000"/>
          <w:lang w:val="en-GB"/>
        </w:rPr>
        <w:t xml:space="preserve">In the 2014-15 monitoring period, the seagrass index for </w:t>
      </w:r>
      <w:r w:rsidR="00E43A54">
        <w:rPr>
          <w:color w:val="000000"/>
          <w:lang w:val="en-GB"/>
        </w:rPr>
        <w:t>the Wet Tropics</w:t>
      </w:r>
      <w:r>
        <w:rPr>
          <w:color w:val="000000"/>
          <w:lang w:val="en-GB"/>
        </w:rPr>
        <w:t xml:space="preserve"> region </w:t>
      </w:r>
      <w:r w:rsidR="00E43A54">
        <w:rPr>
          <w:color w:val="000000"/>
          <w:lang w:val="en-GB"/>
        </w:rPr>
        <w:t>increased relative</w:t>
      </w:r>
      <w:r>
        <w:rPr>
          <w:color w:val="000000"/>
          <w:lang w:val="en-GB"/>
        </w:rPr>
        <w:t xml:space="preserve"> similar to the previous period</w:t>
      </w:r>
      <w:r w:rsidR="00E43A54">
        <w:rPr>
          <w:color w:val="000000"/>
          <w:lang w:val="en-GB"/>
        </w:rPr>
        <w:t xml:space="preserve"> (</w:t>
      </w:r>
      <w:r w:rsidR="003763EC">
        <w:rPr>
          <w:color w:val="000000"/>
          <w:highlight w:val="yellow"/>
          <w:lang w:val="en-GB"/>
        </w:rPr>
        <w:fldChar w:fldCharType="begin"/>
      </w:r>
      <w:r w:rsidR="003763EC">
        <w:rPr>
          <w:color w:val="000000"/>
          <w:lang w:val="en-GB"/>
        </w:rPr>
        <w:instrText xml:space="preserve"> REF _Ref442440778 \h </w:instrText>
      </w:r>
      <w:r w:rsidR="003763EC">
        <w:rPr>
          <w:color w:val="000000"/>
          <w:highlight w:val="yellow"/>
          <w:lang w:val="en-GB"/>
        </w:rPr>
      </w:r>
      <w:r w:rsidR="003763EC">
        <w:rPr>
          <w:color w:val="000000"/>
          <w:highlight w:val="yellow"/>
          <w:lang w:val="en-GB"/>
        </w:rPr>
        <w:fldChar w:fldCharType="separate"/>
      </w:r>
      <w:r w:rsidR="009C068F">
        <w:t xml:space="preserve">Table </w:t>
      </w:r>
      <w:r w:rsidR="009C068F">
        <w:rPr>
          <w:noProof/>
        </w:rPr>
        <w:t>17</w:t>
      </w:r>
      <w:r w:rsidR="003763EC">
        <w:rPr>
          <w:color w:val="000000"/>
          <w:highlight w:val="yellow"/>
          <w:lang w:val="en-GB"/>
        </w:rPr>
        <w:fldChar w:fldCharType="end"/>
      </w:r>
      <w:r w:rsidR="00E43A54">
        <w:rPr>
          <w:color w:val="000000"/>
          <w:lang w:val="en-GB"/>
        </w:rPr>
        <w:t>)</w:t>
      </w:r>
      <w:r>
        <w:rPr>
          <w:color w:val="000000"/>
          <w:lang w:val="en-GB"/>
        </w:rPr>
        <w:t xml:space="preserve">. The </w:t>
      </w:r>
      <w:r w:rsidR="00E43A54">
        <w:rPr>
          <w:color w:val="000000"/>
          <w:lang w:val="en-GB"/>
        </w:rPr>
        <w:t>increase</w:t>
      </w:r>
      <w:r>
        <w:rPr>
          <w:color w:val="000000"/>
          <w:lang w:val="en-GB"/>
        </w:rPr>
        <w:t xml:space="preserve"> appears a consequence of improved reproductive effort </w:t>
      </w:r>
      <w:r w:rsidR="00E43A54">
        <w:rPr>
          <w:color w:val="000000"/>
          <w:lang w:val="en-GB"/>
        </w:rPr>
        <w:t xml:space="preserve">and leaf tissue content </w:t>
      </w:r>
      <w:r>
        <w:rPr>
          <w:color w:val="000000"/>
          <w:lang w:val="en-GB"/>
        </w:rPr>
        <w:t xml:space="preserve">in </w:t>
      </w:r>
      <w:r w:rsidR="00E43A54">
        <w:rPr>
          <w:color w:val="000000"/>
          <w:lang w:val="en-GB"/>
        </w:rPr>
        <w:t xml:space="preserve">subtidal </w:t>
      </w:r>
      <w:r>
        <w:rPr>
          <w:color w:val="000000"/>
          <w:lang w:val="en-GB"/>
        </w:rPr>
        <w:t>reef habitats</w:t>
      </w:r>
      <w:r w:rsidR="00E43A54">
        <w:rPr>
          <w:color w:val="000000"/>
          <w:lang w:val="en-GB"/>
        </w:rPr>
        <w:t>, rather than abundance; which declined across all habitats</w:t>
      </w:r>
      <w:r>
        <w:rPr>
          <w:color w:val="000000"/>
          <w:lang w:val="en-GB"/>
        </w:rPr>
        <w:t xml:space="preserve">. Overall, the </w:t>
      </w:r>
      <w:r w:rsidR="00E43A54">
        <w:rPr>
          <w:color w:val="000000"/>
          <w:lang w:val="en-GB"/>
        </w:rPr>
        <w:t>Wet Tropics seagrass index in 2014-15 was</w:t>
      </w:r>
      <w:r>
        <w:rPr>
          <w:color w:val="000000"/>
          <w:lang w:val="en-GB"/>
        </w:rPr>
        <w:t xml:space="preserve"> the highest since 20</w:t>
      </w:r>
      <w:r w:rsidR="00E43A54">
        <w:rPr>
          <w:color w:val="000000"/>
          <w:lang w:val="en-GB"/>
        </w:rPr>
        <w:t>10-</w:t>
      </w:r>
      <w:r>
        <w:rPr>
          <w:color w:val="000000"/>
          <w:lang w:val="en-GB"/>
        </w:rPr>
        <w:t xml:space="preserve">11, but remains below the </w:t>
      </w:r>
      <w:r w:rsidR="00E43A54">
        <w:rPr>
          <w:color w:val="000000"/>
          <w:lang w:val="en-GB"/>
        </w:rPr>
        <w:t>2008-09 peak</w:t>
      </w:r>
      <w:r>
        <w:rPr>
          <w:color w:val="000000"/>
          <w:lang w:val="en-GB"/>
        </w:rPr>
        <w:t>.</w:t>
      </w:r>
    </w:p>
    <w:p w:rsidR="00BC6384" w:rsidRDefault="00BC6384" w:rsidP="00BC6384">
      <w:pPr>
        <w:rPr>
          <w:color w:val="000000"/>
          <w:lang w:val="en-GB"/>
        </w:rPr>
      </w:pPr>
    </w:p>
    <w:p w:rsidR="009526BE" w:rsidRPr="000F1DF9" w:rsidRDefault="009526BE" w:rsidP="009526BE">
      <w:pPr>
        <w:rPr>
          <w:i/>
          <w:vanish/>
          <w:color w:val="000000"/>
          <w:szCs w:val="22"/>
          <w:specVanish/>
        </w:rPr>
      </w:pPr>
      <w:bookmarkStart w:id="332" w:name="_Ref442440778"/>
      <w:bookmarkStart w:id="333" w:name="_Toc462685086"/>
      <w:r>
        <w:t xml:space="preserve">Table </w:t>
      </w:r>
      <w:fldSimple w:instr=" SEQ Table \* ARABIC ">
        <w:r w:rsidR="009C068F">
          <w:rPr>
            <w:noProof/>
          </w:rPr>
          <w:t>17</w:t>
        </w:r>
      </w:fldSimple>
      <w:bookmarkEnd w:id="332"/>
      <w: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Wet Tropics </w:t>
      </w:r>
      <w:r w:rsidRPr="000F1DF9">
        <w:rPr>
          <w:i/>
          <w:color w:val="000000"/>
        </w:rPr>
        <w:t>NRM region: Ju</w:t>
      </w:r>
      <w:r>
        <w:rPr>
          <w:i/>
          <w:color w:val="000000"/>
        </w:rPr>
        <w:t>ne</w:t>
      </w:r>
      <w:r w:rsidRPr="000F1DF9">
        <w:rPr>
          <w:i/>
          <w:color w:val="000000"/>
        </w:rPr>
        <w:t xml:space="preserve"> 2005 – May 201</w:t>
      </w:r>
      <w:r>
        <w:rPr>
          <w:i/>
          <w:color w:val="000000"/>
        </w:rPr>
        <w:t>5</w:t>
      </w:r>
      <w:r w:rsidRPr="000F1DF9">
        <w:rPr>
          <w:i/>
          <w:color w:val="000000"/>
        </w:rPr>
        <w:t>.</w:t>
      </w:r>
      <w:bookmarkEnd w:id="333"/>
      <w:r w:rsidRPr="000F1DF9">
        <w:rPr>
          <w:i/>
          <w:color w:val="000000"/>
        </w:rPr>
        <w:t xml:space="preserve"> </w:t>
      </w:r>
    </w:p>
    <w:p w:rsidR="009526BE" w:rsidRPr="00B00E71" w:rsidRDefault="009526BE" w:rsidP="009526BE">
      <w:pPr>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E237C6">
        <w:rPr>
          <w:rFonts w:ascii="Arial" w:hAnsi="Arial" w:cs="Arial"/>
          <w:i/>
          <w:color w:val="FF0000"/>
          <w:szCs w:val="22"/>
        </w:rPr>
        <w:t>■</w:t>
      </w:r>
      <w:r w:rsidR="001E70A1">
        <w:rPr>
          <w:i/>
          <w:szCs w:val="22"/>
        </w:rPr>
        <w:t xml:space="preserve"> = very poor (0 - </w:t>
      </w:r>
      <w:r w:rsidR="001E70A1" w:rsidRPr="00E237C6">
        <w:rPr>
          <w:i/>
          <w:szCs w:val="22"/>
        </w:rPr>
        <w:t>20).</w:t>
      </w:r>
      <w:r w:rsidR="001E70A1" w:rsidRPr="00243A2E">
        <w:rPr>
          <w:i/>
          <w:color w:val="000000"/>
          <w:szCs w:val="22"/>
        </w:rPr>
        <w:t xml:space="preserve"> NB: Scores</w:t>
      </w:r>
      <w:r w:rsidR="001E70A1">
        <w:rPr>
          <w:i/>
          <w:szCs w:val="22"/>
        </w:rPr>
        <w:t xml:space="preserve"> are </w:t>
      </w:r>
      <w:proofErr w:type="spellStart"/>
      <w:r w:rsidR="001E70A1">
        <w:rPr>
          <w:i/>
          <w:szCs w:val="22"/>
        </w:rPr>
        <w:t>unitless</w:t>
      </w:r>
      <w:proofErr w:type="spellEnd"/>
      <w:r>
        <w:rPr>
          <w:i/>
          <w:szCs w:val="22"/>
        </w:rPr>
        <w:t>.</w:t>
      </w:r>
    </w:p>
    <w:tbl>
      <w:tblPr>
        <w:tblW w:w="10589"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280"/>
        <w:gridCol w:w="1699"/>
        <w:gridCol w:w="761"/>
        <w:gridCol w:w="761"/>
        <w:gridCol w:w="761"/>
        <w:gridCol w:w="761"/>
        <w:gridCol w:w="761"/>
        <w:gridCol w:w="761"/>
        <w:gridCol w:w="761"/>
        <w:gridCol w:w="761"/>
        <w:gridCol w:w="761"/>
        <w:gridCol w:w="761"/>
      </w:tblGrid>
      <w:tr w:rsidR="009526BE" w:rsidRPr="00EC364C" w:rsidTr="00697D31">
        <w:trPr>
          <w:trHeight w:val="276"/>
          <w:jc w:val="center"/>
        </w:trPr>
        <w:tc>
          <w:tcPr>
            <w:tcW w:w="1280" w:type="dxa"/>
            <w:tcBorders>
              <w:top w:val="single" w:sz="4" w:space="0" w:color="000000"/>
              <w:bottom w:val="single" w:sz="4" w:space="0" w:color="000000"/>
            </w:tcBorders>
            <w:shd w:val="clear" w:color="auto" w:fill="auto"/>
            <w:vAlign w:val="center"/>
          </w:tcPr>
          <w:p w:rsidR="009526BE" w:rsidRPr="00EC364C" w:rsidRDefault="009526BE" w:rsidP="009526BE">
            <w:pPr>
              <w:spacing w:before="0" w:after="0"/>
              <w:jc w:val="center"/>
              <w:rPr>
                <w:b/>
                <w:color w:val="000000"/>
                <w:sz w:val="20"/>
                <w:szCs w:val="20"/>
                <w:lang w:eastAsia="en-AU"/>
              </w:rPr>
            </w:pPr>
            <w:r>
              <w:rPr>
                <w:b/>
                <w:color w:val="000000"/>
                <w:sz w:val="20"/>
                <w:szCs w:val="20"/>
                <w:lang w:eastAsia="en-AU"/>
              </w:rPr>
              <w:t>Report Card</w:t>
            </w:r>
          </w:p>
        </w:tc>
        <w:tc>
          <w:tcPr>
            <w:tcW w:w="1699" w:type="dxa"/>
            <w:tcBorders>
              <w:top w:val="single" w:sz="4" w:space="0" w:color="000000"/>
              <w:bottom w:val="single" w:sz="4" w:space="0" w:color="000000"/>
            </w:tcBorders>
            <w:shd w:val="clear" w:color="auto" w:fill="auto"/>
            <w:noWrap/>
            <w:vAlign w:val="center"/>
          </w:tcPr>
          <w:p w:rsidR="009526BE" w:rsidRPr="00EC364C" w:rsidRDefault="009526BE" w:rsidP="009526BE">
            <w:pPr>
              <w:spacing w:before="0" w:after="0"/>
              <w:jc w:val="center"/>
              <w:rPr>
                <w:b/>
                <w:color w:val="000000"/>
                <w:sz w:val="20"/>
                <w:szCs w:val="20"/>
                <w:lang w:eastAsia="en-AU"/>
              </w:rPr>
            </w:pPr>
            <w:r w:rsidRPr="00EC364C">
              <w:rPr>
                <w:b/>
                <w:color w:val="000000"/>
                <w:sz w:val="20"/>
                <w:szCs w:val="20"/>
                <w:lang w:eastAsia="en-AU"/>
              </w:rPr>
              <w:t>Habitat</w:t>
            </w:r>
          </w:p>
        </w:tc>
        <w:tc>
          <w:tcPr>
            <w:tcW w:w="761" w:type="dxa"/>
            <w:tcBorders>
              <w:top w:val="single" w:sz="4" w:space="0" w:color="000000"/>
              <w:bottom w:val="single" w:sz="4" w:space="0" w:color="000000"/>
            </w:tcBorders>
            <w:shd w:val="clear" w:color="auto" w:fill="auto"/>
            <w:vAlign w:val="center"/>
          </w:tcPr>
          <w:p w:rsidR="009526BE" w:rsidRPr="00EC364C" w:rsidRDefault="009526BE" w:rsidP="009526BE">
            <w:pPr>
              <w:spacing w:before="0" w:after="0"/>
              <w:jc w:val="center"/>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761" w:type="dxa"/>
            <w:tcBorders>
              <w:top w:val="single" w:sz="4" w:space="0" w:color="000000"/>
              <w:bottom w:val="single" w:sz="4" w:space="0" w:color="000000"/>
            </w:tcBorders>
            <w:shd w:val="clear" w:color="auto" w:fill="auto"/>
            <w:vAlign w:val="center"/>
          </w:tcPr>
          <w:p w:rsidR="009526BE" w:rsidRPr="00EC364C" w:rsidRDefault="009526BE" w:rsidP="009526BE">
            <w:pPr>
              <w:spacing w:before="0" w:after="0"/>
              <w:jc w:val="center"/>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761" w:type="dxa"/>
            <w:tcBorders>
              <w:top w:val="single" w:sz="4" w:space="0" w:color="000000"/>
              <w:bottom w:val="single" w:sz="4" w:space="0" w:color="000000"/>
            </w:tcBorders>
            <w:shd w:val="clear" w:color="auto" w:fill="auto"/>
            <w:vAlign w:val="center"/>
          </w:tcPr>
          <w:p w:rsidR="009526BE" w:rsidRPr="00EC364C" w:rsidRDefault="009526BE" w:rsidP="009526BE">
            <w:pPr>
              <w:spacing w:before="0" w:after="0"/>
              <w:jc w:val="center"/>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761" w:type="dxa"/>
            <w:tcBorders>
              <w:top w:val="single" w:sz="4" w:space="0" w:color="000000"/>
              <w:bottom w:val="single" w:sz="4" w:space="0" w:color="000000"/>
            </w:tcBorders>
            <w:shd w:val="clear" w:color="auto" w:fill="auto"/>
            <w:vAlign w:val="center"/>
          </w:tcPr>
          <w:p w:rsidR="009526BE" w:rsidRPr="00EC364C" w:rsidRDefault="009526BE" w:rsidP="009526BE">
            <w:pPr>
              <w:spacing w:before="0" w:after="0"/>
              <w:jc w:val="center"/>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761" w:type="dxa"/>
            <w:tcBorders>
              <w:top w:val="single" w:sz="4" w:space="0" w:color="000000"/>
              <w:bottom w:val="single" w:sz="4" w:space="0" w:color="000000"/>
            </w:tcBorders>
            <w:shd w:val="clear" w:color="auto" w:fill="auto"/>
            <w:vAlign w:val="center"/>
          </w:tcPr>
          <w:p w:rsidR="009526BE" w:rsidRPr="00EC364C" w:rsidRDefault="009526BE" w:rsidP="009526BE">
            <w:pPr>
              <w:spacing w:before="0" w:after="0"/>
              <w:jc w:val="center"/>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761" w:type="dxa"/>
            <w:tcBorders>
              <w:top w:val="single" w:sz="4" w:space="0" w:color="000000"/>
              <w:bottom w:val="single" w:sz="4" w:space="0" w:color="000000"/>
            </w:tcBorders>
            <w:shd w:val="clear" w:color="auto" w:fill="auto"/>
            <w:vAlign w:val="center"/>
          </w:tcPr>
          <w:p w:rsidR="009526BE" w:rsidRPr="00EC364C" w:rsidRDefault="009526BE" w:rsidP="009526BE">
            <w:pPr>
              <w:spacing w:before="0" w:after="0"/>
              <w:jc w:val="center"/>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761" w:type="dxa"/>
            <w:tcBorders>
              <w:top w:val="single" w:sz="4" w:space="0" w:color="000000"/>
              <w:bottom w:val="single" w:sz="4" w:space="0" w:color="000000"/>
            </w:tcBorders>
            <w:shd w:val="clear" w:color="auto" w:fill="auto"/>
            <w:vAlign w:val="center"/>
          </w:tcPr>
          <w:p w:rsidR="009526BE" w:rsidRPr="00EC364C" w:rsidRDefault="009526BE" w:rsidP="009526BE">
            <w:pPr>
              <w:spacing w:before="0" w:after="0"/>
              <w:jc w:val="center"/>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761" w:type="dxa"/>
            <w:tcBorders>
              <w:top w:val="single" w:sz="4" w:space="0" w:color="000000"/>
              <w:bottom w:val="single" w:sz="4" w:space="0" w:color="000000"/>
            </w:tcBorders>
            <w:vAlign w:val="center"/>
          </w:tcPr>
          <w:p w:rsidR="009526BE" w:rsidRPr="00EC364C" w:rsidRDefault="009526BE" w:rsidP="009526BE">
            <w:pPr>
              <w:spacing w:before="0" w:after="0"/>
              <w:jc w:val="center"/>
              <w:rPr>
                <w:b/>
                <w:color w:val="000000"/>
                <w:sz w:val="16"/>
                <w:szCs w:val="16"/>
                <w:lang w:eastAsia="en-AU"/>
              </w:rPr>
            </w:pPr>
            <w:r w:rsidRPr="00EC364C">
              <w:rPr>
                <w:b/>
                <w:color w:val="000000"/>
                <w:sz w:val="16"/>
                <w:szCs w:val="16"/>
                <w:lang w:eastAsia="en-AU"/>
              </w:rPr>
              <w:t>2012-13</w:t>
            </w:r>
          </w:p>
        </w:tc>
        <w:tc>
          <w:tcPr>
            <w:tcW w:w="761" w:type="dxa"/>
            <w:tcBorders>
              <w:top w:val="single" w:sz="4" w:space="0" w:color="000000"/>
              <w:bottom w:val="single" w:sz="4" w:space="0" w:color="000000"/>
            </w:tcBorders>
            <w:vAlign w:val="center"/>
          </w:tcPr>
          <w:p w:rsidR="009526BE" w:rsidRPr="00EC364C" w:rsidRDefault="009526BE" w:rsidP="009526BE">
            <w:pPr>
              <w:spacing w:before="0" w:after="0"/>
              <w:jc w:val="center"/>
              <w:rPr>
                <w:b/>
                <w:color w:val="000000"/>
                <w:sz w:val="16"/>
                <w:szCs w:val="16"/>
                <w:lang w:eastAsia="en-AU"/>
              </w:rPr>
            </w:pPr>
            <w:r w:rsidRPr="00EC364C">
              <w:rPr>
                <w:b/>
                <w:color w:val="000000"/>
                <w:sz w:val="16"/>
                <w:szCs w:val="16"/>
                <w:lang w:eastAsia="en-AU"/>
              </w:rPr>
              <w:t>2013-14</w:t>
            </w:r>
          </w:p>
        </w:tc>
        <w:tc>
          <w:tcPr>
            <w:tcW w:w="761" w:type="dxa"/>
            <w:tcBorders>
              <w:top w:val="single" w:sz="4" w:space="0" w:color="000000"/>
              <w:bottom w:val="single" w:sz="4" w:space="0" w:color="000000"/>
            </w:tcBorders>
            <w:vAlign w:val="center"/>
          </w:tcPr>
          <w:p w:rsidR="009526BE" w:rsidRPr="00EC364C" w:rsidRDefault="009526BE" w:rsidP="009526BE">
            <w:pPr>
              <w:spacing w:before="0" w:after="0"/>
              <w:jc w:val="center"/>
              <w:rPr>
                <w:b/>
                <w:color w:val="000000"/>
                <w:sz w:val="16"/>
                <w:szCs w:val="16"/>
                <w:lang w:eastAsia="en-AU"/>
              </w:rPr>
            </w:pPr>
            <w:r>
              <w:rPr>
                <w:b/>
                <w:color w:val="000000"/>
                <w:sz w:val="16"/>
                <w:szCs w:val="16"/>
                <w:lang w:eastAsia="en-AU"/>
              </w:rPr>
              <w:t>2014-15</w:t>
            </w:r>
          </w:p>
        </w:tc>
      </w:tr>
      <w:tr w:rsidR="009526BE" w:rsidRPr="00EC364C" w:rsidTr="00697D31">
        <w:trPr>
          <w:trHeight w:val="312"/>
          <w:jc w:val="center"/>
        </w:trPr>
        <w:tc>
          <w:tcPr>
            <w:tcW w:w="1280" w:type="dxa"/>
            <w:vMerge w:val="restart"/>
            <w:tcBorders>
              <w:top w:val="single" w:sz="4" w:space="0" w:color="000000"/>
              <w:left w:val="single" w:sz="4" w:space="0" w:color="FFFFFF"/>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r>
              <w:rPr>
                <w:color w:val="000000"/>
                <w:sz w:val="20"/>
                <w:szCs w:val="20"/>
                <w:lang w:eastAsia="en-AU"/>
              </w:rPr>
              <w:t>Abundance</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r w:rsidRPr="00EC364C">
              <w:rPr>
                <w:color w:val="000000"/>
                <w:sz w:val="20"/>
                <w:szCs w:val="20"/>
                <w:lang w:eastAsia="en-AU"/>
              </w:rPr>
              <w:t>coastal intertidal</w:t>
            </w:r>
          </w:p>
        </w:tc>
        <w:tc>
          <w:tcPr>
            <w:tcW w:w="761" w:type="dxa"/>
            <w:tcBorders>
              <w:left w:val="single" w:sz="4" w:space="0" w:color="FFFFFF"/>
            </w:tcBorders>
            <w:shd w:val="clear" w:color="auto" w:fill="FFCC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38</w:t>
            </w:r>
          </w:p>
        </w:tc>
        <w:tc>
          <w:tcPr>
            <w:tcW w:w="761" w:type="dxa"/>
            <w:shd w:val="clear" w:color="auto" w:fill="FFCC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30</w:t>
            </w:r>
          </w:p>
        </w:tc>
        <w:tc>
          <w:tcPr>
            <w:tcW w:w="761" w:type="dxa"/>
            <w:shd w:val="clear" w:color="auto" w:fill="FFFF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55</w:t>
            </w:r>
          </w:p>
        </w:tc>
        <w:tc>
          <w:tcPr>
            <w:tcW w:w="761" w:type="dxa"/>
            <w:shd w:val="clear" w:color="auto" w:fill="92D05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70</w:t>
            </w:r>
          </w:p>
        </w:tc>
        <w:tc>
          <w:tcPr>
            <w:tcW w:w="761" w:type="dxa"/>
            <w:shd w:val="clear" w:color="auto" w:fill="FFFF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54</w:t>
            </w:r>
          </w:p>
        </w:tc>
        <w:tc>
          <w:tcPr>
            <w:tcW w:w="761" w:type="dxa"/>
            <w:shd w:val="clear" w:color="auto" w:fill="FFFF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46</w:t>
            </w:r>
          </w:p>
        </w:tc>
        <w:tc>
          <w:tcPr>
            <w:tcW w:w="761" w:type="dxa"/>
            <w:shd w:val="clear" w:color="auto" w:fill="FF00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7</w:t>
            </w:r>
          </w:p>
        </w:tc>
        <w:tc>
          <w:tcPr>
            <w:tcW w:w="761" w:type="dxa"/>
            <w:shd w:val="clear" w:color="auto" w:fill="FF0000"/>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13</w:t>
            </w:r>
          </w:p>
        </w:tc>
        <w:tc>
          <w:tcPr>
            <w:tcW w:w="761" w:type="dxa"/>
            <w:shd w:val="clear" w:color="auto" w:fill="FFCC00"/>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21</w:t>
            </w:r>
          </w:p>
        </w:tc>
        <w:tc>
          <w:tcPr>
            <w:tcW w:w="761" w:type="dxa"/>
            <w:shd w:val="clear" w:color="auto" w:fill="FF0000"/>
            <w:vAlign w:val="center"/>
          </w:tcPr>
          <w:p w:rsidR="009526BE" w:rsidRPr="00056DBB" w:rsidRDefault="009526BE" w:rsidP="009526BE">
            <w:pPr>
              <w:spacing w:before="0" w:after="0"/>
              <w:jc w:val="center"/>
              <w:rPr>
                <w:b/>
                <w:color w:val="000000"/>
                <w:sz w:val="20"/>
                <w:szCs w:val="20"/>
                <w:lang w:eastAsia="en-AU"/>
              </w:rPr>
            </w:pPr>
            <w:r w:rsidRPr="00056DBB">
              <w:rPr>
                <w:sz w:val="20"/>
                <w:szCs w:val="20"/>
              </w:rPr>
              <w:t>19</w:t>
            </w:r>
          </w:p>
        </w:tc>
      </w:tr>
      <w:tr w:rsidR="009526BE" w:rsidRPr="00EC364C" w:rsidTr="002605DA">
        <w:trPr>
          <w:trHeight w:val="312"/>
          <w:jc w:val="center"/>
        </w:trPr>
        <w:tc>
          <w:tcPr>
            <w:tcW w:w="1280" w:type="dxa"/>
            <w:vMerge/>
            <w:tcBorders>
              <w:left w:val="single" w:sz="4" w:space="0" w:color="FFFFFF"/>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tcBorders>
            <w:shd w:val="clear" w:color="auto" w:fill="92D05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72</w:t>
            </w:r>
          </w:p>
        </w:tc>
        <w:tc>
          <w:tcPr>
            <w:tcW w:w="761" w:type="dxa"/>
            <w:tcBorders>
              <w:top w:val="single" w:sz="4" w:space="0" w:color="FFFFFF"/>
            </w:tcBorders>
            <w:shd w:val="clear" w:color="auto" w:fill="FFFF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58</w:t>
            </w:r>
          </w:p>
        </w:tc>
        <w:tc>
          <w:tcPr>
            <w:tcW w:w="761" w:type="dxa"/>
            <w:tcBorders>
              <w:top w:val="single" w:sz="4" w:space="0" w:color="FFFFFF"/>
            </w:tcBorders>
            <w:shd w:val="clear" w:color="auto" w:fill="FFFF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43</w:t>
            </w:r>
          </w:p>
        </w:tc>
        <w:tc>
          <w:tcPr>
            <w:tcW w:w="761" w:type="dxa"/>
            <w:tcBorders>
              <w:top w:val="single" w:sz="4" w:space="0" w:color="FFFFFF"/>
            </w:tcBorders>
            <w:shd w:val="clear" w:color="auto" w:fill="FFCC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35</w:t>
            </w:r>
          </w:p>
        </w:tc>
        <w:tc>
          <w:tcPr>
            <w:tcW w:w="761" w:type="dxa"/>
            <w:tcBorders>
              <w:top w:val="single" w:sz="4" w:space="0" w:color="FFFFFF"/>
            </w:tcBorders>
            <w:shd w:val="clear" w:color="auto" w:fill="FFCC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35</w:t>
            </w:r>
          </w:p>
        </w:tc>
        <w:tc>
          <w:tcPr>
            <w:tcW w:w="761" w:type="dxa"/>
            <w:tcBorders>
              <w:top w:val="single" w:sz="4" w:space="0" w:color="FFFFFF"/>
            </w:tcBorders>
            <w:shd w:val="clear" w:color="auto" w:fill="FF00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19</w:t>
            </w:r>
          </w:p>
        </w:tc>
        <w:tc>
          <w:tcPr>
            <w:tcW w:w="761" w:type="dxa"/>
            <w:tcBorders>
              <w:top w:val="single" w:sz="4" w:space="0" w:color="FFFFFF"/>
            </w:tcBorders>
            <w:shd w:val="clear" w:color="auto" w:fill="FF00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17</w:t>
            </w:r>
          </w:p>
        </w:tc>
        <w:tc>
          <w:tcPr>
            <w:tcW w:w="761" w:type="dxa"/>
            <w:tcBorders>
              <w:top w:val="single" w:sz="4" w:space="0" w:color="FFFFFF"/>
            </w:tcBorders>
            <w:shd w:val="clear" w:color="auto" w:fill="FFCC00"/>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21</w:t>
            </w:r>
          </w:p>
        </w:tc>
        <w:tc>
          <w:tcPr>
            <w:tcW w:w="761" w:type="dxa"/>
            <w:tcBorders>
              <w:top w:val="single" w:sz="4" w:space="0" w:color="FFFFFF"/>
            </w:tcBorders>
            <w:shd w:val="clear" w:color="auto" w:fill="FFCC00"/>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28</w:t>
            </w:r>
          </w:p>
        </w:tc>
        <w:tc>
          <w:tcPr>
            <w:tcW w:w="761" w:type="dxa"/>
            <w:tcBorders>
              <w:top w:val="single" w:sz="4" w:space="0" w:color="FFFFFF"/>
            </w:tcBorders>
            <w:shd w:val="clear" w:color="auto" w:fill="FF0000"/>
            <w:vAlign w:val="center"/>
          </w:tcPr>
          <w:p w:rsidR="009526BE" w:rsidRPr="00056DBB" w:rsidRDefault="009526BE" w:rsidP="009526BE">
            <w:pPr>
              <w:spacing w:before="0" w:after="0"/>
              <w:jc w:val="center"/>
              <w:rPr>
                <w:b/>
                <w:color w:val="000000"/>
                <w:sz w:val="20"/>
                <w:szCs w:val="20"/>
                <w:lang w:eastAsia="en-AU"/>
              </w:rPr>
            </w:pPr>
            <w:r w:rsidRPr="00056DBB">
              <w:rPr>
                <w:sz w:val="20"/>
                <w:szCs w:val="20"/>
              </w:rPr>
              <w:t>20</w:t>
            </w:r>
          </w:p>
        </w:tc>
      </w:tr>
      <w:tr w:rsidR="009526BE" w:rsidRPr="00EC364C" w:rsidTr="00697D31">
        <w:trPr>
          <w:trHeight w:val="312"/>
          <w:jc w:val="center"/>
        </w:trPr>
        <w:tc>
          <w:tcPr>
            <w:tcW w:w="1280" w:type="dxa"/>
            <w:vMerge/>
            <w:tcBorders>
              <w:left w:val="single" w:sz="4" w:space="0" w:color="FFFFFF"/>
              <w:bottom w:val="single" w:sz="4" w:space="0" w:color="000000"/>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000000"/>
            </w:tcBorders>
            <w:shd w:val="clear" w:color="auto" w:fill="auto"/>
            <w:noWrap/>
            <w:vAlign w:val="center"/>
          </w:tcPr>
          <w:p w:rsidR="009526BE" w:rsidRPr="00EC364C" w:rsidRDefault="009526BE" w:rsidP="009526BE">
            <w:pPr>
              <w:spacing w:before="0" w:after="0"/>
              <w:rPr>
                <w:color w:val="000000"/>
                <w:sz w:val="20"/>
                <w:szCs w:val="20"/>
                <w:lang w:eastAsia="en-AU"/>
              </w:rPr>
            </w:pPr>
            <w:r w:rsidRPr="00EC364C">
              <w:rPr>
                <w:color w:val="000000"/>
                <w:sz w:val="20"/>
                <w:szCs w:val="20"/>
                <w:lang w:eastAsia="en-AU"/>
              </w:rPr>
              <w:t>reef subtidal</w:t>
            </w:r>
          </w:p>
        </w:tc>
        <w:tc>
          <w:tcPr>
            <w:tcW w:w="761" w:type="dxa"/>
            <w:tcBorders>
              <w:bottom w:val="single" w:sz="4" w:space="0" w:color="FFFFFF"/>
            </w:tcBorders>
            <w:shd w:val="clear" w:color="auto" w:fill="auto"/>
            <w:noWrap/>
            <w:vAlign w:val="center"/>
          </w:tcPr>
          <w:p w:rsidR="009526BE" w:rsidRPr="00EC364C"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9526BE" w:rsidRPr="00EC364C"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FF00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0</w:t>
            </w:r>
          </w:p>
        </w:tc>
        <w:tc>
          <w:tcPr>
            <w:tcW w:w="761" w:type="dxa"/>
            <w:tcBorders>
              <w:bottom w:val="single" w:sz="4" w:space="0" w:color="FFFFFF"/>
            </w:tcBorders>
            <w:shd w:val="clear" w:color="auto" w:fill="FFCC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33</w:t>
            </w:r>
          </w:p>
        </w:tc>
        <w:tc>
          <w:tcPr>
            <w:tcW w:w="761" w:type="dxa"/>
            <w:tcBorders>
              <w:bottom w:val="single" w:sz="4" w:space="0" w:color="FFFFFF"/>
            </w:tcBorders>
            <w:shd w:val="clear" w:color="auto" w:fill="FFCC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23</w:t>
            </w:r>
          </w:p>
        </w:tc>
        <w:tc>
          <w:tcPr>
            <w:tcW w:w="761" w:type="dxa"/>
            <w:tcBorders>
              <w:bottom w:val="single" w:sz="4" w:space="0" w:color="FFFFFF"/>
            </w:tcBorders>
            <w:shd w:val="clear" w:color="auto" w:fill="FFCC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27</w:t>
            </w:r>
          </w:p>
        </w:tc>
        <w:tc>
          <w:tcPr>
            <w:tcW w:w="761" w:type="dxa"/>
            <w:tcBorders>
              <w:bottom w:val="single" w:sz="4" w:space="0" w:color="FFFFFF"/>
            </w:tcBorders>
            <w:shd w:val="clear" w:color="auto" w:fill="FFCC00"/>
            <w:noWrap/>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34</w:t>
            </w:r>
          </w:p>
        </w:tc>
        <w:tc>
          <w:tcPr>
            <w:tcW w:w="761" w:type="dxa"/>
            <w:tcBorders>
              <w:bottom w:val="single" w:sz="4" w:space="0" w:color="FFFFFF"/>
            </w:tcBorders>
            <w:shd w:val="clear" w:color="auto" w:fill="FFCC00"/>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37</w:t>
            </w:r>
          </w:p>
        </w:tc>
        <w:tc>
          <w:tcPr>
            <w:tcW w:w="761" w:type="dxa"/>
            <w:tcBorders>
              <w:bottom w:val="single" w:sz="4" w:space="0" w:color="FFFFFF"/>
            </w:tcBorders>
            <w:shd w:val="clear" w:color="auto" w:fill="FFCC00"/>
            <w:vAlign w:val="center"/>
          </w:tcPr>
          <w:p w:rsidR="009526BE" w:rsidRPr="00EC364C" w:rsidRDefault="009526BE" w:rsidP="009526BE">
            <w:pPr>
              <w:spacing w:before="0" w:after="0"/>
              <w:jc w:val="center"/>
              <w:rPr>
                <w:color w:val="000000"/>
                <w:sz w:val="20"/>
                <w:szCs w:val="20"/>
                <w:lang w:eastAsia="en-AU"/>
              </w:rPr>
            </w:pPr>
            <w:r w:rsidRPr="00EC364C">
              <w:rPr>
                <w:color w:val="000000"/>
                <w:sz w:val="20"/>
                <w:szCs w:val="20"/>
                <w:lang w:eastAsia="en-AU"/>
              </w:rPr>
              <w:t>2</w:t>
            </w:r>
            <w:r>
              <w:rPr>
                <w:color w:val="000000"/>
                <w:sz w:val="20"/>
                <w:szCs w:val="20"/>
                <w:lang w:eastAsia="en-AU"/>
              </w:rPr>
              <w:t>2</w:t>
            </w:r>
          </w:p>
        </w:tc>
        <w:tc>
          <w:tcPr>
            <w:tcW w:w="761" w:type="dxa"/>
            <w:tcBorders>
              <w:bottom w:val="single" w:sz="4" w:space="0" w:color="FFFFFF"/>
            </w:tcBorders>
            <w:shd w:val="clear" w:color="auto" w:fill="FF0000"/>
            <w:vAlign w:val="center"/>
          </w:tcPr>
          <w:p w:rsidR="009526BE" w:rsidRPr="00056DBB" w:rsidRDefault="009526BE" w:rsidP="009526BE">
            <w:pPr>
              <w:spacing w:before="0" w:after="0"/>
              <w:jc w:val="center"/>
              <w:rPr>
                <w:b/>
                <w:color w:val="000000"/>
                <w:sz w:val="20"/>
                <w:szCs w:val="20"/>
                <w:lang w:eastAsia="en-AU"/>
              </w:rPr>
            </w:pPr>
            <w:r w:rsidRPr="00056DBB">
              <w:rPr>
                <w:sz w:val="20"/>
                <w:szCs w:val="20"/>
              </w:rPr>
              <w:t>15</w:t>
            </w:r>
          </w:p>
        </w:tc>
      </w:tr>
      <w:tr w:rsidR="009526BE" w:rsidRPr="00EC364C" w:rsidTr="00697D31">
        <w:trPr>
          <w:trHeight w:val="312"/>
          <w:jc w:val="center"/>
        </w:trPr>
        <w:tc>
          <w:tcPr>
            <w:tcW w:w="1280" w:type="dxa"/>
            <w:vMerge w:val="restart"/>
            <w:tcBorders>
              <w:top w:val="single" w:sz="4" w:space="0" w:color="000000"/>
              <w:left w:val="single" w:sz="4" w:space="0" w:color="FFFFFF"/>
              <w:right w:val="single" w:sz="4" w:space="0" w:color="FFFFFF"/>
            </w:tcBorders>
            <w:shd w:val="clear" w:color="auto" w:fill="auto"/>
            <w:noWrap/>
            <w:vAlign w:val="center"/>
          </w:tcPr>
          <w:p w:rsidR="009526BE" w:rsidRDefault="009526BE" w:rsidP="009526BE">
            <w:pPr>
              <w:spacing w:before="0" w:after="0" w:line="200" w:lineRule="exact"/>
              <w:ind w:left="-57" w:right="-57"/>
              <w:rPr>
                <w:color w:val="000000"/>
                <w:sz w:val="20"/>
                <w:szCs w:val="20"/>
                <w:lang w:eastAsia="en-AU"/>
              </w:rPr>
            </w:pPr>
            <w:r>
              <w:rPr>
                <w:color w:val="000000"/>
                <w:sz w:val="20"/>
                <w:szCs w:val="20"/>
                <w:lang w:eastAsia="en-AU"/>
              </w:rPr>
              <w:t>R</w:t>
            </w:r>
            <w:r w:rsidRPr="000C1668">
              <w:rPr>
                <w:color w:val="000000"/>
                <w:sz w:val="20"/>
                <w:szCs w:val="20"/>
                <w:lang w:eastAsia="en-AU"/>
              </w:rPr>
              <w:t>eproductive</w:t>
            </w:r>
          </w:p>
          <w:p w:rsidR="009526BE" w:rsidRPr="00EC364C" w:rsidRDefault="009526BE" w:rsidP="009526BE">
            <w:pPr>
              <w:spacing w:before="0" w:after="0"/>
              <w:rPr>
                <w:color w:val="000000"/>
                <w:sz w:val="20"/>
                <w:szCs w:val="20"/>
                <w:lang w:eastAsia="en-AU"/>
              </w:rPr>
            </w:pPr>
            <w:r>
              <w:rPr>
                <w:color w:val="000000"/>
                <w:sz w:val="20"/>
                <w:szCs w:val="20"/>
                <w:lang w:eastAsia="en-AU"/>
              </w:rPr>
              <w:t>effort</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r w:rsidRPr="00EC364C">
              <w:rPr>
                <w:color w:val="000000"/>
                <w:sz w:val="20"/>
                <w:szCs w:val="20"/>
                <w:lang w:eastAsia="en-AU"/>
              </w:rPr>
              <w:t>coastal intertidal</w:t>
            </w:r>
          </w:p>
        </w:tc>
        <w:tc>
          <w:tcPr>
            <w:tcW w:w="761" w:type="dxa"/>
            <w:tcBorders>
              <w:top w:val="single" w:sz="4" w:space="0" w:color="FFFFFF" w:themeColor="background1"/>
              <w:left w:val="single" w:sz="4" w:space="0" w:color="FFFFFF"/>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hemeColor="background1"/>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hemeColor="background1"/>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hemeColor="background1"/>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hemeColor="background1"/>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6</w:t>
            </w:r>
          </w:p>
        </w:tc>
        <w:tc>
          <w:tcPr>
            <w:tcW w:w="761" w:type="dxa"/>
            <w:tcBorders>
              <w:top w:val="single" w:sz="4" w:space="0" w:color="FFFFFF" w:themeColor="background1"/>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hemeColor="background1"/>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hemeColor="background1"/>
            </w:tcBorders>
            <w:shd w:val="clear" w:color="auto" w:fill="FF0000"/>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hemeColor="background1"/>
            </w:tcBorders>
            <w:shd w:val="clear" w:color="auto" w:fill="FF0000"/>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hemeColor="background1"/>
            </w:tcBorders>
            <w:shd w:val="clear" w:color="auto" w:fill="FF0000"/>
            <w:vAlign w:val="center"/>
          </w:tcPr>
          <w:p w:rsidR="009526BE" w:rsidRPr="005556A8" w:rsidRDefault="009526BE" w:rsidP="009526BE">
            <w:pPr>
              <w:spacing w:before="0" w:after="0"/>
              <w:jc w:val="center"/>
              <w:rPr>
                <w:color w:val="000000"/>
                <w:sz w:val="20"/>
                <w:szCs w:val="20"/>
                <w:lang w:eastAsia="en-AU"/>
              </w:rPr>
            </w:pPr>
            <w:r>
              <w:rPr>
                <w:color w:val="000000"/>
                <w:sz w:val="20"/>
                <w:szCs w:val="20"/>
              </w:rPr>
              <w:t>0</w:t>
            </w:r>
          </w:p>
        </w:tc>
      </w:tr>
      <w:tr w:rsidR="009526BE" w:rsidRPr="00EC364C" w:rsidTr="002605DA">
        <w:trPr>
          <w:trHeight w:val="312"/>
          <w:jc w:val="center"/>
        </w:trPr>
        <w:tc>
          <w:tcPr>
            <w:tcW w:w="1280" w:type="dxa"/>
            <w:vMerge/>
            <w:tcBorders>
              <w:left w:val="single" w:sz="4" w:space="0" w:color="FFFFFF"/>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cBorders>
            <w:shd w:val="clear" w:color="auto" w:fill="FFCC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38</w:t>
            </w:r>
          </w:p>
        </w:tc>
        <w:tc>
          <w:tcPr>
            <w:tcW w:w="761" w:type="dxa"/>
            <w:tcBorders>
              <w:top w:val="single" w:sz="4" w:space="0" w:color="FFFFFF"/>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19</w:t>
            </w:r>
          </w:p>
        </w:tc>
        <w:tc>
          <w:tcPr>
            <w:tcW w:w="761" w:type="dxa"/>
            <w:tcBorders>
              <w:top w:val="single" w:sz="4" w:space="0" w:color="FFFFFF"/>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20</w:t>
            </w:r>
          </w:p>
        </w:tc>
        <w:tc>
          <w:tcPr>
            <w:tcW w:w="761" w:type="dxa"/>
            <w:tcBorders>
              <w:top w:val="single" w:sz="4" w:space="0" w:color="FFFFFF"/>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10</w:t>
            </w:r>
          </w:p>
        </w:tc>
        <w:tc>
          <w:tcPr>
            <w:tcW w:w="761" w:type="dxa"/>
            <w:tcBorders>
              <w:top w:val="single" w:sz="4" w:space="0" w:color="FFFFFF"/>
            </w:tcBorders>
            <w:shd w:val="clear" w:color="auto" w:fill="FF0000"/>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cBorders>
            <w:shd w:val="clear" w:color="auto" w:fill="FF0000"/>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10</w:t>
            </w:r>
          </w:p>
        </w:tc>
        <w:tc>
          <w:tcPr>
            <w:tcW w:w="761" w:type="dxa"/>
            <w:tcBorders>
              <w:top w:val="single" w:sz="4" w:space="0" w:color="FFFFFF"/>
            </w:tcBorders>
            <w:shd w:val="clear" w:color="auto" w:fill="FF0000"/>
            <w:vAlign w:val="center"/>
          </w:tcPr>
          <w:p w:rsidR="009526BE" w:rsidRPr="005556A8" w:rsidRDefault="009526BE" w:rsidP="009526BE">
            <w:pPr>
              <w:spacing w:before="0" w:after="0"/>
              <w:jc w:val="center"/>
              <w:rPr>
                <w:color w:val="000000"/>
                <w:sz w:val="20"/>
                <w:szCs w:val="20"/>
                <w:lang w:eastAsia="en-AU"/>
              </w:rPr>
            </w:pPr>
            <w:r>
              <w:rPr>
                <w:color w:val="000000"/>
                <w:sz w:val="20"/>
                <w:szCs w:val="20"/>
              </w:rPr>
              <w:t>8</w:t>
            </w:r>
          </w:p>
        </w:tc>
      </w:tr>
      <w:tr w:rsidR="009526BE" w:rsidRPr="00EC364C" w:rsidTr="00697D31">
        <w:trPr>
          <w:trHeight w:val="312"/>
          <w:jc w:val="center"/>
        </w:trPr>
        <w:tc>
          <w:tcPr>
            <w:tcW w:w="1280" w:type="dxa"/>
            <w:vMerge/>
            <w:tcBorders>
              <w:left w:val="single" w:sz="4" w:space="0" w:color="FFFFFF"/>
              <w:bottom w:val="single" w:sz="4" w:space="0" w:color="000000"/>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000000"/>
            </w:tcBorders>
            <w:shd w:val="clear" w:color="auto" w:fill="auto"/>
            <w:noWrap/>
            <w:vAlign w:val="center"/>
          </w:tcPr>
          <w:p w:rsidR="009526BE" w:rsidRPr="00EC364C" w:rsidRDefault="009526BE" w:rsidP="009526BE">
            <w:pPr>
              <w:spacing w:before="0" w:after="0"/>
              <w:rPr>
                <w:color w:val="000000"/>
                <w:sz w:val="20"/>
                <w:szCs w:val="20"/>
                <w:lang w:eastAsia="en-AU"/>
              </w:rPr>
            </w:pPr>
            <w:r w:rsidRPr="00EC364C">
              <w:rPr>
                <w:color w:val="000000"/>
                <w:sz w:val="20"/>
                <w:szCs w:val="20"/>
                <w:lang w:eastAsia="en-AU"/>
              </w:rPr>
              <w:t>reef subtidal</w:t>
            </w:r>
          </w:p>
        </w:tc>
        <w:tc>
          <w:tcPr>
            <w:tcW w:w="761" w:type="dxa"/>
            <w:tcBorders>
              <w:bottom w:val="single" w:sz="4" w:space="0" w:color="FFFFFF"/>
            </w:tcBorders>
            <w:shd w:val="clear" w:color="auto" w:fill="auto"/>
            <w:noWrap/>
            <w:vAlign w:val="center"/>
          </w:tcPr>
          <w:p w:rsidR="009526BE" w:rsidRPr="005556A8"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9526BE" w:rsidRPr="005556A8"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9526BE" w:rsidRPr="005556A8"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9526BE" w:rsidRPr="005556A8"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9526BE" w:rsidRPr="005556A8"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FF00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bottom w:val="single" w:sz="4" w:space="0" w:color="FFFFFF"/>
            </w:tcBorders>
            <w:shd w:val="clear" w:color="auto" w:fill="FFCC00"/>
            <w:noWrap/>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33</w:t>
            </w:r>
          </w:p>
        </w:tc>
        <w:tc>
          <w:tcPr>
            <w:tcW w:w="761" w:type="dxa"/>
            <w:tcBorders>
              <w:bottom w:val="single" w:sz="4" w:space="0" w:color="FFFFFF"/>
            </w:tcBorders>
            <w:shd w:val="clear" w:color="auto" w:fill="FF0000"/>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0</w:t>
            </w:r>
          </w:p>
        </w:tc>
        <w:tc>
          <w:tcPr>
            <w:tcW w:w="761" w:type="dxa"/>
            <w:tcBorders>
              <w:bottom w:val="single" w:sz="4" w:space="0" w:color="FFFFFF"/>
            </w:tcBorders>
            <w:shd w:val="clear" w:color="auto" w:fill="FFCC00"/>
            <w:vAlign w:val="center"/>
          </w:tcPr>
          <w:p w:rsidR="009526BE" w:rsidRPr="005556A8" w:rsidRDefault="009526BE" w:rsidP="009526BE">
            <w:pPr>
              <w:spacing w:before="0" w:after="0"/>
              <w:jc w:val="center"/>
              <w:rPr>
                <w:color w:val="000000"/>
                <w:sz w:val="20"/>
                <w:szCs w:val="20"/>
                <w:lang w:eastAsia="en-AU"/>
              </w:rPr>
            </w:pPr>
            <w:r w:rsidRPr="005556A8">
              <w:rPr>
                <w:color w:val="000000"/>
                <w:sz w:val="20"/>
                <w:szCs w:val="20"/>
                <w:lang w:eastAsia="en-AU"/>
              </w:rPr>
              <w:t>25</w:t>
            </w:r>
          </w:p>
        </w:tc>
        <w:tc>
          <w:tcPr>
            <w:tcW w:w="761" w:type="dxa"/>
            <w:tcBorders>
              <w:bottom w:val="single" w:sz="4" w:space="0" w:color="FFFFFF"/>
            </w:tcBorders>
            <w:shd w:val="clear" w:color="auto" w:fill="008000"/>
            <w:vAlign w:val="center"/>
          </w:tcPr>
          <w:p w:rsidR="009526BE" w:rsidRPr="005556A8" w:rsidRDefault="009526BE" w:rsidP="009526BE">
            <w:pPr>
              <w:spacing w:before="0" w:after="0"/>
              <w:jc w:val="center"/>
              <w:rPr>
                <w:color w:val="000000"/>
                <w:sz w:val="20"/>
                <w:szCs w:val="20"/>
                <w:lang w:eastAsia="en-AU"/>
              </w:rPr>
            </w:pPr>
            <w:r>
              <w:rPr>
                <w:color w:val="000000"/>
                <w:sz w:val="20"/>
                <w:szCs w:val="20"/>
              </w:rPr>
              <w:t>83</w:t>
            </w:r>
          </w:p>
        </w:tc>
      </w:tr>
      <w:tr w:rsidR="009526BE" w:rsidRPr="00EC364C" w:rsidTr="00697D31">
        <w:trPr>
          <w:trHeight w:val="312"/>
          <w:jc w:val="center"/>
        </w:trPr>
        <w:tc>
          <w:tcPr>
            <w:tcW w:w="1280" w:type="dxa"/>
            <w:vMerge w:val="restart"/>
            <w:tcBorders>
              <w:top w:val="single" w:sz="4" w:space="0" w:color="000000"/>
              <w:left w:val="single" w:sz="4" w:space="0" w:color="FFFFFF"/>
              <w:right w:val="single" w:sz="4" w:space="0" w:color="FFFFFF"/>
            </w:tcBorders>
            <w:shd w:val="clear" w:color="auto" w:fill="auto"/>
            <w:noWrap/>
            <w:vAlign w:val="center"/>
          </w:tcPr>
          <w:p w:rsidR="009526BE" w:rsidRDefault="009526BE" w:rsidP="009526BE">
            <w:pPr>
              <w:spacing w:before="0" w:after="0" w:line="200" w:lineRule="exact"/>
              <w:ind w:left="-57" w:right="-57"/>
              <w:rPr>
                <w:color w:val="000000"/>
                <w:sz w:val="20"/>
                <w:szCs w:val="20"/>
                <w:lang w:eastAsia="en-AU"/>
              </w:rPr>
            </w:pPr>
            <w:r>
              <w:rPr>
                <w:color w:val="000000"/>
                <w:sz w:val="20"/>
                <w:szCs w:val="20"/>
                <w:lang w:eastAsia="en-AU"/>
              </w:rPr>
              <w:t>L</w:t>
            </w:r>
            <w:r w:rsidRPr="000C1668">
              <w:rPr>
                <w:color w:val="000000"/>
                <w:sz w:val="20"/>
                <w:szCs w:val="20"/>
                <w:lang w:eastAsia="en-AU"/>
              </w:rPr>
              <w:t>eaf tissue</w:t>
            </w:r>
          </w:p>
          <w:p w:rsidR="009526BE" w:rsidRPr="00EC364C" w:rsidRDefault="009526BE" w:rsidP="009526BE">
            <w:pPr>
              <w:spacing w:before="0" w:after="0"/>
              <w:rPr>
                <w:color w:val="000000"/>
                <w:sz w:val="20"/>
                <w:szCs w:val="20"/>
                <w:lang w:eastAsia="en-AU"/>
              </w:rPr>
            </w:pPr>
            <w:r w:rsidRPr="000C1668">
              <w:rPr>
                <w:color w:val="000000"/>
                <w:sz w:val="20"/>
                <w:szCs w:val="20"/>
                <w:lang w:eastAsia="en-AU"/>
              </w:rPr>
              <w:t>nutrient</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r w:rsidRPr="00EC364C">
              <w:rPr>
                <w:color w:val="000000"/>
                <w:sz w:val="20"/>
                <w:szCs w:val="20"/>
                <w:lang w:eastAsia="en-AU"/>
              </w:rPr>
              <w:t>coastal intertidal</w:t>
            </w:r>
          </w:p>
        </w:tc>
        <w:tc>
          <w:tcPr>
            <w:tcW w:w="761" w:type="dxa"/>
            <w:tcBorders>
              <w:left w:val="single" w:sz="4" w:space="0" w:color="FFFFFF"/>
            </w:tcBorders>
            <w:shd w:val="clear" w:color="auto" w:fill="FF00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11</w:t>
            </w:r>
          </w:p>
        </w:tc>
        <w:tc>
          <w:tcPr>
            <w:tcW w:w="761" w:type="dxa"/>
            <w:shd w:val="clear" w:color="auto" w:fill="FF00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10</w:t>
            </w:r>
          </w:p>
        </w:tc>
        <w:tc>
          <w:tcPr>
            <w:tcW w:w="761" w:type="dxa"/>
            <w:shd w:val="clear" w:color="auto" w:fill="FFCC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21</w:t>
            </w:r>
          </w:p>
        </w:tc>
        <w:tc>
          <w:tcPr>
            <w:tcW w:w="761" w:type="dxa"/>
            <w:shd w:val="clear" w:color="auto" w:fill="FF00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6</w:t>
            </w:r>
          </w:p>
        </w:tc>
        <w:tc>
          <w:tcPr>
            <w:tcW w:w="761" w:type="dxa"/>
            <w:shd w:val="clear" w:color="auto" w:fill="FFCC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25</w:t>
            </w:r>
          </w:p>
        </w:tc>
        <w:tc>
          <w:tcPr>
            <w:tcW w:w="761" w:type="dxa"/>
            <w:shd w:val="clear" w:color="auto" w:fill="FF00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7</w:t>
            </w:r>
          </w:p>
        </w:tc>
        <w:tc>
          <w:tcPr>
            <w:tcW w:w="761" w:type="dxa"/>
            <w:shd w:val="clear" w:color="auto" w:fill="FF00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4</w:t>
            </w:r>
          </w:p>
        </w:tc>
        <w:tc>
          <w:tcPr>
            <w:tcW w:w="761" w:type="dxa"/>
            <w:shd w:val="clear" w:color="auto" w:fill="FF0000"/>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7</w:t>
            </w:r>
          </w:p>
        </w:tc>
        <w:tc>
          <w:tcPr>
            <w:tcW w:w="761" w:type="dxa"/>
            <w:shd w:val="clear" w:color="auto" w:fill="FF0000"/>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16</w:t>
            </w:r>
          </w:p>
        </w:tc>
        <w:tc>
          <w:tcPr>
            <w:tcW w:w="761" w:type="dxa"/>
            <w:shd w:val="clear" w:color="auto" w:fill="FF0000"/>
            <w:vAlign w:val="center"/>
          </w:tcPr>
          <w:p w:rsidR="009526BE" w:rsidRPr="002D209A" w:rsidRDefault="009526BE" w:rsidP="009526BE">
            <w:pPr>
              <w:spacing w:before="0" w:after="0"/>
              <w:jc w:val="center"/>
              <w:rPr>
                <w:color w:val="000000"/>
                <w:sz w:val="20"/>
                <w:szCs w:val="20"/>
                <w:lang w:eastAsia="en-AU"/>
              </w:rPr>
            </w:pPr>
            <w:r>
              <w:rPr>
                <w:color w:val="000000"/>
                <w:sz w:val="20"/>
                <w:szCs w:val="20"/>
              </w:rPr>
              <w:t>8</w:t>
            </w:r>
          </w:p>
        </w:tc>
      </w:tr>
      <w:tr w:rsidR="009526BE" w:rsidRPr="00EC364C" w:rsidTr="001E70A1">
        <w:trPr>
          <w:trHeight w:val="312"/>
          <w:jc w:val="center"/>
        </w:trPr>
        <w:tc>
          <w:tcPr>
            <w:tcW w:w="1280" w:type="dxa"/>
            <w:vMerge/>
            <w:tcBorders>
              <w:left w:val="single" w:sz="4" w:space="0" w:color="FFFFFF"/>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tcBorders>
            <w:shd w:val="clear" w:color="auto" w:fill="auto"/>
            <w:noWrap/>
            <w:vAlign w:val="center"/>
          </w:tcPr>
          <w:p w:rsidR="009526BE" w:rsidRPr="002D209A" w:rsidRDefault="009526BE" w:rsidP="009526BE">
            <w:pPr>
              <w:spacing w:before="0" w:after="0"/>
              <w:jc w:val="center"/>
              <w:rPr>
                <w:color w:val="000000"/>
                <w:sz w:val="20"/>
                <w:szCs w:val="20"/>
                <w:lang w:eastAsia="en-AU"/>
              </w:rPr>
            </w:pPr>
          </w:p>
        </w:tc>
        <w:tc>
          <w:tcPr>
            <w:tcW w:w="761" w:type="dxa"/>
            <w:tcBorders>
              <w:top w:val="single" w:sz="4" w:space="0" w:color="FFFFFF"/>
            </w:tcBorders>
            <w:shd w:val="clear" w:color="auto" w:fill="92D05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70</w:t>
            </w:r>
          </w:p>
        </w:tc>
        <w:tc>
          <w:tcPr>
            <w:tcW w:w="761" w:type="dxa"/>
            <w:tcBorders>
              <w:top w:val="single" w:sz="4" w:space="0" w:color="FFFFFF"/>
            </w:tcBorders>
            <w:shd w:val="clear" w:color="auto" w:fill="FFFF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46</w:t>
            </w:r>
          </w:p>
        </w:tc>
        <w:tc>
          <w:tcPr>
            <w:tcW w:w="761" w:type="dxa"/>
            <w:tcBorders>
              <w:top w:val="single" w:sz="4" w:space="0" w:color="FFFFFF"/>
            </w:tcBorders>
            <w:shd w:val="clear" w:color="auto" w:fill="FFFF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47</w:t>
            </w:r>
          </w:p>
        </w:tc>
        <w:tc>
          <w:tcPr>
            <w:tcW w:w="761" w:type="dxa"/>
            <w:tcBorders>
              <w:top w:val="single" w:sz="4" w:space="0" w:color="FFFFFF"/>
            </w:tcBorders>
            <w:shd w:val="clear" w:color="auto" w:fill="FFFF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50</w:t>
            </w:r>
          </w:p>
        </w:tc>
        <w:tc>
          <w:tcPr>
            <w:tcW w:w="761" w:type="dxa"/>
            <w:tcBorders>
              <w:top w:val="single" w:sz="4" w:space="0" w:color="FFFFFF"/>
            </w:tcBorders>
            <w:shd w:val="clear" w:color="auto" w:fill="FFCC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40</w:t>
            </w:r>
          </w:p>
        </w:tc>
        <w:tc>
          <w:tcPr>
            <w:tcW w:w="761" w:type="dxa"/>
            <w:tcBorders>
              <w:top w:val="single" w:sz="4" w:space="0" w:color="FFFFFF"/>
            </w:tcBorders>
            <w:shd w:val="clear" w:color="auto" w:fill="FFCC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38</w:t>
            </w:r>
          </w:p>
        </w:tc>
        <w:tc>
          <w:tcPr>
            <w:tcW w:w="761" w:type="dxa"/>
            <w:tcBorders>
              <w:top w:val="single" w:sz="4" w:space="0" w:color="FFFFFF"/>
            </w:tcBorders>
            <w:shd w:val="clear" w:color="auto" w:fill="FFCC00"/>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40</w:t>
            </w:r>
          </w:p>
        </w:tc>
        <w:tc>
          <w:tcPr>
            <w:tcW w:w="761" w:type="dxa"/>
            <w:tcBorders>
              <w:top w:val="single" w:sz="4" w:space="0" w:color="FFFFFF"/>
            </w:tcBorders>
            <w:shd w:val="clear" w:color="auto" w:fill="FFCC00"/>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40</w:t>
            </w:r>
          </w:p>
        </w:tc>
        <w:tc>
          <w:tcPr>
            <w:tcW w:w="761" w:type="dxa"/>
            <w:tcBorders>
              <w:top w:val="single" w:sz="4" w:space="0" w:color="FFFFFF"/>
            </w:tcBorders>
            <w:shd w:val="clear" w:color="auto" w:fill="FFCC00"/>
            <w:vAlign w:val="center"/>
          </w:tcPr>
          <w:p w:rsidR="009526BE" w:rsidRPr="002D209A" w:rsidRDefault="009526BE" w:rsidP="009526BE">
            <w:pPr>
              <w:spacing w:before="0" w:after="0"/>
              <w:jc w:val="center"/>
              <w:rPr>
                <w:color w:val="000000"/>
                <w:sz w:val="20"/>
                <w:szCs w:val="20"/>
                <w:lang w:eastAsia="en-AU"/>
              </w:rPr>
            </w:pPr>
            <w:r>
              <w:rPr>
                <w:color w:val="000000"/>
                <w:sz w:val="20"/>
                <w:szCs w:val="20"/>
              </w:rPr>
              <w:t>36</w:t>
            </w:r>
          </w:p>
        </w:tc>
      </w:tr>
      <w:tr w:rsidR="009526BE" w:rsidRPr="00EC364C" w:rsidTr="00697D31">
        <w:trPr>
          <w:trHeight w:val="312"/>
          <w:jc w:val="center"/>
        </w:trPr>
        <w:tc>
          <w:tcPr>
            <w:tcW w:w="1280" w:type="dxa"/>
            <w:vMerge/>
            <w:tcBorders>
              <w:left w:val="single" w:sz="4" w:space="0" w:color="FFFFFF"/>
              <w:bottom w:val="single" w:sz="4" w:space="0" w:color="000000"/>
              <w:right w:val="single" w:sz="4" w:space="0" w:color="FFFFFF"/>
            </w:tcBorders>
            <w:shd w:val="clear" w:color="auto" w:fill="auto"/>
            <w:noWrap/>
            <w:vAlign w:val="center"/>
          </w:tcPr>
          <w:p w:rsidR="009526BE" w:rsidRPr="00EC364C" w:rsidRDefault="009526BE"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000000"/>
            </w:tcBorders>
            <w:shd w:val="clear" w:color="auto" w:fill="auto"/>
            <w:noWrap/>
            <w:vAlign w:val="center"/>
          </w:tcPr>
          <w:p w:rsidR="009526BE" w:rsidRPr="00EC364C" w:rsidRDefault="009526BE" w:rsidP="009526BE">
            <w:pPr>
              <w:spacing w:before="0" w:after="0"/>
              <w:rPr>
                <w:color w:val="000000"/>
                <w:sz w:val="20"/>
                <w:szCs w:val="20"/>
                <w:lang w:eastAsia="en-AU"/>
              </w:rPr>
            </w:pPr>
            <w:r w:rsidRPr="00EC364C">
              <w:rPr>
                <w:color w:val="000000"/>
                <w:sz w:val="20"/>
                <w:szCs w:val="20"/>
                <w:lang w:eastAsia="en-AU"/>
              </w:rPr>
              <w:t>reef subtidal</w:t>
            </w:r>
          </w:p>
        </w:tc>
        <w:tc>
          <w:tcPr>
            <w:tcW w:w="761" w:type="dxa"/>
            <w:tcBorders>
              <w:bottom w:val="single" w:sz="4" w:space="0" w:color="FFFFFF"/>
            </w:tcBorders>
            <w:shd w:val="clear" w:color="auto" w:fill="auto"/>
            <w:noWrap/>
            <w:vAlign w:val="center"/>
          </w:tcPr>
          <w:p w:rsidR="009526BE" w:rsidRPr="002D209A"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9526BE" w:rsidRPr="002D209A"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9526BE" w:rsidRPr="002D209A" w:rsidRDefault="009526BE" w:rsidP="009526BE">
            <w:pPr>
              <w:spacing w:before="0" w:after="0"/>
              <w:jc w:val="center"/>
              <w:rPr>
                <w:color w:val="000000"/>
                <w:sz w:val="20"/>
                <w:szCs w:val="20"/>
                <w:lang w:eastAsia="en-AU"/>
              </w:rPr>
            </w:pPr>
          </w:p>
        </w:tc>
        <w:tc>
          <w:tcPr>
            <w:tcW w:w="761" w:type="dxa"/>
            <w:tcBorders>
              <w:bottom w:val="single" w:sz="4" w:space="0" w:color="FFFFFF"/>
            </w:tcBorders>
            <w:shd w:val="clear" w:color="auto" w:fill="92D05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64</w:t>
            </w:r>
          </w:p>
        </w:tc>
        <w:tc>
          <w:tcPr>
            <w:tcW w:w="761" w:type="dxa"/>
            <w:tcBorders>
              <w:bottom w:val="single" w:sz="4" w:space="0" w:color="FFFFFF"/>
            </w:tcBorders>
            <w:shd w:val="clear" w:color="auto" w:fill="FFFF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48</w:t>
            </w:r>
          </w:p>
        </w:tc>
        <w:tc>
          <w:tcPr>
            <w:tcW w:w="761" w:type="dxa"/>
            <w:tcBorders>
              <w:bottom w:val="single" w:sz="4" w:space="0" w:color="FFFFFF"/>
            </w:tcBorders>
            <w:shd w:val="clear" w:color="auto" w:fill="FFFF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52</w:t>
            </w:r>
          </w:p>
        </w:tc>
        <w:tc>
          <w:tcPr>
            <w:tcW w:w="761" w:type="dxa"/>
            <w:tcBorders>
              <w:bottom w:val="single" w:sz="4" w:space="0" w:color="FFFFFF"/>
            </w:tcBorders>
            <w:shd w:val="clear" w:color="auto" w:fill="FFFF00"/>
            <w:noWrap/>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54</w:t>
            </w:r>
          </w:p>
        </w:tc>
        <w:tc>
          <w:tcPr>
            <w:tcW w:w="761" w:type="dxa"/>
            <w:tcBorders>
              <w:bottom w:val="single" w:sz="4" w:space="0" w:color="FFFFFF"/>
            </w:tcBorders>
            <w:shd w:val="clear" w:color="auto" w:fill="008000"/>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93</w:t>
            </w:r>
          </w:p>
        </w:tc>
        <w:tc>
          <w:tcPr>
            <w:tcW w:w="761" w:type="dxa"/>
            <w:tcBorders>
              <w:bottom w:val="single" w:sz="4" w:space="0" w:color="FFFFFF"/>
            </w:tcBorders>
            <w:shd w:val="clear" w:color="auto" w:fill="FFFF00"/>
            <w:vAlign w:val="center"/>
          </w:tcPr>
          <w:p w:rsidR="009526BE" w:rsidRPr="002D209A" w:rsidRDefault="009526BE" w:rsidP="009526BE">
            <w:pPr>
              <w:spacing w:before="0" w:after="0"/>
              <w:jc w:val="center"/>
              <w:rPr>
                <w:color w:val="000000"/>
                <w:sz w:val="20"/>
                <w:szCs w:val="20"/>
                <w:lang w:eastAsia="en-AU"/>
              </w:rPr>
            </w:pPr>
            <w:r w:rsidRPr="002D209A">
              <w:rPr>
                <w:color w:val="000000"/>
                <w:sz w:val="20"/>
                <w:szCs w:val="20"/>
                <w:lang w:eastAsia="en-AU"/>
              </w:rPr>
              <w:t>46</w:t>
            </w:r>
          </w:p>
        </w:tc>
        <w:tc>
          <w:tcPr>
            <w:tcW w:w="761" w:type="dxa"/>
            <w:tcBorders>
              <w:bottom w:val="single" w:sz="4" w:space="0" w:color="FFFFFF"/>
            </w:tcBorders>
            <w:shd w:val="clear" w:color="auto" w:fill="FFFF00"/>
            <w:vAlign w:val="center"/>
          </w:tcPr>
          <w:p w:rsidR="009526BE" w:rsidRPr="002D209A" w:rsidRDefault="009526BE" w:rsidP="009526BE">
            <w:pPr>
              <w:spacing w:before="0" w:after="0"/>
              <w:jc w:val="center"/>
              <w:rPr>
                <w:color w:val="000000"/>
                <w:sz w:val="20"/>
                <w:szCs w:val="20"/>
                <w:lang w:eastAsia="en-AU"/>
              </w:rPr>
            </w:pPr>
            <w:r>
              <w:rPr>
                <w:color w:val="000000"/>
                <w:sz w:val="20"/>
                <w:szCs w:val="20"/>
              </w:rPr>
              <w:t>52</w:t>
            </w:r>
          </w:p>
        </w:tc>
      </w:tr>
      <w:tr w:rsidR="009526BE" w:rsidRPr="002D209A" w:rsidTr="002605DA">
        <w:trPr>
          <w:trHeight w:val="312"/>
          <w:jc w:val="center"/>
        </w:trPr>
        <w:tc>
          <w:tcPr>
            <w:tcW w:w="2979" w:type="dxa"/>
            <w:gridSpan w:val="2"/>
            <w:tcBorders>
              <w:top w:val="single" w:sz="4" w:space="0" w:color="000000"/>
              <w:bottom w:val="single" w:sz="4" w:space="0" w:color="000000"/>
            </w:tcBorders>
            <w:shd w:val="clear" w:color="auto" w:fill="auto"/>
            <w:noWrap/>
            <w:vAlign w:val="center"/>
          </w:tcPr>
          <w:p w:rsidR="009526BE" w:rsidRPr="002D209A" w:rsidRDefault="009526BE" w:rsidP="00C60158">
            <w:pPr>
              <w:spacing w:before="0" w:after="0"/>
              <w:rPr>
                <w:b/>
                <w:color w:val="000000"/>
                <w:sz w:val="20"/>
                <w:szCs w:val="20"/>
                <w:lang w:eastAsia="en-AU"/>
              </w:rPr>
            </w:pPr>
            <w:r>
              <w:rPr>
                <w:b/>
                <w:color w:val="000000"/>
                <w:sz w:val="20"/>
                <w:szCs w:val="20"/>
                <w:lang w:eastAsia="en-AU"/>
              </w:rPr>
              <w:t>Seagrass Index</w:t>
            </w:r>
          </w:p>
        </w:tc>
        <w:tc>
          <w:tcPr>
            <w:tcW w:w="761" w:type="dxa"/>
            <w:tcBorders>
              <w:top w:val="single" w:sz="4" w:space="0" w:color="000000"/>
              <w:bottom w:val="single" w:sz="4" w:space="0" w:color="000000"/>
            </w:tcBorders>
            <w:shd w:val="clear" w:color="auto" w:fill="FF0000"/>
            <w:noWrap/>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20</w:t>
            </w:r>
          </w:p>
        </w:tc>
        <w:tc>
          <w:tcPr>
            <w:tcW w:w="761" w:type="dxa"/>
            <w:tcBorders>
              <w:top w:val="single" w:sz="4" w:space="0" w:color="000000"/>
              <w:bottom w:val="single" w:sz="4" w:space="0" w:color="000000"/>
            </w:tcBorders>
            <w:shd w:val="clear" w:color="auto" w:fill="FFCC00"/>
            <w:noWrap/>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27</w:t>
            </w:r>
          </w:p>
        </w:tc>
        <w:tc>
          <w:tcPr>
            <w:tcW w:w="761" w:type="dxa"/>
            <w:tcBorders>
              <w:top w:val="single" w:sz="4" w:space="0" w:color="000000"/>
              <w:bottom w:val="single" w:sz="4" w:space="0" w:color="000000"/>
            </w:tcBorders>
            <w:shd w:val="clear" w:color="auto" w:fill="FFCC00"/>
            <w:noWrap/>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27</w:t>
            </w:r>
          </w:p>
        </w:tc>
        <w:tc>
          <w:tcPr>
            <w:tcW w:w="761" w:type="dxa"/>
            <w:tcBorders>
              <w:top w:val="single" w:sz="4" w:space="0" w:color="000000"/>
              <w:bottom w:val="single" w:sz="4" w:space="0" w:color="000000"/>
            </w:tcBorders>
            <w:shd w:val="clear" w:color="auto" w:fill="FFCC00"/>
            <w:noWrap/>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35</w:t>
            </w:r>
          </w:p>
        </w:tc>
        <w:tc>
          <w:tcPr>
            <w:tcW w:w="761" w:type="dxa"/>
            <w:tcBorders>
              <w:top w:val="single" w:sz="4" w:space="0" w:color="000000"/>
              <w:bottom w:val="single" w:sz="4" w:space="0" w:color="000000"/>
            </w:tcBorders>
            <w:shd w:val="clear" w:color="auto" w:fill="FFCC00"/>
            <w:noWrap/>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30</w:t>
            </w:r>
          </w:p>
        </w:tc>
        <w:tc>
          <w:tcPr>
            <w:tcW w:w="761" w:type="dxa"/>
            <w:tcBorders>
              <w:top w:val="single" w:sz="4" w:space="0" w:color="000000"/>
              <w:bottom w:val="single" w:sz="4" w:space="0" w:color="000000"/>
            </w:tcBorders>
            <w:shd w:val="clear" w:color="auto" w:fill="FFCC00"/>
            <w:noWrap/>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23</w:t>
            </w:r>
          </w:p>
        </w:tc>
        <w:tc>
          <w:tcPr>
            <w:tcW w:w="761" w:type="dxa"/>
            <w:tcBorders>
              <w:top w:val="single" w:sz="4" w:space="0" w:color="000000"/>
              <w:bottom w:val="single" w:sz="4" w:space="0" w:color="000000"/>
            </w:tcBorders>
            <w:shd w:val="clear" w:color="auto" w:fill="FFCC00"/>
            <w:noWrap/>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22</w:t>
            </w:r>
          </w:p>
        </w:tc>
        <w:tc>
          <w:tcPr>
            <w:tcW w:w="761" w:type="dxa"/>
            <w:tcBorders>
              <w:top w:val="single" w:sz="4" w:space="0" w:color="000000"/>
              <w:bottom w:val="single" w:sz="4" w:space="0" w:color="000000"/>
            </w:tcBorders>
            <w:shd w:val="clear" w:color="auto" w:fill="FFCC00"/>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23</w:t>
            </w:r>
          </w:p>
        </w:tc>
        <w:tc>
          <w:tcPr>
            <w:tcW w:w="761" w:type="dxa"/>
            <w:tcBorders>
              <w:top w:val="single" w:sz="4" w:space="0" w:color="000000"/>
              <w:bottom w:val="single" w:sz="4" w:space="0" w:color="000000"/>
            </w:tcBorders>
            <w:shd w:val="clear" w:color="auto" w:fill="FFCC00"/>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23</w:t>
            </w:r>
          </w:p>
        </w:tc>
        <w:tc>
          <w:tcPr>
            <w:tcW w:w="761" w:type="dxa"/>
            <w:tcBorders>
              <w:top w:val="single" w:sz="4" w:space="0" w:color="000000"/>
              <w:bottom w:val="single" w:sz="4" w:space="0" w:color="000000"/>
            </w:tcBorders>
            <w:shd w:val="clear" w:color="auto" w:fill="FFCC00"/>
            <w:vAlign w:val="center"/>
          </w:tcPr>
          <w:p w:rsidR="009526BE" w:rsidRPr="002D209A" w:rsidRDefault="009526BE" w:rsidP="009526BE">
            <w:pPr>
              <w:spacing w:before="0" w:after="0"/>
              <w:jc w:val="center"/>
              <w:rPr>
                <w:b/>
                <w:color w:val="000000"/>
                <w:sz w:val="20"/>
                <w:szCs w:val="20"/>
                <w:lang w:eastAsia="en-AU"/>
              </w:rPr>
            </w:pPr>
            <w:r>
              <w:rPr>
                <w:b/>
                <w:color w:val="000000"/>
                <w:sz w:val="20"/>
                <w:szCs w:val="20"/>
                <w:lang w:eastAsia="en-AU"/>
              </w:rPr>
              <w:t>27</w:t>
            </w:r>
          </w:p>
        </w:tc>
      </w:tr>
    </w:tbl>
    <w:p w:rsidR="005D1A37" w:rsidRPr="006E0687" w:rsidRDefault="005132EF" w:rsidP="00926892">
      <w:pPr>
        <w:pStyle w:val="Heading2"/>
        <w:numPr>
          <w:ilvl w:val="1"/>
          <w:numId w:val="9"/>
        </w:numPr>
        <w:rPr>
          <w:rFonts w:ascii="Century Gothic" w:hAnsi="Century Gothic"/>
          <w:color w:val="000000"/>
        </w:rPr>
      </w:pPr>
      <w:r w:rsidRPr="00015190">
        <w:rPr>
          <w:color w:val="0000FF"/>
        </w:rPr>
        <w:br w:type="page"/>
      </w:r>
      <w:bookmarkStart w:id="334" w:name="_Toc175991073"/>
      <w:bookmarkStart w:id="335" w:name="_Toc232845917"/>
      <w:bookmarkStart w:id="336" w:name="_Toc184101995"/>
      <w:bookmarkStart w:id="337" w:name="_Toc431493768"/>
      <w:bookmarkStart w:id="338" w:name="_Toc462047348"/>
      <w:bookmarkStart w:id="339" w:name="_Toc170191629"/>
      <w:r w:rsidR="005D1A37" w:rsidRPr="006E0687">
        <w:rPr>
          <w:rFonts w:ascii="Century Gothic" w:hAnsi="Century Gothic"/>
          <w:color w:val="000000"/>
        </w:rPr>
        <w:lastRenderedPageBreak/>
        <w:t>Burdekin</w:t>
      </w:r>
      <w:bookmarkEnd w:id="334"/>
      <w:bookmarkEnd w:id="335"/>
      <w:bookmarkEnd w:id="336"/>
      <w:bookmarkEnd w:id="337"/>
      <w:bookmarkEnd w:id="338"/>
    </w:p>
    <w:p w:rsidR="005132EF" w:rsidRPr="00BD0604" w:rsidRDefault="00EC364C" w:rsidP="00926892">
      <w:pPr>
        <w:pStyle w:val="Heading3"/>
        <w:numPr>
          <w:ilvl w:val="2"/>
          <w:numId w:val="9"/>
        </w:numPr>
        <w:rPr>
          <w:rFonts w:ascii="Arial" w:hAnsi="Arial" w:cs="Arial"/>
          <w:color w:val="000000"/>
        </w:rPr>
      </w:pPr>
      <w:bookmarkStart w:id="340" w:name="_Toc184101996"/>
      <w:bookmarkStart w:id="341" w:name="_Toc431493769"/>
      <w:bookmarkStart w:id="342" w:name="_Toc462047349"/>
      <w:bookmarkStart w:id="343" w:name="_Toc170191630"/>
      <w:bookmarkStart w:id="344" w:name="_Toc175991074"/>
      <w:bookmarkStart w:id="345" w:name="_Toc232845918"/>
      <w:bookmarkEnd w:id="339"/>
      <w:r w:rsidRPr="00BD0604">
        <w:rPr>
          <w:rFonts w:ascii="Arial" w:hAnsi="Arial" w:cs="Arial"/>
          <w:color w:val="000000"/>
        </w:rPr>
        <w:t>201</w:t>
      </w:r>
      <w:r w:rsidR="000C1447">
        <w:rPr>
          <w:rFonts w:ascii="Arial" w:hAnsi="Arial" w:cs="Arial"/>
          <w:color w:val="000000"/>
        </w:rPr>
        <w:t>4</w:t>
      </w:r>
      <w:r w:rsidRPr="00BD0604">
        <w:rPr>
          <w:rFonts w:ascii="Arial" w:hAnsi="Arial" w:cs="Arial"/>
          <w:color w:val="000000"/>
        </w:rPr>
        <w:t>-1</w:t>
      </w:r>
      <w:r w:rsidR="000C1447">
        <w:rPr>
          <w:rFonts w:ascii="Arial" w:hAnsi="Arial" w:cs="Arial"/>
          <w:color w:val="000000"/>
        </w:rPr>
        <w:t>5</w:t>
      </w:r>
      <w:r w:rsidR="005132EF" w:rsidRPr="00BD0604">
        <w:rPr>
          <w:rFonts w:ascii="Arial" w:hAnsi="Arial" w:cs="Arial"/>
          <w:color w:val="000000"/>
        </w:rPr>
        <w:t xml:space="preserve"> Summary</w:t>
      </w:r>
      <w:bookmarkEnd w:id="340"/>
      <w:bookmarkEnd w:id="341"/>
      <w:bookmarkEnd w:id="342"/>
    </w:p>
    <w:p w:rsidR="000C1447" w:rsidRPr="009855BE" w:rsidRDefault="000C1447" w:rsidP="000C1447">
      <w:pPr>
        <w:rPr>
          <w:szCs w:val="22"/>
        </w:rPr>
      </w:pPr>
      <w:bookmarkStart w:id="346" w:name="_Toc184101997"/>
      <w:bookmarkStart w:id="347" w:name="_Toc431493770"/>
      <w:r w:rsidRPr="009855BE">
        <w:rPr>
          <w:szCs w:val="22"/>
        </w:rPr>
        <w:t>Inshore seagrass meadows in the Burdekin region are primarily structured by wind-induced turbidity (re</w:t>
      </w:r>
      <w:r>
        <w:rPr>
          <w:szCs w:val="22"/>
        </w:rPr>
        <w:t>-</w:t>
      </w:r>
      <w:r w:rsidRPr="009855BE">
        <w:rPr>
          <w:szCs w:val="22"/>
        </w:rPr>
        <w:t xml:space="preserve">suspension) in the short term and by episodic riverine delivery of nutrients and sediment in the medium </w:t>
      </w:r>
      <w:r>
        <w:rPr>
          <w:szCs w:val="22"/>
        </w:rPr>
        <w:t>term</w:t>
      </w:r>
      <w:r w:rsidRPr="009855BE">
        <w:rPr>
          <w:szCs w:val="22"/>
        </w:rPr>
        <w:t xml:space="preserve">. </w:t>
      </w:r>
      <w:r w:rsidRPr="009855BE">
        <w:rPr>
          <w:lang w:val="en-GB"/>
        </w:rPr>
        <w:t>2014-15 was the driest year on record in the Burdekin, with well below median discharges from the major rivers</w:t>
      </w:r>
      <w:r>
        <w:rPr>
          <w:lang w:val="en-GB"/>
        </w:rPr>
        <w:t>. However, it</w:t>
      </w:r>
      <w:r w:rsidRPr="009855BE">
        <w:rPr>
          <w:lang w:val="en-GB"/>
        </w:rPr>
        <w:t xml:space="preserve"> was a period of average</w:t>
      </w:r>
      <w:r>
        <w:rPr>
          <w:lang w:val="en-GB"/>
        </w:rPr>
        <w:t xml:space="preserve"> </w:t>
      </w:r>
      <w:r w:rsidRPr="009855BE">
        <w:rPr>
          <w:lang w:val="en-GB"/>
        </w:rPr>
        <w:t xml:space="preserve">wind. </w:t>
      </w:r>
      <w:r w:rsidR="00213082">
        <w:rPr>
          <w:lang w:val="en-GB"/>
        </w:rPr>
        <w:t>Seagrass</w:t>
      </w:r>
      <w:r w:rsidRPr="009855BE">
        <w:rPr>
          <w:lang w:val="en-GB"/>
        </w:rPr>
        <w:t xml:space="preserve"> sites were covered in primary or secondary water types for 100% of </w:t>
      </w:r>
      <w:r>
        <w:rPr>
          <w:lang w:val="en-GB"/>
        </w:rPr>
        <w:t>the wet season (</w:t>
      </w:r>
      <w:r w:rsidRPr="009855BE">
        <w:rPr>
          <w:lang w:val="en-GB"/>
        </w:rPr>
        <w:t>December 2014-April 2015</w:t>
      </w:r>
      <w:r>
        <w:rPr>
          <w:lang w:val="en-GB"/>
        </w:rPr>
        <w:t>)</w:t>
      </w:r>
      <w:r w:rsidRPr="009855BE">
        <w:rPr>
          <w:lang w:val="en-GB"/>
        </w:rPr>
        <w:t xml:space="preserve">, which </w:t>
      </w:r>
      <w:r>
        <w:rPr>
          <w:szCs w:val="22"/>
        </w:rPr>
        <w:t>would contribute to</w:t>
      </w:r>
      <w:r w:rsidRPr="009855BE">
        <w:rPr>
          <w:szCs w:val="22"/>
        </w:rPr>
        <w:t xml:space="preserve"> the below average daily light. Seagrasses across the region experienced average sea temperatures</w:t>
      </w:r>
      <w:r>
        <w:rPr>
          <w:szCs w:val="22"/>
        </w:rPr>
        <w:t xml:space="preserve"> with</w:t>
      </w:r>
      <w:r w:rsidRPr="009855BE">
        <w:rPr>
          <w:szCs w:val="22"/>
        </w:rPr>
        <w:t xml:space="preserve"> no extreme temperatures (&gt;40</w:t>
      </w:r>
      <w:r w:rsidRPr="009855BE">
        <w:rPr>
          <w:szCs w:val="22"/>
        </w:rPr>
        <w:sym w:font="Symbol" w:char="F0B0"/>
      </w:r>
      <w:r w:rsidRPr="009855BE">
        <w:rPr>
          <w:szCs w:val="22"/>
        </w:rPr>
        <w:t>C</w:t>
      </w:r>
      <w:r w:rsidRPr="009855BE">
        <w:rPr>
          <w:rFonts w:cs="Calibri"/>
          <w:szCs w:val="22"/>
        </w:rPr>
        <w:t>)</w:t>
      </w:r>
      <w:r>
        <w:rPr>
          <w:rFonts w:cs="Calibri"/>
          <w:szCs w:val="22"/>
        </w:rPr>
        <w:t xml:space="preserve"> and </w:t>
      </w:r>
      <w:r w:rsidRPr="009855BE">
        <w:rPr>
          <w:szCs w:val="22"/>
        </w:rPr>
        <w:t xml:space="preserve">below median </w:t>
      </w:r>
      <w:r w:rsidRPr="009855BE">
        <w:rPr>
          <w:lang w:val="en-GB"/>
        </w:rPr>
        <w:t xml:space="preserve">daytime </w:t>
      </w:r>
      <w:r w:rsidRPr="009855BE">
        <w:rPr>
          <w:szCs w:val="22"/>
        </w:rPr>
        <w:t xml:space="preserve">tidal exposure </w:t>
      </w:r>
      <w:r>
        <w:rPr>
          <w:szCs w:val="22"/>
        </w:rPr>
        <w:t xml:space="preserve">in 2014-15 </w:t>
      </w:r>
      <w:r w:rsidRPr="009855BE">
        <w:rPr>
          <w:lang w:val="en-GB"/>
        </w:rPr>
        <w:t xml:space="preserve">would </w:t>
      </w:r>
      <w:r>
        <w:rPr>
          <w:lang w:val="en-GB"/>
        </w:rPr>
        <w:t xml:space="preserve">also </w:t>
      </w:r>
      <w:r w:rsidRPr="009855BE">
        <w:rPr>
          <w:lang w:val="en-GB"/>
        </w:rPr>
        <w:t>have limited heat and desiccation stress</w:t>
      </w:r>
      <w:r w:rsidRPr="009855BE">
        <w:rPr>
          <w:szCs w:val="22"/>
        </w:rPr>
        <w:t>.</w:t>
      </w:r>
    </w:p>
    <w:p w:rsidR="00C71F26" w:rsidRDefault="000C1447" w:rsidP="000C1447">
      <w:pPr>
        <w:rPr>
          <w:szCs w:val="22"/>
        </w:rPr>
      </w:pPr>
      <w:r w:rsidRPr="00213082">
        <w:rPr>
          <w:szCs w:val="22"/>
        </w:rPr>
        <w:t xml:space="preserve">Seagrass meadows in the Burdekin NRM region continued to increase in abundance over 2014-15, similar to the previous monitoring period at all habitats. These were the highest abundances recorded in the last five years, with the greatest improvement in subtidal meadows to levels not previously recorded. The overall abundance score was marginally moderate and was close to the </w:t>
      </w:r>
      <w:r w:rsidR="00C71F26">
        <w:rPr>
          <w:szCs w:val="22"/>
        </w:rPr>
        <w:t>base limit</w:t>
      </w:r>
      <w:r w:rsidRPr="00213082">
        <w:rPr>
          <w:szCs w:val="22"/>
        </w:rPr>
        <w:t xml:space="preserve"> for good.</w:t>
      </w:r>
      <w:r w:rsidR="00C71F26">
        <w:rPr>
          <w:szCs w:val="22"/>
        </w:rPr>
        <w:t xml:space="preserve"> Seagrass extent similarly increased during </w:t>
      </w:r>
      <w:r w:rsidR="00C71F26" w:rsidRPr="00213082">
        <w:rPr>
          <w:szCs w:val="22"/>
        </w:rPr>
        <w:t>2014-15</w:t>
      </w:r>
      <w:r w:rsidR="00C71F26">
        <w:rPr>
          <w:szCs w:val="22"/>
        </w:rPr>
        <w:t>, and in early 2015 was at or above baseline values.</w:t>
      </w:r>
    </w:p>
    <w:p w:rsidR="000C1447" w:rsidRPr="00213082" w:rsidRDefault="000C1447" w:rsidP="000C1447">
      <w:pPr>
        <w:rPr>
          <w:szCs w:val="22"/>
          <w:lang w:eastAsia="en-AU"/>
        </w:rPr>
      </w:pPr>
      <w:r w:rsidRPr="00213082">
        <w:rPr>
          <w:szCs w:val="22"/>
        </w:rPr>
        <w:t xml:space="preserve">Annual monitoring </w:t>
      </w:r>
      <w:r w:rsidR="00DA13F7">
        <w:rPr>
          <w:szCs w:val="22"/>
        </w:rPr>
        <w:t xml:space="preserve">as part of the </w:t>
      </w:r>
      <w:r w:rsidRPr="00213082">
        <w:rPr>
          <w:szCs w:val="22"/>
          <w:lang w:val="en-US"/>
        </w:rPr>
        <w:t>Q</w:t>
      </w:r>
      <w:r w:rsidR="00C71F26">
        <w:rPr>
          <w:szCs w:val="22"/>
          <w:lang w:val="en-US"/>
        </w:rPr>
        <w:t xml:space="preserve">ueensland </w:t>
      </w:r>
      <w:r w:rsidRPr="00213082">
        <w:rPr>
          <w:szCs w:val="22"/>
          <w:lang w:val="en-US"/>
        </w:rPr>
        <w:t>P</w:t>
      </w:r>
      <w:r w:rsidR="00C71F26">
        <w:rPr>
          <w:szCs w:val="22"/>
          <w:lang w:val="en-US"/>
        </w:rPr>
        <w:t xml:space="preserve">orts </w:t>
      </w:r>
      <w:r w:rsidRPr="00213082">
        <w:rPr>
          <w:szCs w:val="22"/>
          <w:lang w:val="en-US"/>
        </w:rPr>
        <w:t>S</w:t>
      </w:r>
      <w:r w:rsidR="00C71F26">
        <w:rPr>
          <w:szCs w:val="22"/>
          <w:lang w:val="en-US"/>
        </w:rPr>
        <w:t xml:space="preserve">eagrass </w:t>
      </w:r>
      <w:r w:rsidRPr="00213082">
        <w:rPr>
          <w:szCs w:val="22"/>
          <w:lang w:val="en-US"/>
        </w:rPr>
        <w:t>M</w:t>
      </w:r>
      <w:r w:rsidR="00C71F26">
        <w:rPr>
          <w:szCs w:val="22"/>
          <w:lang w:val="en-US"/>
        </w:rPr>
        <w:t xml:space="preserve">onitoring </w:t>
      </w:r>
      <w:r w:rsidRPr="00213082">
        <w:rPr>
          <w:szCs w:val="22"/>
          <w:lang w:val="en-US"/>
        </w:rPr>
        <w:t>P</w:t>
      </w:r>
      <w:r w:rsidR="00C71F26">
        <w:rPr>
          <w:szCs w:val="22"/>
          <w:lang w:val="en-US"/>
        </w:rPr>
        <w:t>rogram</w:t>
      </w:r>
      <w:r w:rsidR="00DA13F7">
        <w:rPr>
          <w:szCs w:val="22"/>
          <w:lang w:val="en-US"/>
        </w:rPr>
        <w:t xml:space="preserve"> (QPSMP</w:t>
      </w:r>
      <w:r w:rsidRPr="00213082">
        <w:rPr>
          <w:szCs w:val="22"/>
          <w:lang w:val="en-US"/>
        </w:rPr>
        <w:t xml:space="preserve">) </w:t>
      </w:r>
      <w:r w:rsidR="00DA13F7">
        <w:rPr>
          <w:szCs w:val="22"/>
          <w:lang w:val="en-US"/>
        </w:rPr>
        <w:t>in</w:t>
      </w:r>
      <w:r w:rsidRPr="00213082">
        <w:rPr>
          <w:szCs w:val="22"/>
          <w:lang w:val="en-US"/>
        </w:rPr>
        <w:t xml:space="preserve"> the Cleveland Bay region (Townsville) showed </w:t>
      </w:r>
      <w:r w:rsidRPr="00213082">
        <w:rPr>
          <w:szCs w:val="22"/>
          <w:lang w:eastAsia="en-AU"/>
        </w:rPr>
        <w:t xml:space="preserve">continued recovery in meadow area and biomass in October 2014, and </w:t>
      </w:r>
      <w:r w:rsidRPr="00213082">
        <w:rPr>
          <w:szCs w:val="22"/>
        </w:rPr>
        <w:t xml:space="preserve">biomass surpassed the long-term average in 8 out of 10 meadows </w:t>
      </w:r>
      <w:r w:rsidRPr="00213082">
        <w:rPr>
          <w:szCs w:val="22"/>
          <w:lang w:eastAsia="en-AU"/>
        </w:rPr>
        <w:t>(</w:t>
      </w:r>
      <w:hyperlink w:anchor="_ENREF_81" w:tooltip="Davies, 2015 #10489" w:history="1">
        <w:r w:rsidR="00E6043D">
          <w:fldChar w:fldCharType="begin"/>
        </w:r>
        <w:r w:rsidR="00E6043D">
          <w:instrText xml:space="preserve"> ADDIN EN.CITE &lt;EndNote&gt;&lt;Cite&gt;&lt;Author&gt;Davies&lt;/Author&gt;&lt;Year&gt;2015&lt;/Year&gt;&lt;RecNum&gt;10489&lt;/RecNum&gt;&lt;DisplayText&gt;Davies&lt;style face="italic"&gt; et al.&lt;/style&gt; 2015&lt;/DisplayText&gt;&lt;record&gt;&lt;rec-number&gt;10489&lt;/rec-number&gt;&lt;foreign-keys&gt;&lt;key app="EN" db-id="0eve55x9y5vfd6e9dacxtew4eatve2dzds9a"&gt;10489&lt;/key&gt;&lt;/foreign-keys&gt;&lt;ref-type name="Book"&gt;6&lt;/ref-type&gt;&lt;contributors&gt;&lt;authors&gt;&lt;author&gt;Davies, JN&lt;/author&gt;&lt;author&gt;Tol, SJ&lt;/author&gt;&lt;author&gt;Rasheed, MA &lt;/author&gt;&lt;/authors&gt;&lt;/contributors&gt;&lt;titles&gt;&lt;title&gt;Port of Townsville Annual Monitoring Survey: October 2014&lt;/title&gt;&lt;/titles&gt;&lt;dates&gt;&lt;year&gt;2015&lt;/year&gt;&lt;/dates&gt;&lt;pub-location&gt;Cairns&lt;/pub-location&gt;&lt;publisher&gt;JCU Publication, Centre for Tropical Water &amp;amp; Aquatic Ecosystem Research&lt;/publisher&gt;&lt;urls&gt;&lt;/urls&gt;&lt;/record&gt;&lt;/Cite&gt;&lt;/EndNote&gt;</w:instrText>
        </w:r>
        <w:r w:rsidR="00E6043D">
          <w:fldChar w:fldCharType="separate"/>
        </w:r>
        <w:r w:rsidR="00E6043D">
          <w:rPr>
            <w:noProof/>
          </w:rPr>
          <w:t>Davies</w:t>
        </w:r>
        <w:r w:rsidR="00E6043D" w:rsidRPr="009A0520">
          <w:rPr>
            <w:i/>
            <w:noProof/>
          </w:rPr>
          <w:t xml:space="preserve"> et al.</w:t>
        </w:r>
        <w:r w:rsidR="00E6043D">
          <w:rPr>
            <w:noProof/>
          </w:rPr>
          <w:t xml:space="preserve"> 2015</w:t>
        </w:r>
        <w:r w:rsidR="00E6043D">
          <w:fldChar w:fldCharType="end"/>
        </w:r>
      </w:hyperlink>
      <w:r w:rsidRPr="00213082">
        <w:t>)</w:t>
      </w:r>
      <w:r w:rsidRPr="00213082">
        <w:rPr>
          <w:szCs w:val="22"/>
          <w:lang w:eastAsia="en-AU"/>
        </w:rPr>
        <w:t>. However, at the port of Abbot Point in the southern Burdekin region, the dynamic deep-water seagrass meadows increased in biomass (visual estimates), while inshore meadows showed little improvement (</w:t>
      </w:r>
      <w:hyperlink w:anchor="_ENREF_160" w:tooltip="McKenna, 2015 #10488" w:history="1">
        <w:r w:rsidR="00E6043D">
          <w:rPr>
            <w:szCs w:val="22"/>
            <w:lang w:eastAsia="en-AU"/>
          </w:rPr>
          <w:fldChar w:fldCharType="begin"/>
        </w:r>
        <w:r w:rsidR="00E6043D">
          <w:rPr>
            <w:szCs w:val="22"/>
            <w:lang w:eastAsia="en-AU"/>
          </w:rPr>
          <w:instrText xml:space="preserve"> ADDIN EN.CITE &lt;EndNote&gt;&lt;Cite&gt;&lt;Author&gt;McKenna&lt;/Author&gt;&lt;Year&gt;2015&lt;/Year&gt;&lt;RecNum&gt;10488&lt;/RecNum&gt;&lt;DisplayText&gt;McKenna&lt;style face="italic"&gt; et al.&lt;/style&gt; 2015&lt;/DisplayText&gt;&lt;record&gt;&lt;rec-number&gt;10488&lt;/rec-number&gt;&lt;foreign-keys&gt;&lt;key app="EN" db-id="0eve55x9y5vfd6e9dacxtew4eatve2dzds9a"&gt;10488&lt;/key&gt;&lt;/foreign-keys&gt;&lt;ref-type name="Book"&gt;6&lt;/ref-type&gt;&lt;contributors&gt;&lt;authors&gt;&lt;author&gt;McKenna, SA&lt;/author&gt;&lt;author&gt;Sozou, AM&lt;/author&gt;&lt;author&gt;Scott, EL&lt;/author&gt;&lt;author&gt;Rasheed, MA&lt;/author&gt;&lt;/authors&gt;&lt;/contributors&gt;&lt;titles&gt;&lt;title&gt;Port of Abbot Point Long-Term Seagrass Monitoring: Annual Report 2013-2014&lt;/title&gt;&lt;/titles&gt;&lt;pages&gt;42&lt;/pages&gt;&lt;dates&gt;&lt;year&gt;2015&lt;/year&gt;&lt;/dates&gt;&lt;pub-location&gt;Cairns&lt;/pub-location&gt;&lt;publisher&gt;JCU Publication, Centre for Tropical Water &amp;amp; Aquatic Ecosystem Research&lt;/publisher&gt;&lt;urls&gt;&lt;/urls&gt;&lt;/record&gt;&lt;/Cite&gt;&lt;/EndNote&gt;</w:instrText>
        </w:r>
        <w:r w:rsidR="00E6043D">
          <w:rPr>
            <w:szCs w:val="22"/>
            <w:lang w:eastAsia="en-AU"/>
          </w:rPr>
          <w:fldChar w:fldCharType="separate"/>
        </w:r>
        <w:r w:rsidR="00E6043D">
          <w:rPr>
            <w:noProof/>
            <w:szCs w:val="22"/>
            <w:lang w:eastAsia="en-AU"/>
          </w:rPr>
          <w:t>McKenna</w:t>
        </w:r>
        <w:r w:rsidR="00E6043D" w:rsidRPr="00644A84">
          <w:rPr>
            <w:i/>
            <w:noProof/>
            <w:szCs w:val="22"/>
            <w:lang w:eastAsia="en-AU"/>
          </w:rPr>
          <w:t xml:space="preserve"> et al.</w:t>
        </w:r>
        <w:r w:rsidR="00E6043D">
          <w:rPr>
            <w:noProof/>
            <w:szCs w:val="22"/>
            <w:lang w:eastAsia="en-AU"/>
          </w:rPr>
          <w:t xml:space="preserve"> 2015</w:t>
        </w:r>
        <w:r w:rsidR="00E6043D">
          <w:rPr>
            <w:szCs w:val="22"/>
            <w:lang w:eastAsia="en-AU"/>
          </w:rPr>
          <w:fldChar w:fldCharType="end"/>
        </w:r>
      </w:hyperlink>
      <w:r w:rsidRPr="00213082">
        <w:rPr>
          <w:szCs w:val="22"/>
          <w:lang w:eastAsia="en-AU"/>
        </w:rPr>
        <w:t xml:space="preserve">). </w:t>
      </w:r>
    </w:p>
    <w:p w:rsidR="000C1447" w:rsidRPr="00CC7FA4" w:rsidRDefault="000C1447" w:rsidP="000C1447">
      <w:pPr>
        <w:rPr>
          <w:szCs w:val="22"/>
        </w:rPr>
      </w:pPr>
      <w:r w:rsidRPr="00CC7FA4">
        <w:rPr>
          <w:rFonts w:cs="TimesNewRoman,Italic"/>
          <w:iCs/>
          <w:szCs w:val="22"/>
        </w:rPr>
        <w:t xml:space="preserve">Reproductive effort was increased slightly at reef subtidal sites while the seed bank increased substantially. </w:t>
      </w:r>
      <w:r>
        <w:rPr>
          <w:rFonts w:cs="TimesNewRoman,Italic"/>
          <w:iCs/>
          <w:szCs w:val="22"/>
        </w:rPr>
        <w:t>T</w:t>
      </w:r>
      <w:r w:rsidRPr="00CC7FA4">
        <w:rPr>
          <w:rFonts w:cs="TimesNewRoman,Italic"/>
          <w:iCs/>
          <w:szCs w:val="22"/>
        </w:rPr>
        <w:t>here was very high reproductive effort at coastal intertidal sites</w:t>
      </w:r>
      <w:r>
        <w:rPr>
          <w:rFonts w:cs="TimesNewRoman,Italic"/>
          <w:iCs/>
          <w:szCs w:val="22"/>
        </w:rPr>
        <w:t xml:space="preserve"> (October 2014)</w:t>
      </w:r>
      <w:r w:rsidRPr="00CC7FA4">
        <w:rPr>
          <w:rFonts w:cs="TimesNewRoman,Italic"/>
          <w:iCs/>
          <w:szCs w:val="22"/>
        </w:rPr>
        <w:t xml:space="preserve">, </w:t>
      </w:r>
      <w:r>
        <w:rPr>
          <w:rFonts w:cs="TimesNewRoman,Italic"/>
          <w:iCs/>
          <w:szCs w:val="22"/>
        </w:rPr>
        <w:t xml:space="preserve">but </w:t>
      </w:r>
      <w:r w:rsidRPr="00CC7FA4">
        <w:rPr>
          <w:rFonts w:cs="TimesNewRoman,Italic"/>
          <w:iCs/>
          <w:szCs w:val="22"/>
        </w:rPr>
        <w:t>the seed bank remained considerably lower than earlier records (2007). At reef intertidal sites, the seed bank and reproductive effort remains low. The overall score for reproductive effort has declined to moderate in 2014-15 after a good rating in 2013-14</w:t>
      </w:r>
      <w:r>
        <w:rPr>
          <w:rFonts w:cs="TimesNewRoman,Italic"/>
          <w:iCs/>
          <w:szCs w:val="22"/>
        </w:rPr>
        <w:t xml:space="preserve">, with meadows remaining in a somewhat reduced state of resilience. </w:t>
      </w:r>
      <w:r w:rsidRPr="00CC7FA4">
        <w:rPr>
          <w:szCs w:val="22"/>
        </w:rPr>
        <w:t>The C:N ratio of seagrass leaves declined slightly in 2014-15 after increases in previous years. Light availability was not particularly high over the past year and there was a high exposure to both primary and secondary water types, suggests, an increase in N availability and potentially reduced photosynthe</w:t>
      </w:r>
      <w:r w:rsidR="00C71F26">
        <w:rPr>
          <w:szCs w:val="22"/>
        </w:rPr>
        <w:t>sis</w:t>
      </w:r>
      <w:r w:rsidRPr="00CC7FA4">
        <w:rPr>
          <w:szCs w:val="22"/>
        </w:rPr>
        <w:t xml:space="preserve">. </w:t>
      </w:r>
    </w:p>
    <w:p w:rsidR="000C1447" w:rsidRDefault="000C1447" w:rsidP="000C1447">
      <w:pPr>
        <w:rPr>
          <w:szCs w:val="22"/>
        </w:rPr>
      </w:pPr>
      <w:r>
        <w:rPr>
          <w:szCs w:val="22"/>
        </w:rPr>
        <w:t>Over the past decade, s</w:t>
      </w:r>
      <w:r w:rsidRPr="00093D70">
        <w:rPr>
          <w:szCs w:val="22"/>
        </w:rPr>
        <w:t xml:space="preserve">eagrass </w:t>
      </w:r>
      <w:r>
        <w:rPr>
          <w:szCs w:val="22"/>
        </w:rPr>
        <w:t xml:space="preserve">meadows </w:t>
      </w:r>
      <w:r w:rsidRPr="00093D70">
        <w:rPr>
          <w:szCs w:val="22"/>
        </w:rPr>
        <w:t>of the B</w:t>
      </w:r>
      <w:r>
        <w:rPr>
          <w:szCs w:val="22"/>
        </w:rPr>
        <w:t>urdekin region</w:t>
      </w:r>
      <w:r w:rsidRPr="00093D70">
        <w:rPr>
          <w:szCs w:val="22"/>
        </w:rPr>
        <w:t xml:space="preserve"> have demonst</w:t>
      </w:r>
      <w:r>
        <w:rPr>
          <w:szCs w:val="22"/>
        </w:rPr>
        <w:t>rat</w:t>
      </w:r>
      <w:r w:rsidRPr="00093D70">
        <w:rPr>
          <w:szCs w:val="22"/>
        </w:rPr>
        <w:t>ed high resi</w:t>
      </w:r>
      <w:r>
        <w:rPr>
          <w:szCs w:val="22"/>
        </w:rPr>
        <w:t xml:space="preserve">lience particularly </w:t>
      </w:r>
      <w:r w:rsidRPr="00093D70">
        <w:rPr>
          <w:szCs w:val="22"/>
        </w:rPr>
        <w:t>th</w:t>
      </w:r>
      <w:r>
        <w:rPr>
          <w:szCs w:val="22"/>
        </w:rPr>
        <w:t>r</w:t>
      </w:r>
      <w:r w:rsidRPr="00093D70">
        <w:rPr>
          <w:szCs w:val="22"/>
        </w:rPr>
        <w:t xml:space="preserve">ough </w:t>
      </w:r>
      <w:r>
        <w:rPr>
          <w:szCs w:val="22"/>
        </w:rPr>
        <w:t xml:space="preserve">their capacity for </w:t>
      </w:r>
      <w:r w:rsidRPr="00093D70">
        <w:rPr>
          <w:szCs w:val="22"/>
        </w:rPr>
        <w:t xml:space="preserve">recovery. This may reflect a </w:t>
      </w:r>
      <w:r>
        <w:rPr>
          <w:szCs w:val="22"/>
        </w:rPr>
        <w:t xml:space="preserve">conditioning to disturbance </w:t>
      </w:r>
      <w:r w:rsidRPr="00093D70">
        <w:rPr>
          <w:szCs w:val="22"/>
        </w:rPr>
        <w:t xml:space="preserve">(high seed bank, high </w:t>
      </w:r>
      <w:r w:rsidR="00C71F26">
        <w:rPr>
          <w:szCs w:val="22"/>
        </w:rPr>
        <w:t xml:space="preserve">species </w:t>
      </w:r>
      <w:r w:rsidRPr="00093D70">
        <w:rPr>
          <w:szCs w:val="22"/>
        </w:rPr>
        <w:t xml:space="preserve">diversity), but also reflects the nature of the disturbances </w:t>
      </w:r>
      <w:r>
        <w:rPr>
          <w:szCs w:val="22"/>
        </w:rPr>
        <w:t>which are acute and episodic</w:t>
      </w:r>
      <w:r w:rsidRPr="00093D70">
        <w:rPr>
          <w:szCs w:val="22"/>
        </w:rPr>
        <w:t xml:space="preserve"> dominated by Burde</w:t>
      </w:r>
      <w:r>
        <w:rPr>
          <w:szCs w:val="22"/>
        </w:rPr>
        <w:t>kin River flow</w:t>
      </w:r>
      <w:r w:rsidRPr="00093D70">
        <w:rPr>
          <w:szCs w:val="22"/>
        </w:rPr>
        <w:t xml:space="preserve">s </w:t>
      </w:r>
      <w:r>
        <w:rPr>
          <w:szCs w:val="22"/>
        </w:rPr>
        <w:t xml:space="preserve">while in the </w:t>
      </w:r>
      <w:r w:rsidRPr="00093D70">
        <w:rPr>
          <w:szCs w:val="22"/>
        </w:rPr>
        <w:t>adjacent Wet tropics</w:t>
      </w:r>
      <w:r>
        <w:rPr>
          <w:szCs w:val="22"/>
        </w:rPr>
        <w:t>, multiple and ongoing disturbances tend to occur</w:t>
      </w:r>
      <w:r w:rsidRPr="00093D70">
        <w:rPr>
          <w:szCs w:val="22"/>
        </w:rPr>
        <w:t xml:space="preserve">. </w:t>
      </w:r>
      <w:r w:rsidRPr="00CC7FA4">
        <w:rPr>
          <w:szCs w:val="22"/>
        </w:rPr>
        <w:t xml:space="preserve">Burdekin regional seagrass state declined slightly from good in 2013-14 to </w:t>
      </w:r>
      <w:r w:rsidRPr="00CC7FA4">
        <w:rPr>
          <w:b/>
          <w:szCs w:val="22"/>
        </w:rPr>
        <w:t>moderate</w:t>
      </w:r>
      <w:r w:rsidRPr="00CC7FA4">
        <w:rPr>
          <w:szCs w:val="22"/>
        </w:rPr>
        <w:t xml:space="preserve"> in 2014-15 due largely to </w:t>
      </w:r>
      <w:r>
        <w:rPr>
          <w:szCs w:val="22"/>
        </w:rPr>
        <w:t xml:space="preserve">reduced </w:t>
      </w:r>
      <w:r w:rsidRPr="00CC7FA4">
        <w:rPr>
          <w:szCs w:val="22"/>
        </w:rPr>
        <w:t>reproductive effort (</w:t>
      </w:r>
      <w:r w:rsidR="00F7114B">
        <w:rPr>
          <w:szCs w:val="22"/>
        </w:rPr>
        <w:fldChar w:fldCharType="begin"/>
      </w:r>
      <w:r w:rsidR="00F7114B">
        <w:rPr>
          <w:szCs w:val="22"/>
        </w:rPr>
        <w:instrText xml:space="preserve"> REF _Ref410385306 \h </w:instrText>
      </w:r>
      <w:r w:rsidR="00F7114B">
        <w:rPr>
          <w:szCs w:val="22"/>
        </w:rPr>
      </w:r>
      <w:r w:rsidR="00F7114B">
        <w:rPr>
          <w:szCs w:val="22"/>
        </w:rPr>
        <w:fldChar w:fldCharType="separate"/>
      </w:r>
      <w:r w:rsidR="009C068F" w:rsidRPr="0090020B">
        <w:rPr>
          <w:color w:val="000000"/>
        </w:rPr>
        <w:t xml:space="preserve">Figure </w:t>
      </w:r>
      <w:r w:rsidR="009C068F">
        <w:rPr>
          <w:noProof/>
          <w:color w:val="000000"/>
        </w:rPr>
        <w:t>56</w:t>
      </w:r>
      <w:r w:rsidR="00F7114B">
        <w:rPr>
          <w:szCs w:val="22"/>
        </w:rPr>
        <w:fldChar w:fldCharType="end"/>
      </w:r>
      <w:r w:rsidRPr="00CC7FA4">
        <w:rPr>
          <w:szCs w:val="22"/>
        </w:rPr>
        <w:t xml:space="preserve">). </w:t>
      </w:r>
    </w:p>
    <w:p w:rsidR="00C64CB8" w:rsidRDefault="00C64CB8" w:rsidP="00C64CB8">
      <w:pPr>
        <w:keepNext/>
        <w:widowControl w:val="0"/>
        <w:spacing w:after="0"/>
        <w:jc w:val="center"/>
        <w:rPr>
          <w:color w:val="000000"/>
          <w:szCs w:val="22"/>
        </w:rPr>
      </w:pPr>
      <w:r>
        <w:rPr>
          <w:noProof/>
          <w:color w:val="000000"/>
          <w:szCs w:val="22"/>
          <w:lang w:eastAsia="en-AU"/>
        </w:rPr>
        <w:lastRenderedPageBreak/>
        <w:drawing>
          <wp:inline distT="0" distB="0" distL="0" distR="0" wp14:anchorId="6080388D" wp14:editId="32066FFC">
            <wp:extent cx="5040000" cy="2721600"/>
            <wp:effectExtent l="0" t="0" r="8255" b="3175"/>
            <wp:docPr id="137" name="Picture 137" descr="Panel of four scatter plots with straight lines and markers showing report card of seagrass condition (indicators and index) for the Burdekin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INDEX_B_2015.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040000" cy="2721600"/>
                    </a:xfrm>
                    <a:prstGeom prst="rect">
                      <a:avLst/>
                    </a:prstGeom>
                  </pic:spPr>
                </pic:pic>
              </a:graphicData>
            </a:graphic>
          </wp:inline>
        </w:drawing>
      </w:r>
    </w:p>
    <w:p w:rsidR="00C64CB8" w:rsidRPr="0090020B" w:rsidRDefault="00C64CB8" w:rsidP="00C64CB8">
      <w:pPr>
        <w:rPr>
          <w:i/>
          <w:vanish/>
          <w:color w:val="000000"/>
          <w:specVanish/>
        </w:rPr>
      </w:pPr>
      <w:bookmarkStart w:id="348" w:name="_Ref410385306"/>
      <w:bookmarkStart w:id="349" w:name="_Toc431493856"/>
      <w:bookmarkStart w:id="350" w:name="_Toc462684896"/>
      <w:r w:rsidRPr="0090020B">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56</w:t>
      </w:r>
      <w:r>
        <w:rPr>
          <w:color w:val="000000"/>
        </w:rPr>
        <w:fldChar w:fldCharType="end"/>
      </w:r>
      <w:bookmarkEnd w:id="348"/>
      <w:r w:rsidRPr="0090020B">
        <w:rPr>
          <w:color w:val="000000"/>
        </w:rPr>
        <w:t xml:space="preserve">. </w:t>
      </w:r>
      <w:r w:rsidRPr="0090020B">
        <w:rPr>
          <w:i/>
          <w:color w:val="000000"/>
        </w:rPr>
        <w:t>Report card of seagrass status indicators and index for the Burdekin NRM region</w:t>
      </w:r>
      <w:bookmarkEnd w:id="349"/>
      <w:bookmarkEnd w:id="350"/>
    </w:p>
    <w:p w:rsidR="00C64CB8" w:rsidRDefault="00C64CB8" w:rsidP="00C64CB8">
      <w:pPr>
        <w:rPr>
          <w:i/>
          <w:szCs w:val="22"/>
        </w:rPr>
      </w:pPr>
      <w:r w:rsidRPr="0090020B">
        <w:rPr>
          <w:i/>
          <w:color w:val="000000"/>
          <w:szCs w:val="22"/>
        </w:rPr>
        <w:t xml:space="preserve"> (averages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w:t>
      </w:r>
      <w:proofErr w:type="spellStart"/>
      <w:r>
        <w:rPr>
          <w:i/>
          <w:szCs w:val="22"/>
        </w:rPr>
        <w:t>unitless</w:t>
      </w:r>
      <w:proofErr w:type="spellEnd"/>
      <w:r w:rsidRPr="00E237C6">
        <w:rPr>
          <w:i/>
          <w:szCs w:val="22"/>
        </w:rPr>
        <w:t>.</w:t>
      </w:r>
    </w:p>
    <w:p w:rsidR="00DA13F7" w:rsidRDefault="00DA13F7" w:rsidP="00C64CB8">
      <w:pPr>
        <w:rPr>
          <w:color w:val="000000"/>
          <w:szCs w:val="22"/>
        </w:rPr>
      </w:pPr>
    </w:p>
    <w:p w:rsidR="000C1447" w:rsidRPr="000C1040" w:rsidRDefault="000C1447" w:rsidP="00926892">
      <w:pPr>
        <w:pStyle w:val="Heading3"/>
        <w:numPr>
          <w:ilvl w:val="2"/>
          <w:numId w:val="9"/>
        </w:numPr>
        <w:rPr>
          <w:rFonts w:ascii="Arial" w:hAnsi="Arial" w:cs="Arial"/>
          <w:color w:val="000000"/>
        </w:rPr>
      </w:pPr>
      <w:bookmarkStart w:id="351" w:name="_Toc462047350"/>
      <w:r w:rsidRPr="000C1040">
        <w:rPr>
          <w:rFonts w:ascii="Arial" w:hAnsi="Arial" w:cs="Arial"/>
          <w:color w:val="000000"/>
        </w:rPr>
        <w:t>Climate and environmental pressures</w:t>
      </w:r>
      <w:bookmarkEnd w:id="351"/>
    </w:p>
    <w:p w:rsidR="000C1447" w:rsidRDefault="000C1447" w:rsidP="000C1447">
      <w:r>
        <w:t>Rainfall and river discharge were the lowest on record, with flows from the Burdekin Rivers being 14% of the long-term average (</w:t>
      </w:r>
      <w:r w:rsidR="00993358">
        <w:fldChar w:fldCharType="begin"/>
      </w:r>
      <w:r w:rsidR="00993358">
        <w:instrText xml:space="preserve"> REF _Ref442551414 \h </w:instrText>
      </w:r>
      <w:r w:rsidR="00993358">
        <w:fldChar w:fldCharType="separate"/>
      </w:r>
      <w:r w:rsidR="009C068F">
        <w:t xml:space="preserve">Table </w:t>
      </w:r>
      <w:r w:rsidR="009C068F">
        <w:rPr>
          <w:noProof/>
        </w:rPr>
        <w:t>18</w:t>
      </w:r>
      <w:r w:rsidR="00993358">
        <w:fldChar w:fldCharType="end"/>
      </w:r>
      <w:r>
        <w:t>). However, wind was around the long-term average, and may have continued to resuspend fine sediments and nutrients adsorbed to their surface. Seagrass monitoring sites were exposed to primary or secondary water for 100% (F</w:t>
      </w:r>
      <w:r w:rsidRPr="006A56B0">
        <w:rPr>
          <w:vertAlign w:val="subscript"/>
        </w:rPr>
        <w:t>P+S</w:t>
      </w:r>
      <w:r>
        <w:t xml:space="preserve"> = 1.00) of the wet season. </w:t>
      </w:r>
      <w:r w:rsidR="00D14175">
        <w:t>C</w:t>
      </w:r>
      <w:r>
        <w:t xml:space="preserve">oastal sites were exposed to </w:t>
      </w:r>
      <w:r w:rsidR="00D14175">
        <w:t xml:space="preserve">turbid, sediment laden, </w:t>
      </w:r>
      <w:r>
        <w:t>primary water</w:t>
      </w:r>
      <w:r w:rsidR="00D14175">
        <w:t>s</w:t>
      </w:r>
      <w:r>
        <w:t xml:space="preserve">, and reefs sites were exposed largely to </w:t>
      </w:r>
      <w:r w:rsidR="00D14175">
        <w:t xml:space="preserve">high nutrient </w:t>
      </w:r>
      <w:r>
        <w:t>secondary water</w:t>
      </w:r>
      <w:r w:rsidR="00D14175">
        <w:t>s</w:t>
      </w:r>
      <w:r w:rsidR="00B65283">
        <w:t>,</w:t>
      </w:r>
      <w:r>
        <w:t xml:space="preserve"> </w:t>
      </w:r>
      <w:r w:rsidR="00D14175">
        <w:t xml:space="preserve">for the duration of the 2014-15 monsoon period </w:t>
      </w:r>
      <w:r>
        <w:t>(</w:t>
      </w:r>
      <w:r w:rsidR="00D14175">
        <w:fldChar w:fldCharType="begin"/>
      </w:r>
      <w:r w:rsidR="00D14175">
        <w:instrText xml:space="preserve"> REF _Ref461446989 \h </w:instrText>
      </w:r>
      <w:r w:rsidR="00D14175">
        <w:fldChar w:fldCharType="separate"/>
      </w:r>
      <w:r w:rsidR="009C068F">
        <w:t xml:space="preserve">Figure </w:t>
      </w:r>
      <w:r w:rsidR="009C068F">
        <w:rPr>
          <w:noProof/>
        </w:rPr>
        <w:t>57</w:t>
      </w:r>
      <w:r w:rsidR="00D14175">
        <w:fldChar w:fldCharType="end"/>
      </w:r>
      <w:r w:rsidR="00D14175">
        <w:t xml:space="preserve">, </w:t>
      </w:r>
      <w:r w:rsidR="00D14175">
        <w:fldChar w:fldCharType="begin"/>
      </w:r>
      <w:r w:rsidR="00D14175">
        <w:instrText xml:space="preserve"> REF _Ref461447002 \h </w:instrText>
      </w:r>
      <w:r w:rsidR="00D14175">
        <w:fldChar w:fldCharType="separate"/>
      </w:r>
      <w:r w:rsidR="009C068F">
        <w:t xml:space="preserve">Table </w:t>
      </w:r>
      <w:r w:rsidR="009C068F">
        <w:rPr>
          <w:noProof/>
        </w:rPr>
        <w:t>19</w:t>
      </w:r>
      <w:r w:rsidR="00D14175">
        <w:fldChar w:fldCharType="end"/>
      </w:r>
      <w:r w:rsidR="00D14175">
        <w:t>).</w:t>
      </w:r>
    </w:p>
    <w:p w:rsidR="00DA13F7" w:rsidRDefault="00DA13F7" w:rsidP="000C1447">
      <w:pPr>
        <w:rPr>
          <w:color w:val="000000"/>
          <w:szCs w:val="22"/>
        </w:rPr>
      </w:pPr>
    </w:p>
    <w:p w:rsidR="000C1447" w:rsidRPr="005515AE" w:rsidRDefault="005515AE" w:rsidP="001402C9">
      <w:pPr>
        <w:jc w:val="center"/>
        <w:rPr>
          <w:i/>
        </w:rPr>
      </w:pPr>
      <w:bookmarkStart w:id="352" w:name="_Ref442551414"/>
      <w:bookmarkStart w:id="353" w:name="_Toc462685087"/>
      <w:r>
        <w:t xml:space="preserve">Table </w:t>
      </w:r>
      <w:fldSimple w:instr=" SEQ Table \* ARABIC ">
        <w:r w:rsidR="009C068F">
          <w:rPr>
            <w:noProof/>
          </w:rPr>
          <w:t>18</w:t>
        </w:r>
      </w:fldSimple>
      <w:bookmarkEnd w:id="352"/>
      <w:r>
        <w:t xml:space="preserve">.  </w:t>
      </w:r>
      <w:r w:rsidR="000C1447" w:rsidRPr="005515AE">
        <w:rPr>
          <w:i/>
        </w:rPr>
        <w:t>Summary of environmental conditions at monitoring sites in the Burdekin in 2014-15 compared to the long-term average (long-term range indicated for each data set) including climate, discharge, plume, and within seagrass canopy conditions.</w:t>
      </w:r>
      <w:bookmarkEnd w:id="353"/>
    </w:p>
    <w:tbl>
      <w:tblPr>
        <w:tblW w:w="0" w:type="auto"/>
        <w:jc w:val="center"/>
        <w:tblBorders>
          <w:bottom w:val="single" w:sz="4" w:space="0" w:color="auto"/>
        </w:tblBorders>
        <w:tblLook w:val="04A0" w:firstRow="1" w:lastRow="0" w:firstColumn="1" w:lastColumn="0" w:noHBand="0" w:noVBand="1"/>
      </w:tblPr>
      <w:tblGrid>
        <w:gridCol w:w="4210"/>
        <w:gridCol w:w="2268"/>
        <w:gridCol w:w="1559"/>
      </w:tblGrid>
      <w:tr w:rsidR="000C1447" w:rsidRPr="005515AE" w:rsidTr="001402C9">
        <w:trPr>
          <w:trHeight w:val="227"/>
          <w:jc w:val="center"/>
        </w:trPr>
        <w:tc>
          <w:tcPr>
            <w:tcW w:w="4210" w:type="dxa"/>
            <w:tcBorders>
              <w:top w:val="single" w:sz="4" w:space="0" w:color="auto"/>
              <w:bottom w:val="single" w:sz="4" w:space="0" w:color="auto"/>
            </w:tcBorders>
            <w:shd w:val="clear" w:color="auto" w:fill="BBE0E3"/>
          </w:tcPr>
          <w:p w:rsidR="000C1447" w:rsidRPr="005515AE" w:rsidRDefault="000C1447"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rsidR="000C1447" w:rsidRPr="005515AE" w:rsidRDefault="000C1447" w:rsidP="0059610E">
            <w:pPr>
              <w:spacing w:before="0" w:after="0"/>
              <w:rPr>
                <w:b/>
                <w:sz w:val="18"/>
                <w:szCs w:val="18"/>
              </w:rPr>
            </w:pPr>
            <w:r w:rsidRPr="005515AE">
              <w:rPr>
                <w:b/>
                <w:sz w:val="18"/>
                <w:szCs w:val="18"/>
              </w:rPr>
              <w:t>Long-term average</w:t>
            </w:r>
          </w:p>
        </w:tc>
        <w:tc>
          <w:tcPr>
            <w:tcW w:w="1559" w:type="dxa"/>
            <w:tcBorders>
              <w:top w:val="single" w:sz="4" w:space="0" w:color="auto"/>
              <w:bottom w:val="single" w:sz="4" w:space="0" w:color="auto"/>
            </w:tcBorders>
            <w:shd w:val="clear" w:color="auto" w:fill="BBE0E3"/>
          </w:tcPr>
          <w:p w:rsidR="000C1447" w:rsidRPr="005515AE" w:rsidRDefault="000C1447" w:rsidP="0059610E">
            <w:pPr>
              <w:spacing w:before="0" w:after="0"/>
              <w:rPr>
                <w:b/>
                <w:sz w:val="18"/>
                <w:szCs w:val="18"/>
              </w:rPr>
            </w:pPr>
            <w:r w:rsidRPr="005515AE">
              <w:rPr>
                <w:b/>
                <w:sz w:val="18"/>
                <w:szCs w:val="18"/>
              </w:rPr>
              <w:t>2014-15</w:t>
            </w:r>
          </w:p>
        </w:tc>
      </w:tr>
      <w:tr w:rsidR="000C1447" w:rsidTr="001402C9">
        <w:trPr>
          <w:trHeight w:val="227"/>
          <w:jc w:val="center"/>
        </w:trPr>
        <w:tc>
          <w:tcPr>
            <w:tcW w:w="4210" w:type="dxa"/>
            <w:shd w:val="clear" w:color="auto" w:fill="E7F3F4"/>
          </w:tcPr>
          <w:p w:rsidR="000C1447" w:rsidRPr="008D1B84" w:rsidRDefault="000C1447" w:rsidP="0059610E">
            <w:pPr>
              <w:spacing w:before="0" w:after="0"/>
              <w:rPr>
                <w:sz w:val="18"/>
                <w:szCs w:val="18"/>
              </w:rPr>
            </w:pPr>
            <w:r w:rsidRPr="008D1B84">
              <w:rPr>
                <w:sz w:val="18"/>
                <w:szCs w:val="18"/>
              </w:rPr>
              <w:t>Rainfall</w:t>
            </w:r>
            <w:r>
              <w:rPr>
                <w:sz w:val="18"/>
                <w:szCs w:val="18"/>
              </w:rPr>
              <w:t xml:space="preserve"> (1940-2015)</w:t>
            </w:r>
          </w:p>
        </w:tc>
        <w:tc>
          <w:tcPr>
            <w:tcW w:w="2268" w:type="dxa"/>
            <w:shd w:val="clear" w:color="auto" w:fill="E7F3F4"/>
          </w:tcPr>
          <w:p w:rsidR="000C1447" w:rsidRPr="008D1B84" w:rsidRDefault="000C1447" w:rsidP="0059610E">
            <w:pPr>
              <w:spacing w:before="0" w:after="0"/>
              <w:rPr>
                <w:sz w:val="18"/>
                <w:szCs w:val="18"/>
              </w:rPr>
            </w:pPr>
            <w:r>
              <w:rPr>
                <w:sz w:val="18"/>
                <w:szCs w:val="18"/>
              </w:rPr>
              <w:t>1,040 mm</w:t>
            </w:r>
          </w:p>
        </w:tc>
        <w:tc>
          <w:tcPr>
            <w:tcW w:w="1559" w:type="dxa"/>
            <w:shd w:val="clear" w:color="auto" w:fill="E7F3F4"/>
          </w:tcPr>
          <w:p w:rsidR="000C1447" w:rsidRPr="008D1B84" w:rsidRDefault="000C1447" w:rsidP="0059610E">
            <w:pPr>
              <w:spacing w:before="0" w:after="0"/>
              <w:rPr>
                <w:sz w:val="18"/>
                <w:szCs w:val="18"/>
              </w:rPr>
            </w:pPr>
            <w:r>
              <w:rPr>
                <w:sz w:val="18"/>
                <w:szCs w:val="18"/>
              </w:rPr>
              <w:t>430 mm</w:t>
            </w:r>
          </w:p>
        </w:tc>
      </w:tr>
      <w:tr w:rsidR="000C1447" w:rsidTr="001402C9">
        <w:trPr>
          <w:trHeight w:val="227"/>
          <w:jc w:val="center"/>
        </w:trPr>
        <w:tc>
          <w:tcPr>
            <w:tcW w:w="4210" w:type="dxa"/>
            <w:shd w:val="clear" w:color="auto" w:fill="E7F3F4"/>
          </w:tcPr>
          <w:p w:rsidR="000C1447" w:rsidRDefault="000C1447" w:rsidP="0059610E">
            <w:pPr>
              <w:spacing w:before="0" w:after="0"/>
              <w:rPr>
                <w:sz w:val="18"/>
                <w:szCs w:val="18"/>
              </w:rPr>
            </w:pPr>
            <w:r>
              <w:rPr>
                <w:sz w:val="18"/>
                <w:szCs w:val="18"/>
              </w:rPr>
              <w:t>River discharge (1970</w:t>
            </w:r>
            <w:r w:rsidRPr="008D1B84">
              <w:rPr>
                <w:sz w:val="18"/>
                <w:szCs w:val="18"/>
              </w:rPr>
              <w:t>-2015)</w:t>
            </w:r>
          </w:p>
        </w:tc>
        <w:tc>
          <w:tcPr>
            <w:tcW w:w="2268" w:type="dxa"/>
            <w:shd w:val="clear" w:color="auto" w:fill="E7F3F4"/>
          </w:tcPr>
          <w:p w:rsidR="000C1447" w:rsidRDefault="00D14175" w:rsidP="0059610E">
            <w:pPr>
              <w:spacing w:before="0" w:after="0"/>
              <w:rPr>
                <w:sz w:val="18"/>
                <w:szCs w:val="18"/>
              </w:rPr>
            </w:pPr>
            <w:r w:rsidRPr="00D14175">
              <w:rPr>
                <w:sz w:val="18"/>
                <w:szCs w:val="18"/>
              </w:rPr>
              <w:t>4,720,910</w:t>
            </w:r>
            <w:r w:rsidRPr="006A6B6C">
              <w:rPr>
                <w:rFonts w:asciiTheme="majorHAnsi" w:hAnsiTheme="majorHAnsi"/>
                <w:color w:val="000000"/>
                <w:sz w:val="18"/>
                <w:szCs w:val="18"/>
              </w:rPr>
              <w:t xml:space="preserve"> </w:t>
            </w:r>
            <w:r w:rsidRPr="008D1B84">
              <w:rPr>
                <w:sz w:val="18"/>
                <w:szCs w:val="18"/>
              </w:rPr>
              <w:t>L</w:t>
            </w:r>
            <w:r>
              <w:rPr>
                <w:sz w:val="18"/>
                <w:szCs w:val="18"/>
              </w:rPr>
              <w:t xml:space="preserve"> yr</w:t>
            </w:r>
            <w:r w:rsidRPr="00233108">
              <w:rPr>
                <w:sz w:val="18"/>
                <w:szCs w:val="18"/>
                <w:vertAlign w:val="superscript"/>
              </w:rPr>
              <w:t>-1</w:t>
            </w:r>
          </w:p>
        </w:tc>
        <w:tc>
          <w:tcPr>
            <w:tcW w:w="1559" w:type="dxa"/>
            <w:shd w:val="clear" w:color="auto" w:fill="E7F3F4"/>
          </w:tcPr>
          <w:p w:rsidR="000C1447" w:rsidRDefault="00D14175" w:rsidP="0059610E">
            <w:pPr>
              <w:spacing w:before="0" w:after="0"/>
              <w:rPr>
                <w:sz w:val="18"/>
                <w:szCs w:val="18"/>
              </w:rPr>
            </w:pPr>
            <w:r>
              <w:rPr>
                <w:color w:val="000000"/>
                <w:sz w:val="18"/>
                <w:szCs w:val="18"/>
              </w:rPr>
              <w:t>665,616</w:t>
            </w:r>
            <w:r w:rsidRPr="002663DB">
              <w:rPr>
                <w:color w:val="000000"/>
                <w:sz w:val="18"/>
                <w:szCs w:val="18"/>
              </w:rPr>
              <w:t xml:space="preserve"> </w:t>
            </w:r>
            <w:r w:rsidRPr="008D1B84">
              <w:rPr>
                <w:sz w:val="18"/>
                <w:szCs w:val="18"/>
              </w:rPr>
              <w:t>L</w:t>
            </w:r>
            <w:r>
              <w:rPr>
                <w:sz w:val="18"/>
                <w:szCs w:val="18"/>
              </w:rPr>
              <w:t xml:space="preserve"> yr</w:t>
            </w:r>
            <w:r w:rsidRPr="00233108">
              <w:rPr>
                <w:sz w:val="18"/>
                <w:szCs w:val="18"/>
                <w:vertAlign w:val="superscript"/>
              </w:rPr>
              <w:t>-1</w:t>
            </w:r>
          </w:p>
        </w:tc>
      </w:tr>
      <w:tr w:rsidR="000C1447" w:rsidTr="001402C9">
        <w:trPr>
          <w:trHeight w:val="227"/>
          <w:jc w:val="center"/>
        </w:trPr>
        <w:tc>
          <w:tcPr>
            <w:tcW w:w="4210" w:type="dxa"/>
            <w:shd w:val="clear" w:color="auto" w:fill="E7F3F4"/>
          </w:tcPr>
          <w:p w:rsidR="000C1447" w:rsidRDefault="000C1447" w:rsidP="0059610E">
            <w:pPr>
              <w:spacing w:before="0" w:after="0"/>
              <w:rPr>
                <w:sz w:val="18"/>
                <w:szCs w:val="18"/>
              </w:rPr>
            </w:pPr>
            <w:r>
              <w:rPr>
                <w:sz w:val="18"/>
                <w:szCs w:val="18"/>
              </w:rPr>
              <w:t>Flood p</w:t>
            </w:r>
            <w:r w:rsidRPr="008D1B84">
              <w:rPr>
                <w:sz w:val="18"/>
                <w:szCs w:val="18"/>
              </w:rPr>
              <w:t>lume exposure (2006-2015)</w:t>
            </w:r>
          </w:p>
        </w:tc>
        <w:tc>
          <w:tcPr>
            <w:tcW w:w="2268" w:type="dxa"/>
            <w:shd w:val="clear" w:color="auto" w:fill="E7F3F4"/>
          </w:tcPr>
          <w:p w:rsidR="000C1447" w:rsidRPr="004A0042" w:rsidRDefault="000C1447" w:rsidP="0059610E">
            <w:pPr>
              <w:spacing w:before="0" w:after="0"/>
              <w:rPr>
                <w:i/>
                <w:sz w:val="16"/>
                <w:szCs w:val="16"/>
              </w:rPr>
            </w:pPr>
            <w:r w:rsidRPr="004A0042">
              <w:rPr>
                <w:i/>
                <w:sz w:val="16"/>
                <w:szCs w:val="16"/>
              </w:rPr>
              <w:t>unavailable</w:t>
            </w:r>
          </w:p>
        </w:tc>
        <w:tc>
          <w:tcPr>
            <w:tcW w:w="1559" w:type="dxa"/>
            <w:shd w:val="clear" w:color="auto" w:fill="E7F3F4"/>
          </w:tcPr>
          <w:p w:rsidR="000C1447" w:rsidRDefault="000C1447" w:rsidP="0059610E">
            <w:pPr>
              <w:spacing w:before="0" w:after="0"/>
              <w:rPr>
                <w:sz w:val="18"/>
                <w:szCs w:val="18"/>
              </w:rPr>
            </w:pPr>
            <w:r>
              <w:rPr>
                <w:sz w:val="18"/>
                <w:szCs w:val="18"/>
              </w:rPr>
              <w:t>100%</w:t>
            </w:r>
          </w:p>
        </w:tc>
      </w:tr>
      <w:tr w:rsidR="000C1447" w:rsidTr="001402C9">
        <w:trPr>
          <w:trHeight w:val="227"/>
          <w:jc w:val="center"/>
        </w:trPr>
        <w:tc>
          <w:tcPr>
            <w:tcW w:w="4210" w:type="dxa"/>
            <w:shd w:val="clear" w:color="auto" w:fill="E7F3F4"/>
          </w:tcPr>
          <w:p w:rsidR="000C1447" w:rsidRPr="008D1B84" w:rsidRDefault="000C1447" w:rsidP="0059610E">
            <w:pPr>
              <w:spacing w:before="0" w:after="0"/>
              <w:rPr>
                <w:sz w:val="18"/>
                <w:szCs w:val="18"/>
              </w:rPr>
            </w:pPr>
            <w:r>
              <w:rPr>
                <w:sz w:val="18"/>
                <w:szCs w:val="18"/>
              </w:rPr>
              <w:t>Daytime tidal exposure 2000-2015)</w:t>
            </w:r>
          </w:p>
        </w:tc>
        <w:tc>
          <w:tcPr>
            <w:tcW w:w="2268" w:type="dxa"/>
            <w:shd w:val="clear" w:color="auto" w:fill="E7F3F4"/>
          </w:tcPr>
          <w:p w:rsidR="000C1447" w:rsidRPr="008D1B84" w:rsidRDefault="000C1447" w:rsidP="0059610E">
            <w:pPr>
              <w:spacing w:before="0" w:after="0"/>
              <w:rPr>
                <w:sz w:val="18"/>
                <w:szCs w:val="18"/>
              </w:rPr>
            </w:pPr>
            <w:r>
              <w:rPr>
                <w:sz w:val="18"/>
                <w:szCs w:val="18"/>
              </w:rPr>
              <w:t>123.1 hrs yr</w:t>
            </w:r>
            <w:r w:rsidRPr="003E5A31">
              <w:rPr>
                <w:sz w:val="18"/>
                <w:szCs w:val="18"/>
                <w:vertAlign w:val="superscript"/>
              </w:rPr>
              <w:t>-1</w:t>
            </w:r>
          </w:p>
        </w:tc>
        <w:tc>
          <w:tcPr>
            <w:tcW w:w="1559" w:type="dxa"/>
            <w:shd w:val="clear" w:color="auto" w:fill="E7F3F4"/>
          </w:tcPr>
          <w:p w:rsidR="000C1447" w:rsidRPr="008D1B84" w:rsidRDefault="000C1447" w:rsidP="0059610E">
            <w:pPr>
              <w:spacing w:before="0" w:after="0"/>
              <w:rPr>
                <w:sz w:val="18"/>
                <w:szCs w:val="18"/>
              </w:rPr>
            </w:pPr>
            <w:r>
              <w:rPr>
                <w:sz w:val="18"/>
                <w:szCs w:val="18"/>
              </w:rPr>
              <w:t>57.63 hrs yr</w:t>
            </w:r>
            <w:r w:rsidRPr="003E5A31">
              <w:rPr>
                <w:sz w:val="18"/>
                <w:szCs w:val="18"/>
                <w:vertAlign w:val="superscript"/>
              </w:rPr>
              <w:t>-1</w:t>
            </w:r>
          </w:p>
        </w:tc>
      </w:tr>
      <w:tr w:rsidR="000C1447" w:rsidTr="001402C9">
        <w:trPr>
          <w:trHeight w:val="227"/>
          <w:jc w:val="center"/>
        </w:trPr>
        <w:tc>
          <w:tcPr>
            <w:tcW w:w="4210" w:type="dxa"/>
            <w:tcBorders>
              <w:bottom w:val="single" w:sz="4" w:space="0" w:color="auto"/>
            </w:tcBorders>
            <w:shd w:val="clear" w:color="auto" w:fill="E7F3F4"/>
          </w:tcPr>
          <w:p w:rsidR="000C1447" w:rsidRPr="008D1B84" w:rsidRDefault="000C1447" w:rsidP="0059610E">
            <w:pPr>
              <w:spacing w:before="0" w:after="0"/>
              <w:rPr>
                <w:sz w:val="18"/>
                <w:szCs w:val="18"/>
              </w:rPr>
            </w:pPr>
            <w:r w:rsidRPr="008D1B84">
              <w:rPr>
                <w:sz w:val="18"/>
                <w:szCs w:val="18"/>
              </w:rPr>
              <w:t>Wind</w:t>
            </w:r>
            <w:r>
              <w:rPr>
                <w:sz w:val="18"/>
                <w:szCs w:val="18"/>
              </w:rPr>
              <w:t xml:space="preserve"> (1998-2015)</w:t>
            </w:r>
          </w:p>
        </w:tc>
        <w:tc>
          <w:tcPr>
            <w:tcW w:w="2268" w:type="dxa"/>
            <w:tcBorders>
              <w:bottom w:val="single" w:sz="4" w:space="0" w:color="auto"/>
            </w:tcBorders>
            <w:shd w:val="clear" w:color="auto" w:fill="E7F3F4"/>
          </w:tcPr>
          <w:p w:rsidR="000C1447" w:rsidRPr="008D1B84" w:rsidRDefault="000C1447" w:rsidP="0059610E">
            <w:pPr>
              <w:spacing w:before="0" w:after="0"/>
              <w:rPr>
                <w:sz w:val="18"/>
                <w:szCs w:val="18"/>
              </w:rPr>
            </w:pPr>
            <w:r>
              <w:rPr>
                <w:sz w:val="18"/>
                <w:szCs w:val="18"/>
              </w:rPr>
              <w:t>157.2days yr</w:t>
            </w:r>
            <w:r w:rsidRPr="008D1B84">
              <w:rPr>
                <w:sz w:val="18"/>
                <w:szCs w:val="18"/>
                <w:vertAlign w:val="superscript"/>
              </w:rPr>
              <w:t>-1</w:t>
            </w:r>
          </w:p>
        </w:tc>
        <w:tc>
          <w:tcPr>
            <w:tcW w:w="1559" w:type="dxa"/>
            <w:tcBorders>
              <w:bottom w:val="single" w:sz="4" w:space="0" w:color="auto"/>
            </w:tcBorders>
            <w:shd w:val="clear" w:color="auto" w:fill="E7F3F4"/>
          </w:tcPr>
          <w:p w:rsidR="000C1447" w:rsidRPr="008D1B84" w:rsidRDefault="000C1447" w:rsidP="0059610E">
            <w:pPr>
              <w:spacing w:before="0" w:after="0"/>
              <w:rPr>
                <w:sz w:val="18"/>
                <w:szCs w:val="18"/>
              </w:rPr>
            </w:pPr>
            <w:r>
              <w:rPr>
                <w:sz w:val="18"/>
                <w:szCs w:val="18"/>
              </w:rPr>
              <w:t>105.5 days yr</w:t>
            </w:r>
            <w:r w:rsidRPr="008D1B84">
              <w:rPr>
                <w:sz w:val="18"/>
                <w:szCs w:val="18"/>
                <w:vertAlign w:val="superscript"/>
              </w:rPr>
              <w:t>-1</w:t>
            </w:r>
          </w:p>
        </w:tc>
      </w:tr>
      <w:tr w:rsidR="000C1447" w:rsidTr="001402C9">
        <w:trPr>
          <w:trHeight w:val="227"/>
          <w:jc w:val="center"/>
        </w:trPr>
        <w:tc>
          <w:tcPr>
            <w:tcW w:w="4210" w:type="dxa"/>
            <w:shd w:val="clear" w:color="auto" w:fill="F3F9FA"/>
          </w:tcPr>
          <w:p w:rsidR="000C1447" w:rsidRDefault="000C1447" w:rsidP="0059610E">
            <w:pPr>
              <w:tabs>
                <w:tab w:val="left" w:pos="2283"/>
              </w:tabs>
              <w:spacing w:before="0" w:after="0"/>
              <w:rPr>
                <w:sz w:val="18"/>
                <w:szCs w:val="18"/>
              </w:rPr>
            </w:pPr>
            <w:r w:rsidRPr="008D1B84">
              <w:rPr>
                <w:sz w:val="18"/>
                <w:szCs w:val="18"/>
              </w:rPr>
              <w:t xml:space="preserve">Within canopy temperature </w:t>
            </w:r>
            <w:r>
              <w:rPr>
                <w:sz w:val="18"/>
                <w:szCs w:val="18"/>
              </w:rPr>
              <w:t xml:space="preserve">– </w:t>
            </w:r>
            <w:r>
              <w:rPr>
                <w:sz w:val="18"/>
                <w:szCs w:val="18"/>
              </w:rPr>
              <w:tab/>
            </w:r>
            <w:r w:rsidRPr="002E50ED">
              <w:rPr>
                <w:i/>
                <w:sz w:val="18"/>
                <w:szCs w:val="18"/>
              </w:rPr>
              <w:t>intertidal</w:t>
            </w:r>
            <w:r>
              <w:rPr>
                <w:sz w:val="18"/>
                <w:szCs w:val="18"/>
              </w:rPr>
              <w:t xml:space="preserve"> </w:t>
            </w:r>
            <w:r w:rsidRPr="008D1B84">
              <w:rPr>
                <w:sz w:val="18"/>
                <w:szCs w:val="18"/>
              </w:rPr>
              <w:t>(20</w:t>
            </w:r>
            <w:r>
              <w:rPr>
                <w:sz w:val="18"/>
                <w:szCs w:val="18"/>
              </w:rPr>
              <w:t>03</w:t>
            </w:r>
            <w:r w:rsidRPr="008D1B84">
              <w:rPr>
                <w:sz w:val="18"/>
                <w:szCs w:val="18"/>
              </w:rPr>
              <w:t>-2015)</w:t>
            </w:r>
          </w:p>
          <w:p w:rsidR="000C1447" w:rsidRPr="008D1B84" w:rsidRDefault="000C1447" w:rsidP="0059610E">
            <w:pPr>
              <w:tabs>
                <w:tab w:val="left" w:pos="2283"/>
              </w:tabs>
              <w:spacing w:before="0" w:after="0"/>
              <w:rPr>
                <w:sz w:val="18"/>
                <w:szCs w:val="18"/>
              </w:rPr>
            </w:pPr>
            <w:r>
              <w:rPr>
                <w:sz w:val="18"/>
                <w:szCs w:val="18"/>
              </w:rPr>
              <w:tab/>
            </w:r>
            <w:r>
              <w:rPr>
                <w:i/>
                <w:sz w:val="18"/>
                <w:szCs w:val="18"/>
              </w:rPr>
              <w:t>s</w:t>
            </w:r>
            <w:r w:rsidRPr="002E50ED">
              <w:rPr>
                <w:i/>
                <w:sz w:val="18"/>
                <w:szCs w:val="18"/>
              </w:rPr>
              <w:t>ubtidal</w:t>
            </w:r>
            <w:r>
              <w:rPr>
                <w:sz w:val="18"/>
                <w:szCs w:val="18"/>
              </w:rPr>
              <w:t xml:space="preserve"> (</w:t>
            </w:r>
            <w:r w:rsidRPr="008D1B84">
              <w:rPr>
                <w:sz w:val="18"/>
                <w:szCs w:val="18"/>
              </w:rPr>
              <w:t>20</w:t>
            </w:r>
            <w:r>
              <w:rPr>
                <w:sz w:val="18"/>
                <w:szCs w:val="18"/>
              </w:rPr>
              <w:t>08</w:t>
            </w:r>
            <w:r w:rsidRPr="008D1B84">
              <w:rPr>
                <w:sz w:val="18"/>
                <w:szCs w:val="18"/>
              </w:rPr>
              <w:t>-</w:t>
            </w:r>
            <w:r>
              <w:rPr>
                <w:sz w:val="18"/>
                <w:szCs w:val="18"/>
              </w:rPr>
              <w:t>2015)</w:t>
            </w:r>
          </w:p>
        </w:tc>
        <w:tc>
          <w:tcPr>
            <w:tcW w:w="2268" w:type="dxa"/>
            <w:shd w:val="clear" w:color="auto" w:fill="F3F9FA"/>
          </w:tcPr>
          <w:p w:rsidR="000C1447" w:rsidRDefault="000C1447" w:rsidP="0059610E">
            <w:pPr>
              <w:spacing w:before="0" w:after="0"/>
              <w:rPr>
                <w:color w:val="000000"/>
                <w:sz w:val="18"/>
                <w:szCs w:val="18"/>
              </w:rPr>
            </w:pPr>
            <w:r w:rsidRPr="00FD1579">
              <w:rPr>
                <w:color w:val="000000"/>
                <w:sz w:val="18"/>
                <w:szCs w:val="18"/>
              </w:rPr>
              <w:t>26.5</w:t>
            </w:r>
            <w:r w:rsidRPr="003E5A31">
              <w:rPr>
                <w:sz w:val="18"/>
                <w:szCs w:val="18"/>
              </w:rPr>
              <w:t>°C</w:t>
            </w:r>
            <w:r w:rsidRPr="00FD1579">
              <w:rPr>
                <w:color w:val="000000"/>
                <w:sz w:val="18"/>
                <w:szCs w:val="18"/>
              </w:rPr>
              <w:t xml:space="preserve"> (46.6</w:t>
            </w:r>
            <w:r w:rsidRPr="003E5A31">
              <w:rPr>
                <w:sz w:val="18"/>
                <w:szCs w:val="18"/>
              </w:rPr>
              <w:t>°C</w:t>
            </w:r>
            <w:r w:rsidRPr="00FD1579">
              <w:rPr>
                <w:color w:val="000000"/>
                <w:sz w:val="18"/>
                <w:szCs w:val="18"/>
              </w:rPr>
              <w:t>)</w:t>
            </w:r>
          </w:p>
          <w:p w:rsidR="000C1447" w:rsidRPr="008D1B84" w:rsidRDefault="000C1447" w:rsidP="0059610E">
            <w:pPr>
              <w:spacing w:before="0" w:after="0"/>
              <w:rPr>
                <w:sz w:val="18"/>
                <w:szCs w:val="18"/>
              </w:rPr>
            </w:pPr>
            <w:r w:rsidRPr="00FD1579">
              <w:rPr>
                <w:color w:val="000000"/>
                <w:sz w:val="18"/>
                <w:szCs w:val="18"/>
              </w:rPr>
              <w:t>26.1</w:t>
            </w:r>
            <w:r w:rsidRPr="003E5A31">
              <w:rPr>
                <w:sz w:val="18"/>
                <w:szCs w:val="18"/>
              </w:rPr>
              <w:t>°C</w:t>
            </w:r>
            <w:r w:rsidRPr="00FD1579">
              <w:rPr>
                <w:color w:val="000000"/>
                <w:sz w:val="18"/>
                <w:szCs w:val="18"/>
              </w:rPr>
              <w:t xml:space="preserve"> </w:t>
            </w:r>
            <w:r w:rsidRPr="006577FA">
              <w:rPr>
                <w:i/>
                <w:color w:val="000000"/>
                <w:sz w:val="18"/>
                <w:szCs w:val="18"/>
              </w:rPr>
              <w:t>(36.2</w:t>
            </w:r>
            <w:r w:rsidRPr="006577FA">
              <w:rPr>
                <w:i/>
                <w:sz w:val="18"/>
                <w:szCs w:val="18"/>
              </w:rPr>
              <w:t>°C</w:t>
            </w:r>
            <w:r w:rsidRPr="006577FA">
              <w:rPr>
                <w:i/>
                <w:color w:val="000000"/>
                <w:sz w:val="18"/>
                <w:szCs w:val="18"/>
              </w:rPr>
              <w:t>)</w:t>
            </w:r>
          </w:p>
        </w:tc>
        <w:tc>
          <w:tcPr>
            <w:tcW w:w="1559" w:type="dxa"/>
            <w:shd w:val="clear" w:color="auto" w:fill="F3F9FA"/>
          </w:tcPr>
          <w:p w:rsidR="000C1447" w:rsidRPr="006577FA" w:rsidRDefault="000C1447" w:rsidP="0059610E">
            <w:pPr>
              <w:spacing w:before="0" w:after="0"/>
              <w:rPr>
                <w:i/>
                <w:color w:val="000000"/>
                <w:sz w:val="18"/>
                <w:szCs w:val="18"/>
              </w:rPr>
            </w:pPr>
            <w:r w:rsidRPr="00FD1579">
              <w:rPr>
                <w:color w:val="000000"/>
                <w:sz w:val="18"/>
                <w:szCs w:val="18"/>
              </w:rPr>
              <w:t>26.7</w:t>
            </w:r>
            <w:r w:rsidRPr="003E5A31">
              <w:rPr>
                <w:sz w:val="18"/>
                <w:szCs w:val="18"/>
              </w:rPr>
              <w:t>°C</w:t>
            </w:r>
            <w:r w:rsidRPr="00FD1579">
              <w:rPr>
                <w:color w:val="000000"/>
                <w:sz w:val="18"/>
                <w:szCs w:val="18"/>
              </w:rPr>
              <w:t xml:space="preserve"> </w:t>
            </w:r>
            <w:r w:rsidRPr="006577FA">
              <w:rPr>
                <w:i/>
                <w:color w:val="000000"/>
                <w:sz w:val="18"/>
                <w:szCs w:val="18"/>
              </w:rPr>
              <w:t>(39.3</w:t>
            </w:r>
            <w:r w:rsidRPr="006577FA">
              <w:rPr>
                <w:i/>
                <w:sz w:val="18"/>
                <w:szCs w:val="18"/>
              </w:rPr>
              <w:t>°C</w:t>
            </w:r>
            <w:r w:rsidRPr="006577FA">
              <w:rPr>
                <w:i/>
                <w:color w:val="000000"/>
                <w:sz w:val="18"/>
                <w:szCs w:val="18"/>
              </w:rPr>
              <w:t>)</w:t>
            </w:r>
          </w:p>
          <w:p w:rsidR="000C1447" w:rsidRPr="008D1B84" w:rsidRDefault="000C1447" w:rsidP="0059610E">
            <w:pPr>
              <w:spacing w:before="0" w:after="0"/>
              <w:rPr>
                <w:sz w:val="18"/>
                <w:szCs w:val="18"/>
              </w:rPr>
            </w:pPr>
            <w:r w:rsidRPr="00FD1579">
              <w:rPr>
                <w:color w:val="000000"/>
                <w:sz w:val="18"/>
                <w:szCs w:val="18"/>
              </w:rPr>
              <w:t>25.7</w:t>
            </w:r>
            <w:r w:rsidRPr="003E5A31">
              <w:rPr>
                <w:sz w:val="18"/>
                <w:szCs w:val="18"/>
              </w:rPr>
              <w:t>°C</w:t>
            </w:r>
            <w:r w:rsidRPr="00FD1579">
              <w:rPr>
                <w:color w:val="000000"/>
                <w:sz w:val="18"/>
                <w:szCs w:val="18"/>
              </w:rPr>
              <w:t xml:space="preserve"> </w:t>
            </w:r>
            <w:r w:rsidRPr="006577FA">
              <w:rPr>
                <w:i/>
                <w:color w:val="000000"/>
                <w:sz w:val="18"/>
                <w:szCs w:val="18"/>
              </w:rPr>
              <w:t>(32.7</w:t>
            </w:r>
            <w:r w:rsidRPr="006577FA">
              <w:rPr>
                <w:i/>
                <w:sz w:val="18"/>
                <w:szCs w:val="18"/>
              </w:rPr>
              <w:t>°C</w:t>
            </w:r>
            <w:r w:rsidRPr="006577FA">
              <w:rPr>
                <w:i/>
                <w:color w:val="000000"/>
                <w:sz w:val="18"/>
                <w:szCs w:val="18"/>
              </w:rPr>
              <w:t>)</w:t>
            </w:r>
          </w:p>
        </w:tc>
      </w:tr>
      <w:tr w:rsidR="000C1447" w:rsidTr="001402C9">
        <w:trPr>
          <w:trHeight w:val="227"/>
          <w:jc w:val="center"/>
        </w:trPr>
        <w:tc>
          <w:tcPr>
            <w:tcW w:w="4210" w:type="dxa"/>
            <w:shd w:val="clear" w:color="auto" w:fill="F3F9FA"/>
          </w:tcPr>
          <w:p w:rsidR="000C1447" w:rsidRPr="008D1B84" w:rsidRDefault="000C1447" w:rsidP="0059610E">
            <w:pPr>
              <w:spacing w:before="0" w:after="0"/>
              <w:rPr>
                <w:sz w:val="18"/>
                <w:szCs w:val="18"/>
              </w:rPr>
            </w:pPr>
            <w:r w:rsidRPr="008D1B84">
              <w:rPr>
                <w:sz w:val="18"/>
                <w:szCs w:val="18"/>
              </w:rPr>
              <w:t>Within canopy light (2012-2015)</w:t>
            </w:r>
          </w:p>
        </w:tc>
        <w:tc>
          <w:tcPr>
            <w:tcW w:w="2268" w:type="dxa"/>
            <w:shd w:val="clear" w:color="auto" w:fill="F3F9FA"/>
          </w:tcPr>
          <w:p w:rsidR="000C1447" w:rsidRPr="008D1B84" w:rsidRDefault="000C1447" w:rsidP="0059610E">
            <w:pPr>
              <w:spacing w:before="0" w:after="0"/>
              <w:rPr>
                <w:sz w:val="18"/>
                <w:szCs w:val="18"/>
              </w:rPr>
            </w:pPr>
            <w:r>
              <w:rPr>
                <w:sz w:val="18"/>
                <w:szCs w:val="18"/>
              </w:rPr>
              <w:t>9.8</w:t>
            </w:r>
            <w:r w:rsidRPr="008D1B84">
              <w:rPr>
                <w:sz w:val="18"/>
                <w:szCs w:val="18"/>
              </w:rPr>
              <w:t xml:space="preserve">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c>
          <w:tcPr>
            <w:tcW w:w="1559" w:type="dxa"/>
            <w:shd w:val="clear" w:color="auto" w:fill="F3F9FA"/>
          </w:tcPr>
          <w:p w:rsidR="000C1447" w:rsidRPr="008D1B84" w:rsidRDefault="000C1447" w:rsidP="0059610E">
            <w:pPr>
              <w:spacing w:before="0" w:after="0"/>
              <w:rPr>
                <w:sz w:val="18"/>
                <w:szCs w:val="18"/>
              </w:rPr>
            </w:pPr>
            <w:r>
              <w:rPr>
                <w:sz w:val="18"/>
                <w:szCs w:val="18"/>
              </w:rPr>
              <w:t>8.4</w:t>
            </w:r>
            <w:r w:rsidRPr="008D1B84">
              <w:rPr>
                <w:sz w:val="18"/>
                <w:szCs w:val="18"/>
              </w:rPr>
              <w:t xml:space="preserve">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r>
    </w:tbl>
    <w:p w:rsidR="000C1447" w:rsidRPr="005515AE" w:rsidRDefault="000C1447" w:rsidP="005515AE">
      <w:pPr>
        <w:spacing w:before="0" w:after="0"/>
        <w:rPr>
          <w:color w:val="000000"/>
          <w:sz w:val="10"/>
          <w:szCs w:val="10"/>
        </w:rPr>
      </w:pPr>
    </w:p>
    <w:p w:rsidR="005515AE" w:rsidRDefault="005515AE" w:rsidP="005515AE">
      <w:r>
        <w:rPr>
          <w:noProof/>
          <w:color w:val="000000"/>
          <w:szCs w:val="22"/>
          <w:lang w:eastAsia="en-AU"/>
        </w:rPr>
        <w:lastRenderedPageBreak/>
        <w:drawing>
          <wp:anchor distT="0" distB="0" distL="114300" distR="114300" simplePos="0" relativeHeight="251675648" behindDoc="0" locked="0" layoutInCell="1" allowOverlap="1" wp14:anchorId="3C02EC91" wp14:editId="573A3E3B">
            <wp:simplePos x="0" y="0"/>
            <wp:positionH relativeFrom="margin">
              <wp:align>left</wp:align>
            </wp:positionH>
            <wp:positionV relativeFrom="paragraph">
              <wp:posOffset>17145</wp:posOffset>
            </wp:positionV>
            <wp:extent cx="2880000" cy="4125600"/>
            <wp:effectExtent l="0" t="0" r="0" b="8255"/>
            <wp:wrapSquare wrapText="right"/>
            <wp:docPr id="10165" name="Picture 10165" descr="Composite graph showing the location of each seagrass monitoring site and the frequency of exposure to plume water in the Burdekin NRM, wet season (December 2014 – Apri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sites_legend.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880000" cy="4125600"/>
                    </a:xfrm>
                    <a:prstGeom prst="rect">
                      <a:avLst/>
                    </a:prstGeom>
                  </pic:spPr>
                </pic:pic>
              </a:graphicData>
            </a:graphic>
            <wp14:sizeRelH relativeFrom="margin">
              <wp14:pctWidth>0</wp14:pctWidth>
            </wp14:sizeRelH>
            <wp14:sizeRelV relativeFrom="margin">
              <wp14:pctHeight>0</wp14:pctHeight>
            </wp14:sizeRelV>
          </wp:anchor>
        </w:drawing>
      </w:r>
    </w:p>
    <w:p w:rsidR="005515AE" w:rsidRPr="005515AE" w:rsidRDefault="005515AE" w:rsidP="005515AE">
      <w:pPr>
        <w:rPr>
          <w:i/>
          <w:vanish/>
          <w:specVanish/>
        </w:rPr>
      </w:pPr>
      <w:bookmarkStart w:id="354" w:name="_Ref461446989"/>
      <w:bookmarkStart w:id="355" w:name="_Toc462684897"/>
      <w:r>
        <w:t xml:space="preserve">Figure </w:t>
      </w:r>
      <w:fldSimple w:instr=" SEQ Figure \* ARABIC ">
        <w:r w:rsidR="009C068F">
          <w:rPr>
            <w:noProof/>
          </w:rPr>
          <w:t>57</w:t>
        </w:r>
      </w:fldSimple>
      <w:bookmarkEnd w:id="354"/>
      <w:r>
        <w:t xml:space="preserve">. </w:t>
      </w:r>
      <w:r w:rsidR="000C1447" w:rsidRPr="005515AE">
        <w:rPr>
          <w:i/>
        </w:rPr>
        <w:t>Frequency of exposure to plume water in the Burdekin NRM region, wet season (December 2014 – April 2015) composite.</w:t>
      </w:r>
      <w:bookmarkEnd w:id="355"/>
    </w:p>
    <w:p w:rsidR="000C1447" w:rsidRDefault="000C1447" w:rsidP="005515AE">
      <w:pPr>
        <w:rPr>
          <w:i/>
        </w:rPr>
      </w:pPr>
      <w:r w:rsidRPr="005515AE">
        <w:rPr>
          <w:i/>
        </w:rPr>
        <w:t xml:space="preserve"> Frequency calculated as number of weeks in wet season exposed to primary or secondary water (colour classes 1 – 5). </w:t>
      </w:r>
      <w:r w:rsidR="00FF0A86" w:rsidRPr="008925B3">
        <w:rPr>
          <w:i/>
        </w:rPr>
        <w:t xml:space="preserve">Each colour class category is described by mean water quality values for TSS, CDOM, chlorophyll a and </w:t>
      </w:r>
      <w:proofErr w:type="spellStart"/>
      <w:r w:rsidR="00FF0A86" w:rsidRPr="008925B3">
        <w:rPr>
          <w:i/>
        </w:rPr>
        <w:t>K</w:t>
      </w:r>
      <w:r w:rsidR="00FF0A86" w:rsidRPr="007C3ABF">
        <w:rPr>
          <w:i/>
          <w:vertAlign w:val="subscript"/>
        </w:rPr>
        <w:t>d</w:t>
      </w:r>
      <w:proofErr w:type="spellEnd"/>
      <w:r w:rsidR="00FF0A86" w:rsidRPr="008925B3">
        <w:rPr>
          <w:i/>
        </w:rPr>
        <w:t xml:space="preserve"> (PAR) (</w:t>
      </w:r>
      <w:hyperlink w:anchor="_ENREF_94" w:tooltip="Devlin, 2015 #10405" w:history="1">
        <w:r w:rsidR="00E6043D">
          <w:rPr>
            <w:i/>
          </w:rPr>
          <w:fldChar w:fldCharType="begin"/>
        </w:r>
        <w:r w:rsidR="00E6043D">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043D">
          <w:rPr>
            <w:i/>
          </w:rPr>
          <w:fldChar w:fldCharType="separate"/>
        </w:r>
        <w:r w:rsidR="00E6043D">
          <w:rPr>
            <w:i/>
            <w:noProof/>
          </w:rPr>
          <w:t>Devlin, et al. 2015</w:t>
        </w:r>
        <w:r w:rsidR="00E6043D">
          <w:rPr>
            <w:i/>
          </w:rPr>
          <w:fldChar w:fldCharType="end"/>
        </w:r>
      </w:hyperlink>
      <w:r w:rsidR="00FF0A86" w:rsidRPr="008925B3">
        <w:rPr>
          <w:i/>
        </w:rPr>
        <w:t xml:space="preserve">; </w:t>
      </w:r>
      <w:hyperlink w:anchor="_ENREF_151" w:tooltip="Lønborg, 2015 #10475" w:history="1">
        <w:r w:rsidR="00E6043D">
          <w:rPr>
            <w:i/>
          </w:rPr>
          <w:fldChar w:fldCharType="begin"/>
        </w:r>
        <w:r w:rsidR="00E6043D">
          <w:rPr>
            <w:i/>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i/>
          </w:rPr>
          <w:fldChar w:fldCharType="separate"/>
        </w:r>
        <w:r w:rsidR="00E6043D">
          <w:rPr>
            <w:i/>
            <w:noProof/>
          </w:rPr>
          <w:t>Lønborg, et al. 2015</w:t>
        </w:r>
        <w:r w:rsidR="00E6043D">
          <w:rPr>
            <w:i/>
          </w:rPr>
          <w:fldChar w:fldCharType="end"/>
        </w:r>
      </w:hyperlink>
      <w:r w:rsidR="00FF0A86" w:rsidRPr="008925B3">
        <w:rPr>
          <w:i/>
        </w:rPr>
        <w:t>).</w:t>
      </w:r>
      <w:r w:rsidR="00FF0A86">
        <w:rPr>
          <w:i/>
        </w:rPr>
        <w:t xml:space="preserve"> For site details, see Tables 3 &amp; 4.</w:t>
      </w:r>
    </w:p>
    <w:p w:rsidR="005515AE" w:rsidRPr="005515AE" w:rsidRDefault="005515AE" w:rsidP="005515AE">
      <w:pPr>
        <w:rPr>
          <w:lang w:val="en-GB"/>
        </w:rPr>
      </w:pPr>
    </w:p>
    <w:p w:rsidR="000C1447" w:rsidRDefault="000C1447" w:rsidP="000C1447">
      <w:pPr>
        <w:rPr>
          <w:color w:val="000000"/>
          <w:szCs w:val="22"/>
        </w:rPr>
      </w:pPr>
      <w:bookmarkStart w:id="356" w:name="_Toc431493771"/>
      <w:bookmarkStart w:id="357" w:name="_Toc184101999"/>
      <w:bookmarkEnd w:id="343"/>
      <w:bookmarkEnd w:id="344"/>
      <w:bookmarkEnd w:id="345"/>
      <w:bookmarkEnd w:id="346"/>
      <w:bookmarkEnd w:id="347"/>
    </w:p>
    <w:p w:rsidR="00DA13F7" w:rsidRDefault="00DA13F7" w:rsidP="000C1447">
      <w:pPr>
        <w:rPr>
          <w:color w:val="000000"/>
          <w:szCs w:val="22"/>
        </w:rPr>
      </w:pPr>
    </w:p>
    <w:p w:rsidR="00DA13F7" w:rsidRDefault="00DA13F7" w:rsidP="000C1447">
      <w:pPr>
        <w:rPr>
          <w:color w:val="000000"/>
          <w:szCs w:val="22"/>
        </w:rPr>
      </w:pPr>
    </w:p>
    <w:p w:rsidR="00DA13F7" w:rsidRDefault="00DA13F7" w:rsidP="000C1447">
      <w:pPr>
        <w:rPr>
          <w:color w:val="000000"/>
          <w:szCs w:val="22"/>
        </w:rPr>
      </w:pPr>
    </w:p>
    <w:p w:rsidR="00DA13F7" w:rsidRDefault="00DA13F7" w:rsidP="000C1447">
      <w:pPr>
        <w:rPr>
          <w:color w:val="000000"/>
          <w:szCs w:val="22"/>
        </w:rPr>
      </w:pPr>
    </w:p>
    <w:p w:rsidR="00443207" w:rsidRDefault="00443207" w:rsidP="000C1447">
      <w:pPr>
        <w:rPr>
          <w:color w:val="000000"/>
          <w:szCs w:val="22"/>
        </w:rPr>
      </w:pPr>
    </w:p>
    <w:p w:rsidR="00443207" w:rsidRDefault="00443207" w:rsidP="000C1447">
      <w:pPr>
        <w:rPr>
          <w:color w:val="000000"/>
          <w:szCs w:val="22"/>
        </w:rPr>
      </w:pPr>
    </w:p>
    <w:p w:rsidR="00443207" w:rsidRDefault="00443207" w:rsidP="000C1447">
      <w:pPr>
        <w:rPr>
          <w:color w:val="000000"/>
          <w:szCs w:val="22"/>
        </w:rPr>
      </w:pPr>
    </w:p>
    <w:p w:rsidR="00DA13F7" w:rsidRDefault="00DA13F7" w:rsidP="000C1447">
      <w:pPr>
        <w:rPr>
          <w:color w:val="000000"/>
          <w:szCs w:val="22"/>
        </w:rPr>
      </w:pPr>
    </w:p>
    <w:p w:rsidR="00443207" w:rsidRPr="00443207" w:rsidRDefault="005515AE" w:rsidP="005515AE">
      <w:pPr>
        <w:rPr>
          <w:i/>
          <w:vanish/>
          <w:specVanish/>
        </w:rPr>
      </w:pPr>
      <w:bookmarkStart w:id="358" w:name="_Ref461447002"/>
      <w:bookmarkStart w:id="359" w:name="_Toc462685088"/>
      <w:r>
        <w:t xml:space="preserve">Table </w:t>
      </w:r>
      <w:fldSimple w:instr=" SEQ Table \* ARABIC ">
        <w:r w:rsidR="009C068F">
          <w:rPr>
            <w:noProof/>
          </w:rPr>
          <w:t>19</w:t>
        </w:r>
      </w:fldSimple>
      <w:bookmarkEnd w:id="358"/>
      <w:r>
        <w:t xml:space="preserve">. </w:t>
      </w:r>
      <w:bookmarkStart w:id="360" w:name="_Ref314316733"/>
      <w:r>
        <w:t xml:space="preserve"> </w:t>
      </w:r>
      <w:r w:rsidR="000C1447" w:rsidRPr="005515AE">
        <w:rPr>
          <w:i/>
        </w:rPr>
        <w:t xml:space="preserve">Water type at each </w:t>
      </w:r>
      <w:r w:rsidR="00443207">
        <w:rPr>
          <w:i/>
        </w:rPr>
        <w:t>seagrass monitoring site</w:t>
      </w:r>
      <w:r w:rsidR="000C1447" w:rsidRPr="005515AE">
        <w:rPr>
          <w:i/>
        </w:rPr>
        <w:t xml:space="preserve"> in the Burdekin NRM </w:t>
      </w:r>
      <w:r w:rsidR="00443207">
        <w:rPr>
          <w:i/>
        </w:rPr>
        <w:t xml:space="preserve">region, </w:t>
      </w:r>
      <w:r w:rsidR="000C1447" w:rsidRPr="005515AE">
        <w:rPr>
          <w:i/>
        </w:rPr>
        <w:t>derived from MODIS true colour images</w:t>
      </w:r>
      <w:bookmarkEnd w:id="359"/>
    </w:p>
    <w:p w:rsidR="000C1447" w:rsidRPr="005515AE" w:rsidRDefault="000C1447" w:rsidP="005515AE">
      <w:pPr>
        <w:rPr>
          <w:i/>
        </w:rPr>
      </w:pPr>
      <w:r w:rsidRPr="005515AE">
        <w:rPr>
          <w:i/>
        </w:rPr>
        <w:t xml:space="preserve"> as colour classes of turbid primary water (class 1 – 4, red/brown), nutrient/chlorophyll-enriched secondary water (class 5, green), and tertiary (some freshwater/CDOM influence) or no plume influence (class 6 and 7 respectively, blue), for 22 weeks from December 2014 – April 2015. Also shown, median wet season colour class (Med), frequency of primary water as f</w:t>
      </w:r>
      <w:r w:rsidRPr="00443207">
        <w:rPr>
          <w:i/>
          <w:vertAlign w:val="subscript"/>
        </w:rPr>
        <w:t>(P)</w:t>
      </w:r>
      <w:r w:rsidRPr="005515AE">
        <w:rPr>
          <w:i/>
        </w:rPr>
        <w:t>, the frequency of secondary water as f</w:t>
      </w:r>
      <w:r w:rsidRPr="00443207">
        <w:rPr>
          <w:i/>
          <w:vertAlign w:val="subscript"/>
        </w:rPr>
        <w:t>(S)</w:t>
      </w:r>
      <w:r w:rsidRPr="005515AE">
        <w:rPr>
          <w:i/>
        </w:rPr>
        <w:t>, and the frequency of primary or secondary as f</w:t>
      </w:r>
      <w:r w:rsidRPr="00443207">
        <w:rPr>
          <w:i/>
          <w:vertAlign w:val="subscript"/>
        </w:rPr>
        <w:t>(P+S)</w:t>
      </w:r>
      <w:bookmarkEnd w:id="360"/>
      <w:r w:rsidR="00E43A54">
        <w:rPr>
          <w:i/>
        </w:rPr>
        <w:t>.</w:t>
      </w:r>
    </w:p>
    <w:p w:rsidR="000C1447" w:rsidRPr="00D05CE6" w:rsidRDefault="000C1447" w:rsidP="000C1447">
      <w:pPr>
        <w:rPr>
          <w:color w:val="000000"/>
          <w:szCs w:val="22"/>
        </w:rPr>
      </w:pPr>
      <w:r w:rsidRPr="00D05CE6">
        <w:rPr>
          <w:noProof/>
          <w:color w:val="000000"/>
          <w:szCs w:val="22"/>
          <w:lang w:eastAsia="en-AU"/>
        </w:rPr>
        <w:drawing>
          <wp:inline distT="0" distB="0" distL="0" distR="0" wp14:anchorId="7072492E" wp14:editId="6B6E4B31">
            <wp:extent cx="5759450" cy="904875"/>
            <wp:effectExtent l="0" t="0" r="0" b="9525"/>
            <wp:docPr id="10166" name="Picture 10166" descr="Table of water type at each location in the Burdekin derived from MODIS true colour images as colour classes of turbid primary water, nutrient/chlorophyll-enriched secondary water, and tertiary or no plume influence for 22 weeks from December 2014 – April 2015"/>
            <wp:cNvGraphicFramePr/>
            <a:graphic xmlns:a="http://schemas.openxmlformats.org/drawingml/2006/main">
              <a:graphicData uri="http://schemas.openxmlformats.org/drawingml/2006/picture">
                <pic:pic xmlns:pic="http://schemas.openxmlformats.org/drawingml/2006/picture">
                  <pic:nvPicPr>
                    <pic:cNvPr id="525" name="Picture 525"/>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759450" cy="904875"/>
                    </a:xfrm>
                    <a:prstGeom prst="rect">
                      <a:avLst/>
                    </a:prstGeom>
                    <a:noFill/>
                    <a:ln>
                      <a:noFill/>
                    </a:ln>
                  </pic:spPr>
                </pic:pic>
              </a:graphicData>
            </a:graphic>
          </wp:inline>
        </w:drawing>
      </w:r>
    </w:p>
    <w:p w:rsidR="00993358" w:rsidRDefault="00993358" w:rsidP="00443207"/>
    <w:p w:rsidR="00443207" w:rsidRPr="00006322" w:rsidRDefault="00443207" w:rsidP="00443207">
      <w:r w:rsidRPr="00006322">
        <w:t>Daily light (I</w:t>
      </w:r>
      <w:r w:rsidRPr="00006322">
        <w:rPr>
          <w:vertAlign w:val="subscript"/>
        </w:rPr>
        <w:t>d</w:t>
      </w:r>
      <w:r w:rsidRPr="00006322">
        <w:t xml:space="preserve">) </w:t>
      </w:r>
      <w:r w:rsidR="00B65283" w:rsidRPr="00006322">
        <w:t xml:space="preserve">has been monitored </w:t>
      </w:r>
      <w:r w:rsidRPr="00006322">
        <w:t xml:space="preserve">at </w:t>
      </w:r>
      <w:r w:rsidR="00B65283" w:rsidRPr="00006322">
        <w:t xml:space="preserve">some </w:t>
      </w:r>
      <w:r w:rsidRPr="00006322">
        <w:t>Burdekin Dry Tropics sites since 2008</w:t>
      </w:r>
      <w:r w:rsidR="00B65283">
        <w:t xml:space="preserve"> (</w:t>
      </w:r>
      <w:r w:rsidR="00B65283">
        <w:fldChar w:fldCharType="begin"/>
      </w:r>
      <w:r w:rsidR="00B65283">
        <w:instrText xml:space="preserve"> REF _Ref461447383 \h </w:instrText>
      </w:r>
      <w:r w:rsidR="00B65283">
        <w:fldChar w:fldCharType="separate"/>
      </w:r>
      <w:r w:rsidR="009C068F" w:rsidRPr="00213082">
        <w:t xml:space="preserve">Figure </w:t>
      </w:r>
      <w:r w:rsidR="009C068F">
        <w:rPr>
          <w:noProof/>
        </w:rPr>
        <w:t>58</w:t>
      </w:r>
      <w:r w:rsidR="00B65283">
        <w:fldChar w:fldCharType="end"/>
      </w:r>
      <w:r w:rsidR="00B65283">
        <w:t>)</w:t>
      </w:r>
      <w:r w:rsidRPr="00006322">
        <w:t xml:space="preserve">. </w:t>
      </w:r>
      <w:proofErr w:type="spellStart"/>
      <w:r w:rsidRPr="00006322">
        <w:t>I</w:t>
      </w:r>
      <w:r w:rsidRPr="00006322">
        <w:rPr>
          <w:vertAlign w:val="subscript"/>
        </w:rPr>
        <w:t>d</w:t>
      </w:r>
      <w:proofErr w:type="spellEnd"/>
      <w:r w:rsidRPr="00006322">
        <w:t xml:space="preserve"> is highly seasonal at some sites, with the peak occurring in the late dry season (usually October-December). The seasonal signal in I</w:t>
      </w:r>
      <w:r w:rsidRPr="00006322">
        <w:rPr>
          <w:vertAlign w:val="subscript"/>
        </w:rPr>
        <w:t>d</w:t>
      </w:r>
      <w:r w:rsidRPr="00006322">
        <w:t xml:space="preserve"> is not as pronounced at Picnic Bay intertidal (MI1) and subtidal (MI3) sites</w:t>
      </w:r>
      <w:r w:rsidR="00B65283">
        <w:t xml:space="preserve"> (</w:t>
      </w:r>
      <w:r w:rsidR="00B65283">
        <w:fldChar w:fldCharType="begin"/>
      </w:r>
      <w:r w:rsidR="00B65283">
        <w:instrText xml:space="preserve"> REF _Ref461447383 \h </w:instrText>
      </w:r>
      <w:r w:rsidR="00B65283">
        <w:fldChar w:fldCharType="separate"/>
      </w:r>
      <w:r w:rsidR="009C068F" w:rsidRPr="00213082">
        <w:t xml:space="preserve">Figure </w:t>
      </w:r>
      <w:r w:rsidR="009C068F">
        <w:rPr>
          <w:noProof/>
        </w:rPr>
        <w:t>58</w:t>
      </w:r>
      <w:r w:rsidR="00B65283">
        <w:fldChar w:fldCharType="end"/>
      </w:r>
      <w:r w:rsidR="00B65283">
        <w:t>)</w:t>
      </w:r>
      <w:r w:rsidRPr="00006322">
        <w:t>. In 2014-15, average I</w:t>
      </w:r>
      <w:r w:rsidRPr="00006322">
        <w:rPr>
          <w:vertAlign w:val="subscript"/>
        </w:rPr>
        <w:t xml:space="preserve">d </w:t>
      </w:r>
      <w:r w:rsidRPr="00006322">
        <w:t>was lower than average due to particularly low I</w:t>
      </w:r>
      <w:r w:rsidRPr="00006322">
        <w:rPr>
          <w:vertAlign w:val="subscript"/>
        </w:rPr>
        <w:t xml:space="preserve">d </w:t>
      </w:r>
      <w:r w:rsidRPr="00006322">
        <w:t>in the warmer months (December-April), and following low I</w:t>
      </w:r>
      <w:r w:rsidRPr="00006322">
        <w:rPr>
          <w:vertAlign w:val="subscript"/>
        </w:rPr>
        <w:t>d</w:t>
      </w:r>
      <w:r w:rsidRPr="00006322">
        <w:t xml:space="preserve"> in early-mid 2014</w:t>
      </w:r>
      <w:r w:rsidR="00B65283">
        <w:t xml:space="preserve"> (</w:t>
      </w:r>
      <w:r w:rsidR="00B65283">
        <w:fldChar w:fldCharType="begin"/>
      </w:r>
      <w:r w:rsidR="00B65283">
        <w:instrText xml:space="preserve"> REF _Ref461447383 \h </w:instrText>
      </w:r>
      <w:r w:rsidR="00B65283">
        <w:fldChar w:fldCharType="separate"/>
      </w:r>
      <w:r w:rsidR="009C068F" w:rsidRPr="00213082">
        <w:t xml:space="preserve">Figure </w:t>
      </w:r>
      <w:r w:rsidR="009C068F">
        <w:rPr>
          <w:noProof/>
        </w:rPr>
        <w:t>58</w:t>
      </w:r>
      <w:r w:rsidR="00B65283">
        <w:fldChar w:fldCharType="end"/>
      </w:r>
      <w:r w:rsidR="00B65283">
        <w:t>)</w:t>
      </w:r>
      <w:r w:rsidRPr="00006322">
        <w:t xml:space="preserve">. </w:t>
      </w:r>
    </w:p>
    <w:p w:rsidR="000C1447" w:rsidRDefault="00443207" w:rsidP="00443207">
      <w:pPr>
        <w:keepNext/>
        <w:widowControl w:val="0"/>
        <w:spacing w:after="0"/>
        <w:rPr>
          <w:color w:val="000000"/>
          <w:szCs w:val="22"/>
        </w:rPr>
      </w:pPr>
      <w:r>
        <w:rPr>
          <w:noProof/>
          <w:color w:val="000000"/>
          <w:szCs w:val="22"/>
          <w:lang w:eastAsia="en-AU"/>
        </w:rPr>
        <w:lastRenderedPageBreak/>
        <w:drawing>
          <wp:inline distT="0" distB="0" distL="0" distR="0" wp14:anchorId="01477CC8" wp14:editId="2E8AC060">
            <wp:extent cx="5759450" cy="1790065"/>
            <wp:effectExtent l="0" t="0" r="0" b="635"/>
            <wp:docPr id="121" name="Picture 121" descr="Panel of two line graphs showing daily light (mean) at each location with 28-d rolling average and GAM plots for each seagrass habitat in the Burdekin NRM region from 2008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B_Avg_28d_avg_GAM_2015.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759450" cy="1790065"/>
                    </a:xfrm>
                    <a:prstGeom prst="rect">
                      <a:avLst/>
                    </a:prstGeom>
                  </pic:spPr>
                </pic:pic>
              </a:graphicData>
            </a:graphic>
          </wp:inline>
        </w:drawing>
      </w:r>
    </w:p>
    <w:p w:rsidR="00443207" w:rsidRPr="00213082" w:rsidRDefault="00443207" w:rsidP="00443207">
      <w:pPr>
        <w:rPr>
          <w:i/>
          <w:vanish/>
          <w:specVanish/>
        </w:rPr>
      </w:pPr>
      <w:bookmarkStart w:id="361" w:name="_Ref461447383"/>
      <w:bookmarkStart w:id="362" w:name="_Toc462684898"/>
      <w:r w:rsidRPr="00213082">
        <w:t xml:space="preserve">Figure </w:t>
      </w:r>
      <w:fldSimple w:instr=" SEQ Figure \* ARABIC ">
        <w:r w:rsidR="009C068F">
          <w:rPr>
            <w:noProof/>
          </w:rPr>
          <w:t>58</w:t>
        </w:r>
      </w:fldSimple>
      <w:bookmarkEnd w:id="361"/>
      <w:r w:rsidRPr="00213082">
        <w:t xml:space="preserve">.  </w:t>
      </w:r>
      <w:r w:rsidR="000C1447" w:rsidRPr="00213082">
        <w:rPr>
          <w:i/>
        </w:rPr>
        <w:t xml:space="preserve">Mean daily light at Burdekin sites with 28-d rolling average from 2012 to 2015 (left) and GAM plots </w:t>
      </w:r>
      <w:r w:rsidRPr="00213082">
        <w:rPr>
          <w:i/>
        </w:rPr>
        <w:t>(right)</w:t>
      </w:r>
      <w:bookmarkEnd w:id="362"/>
    </w:p>
    <w:p w:rsidR="000C1447" w:rsidRPr="00443207" w:rsidRDefault="00443207" w:rsidP="00443207">
      <w:pPr>
        <w:rPr>
          <w:i/>
        </w:rPr>
      </w:pPr>
      <w:r w:rsidRPr="00213082">
        <w:rPr>
          <w:i/>
        </w:rPr>
        <w:t xml:space="preserve"> </w:t>
      </w:r>
      <w:r w:rsidR="000C1447" w:rsidRPr="00213082">
        <w:rPr>
          <w:i/>
        </w:rPr>
        <w:t>with the black line showing mean trend for all sites (±95% confidence interval in grey shade) and coloured lines (with CI’s) showing the trend for each site. Results of statistical analysis (GAM) and site-specific graphs (site-level daily light data plus 28-d rolling ave</w:t>
      </w:r>
      <w:r w:rsidRPr="00213082">
        <w:rPr>
          <w:i/>
        </w:rPr>
        <w:t>rage) are shown in Appendix 4.</w:t>
      </w:r>
    </w:p>
    <w:p w:rsidR="000C1447" w:rsidRPr="000C1447" w:rsidRDefault="000C1447" w:rsidP="000C1447">
      <w:pPr>
        <w:rPr>
          <w:color w:val="000000"/>
          <w:szCs w:val="22"/>
        </w:rPr>
      </w:pPr>
    </w:p>
    <w:p w:rsidR="000C1447" w:rsidRDefault="000C1447" w:rsidP="000C1447">
      <w:pPr>
        <w:rPr>
          <w:color w:val="000000"/>
          <w:szCs w:val="22"/>
        </w:rPr>
      </w:pPr>
      <w:r w:rsidRPr="000C1447">
        <w:rPr>
          <w:color w:val="000000"/>
          <w:szCs w:val="22"/>
        </w:rPr>
        <w:t>Water temperature was generally very warm, with the number of days above 35°C the highest since 2008-09 (</w:t>
      </w:r>
      <w:r w:rsidR="00213082">
        <w:rPr>
          <w:color w:val="000000"/>
          <w:szCs w:val="22"/>
        </w:rPr>
        <w:fldChar w:fldCharType="begin"/>
      </w:r>
      <w:r w:rsidR="00213082">
        <w:rPr>
          <w:color w:val="000000"/>
          <w:szCs w:val="22"/>
        </w:rPr>
        <w:instrText xml:space="preserve"> REF _Ref442441224 \h </w:instrText>
      </w:r>
      <w:r w:rsidR="00213082">
        <w:rPr>
          <w:color w:val="000000"/>
          <w:szCs w:val="22"/>
        </w:rPr>
      </w:r>
      <w:r w:rsidR="00213082">
        <w:rPr>
          <w:color w:val="000000"/>
          <w:szCs w:val="22"/>
        </w:rPr>
        <w:fldChar w:fldCharType="separate"/>
      </w:r>
      <w:r w:rsidR="009C068F">
        <w:t xml:space="preserve">Figure </w:t>
      </w:r>
      <w:r w:rsidR="009C068F">
        <w:rPr>
          <w:noProof/>
        </w:rPr>
        <w:t>59</w:t>
      </w:r>
      <w:r w:rsidR="00213082">
        <w:rPr>
          <w:color w:val="000000"/>
          <w:szCs w:val="22"/>
        </w:rPr>
        <w:fldChar w:fldCharType="end"/>
      </w:r>
      <w:r w:rsidR="00213082">
        <w:rPr>
          <w:color w:val="000000"/>
          <w:szCs w:val="22"/>
        </w:rPr>
        <w:t>a</w:t>
      </w:r>
      <w:r w:rsidRPr="000C1447">
        <w:rPr>
          <w:color w:val="000000"/>
          <w:szCs w:val="22"/>
        </w:rPr>
        <w:t>) and a frequent deviation from the thermal baseline, even at subtidal sites (</w:t>
      </w:r>
      <w:r w:rsidR="00213082">
        <w:rPr>
          <w:color w:val="000000"/>
          <w:szCs w:val="22"/>
        </w:rPr>
        <w:fldChar w:fldCharType="begin"/>
      </w:r>
      <w:r w:rsidR="00213082">
        <w:rPr>
          <w:color w:val="000000"/>
          <w:szCs w:val="22"/>
        </w:rPr>
        <w:instrText xml:space="preserve"> REF _Ref442441224 \h </w:instrText>
      </w:r>
      <w:r w:rsidR="00213082">
        <w:rPr>
          <w:color w:val="000000"/>
          <w:szCs w:val="22"/>
        </w:rPr>
      </w:r>
      <w:r w:rsidR="00213082">
        <w:rPr>
          <w:color w:val="000000"/>
          <w:szCs w:val="22"/>
        </w:rPr>
        <w:fldChar w:fldCharType="separate"/>
      </w:r>
      <w:r w:rsidR="009C068F">
        <w:t xml:space="preserve">Figure </w:t>
      </w:r>
      <w:r w:rsidR="009C068F">
        <w:rPr>
          <w:noProof/>
        </w:rPr>
        <w:t>59</w:t>
      </w:r>
      <w:r w:rsidR="00213082">
        <w:rPr>
          <w:color w:val="000000"/>
          <w:szCs w:val="22"/>
        </w:rPr>
        <w:fldChar w:fldCharType="end"/>
      </w:r>
      <w:r w:rsidR="00213082">
        <w:rPr>
          <w:color w:val="000000"/>
          <w:szCs w:val="22"/>
        </w:rPr>
        <w:t>b</w:t>
      </w:r>
      <w:r w:rsidRPr="000C1447">
        <w:rPr>
          <w:color w:val="000000"/>
          <w:szCs w:val="22"/>
        </w:rPr>
        <w:t xml:space="preserve">). These temperatures (&lt;40°C) do not usually cause significant </w:t>
      </w:r>
      <w:proofErr w:type="spellStart"/>
      <w:r w:rsidRPr="000C1447">
        <w:rPr>
          <w:color w:val="000000"/>
          <w:szCs w:val="22"/>
        </w:rPr>
        <w:t>photoinhibition</w:t>
      </w:r>
      <w:proofErr w:type="spellEnd"/>
      <w:r w:rsidRPr="000C1447">
        <w:rPr>
          <w:color w:val="000000"/>
          <w:szCs w:val="22"/>
        </w:rPr>
        <w:t xml:space="preserve"> (</w:t>
      </w:r>
      <w:hyperlink w:anchor="_ENREF_33" w:tooltip="Campbell, 2006 #2896" w:history="1">
        <w:r w:rsidR="00E6043D">
          <w:rPr>
            <w:color w:val="000000"/>
            <w:szCs w:val="22"/>
          </w:rPr>
          <w:fldChar w:fldCharType="begin"/>
        </w:r>
        <w:r w:rsidR="00E6043D">
          <w:rPr>
            <w:color w:val="000000"/>
            <w:szCs w:val="22"/>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rPr>
            <w:color w:val="000000"/>
            <w:szCs w:val="22"/>
          </w:rPr>
          <w:fldChar w:fldCharType="separate"/>
        </w:r>
        <w:r w:rsidR="00E6043D">
          <w:rPr>
            <w:noProof/>
            <w:color w:val="000000"/>
            <w:szCs w:val="22"/>
          </w:rPr>
          <w:t>Campbell</w:t>
        </w:r>
        <w:r w:rsidR="00E6043D" w:rsidRPr="00644A84">
          <w:rPr>
            <w:i/>
            <w:noProof/>
            <w:color w:val="000000"/>
            <w:szCs w:val="22"/>
          </w:rPr>
          <w:t>, et al.</w:t>
        </w:r>
        <w:r w:rsidR="00E6043D">
          <w:rPr>
            <w:noProof/>
            <w:color w:val="000000"/>
            <w:szCs w:val="22"/>
          </w:rPr>
          <w:t xml:space="preserve"> 2006</w:t>
        </w:r>
        <w:r w:rsidR="00E6043D">
          <w:rPr>
            <w:color w:val="000000"/>
            <w:szCs w:val="22"/>
          </w:rPr>
          <w:fldChar w:fldCharType="end"/>
        </w:r>
      </w:hyperlink>
      <w:r w:rsidRPr="000C1447">
        <w:rPr>
          <w:color w:val="000000"/>
          <w:szCs w:val="22"/>
        </w:rPr>
        <w:t>), however</w:t>
      </w:r>
      <w:r w:rsidR="00443207">
        <w:rPr>
          <w:color w:val="000000"/>
          <w:szCs w:val="22"/>
        </w:rPr>
        <w:t>,</w:t>
      </w:r>
      <w:r w:rsidRPr="000C1447">
        <w:rPr>
          <w:color w:val="000000"/>
          <w:szCs w:val="22"/>
        </w:rPr>
        <w:t xml:space="preserve"> prolonged exposure to warm temperatures can reduce growth in some species such as </w:t>
      </w:r>
      <w:proofErr w:type="spellStart"/>
      <w:r w:rsidRPr="000C1447">
        <w:rPr>
          <w:i/>
          <w:color w:val="000000"/>
          <w:szCs w:val="22"/>
        </w:rPr>
        <w:t>Zostera</w:t>
      </w:r>
      <w:proofErr w:type="spellEnd"/>
      <w:r w:rsidRPr="000C1447">
        <w:rPr>
          <w:i/>
          <w:color w:val="000000"/>
          <w:szCs w:val="22"/>
        </w:rPr>
        <w:t xml:space="preserve"> </w:t>
      </w:r>
      <w:proofErr w:type="spellStart"/>
      <w:r w:rsidRPr="000C1447">
        <w:rPr>
          <w:i/>
          <w:color w:val="000000"/>
          <w:szCs w:val="22"/>
        </w:rPr>
        <w:t>muelleri</w:t>
      </w:r>
      <w:proofErr w:type="spellEnd"/>
      <w:r w:rsidRPr="000C1447">
        <w:rPr>
          <w:i/>
          <w:color w:val="000000"/>
          <w:szCs w:val="22"/>
        </w:rPr>
        <w:t xml:space="preserve"> </w:t>
      </w:r>
      <w:r w:rsidRPr="000C1447">
        <w:rPr>
          <w:color w:val="000000"/>
          <w:szCs w:val="22"/>
        </w:rPr>
        <w:t>which occurs in the Burdekin region (Collier et al 2011). There was also below-average daily tidal exposure (Appendix 4) and no extreme heat days (&gt;40°C), which can rapidly reduce photosynthetic rates and cause leaf “burn-off”.</w:t>
      </w:r>
    </w:p>
    <w:p w:rsidR="000C1447" w:rsidRDefault="000C1447" w:rsidP="000C1447">
      <w:pPr>
        <w:rPr>
          <w:color w:val="000000"/>
          <w:szCs w:val="22"/>
        </w:rPr>
      </w:pPr>
    </w:p>
    <w:p w:rsidR="000C1447" w:rsidRDefault="000C1447" w:rsidP="00443207">
      <w:pPr>
        <w:keepNext/>
        <w:widowControl w:val="0"/>
        <w:spacing w:after="0"/>
        <w:jc w:val="center"/>
        <w:rPr>
          <w:noProof/>
          <w:color w:val="000000"/>
          <w:szCs w:val="22"/>
          <w:lang w:eastAsia="en-AU"/>
        </w:rPr>
      </w:pPr>
      <w:r>
        <w:rPr>
          <w:noProof/>
          <w:color w:val="000000"/>
          <w:szCs w:val="22"/>
          <w:lang w:eastAsia="en-AU"/>
        </w:rPr>
        <w:drawing>
          <wp:inline distT="0" distB="0" distL="0" distR="0" wp14:anchorId="1C02F3CD" wp14:editId="384FC50B">
            <wp:extent cx="5040000" cy="2746800"/>
            <wp:effectExtent l="0" t="0" r="8255" b="0"/>
            <wp:docPr id="10167" name="Picture 10167" descr="Panel of two bar graphs showing number of days when inshore within canopy sea temperature exceeded 35°C, 38°C, 40°C and 43°C within each season and deviations at intertidal seagrass habitats from 11-year mean weekly temperature records for intertidal seagrass habitats in the Burdekin NRM region from September 2003 to Ju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T_temperature_deviation_2015.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5040000" cy="2746800"/>
                    </a:xfrm>
                    <a:prstGeom prst="rect">
                      <a:avLst/>
                    </a:prstGeom>
                  </pic:spPr>
                </pic:pic>
              </a:graphicData>
            </a:graphic>
          </wp:inline>
        </w:drawing>
      </w:r>
    </w:p>
    <w:p w:rsidR="000C1447" w:rsidRPr="00EA10D7" w:rsidRDefault="000C1447" w:rsidP="000C1447">
      <w:pPr>
        <w:spacing w:before="0"/>
        <w:ind w:right="233"/>
        <w:rPr>
          <w:i/>
          <w:vanish/>
          <w:color w:val="000000"/>
          <w:szCs w:val="22"/>
          <w:specVanish/>
        </w:rPr>
      </w:pPr>
      <w:bookmarkStart w:id="363" w:name="_Ref442441224"/>
      <w:bookmarkStart w:id="364" w:name="_Toc462684899"/>
      <w:r>
        <w:t xml:space="preserve">Figure </w:t>
      </w:r>
      <w:fldSimple w:instr=" SEQ Figure \* ARABIC ">
        <w:r w:rsidR="009C068F">
          <w:rPr>
            <w:noProof/>
          </w:rPr>
          <w:t>59</w:t>
        </w:r>
      </w:fldSimple>
      <w:bookmarkEnd w:id="363"/>
      <w:r>
        <w:t xml:space="preserve">. </w:t>
      </w:r>
      <w:r w:rsidRPr="00EA10D7">
        <w:rPr>
          <w:i/>
          <w:color w:val="000000"/>
        </w:rPr>
        <w:t xml:space="preserve">Inshore sea temperature at </w:t>
      </w:r>
      <w:r w:rsidR="00213082">
        <w:rPr>
          <w:i/>
          <w:color w:val="000000"/>
        </w:rPr>
        <w:t>intertidal</w:t>
      </w:r>
      <w:r w:rsidRPr="00EA10D7">
        <w:rPr>
          <w:i/>
          <w:color w:val="000000"/>
        </w:rPr>
        <w:t xml:space="preserve"> seagrass habitat</w:t>
      </w:r>
      <w:r w:rsidR="00213082">
        <w:rPr>
          <w:i/>
          <w:color w:val="000000"/>
        </w:rPr>
        <w:t>s</w:t>
      </w:r>
      <w:r w:rsidRPr="00EA10D7">
        <w:rPr>
          <w:i/>
          <w:color w:val="000000"/>
        </w:rPr>
        <w:t xml:space="preserve"> </w:t>
      </w:r>
      <w:r w:rsidR="00213082">
        <w:rPr>
          <w:i/>
          <w:color w:val="000000"/>
        </w:rPr>
        <w:t xml:space="preserve">in the </w:t>
      </w:r>
      <w:r w:rsidRPr="00EA10D7">
        <w:rPr>
          <w:i/>
          <w:color w:val="000000"/>
        </w:rPr>
        <w:t xml:space="preserve">Burdekin region, </w:t>
      </w:r>
      <w:r>
        <w:rPr>
          <w:i/>
          <w:color w:val="000000"/>
        </w:rPr>
        <w:t>January</w:t>
      </w:r>
      <w:r w:rsidRPr="00EA10D7">
        <w:rPr>
          <w:i/>
          <w:color w:val="000000"/>
        </w:rPr>
        <w:t xml:space="preserve"> 200</w:t>
      </w:r>
      <w:r>
        <w:rPr>
          <w:i/>
          <w:color w:val="000000"/>
        </w:rPr>
        <w:t>8</w:t>
      </w:r>
      <w:r w:rsidRPr="00EA10D7">
        <w:rPr>
          <w:i/>
          <w:color w:val="000000"/>
        </w:rPr>
        <w:t xml:space="preserve"> - </w:t>
      </w:r>
      <w:r w:rsidR="00443207">
        <w:rPr>
          <w:i/>
          <w:color w:val="000000"/>
        </w:rPr>
        <w:t>May</w:t>
      </w:r>
      <w:r w:rsidRPr="00EA10D7">
        <w:rPr>
          <w:i/>
          <w:color w:val="000000"/>
        </w:rPr>
        <w:t xml:space="preserve"> 201</w:t>
      </w:r>
      <w:r>
        <w:rPr>
          <w:i/>
          <w:color w:val="000000"/>
        </w:rPr>
        <w:t>5</w:t>
      </w:r>
      <w:bookmarkEnd w:id="364"/>
    </w:p>
    <w:p w:rsidR="000C1447" w:rsidRDefault="000C1447" w:rsidP="000C1447">
      <w:r w:rsidRPr="00EA10D7">
        <w:rPr>
          <w:i/>
          <w:color w:val="000000"/>
        </w:rPr>
        <w:t xml:space="preserve">: a) number of days when temperature exceeded 35°C, 38°C, 40°C and 43°C within each season (thresholds adapted from </w:t>
      </w:r>
      <w:hyperlink w:anchor="_ENREF_33" w:tooltip="Campbell, 2006 #2896" w:history="1">
        <w:r w:rsidR="00E6043D">
          <w:rPr>
            <w:i/>
            <w:color w:val="000000"/>
          </w:rPr>
          <w:fldChar w:fldCharType="begin"/>
        </w:r>
        <w:r w:rsidR="00E6043D">
          <w:rPr>
            <w:i/>
            <w:color w:val="000000"/>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rPr>
            <w:i/>
            <w:color w:val="000000"/>
          </w:rPr>
          <w:fldChar w:fldCharType="separate"/>
        </w:r>
        <w:r w:rsidR="00E6043D">
          <w:rPr>
            <w:i/>
            <w:noProof/>
            <w:color w:val="000000"/>
          </w:rPr>
          <w:t>Campbell, et al. 2006</w:t>
        </w:r>
        <w:r w:rsidR="00E6043D">
          <w:rPr>
            <w:i/>
            <w:color w:val="000000"/>
          </w:rPr>
          <w:fldChar w:fldCharType="end"/>
        </w:r>
      </w:hyperlink>
      <w:r w:rsidRPr="00EA10D7">
        <w:rPr>
          <w:i/>
          <w:color w:val="000000"/>
        </w:rPr>
        <w:t xml:space="preserve">); b) deviations from </w:t>
      </w:r>
      <w:r w:rsidR="00443207">
        <w:rPr>
          <w:i/>
          <w:color w:val="000000"/>
        </w:rPr>
        <w:t>11</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p>
    <w:p w:rsidR="000C1447" w:rsidRDefault="000C1447" w:rsidP="00443207">
      <w:pPr>
        <w:keepNext/>
        <w:widowControl w:val="0"/>
        <w:spacing w:after="0"/>
        <w:jc w:val="center"/>
        <w:rPr>
          <w:noProof/>
          <w:color w:val="000000"/>
          <w:szCs w:val="22"/>
          <w:lang w:eastAsia="en-AU"/>
        </w:rPr>
      </w:pPr>
      <w:r>
        <w:rPr>
          <w:noProof/>
          <w:color w:val="000000"/>
          <w:szCs w:val="22"/>
          <w:lang w:eastAsia="en-AU"/>
        </w:rPr>
        <w:lastRenderedPageBreak/>
        <w:drawing>
          <wp:inline distT="0" distB="0" distL="0" distR="0" wp14:anchorId="674716B7" wp14:editId="2D3F593A">
            <wp:extent cx="5040000" cy="2732400"/>
            <wp:effectExtent l="0" t="0" r="8255" b="0"/>
            <wp:docPr id="10168" name="Picture 10168" descr="Panel of two bar graphs showing number of days when inshore within canopy sea temperature exceeded 35°C, 38°C, 40°C and 43°C within each season and deviations at subtidal seagrass habitats from 7-year mean weekly temperature records for intertidal seagrass habitats in the Burdekin NRM region from January 2008 to Ju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sub_temperature_deviation_2015.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040000" cy="2732400"/>
                    </a:xfrm>
                    <a:prstGeom prst="rect">
                      <a:avLst/>
                    </a:prstGeom>
                  </pic:spPr>
                </pic:pic>
              </a:graphicData>
            </a:graphic>
          </wp:inline>
        </w:drawing>
      </w:r>
    </w:p>
    <w:p w:rsidR="000C1447" w:rsidRPr="00EA10D7" w:rsidRDefault="000C1447" w:rsidP="000C1447">
      <w:pPr>
        <w:spacing w:before="0"/>
        <w:ind w:right="233"/>
        <w:rPr>
          <w:i/>
          <w:vanish/>
          <w:color w:val="000000"/>
          <w:szCs w:val="22"/>
          <w:specVanish/>
        </w:rPr>
      </w:pPr>
      <w:bookmarkStart w:id="365" w:name="_Toc462684900"/>
      <w:r>
        <w:t xml:space="preserve">Figure </w:t>
      </w:r>
      <w:fldSimple w:instr=" SEQ Figure \* ARABIC ">
        <w:r w:rsidR="009C068F">
          <w:rPr>
            <w:noProof/>
          </w:rPr>
          <w:t>60</w:t>
        </w:r>
      </w:fldSimple>
      <w:r>
        <w:t xml:space="preserve">. </w:t>
      </w:r>
      <w:r w:rsidRPr="00EA10D7">
        <w:rPr>
          <w:i/>
          <w:color w:val="000000"/>
        </w:rPr>
        <w:t>Inshore sea temperature at</w:t>
      </w:r>
      <w:r>
        <w:rPr>
          <w:i/>
          <w:color w:val="000000"/>
        </w:rPr>
        <w:t xml:space="preserve"> </w:t>
      </w:r>
      <w:r w:rsidR="00A062EF" w:rsidRPr="00EA10D7">
        <w:rPr>
          <w:i/>
          <w:color w:val="000000"/>
        </w:rPr>
        <w:t xml:space="preserve">inshore </w:t>
      </w:r>
      <w:r>
        <w:rPr>
          <w:i/>
          <w:color w:val="000000"/>
        </w:rPr>
        <w:t>subtidal</w:t>
      </w:r>
      <w:r w:rsidRPr="00EA10D7">
        <w:rPr>
          <w:i/>
          <w:color w:val="000000"/>
        </w:rPr>
        <w:t xml:space="preserve"> seagrass habitat </w:t>
      </w:r>
      <w:r>
        <w:rPr>
          <w:i/>
          <w:color w:val="000000"/>
        </w:rPr>
        <w:t>at Magnetic Island (</w:t>
      </w:r>
      <w:r w:rsidRPr="00EA10D7">
        <w:rPr>
          <w:i/>
          <w:color w:val="000000"/>
        </w:rPr>
        <w:t>Burdekin region</w:t>
      </w:r>
      <w:r>
        <w:rPr>
          <w:i/>
          <w:color w:val="000000"/>
        </w:rPr>
        <w:t>)</w:t>
      </w:r>
      <w:r w:rsidRPr="00EA10D7">
        <w:rPr>
          <w:i/>
          <w:color w:val="000000"/>
        </w:rPr>
        <w:t xml:space="preserve">, </w:t>
      </w:r>
      <w:r>
        <w:rPr>
          <w:i/>
          <w:color w:val="000000"/>
        </w:rPr>
        <w:t>January</w:t>
      </w:r>
      <w:r w:rsidRPr="00EA10D7">
        <w:rPr>
          <w:i/>
          <w:color w:val="000000"/>
        </w:rPr>
        <w:t xml:space="preserve"> 200</w:t>
      </w:r>
      <w:r>
        <w:rPr>
          <w:i/>
          <w:color w:val="000000"/>
        </w:rPr>
        <w:t>8</w:t>
      </w:r>
      <w:r w:rsidRPr="00EA10D7">
        <w:rPr>
          <w:i/>
          <w:color w:val="000000"/>
        </w:rPr>
        <w:t xml:space="preserve"> - </w:t>
      </w:r>
      <w:r w:rsidR="00443207">
        <w:rPr>
          <w:i/>
          <w:color w:val="000000"/>
        </w:rPr>
        <w:t>May</w:t>
      </w:r>
      <w:r w:rsidRPr="00EA10D7">
        <w:rPr>
          <w:i/>
          <w:color w:val="000000"/>
        </w:rPr>
        <w:t xml:space="preserve"> 201</w:t>
      </w:r>
      <w:r>
        <w:rPr>
          <w:i/>
          <w:color w:val="000000"/>
        </w:rPr>
        <w:t>5</w:t>
      </w:r>
      <w:bookmarkEnd w:id="365"/>
    </w:p>
    <w:p w:rsidR="000C1447" w:rsidRDefault="000C1447" w:rsidP="000C1447">
      <w:r w:rsidRPr="00EA10D7">
        <w:rPr>
          <w:i/>
          <w:color w:val="000000"/>
        </w:rPr>
        <w:t xml:space="preserve">: a) number of days when temperature exceeded 35°C, 38°C, 40°C and 43°C within each season (thresholds adapted from </w:t>
      </w:r>
      <w:hyperlink w:anchor="_ENREF_33" w:tooltip="Campbell, 2006 #2896" w:history="1">
        <w:r w:rsidR="00E6043D">
          <w:rPr>
            <w:i/>
            <w:color w:val="000000"/>
          </w:rPr>
          <w:fldChar w:fldCharType="begin"/>
        </w:r>
        <w:r w:rsidR="00E6043D">
          <w:rPr>
            <w:i/>
            <w:color w:val="000000"/>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rPr>
            <w:i/>
            <w:color w:val="000000"/>
          </w:rPr>
          <w:fldChar w:fldCharType="separate"/>
        </w:r>
        <w:r w:rsidR="00E6043D">
          <w:rPr>
            <w:i/>
            <w:noProof/>
            <w:color w:val="000000"/>
          </w:rPr>
          <w:t>Campbell, et al. 2006</w:t>
        </w:r>
        <w:r w:rsidR="00E6043D">
          <w:rPr>
            <w:i/>
            <w:color w:val="000000"/>
          </w:rPr>
          <w:fldChar w:fldCharType="end"/>
        </w:r>
      </w:hyperlink>
      <w:r w:rsidRPr="00EA10D7">
        <w:rPr>
          <w:i/>
          <w:color w:val="000000"/>
        </w:rPr>
        <w:t xml:space="preserve">); b) deviations from </w:t>
      </w:r>
      <w:r>
        <w:rPr>
          <w:i/>
          <w:color w:val="000000"/>
        </w:rPr>
        <w:t>7</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p>
    <w:p w:rsidR="000C1447" w:rsidRDefault="000C1447" w:rsidP="000C1447">
      <w:pPr>
        <w:rPr>
          <w:color w:val="000000"/>
          <w:szCs w:val="22"/>
        </w:rPr>
      </w:pPr>
    </w:p>
    <w:p w:rsidR="000A5F0A" w:rsidRPr="00BD0604" w:rsidRDefault="00FF0A86" w:rsidP="00926892">
      <w:pPr>
        <w:pStyle w:val="Heading3"/>
        <w:numPr>
          <w:ilvl w:val="2"/>
          <w:numId w:val="9"/>
        </w:numPr>
        <w:rPr>
          <w:rFonts w:ascii="Arial" w:hAnsi="Arial" w:cs="Arial"/>
          <w:color w:val="000000"/>
        </w:rPr>
      </w:pPr>
      <w:bookmarkStart w:id="366" w:name="_Toc462047351"/>
      <w:r>
        <w:rPr>
          <w:rFonts w:ascii="Arial" w:hAnsi="Arial" w:cs="Arial"/>
          <w:color w:val="000000"/>
        </w:rPr>
        <w:t>Indicators of seagrass condition</w:t>
      </w:r>
      <w:bookmarkEnd w:id="366"/>
    </w:p>
    <w:bookmarkEnd w:id="356"/>
    <w:p w:rsidR="000205AF" w:rsidRPr="004F2236" w:rsidRDefault="000205AF" w:rsidP="004F2236">
      <w:pPr>
        <w:pStyle w:val="Heading4"/>
        <w:numPr>
          <w:ilvl w:val="0"/>
          <w:numId w:val="0"/>
        </w:numPr>
        <w:rPr>
          <w:rFonts w:ascii="Arial" w:hAnsi="Arial" w:cs="Arial"/>
          <w:sz w:val="24"/>
          <w:szCs w:val="24"/>
        </w:rPr>
      </w:pPr>
      <w:r w:rsidRPr="004F2236">
        <w:rPr>
          <w:rFonts w:ascii="Arial" w:hAnsi="Arial" w:cs="Arial"/>
          <w:sz w:val="24"/>
          <w:szCs w:val="24"/>
        </w:rPr>
        <w:t>Seagrass abundance</w:t>
      </w:r>
      <w:r w:rsidR="000F45DC">
        <w:rPr>
          <w:rFonts w:ascii="Arial" w:hAnsi="Arial" w:cs="Arial"/>
          <w:sz w:val="24"/>
          <w:szCs w:val="24"/>
        </w:rPr>
        <w:t>,</w:t>
      </w:r>
      <w:r w:rsidRPr="004F2236">
        <w:rPr>
          <w:rFonts w:ascii="Arial" w:hAnsi="Arial" w:cs="Arial"/>
          <w:sz w:val="24"/>
          <w:szCs w:val="24"/>
        </w:rPr>
        <w:t xml:space="preserve"> composition</w:t>
      </w:r>
      <w:bookmarkEnd w:id="357"/>
      <w:r w:rsidR="000F45DC">
        <w:rPr>
          <w:rFonts w:ascii="Arial" w:hAnsi="Arial" w:cs="Arial"/>
          <w:sz w:val="24"/>
          <w:szCs w:val="24"/>
        </w:rPr>
        <w:t xml:space="preserve"> and distribution</w:t>
      </w:r>
    </w:p>
    <w:p w:rsidR="008F0EC4" w:rsidRDefault="000A5F0A" w:rsidP="00A062EF">
      <w:pPr>
        <w:widowControl w:val="0"/>
        <w:spacing w:before="0" w:after="0"/>
        <w:rPr>
          <w:color w:val="000000"/>
          <w:szCs w:val="22"/>
        </w:rPr>
      </w:pPr>
      <w:r>
        <w:rPr>
          <w:color w:val="000000"/>
          <w:szCs w:val="22"/>
        </w:rPr>
        <w:t xml:space="preserve">Seagrass abundance </w:t>
      </w:r>
      <w:r>
        <w:rPr>
          <w:rFonts w:cs="TimesNewRoman,Italic"/>
          <w:iCs/>
          <w:color w:val="000000"/>
          <w:szCs w:val="22"/>
        </w:rPr>
        <w:t xml:space="preserve">(% cover) </w:t>
      </w:r>
      <w:r>
        <w:rPr>
          <w:color w:val="000000"/>
          <w:szCs w:val="22"/>
        </w:rPr>
        <w:t xml:space="preserve">continued to improve over the past 12 months </w:t>
      </w:r>
      <w:r>
        <w:rPr>
          <w:rFonts w:cs="TimesNewRoman,Italic"/>
          <w:iCs/>
          <w:color w:val="000000"/>
          <w:szCs w:val="22"/>
        </w:rPr>
        <w:t>and has near recovered to pre-2011 levels. The overall status for seagrass abundance has remained</w:t>
      </w:r>
      <w:r w:rsidRPr="00554B3E">
        <w:rPr>
          <w:color w:val="000000"/>
          <w:szCs w:val="22"/>
        </w:rPr>
        <w:t xml:space="preserve"> </w:t>
      </w:r>
      <w:r w:rsidR="00FA7EC1">
        <w:rPr>
          <w:b/>
          <w:color w:val="000000"/>
          <w:szCs w:val="22"/>
        </w:rPr>
        <w:t>moderate</w:t>
      </w:r>
      <w:r w:rsidRPr="00554B3E">
        <w:rPr>
          <w:color w:val="000000"/>
          <w:szCs w:val="22"/>
        </w:rPr>
        <w:t xml:space="preserve"> in 201</w:t>
      </w:r>
      <w:r>
        <w:rPr>
          <w:color w:val="000000"/>
          <w:szCs w:val="22"/>
        </w:rPr>
        <w:t>4</w:t>
      </w:r>
      <w:r w:rsidRPr="00554B3E">
        <w:rPr>
          <w:color w:val="000000"/>
          <w:szCs w:val="22"/>
        </w:rPr>
        <w:t>-1</w:t>
      </w:r>
      <w:r>
        <w:rPr>
          <w:color w:val="000000"/>
          <w:szCs w:val="22"/>
        </w:rPr>
        <w:t>5 (</w:t>
      </w:r>
      <w:r w:rsidR="00A062EF">
        <w:rPr>
          <w:color w:val="000000"/>
          <w:szCs w:val="22"/>
        </w:rPr>
        <w:fldChar w:fldCharType="begin"/>
      </w:r>
      <w:r w:rsidR="00A062EF">
        <w:rPr>
          <w:color w:val="000000"/>
          <w:szCs w:val="22"/>
        </w:rPr>
        <w:instrText xml:space="preserve"> REF _Ref410385306 \h </w:instrText>
      </w:r>
      <w:r w:rsidR="00A062EF">
        <w:rPr>
          <w:color w:val="000000"/>
          <w:szCs w:val="22"/>
        </w:rPr>
      </w:r>
      <w:r w:rsidR="00A062EF">
        <w:rPr>
          <w:color w:val="000000"/>
          <w:szCs w:val="22"/>
        </w:rPr>
        <w:fldChar w:fldCharType="separate"/>
      </w:r>
      <w:r w:rsidR="009C068F" w:rsidRPr="0090020B">
        <w:rPr>
          <w:color w:val="000000"/>
        </w:rPr>
        <w:t xml:space="preserve">Figure </w:t>
      </w:r>
      <w:r w:rsidR="009C068F">
        <w:rPr>
          <w:noProof/>
          <w:color w:val="000000"/>
        </w:rPr>
        <w:t>56</w:t>
      </w:r>
      <w:r w:rsidR="00A062EF">
        <w:rPr>
          <w:color w:val="000000"/>
          <w:szCs w:val="22"/>
        </w:rPr>
        <w:fldChar w:fldCharType="end"/>
      </w:r>
      <w:r>
        <w:rPr>
          <w:color w:val="000000"/>
          <w:szCs w:val="22"/>
        </w:rPr>
        <w:t>).</w:t>
      </w:r>
    </w:p>
    <w:p w:rsidR="000A5F0A" w:rsidRPr="000A5F0A" w:rsidRDefault="000A5F0A" w:rsidP="000A5F0A">
      <w:pPr>
        <w:rPr>
          <w:color w:val="000000"/>
          <w:szCs w:val="22"/>
        </w:rPr>
      </w:pPr>
      <w:r w:rsidRPr="000A5F0A">
        <w:rPr>
          <w:color w:val="000000"/>
          <w:szCs w:val="22"/>
        </w:rPr>
        <w:t xml:space="preserve">Seagrass meadows in the Burdekin NRM region continued to experience increases in abundance over the </w:t>
      </w:r>
      <w:r w:rsidR="005515AE">
        <w:rPr>
          <w:color w:val="000000"/>
          <w:szCs w:val="22"/>
        </w:rPr>
        <w:t>2014-15</w:t>
      </w:r>
      <w:r w:rsidRPr="000A5F0A">
        <w:rPr>
          <w:color w:val="000000"/>
          <w:szCs w:val="22"/>
        </w:rPr>
        <w:t xml:space="preserve"> period, similar to the previous monitoring period, at coastal, reef and subtidal habitats (</w:t>
      </w:r>
      <w:r w:rsidR="00A062EF">
        <w:rPr>
          <w:color w:val="000000"/>
          <w:szCs w:val="22"/>
        </w:rPr>
        <w:fldChar w:fldCharType="begin"/>
      </w:r>
      <w:r w:rsidR="00A062EF">
        <w:rPr>
          <w:color w:val="000000"/>
          <w:szCs w:val="22"/>
        </w:rPr>
        <w:instrText xml:space="preserve"> REF _Ref179446038 \h </w:instrText>
      </w:r>
      <w:r w:rsidR="00A062EF">
        <w:rPr>
          <w:color w:val="000000"/>
          <w:szCs w:val="22"/>
        </w:rPr>
      </w:r>
      <w:r w:rsidR="00A062EF">
        <w:rPr>
          <w:color w:val="000000"/>
          <w:szCs w:val="22"/>
        </w:rPr>
        <w:fldChar w:fldCharType="separate"/>
      </w:r>
      <w:r w:rsidR="009C068F" w:rsidRPr="00403D16">
        <w:rPr>
          <w:color w:val="000000"/>
        </w:rPr>
        <w:t xml:space="preserve">Figure </w:t>
      </w:r>
      <w:r w:rsidR="009C068F">
        <w:rPr>
          <w:noProof/>
          <w:color w:val="000000"/>
        </w:rPr>
        <w:t>61</w:t>
      </w:r>
      <w:r w:rsidR="00A062EF">
        <w:rPr>
          <w:color w:val="000000"/>
          <w:szCs w:val="22"/>
        </w:rPr>
        <w:fldChar w:fldCharType="end"/>
      </w:r>
      <w:r w:rsidRPr="000A5F0A">
        <w:rPr>
          <w:color w:val="000000"/>
          <w:szCs w:val="22"/>
        </w:rPr>
        <w:t xml:space="preserve">). These increases resulted in the highest abundances in the last five years. </w:t>
      </w:r>
    </w:p>
    <w:p w:rsidR="000A5F0A" w:rsidRDefault="000A5F0A" w:rsidP="000A5F0A">
      <w:pPr>
        <w:rPr>
          <w:color w:val="000000"/>
          <w:szCs w:val="22"/>
        </w:rPr>
      </w:pPr>
      <w:r w:rsidRPr="000A5F0A">
        <w:rPr>
          <w:color w:val="000000"/>
          <w:szCs w:val="22"/>
        </w:rPr>
        <w:t>Since monitoring was established, coastal meadows in the region have displayed a seasonal pattern in abundance; high in monsoon and low in the dry season (</w:t>
      </w:r>
      <w:hyperlink w:anchor="_ENREF_168" w:tooltip="McKenzie, 2012 #9614" w:history="1">
        <w:r w:rsidR="00E6043D">
          <w:rPr>
            <w:color w:val="000000"/>
            <w:szCs w:val="22"/>
          </w:rPr>
          <w:fldChar w:fldCharType="begin"/>
        </w:r>
        <w:r w:rsidR="00E6043D">
          <w:rPr>
            <w:color w:val="000000"/>
            <w:szCs w:val="22"/>
          </w:rPr>
          <w:instrText xml:space="preserve"> ADDIN EN.CITE &lt;EndNote&gt;&lt;Cite&gt;&lt;Author&gt;McKenzie&lt;/Author&gt;&lt;Year&gt;2012&lt;/Year&gt;&lt;RecNum&gt;9614&lt;/RecNum&gt;&lt;DisplayText&gt;McKenzie&lt;style face="italic"&gt;, et al.&lt;/style&gt; 2012a&lt;/DisplayText&gt;&lt;record&gt;&lt;rec-number&gt;9614&lt;/rec-number&gt;&lt;foreign-keys&gt;&lt;key app="EN" db-id="0eve55x9y5vfd6e9dacxtew4eatve2dzds9a"&gt;9614&lt;/key&gt;&lt;/foreign-keys&gt;&lt;ref-type name="Book Section"&gt;5&lt;/ref-type&gt;&lt;contributors&gt;&lt;authors&gt;&lt;author&gt;McKenzie, Len J&lt;/author&gt;&lt;author&gt;Collier, C&lt;/author&gt;&lt;author&gt;Waycott, M&lt;/author&gt;&lt;author&gt;Unsworth, R&lt;/author&gt;&lt;author&gt;Yoshida, R&lt;/author&gt;&lt;author&gt;Smith, N&lt;/author&gt;&lt;/authors&gt;&lt;secondary-authors&gt;&lt;author&gt;Yellowlees, D&lt;/author&gt;&lt;author&gt;Hughes, T. P&lt;/author&gt;&lt;/secondary-authors&gt;&lt;/contributors&gt;&lt;titles&gt;&lt;title&gt;Monitoring inshore seagrasses of the GBR and responses to water quality&lt;/title&gt;&lt;secondary-title&gt;Proceedings of the 12th International Coral Reef Symposium, Cairns, Australia, 9-13 July 2012. Mini-Symposium 15b – Seagrasses and seagrass ecosystems&lt;/secondary-title&gt;&lt;/titles&gt;&lt;pages&gt;5&lt;/pages&gt;&lt;dates&gt;&lt;year&gt;2012&lt;/year&gt;&lt;/dates&gt;&lt;pub-location&gt;Townsville, Queensland&lt;/pub-location&gt;&lt;publisher&gt;James Cook University&lt;/publisher&gt;&lt;isbn&gt;978-0-9808572-5-2&lt;/isbn&gt;&lt;urls&gt;&lt;related-urls&gt;&lt;url&gt;http://www.icrs2012.com/proceedings/manuscripts/ICRS2012_15B_4.pdf&lt;/url&gt;&lt;/related-urls&gt;&lt;/urls&gt;&lt;/record&gt;&lt;/Cite&gt;&lt;/EndNote&gt;</w:instrText>
        </w:r>
        <w:r w:rsidR="00E6043D">
          <w:rPr>
            <w:color w:val="000000"/>
            <w:szCs w:val="22"/>
          </w:rPr>
          <w:fldChar w:fldCharType="separate"/>
        </w:r>
        <w:r w:rsidR="00E6043D">
          <w:rPr>
            <w:noProof/>
            <w:color w:val="000000"/>
            <w:szCs w:val="22"/>
          </w:rPr>
          <w:t>McKenzie</w:t>
        </w:r>
        <w:r w:rsidR="00E6043D" w:rsidRPr="00644A84">
          <w:rPr>
            <w:i/>
            <w:noProof/>
            <w:color w:val="000000"/>
            <w:szCs w:val="22"/>
          </w:rPr>
          <w:t>, et al.</w:t>
        </w:r>
        <w:r w:rsidR="00E6043D">
          <w:rPr>
            <w:noProof/>
            <w:color w:val="000000"/>
            <w:szCs w:val="22"/>
          </w:rPr>
          <w:t xml:space="preserve"> 2012a</w:t>
        </w:r>
        <w:r w:rsidR="00E6043D">
          <w:rPr>
            <w:color w:val="000000"/>
            <w:szCs w:val="22"/>
          </w:rPr>
          <w:fldChar w:fldCharType="end"/>
        </w:r>
      </w:hyperlink>
      <w:r w:rsidRPr="000A5F0A">
        <w:rPr>
          <w:color w:val="000000"/>
          <w:szCs w:val="22"/>
        </w:rPr>
        <w:t>). This, however, was not apparent over the last 4 years, as seagrass has been recovering from losses experienced in early 2011. Long-term seagrass abundances were generally higher in reef than coastal habitats, however, the seasonal difference (highest abundances are late dry and early monsoon) for each was similar: coastal = 11 ±1.7% in the dry and 22.4 ±2.3% in monsoon season; reef = 27.1 ±2.6% in dry and 38.3 ±3.9% in late monsoon; subtidal 32.7 ±62.8% in the monsoon and 62.8 ±3.0% in dry season. In 2014-15, abundance continued to increase in all habitats, and in subtidal reef habitats surpassed previously recorded levels (</w:t>
      </w:r>
      <w:r w:rsidR="00A062EF">
        <w:rPr>
          <w:color w:val="000000"/>
          <w:szCs w:val="22"/>
        </w:rPr>
        <w:fldChar w:fldCharType="begin"/>
      </w:r>
      <w:r w:rsidR="00A062EF">
        <w:rPr>
          <w:color w:val="000000"/>
          <w:szCs w:val="22"/>
        </w:rPr>
        <w:instrText xml:space="preserve"> REF _Ref179446038 \h </w:instrText>
      </w:r>
      <w:r w:rsidR="00A062EF">
        <w:rPr>
          <w:color w:val="000000"/>
          <w:szCs w:val="22"/>
        </w:rPr>
      </w:r>
      <w:r w:rsidR="00A062EF">
        <w:rPr>
          <w:color w:val="000000"/>
          <w:szCs w:val="22"/>
        </w:rPr>
        <w:fldChar w:fldCharType="separate"/>
      </w:r>
      <w:r w:rsidR="009C068F" w:rsidRPr="00403D16">
        <w:rPr>
          <w:color w:val="000000"/>
        </w:rPr>
        <w:t xml:space="preserve">Figure </w:t>
      </w:r>
      <w:r w:rsidR="009C068F">
        <w:rPr>
          <w:noProof/>
          <w:color w:val="000000"/>
        </w:rPr>
        <w:t>61</w:t>
      </w:r>
      <w:r w:rsidR="00A062EF">
        <w:rPr>
          <w:color w:val="000000"/>
          <w:szCs w:val="22"/>
        </w:rPr>
        <w:fldChar w:fldCharType="end"/>
      </w:r>
      <w:r w:rsidRPr="000A5F0A">
        <w:rPr>
          <w:color w:val="000000"/>
          <w:szCs w:val="22"/>
        </w:rPr>
        <w:t xml:space="preserve">). </w:t>
      </w:r>
    </w:p>
    <w:p w:rsidR="000A5F0A" w:rsidRPr="000A5F0A" w:rsidRDefault="000A5F0A" w:rsidP="000F45DC">
      <w:pPr>
        <w:keepNext/>
        <w:widowControl w:val="0"/>
        <w:spacing w:after="0"/>
        <w:jc w:val="center"/>
        <w:rPr>
          <w:noProof/>
          <w:color w:val="000000"/>
          <w:szCs w:val="22"/>
          <w:lang w:eastAsia="en-AU"/>
        </w:rPr>
      </w:pPr>
      <w:r>
        <w:rPr>
          <w:noProof/>
          <w:color w:val="000000"/>
          <w:szCs w:val="22"/>
          <w:lang w:eastAsia="en-AU"/>
        </w:rPr>
        <w:lastRenderedPageBreak/>
        <w:drawing>
          <wp:inline distT="0" distB="0" distL="0" distR="0" wp14:anchorId="724ECB60" wp14:editId="53DD22C0">
            <wp:extent cx="4453943" cy="3206840"/>
            <wp:effectExtent l="0" t="0" r="3810" b="0"/>
            <wp:docPr id="10170" name="Picture 10170" descr="Set of four scatter plots with straight lines and markers showing seagrass abundance (% cover ± Standard Error) at inshore iseagrass habitats in the Burdekin NRM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SG15.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4456213" cy="3208474"/>
                    </a:xfrm>
                    <a:prstGeom prst="rect">
                      <a:avLst/>
                    </a:prstGeom>
                  </pic:spPr>
                </pic:pic>
              </a:graphicData>
            </a:graphic>
          </wp:inline>
        </w:drawing>
      </w:r>
    </w:p>
    <w:p w:rsidR="00B910F2" w:rsidRPr="004F39E2" w:rsidRDefault="00BD6B65" w:rsidP="00B910F2">
      <w:pPr>
        <w:rPr>
          <w:i/>
          <w:vanish/>
          <w:color w:val="000000"/>
          <w:szCs w:val="22"/>
          <w:specVanish/>
        </w:rPr>
      </w:pPr>
      <w:bookmarkStart w:id="367" w:name="_Ref179446038"/>
      <w:bookmarkStart w:id="368" w:name="_Toc431493857"/>
      <w:bookmarkStart w:id="369" w:name="_Toc462684901"/>
      <w:bookmarkStart w:id="370" w:name="_Toc176158883"/>
      <w:bookmarkStart w:id="371" w:name="_Toc232845983"/>
      <w:r w:rsidRPr="00403D16">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61</w:t>
      </w:r>
      <w:r w:rsidR="0073595B">
        <w:rPr>
          <w:color w:val="000000"/>
        </w:rPr>
        <w:fldChar w:fldCharType="end"/>
      </w:r>
      <w:bookmarkEnd w:id="367"/>
      <w:r w:rsidRPr="00403D16">
        <w:rPr>
          <w:color w:val="000000"/>
        </w:rPr>
        <w:t xml:space="preserve">. </w:t>
      </w:r>
      <w:r w:rsidRPr="00403D16">
        <w:rPr>
          <w:i/>
          <w:color w:val="000000"/>
        </w:rPr>
        <w:t xml:space="preserve">Changes in mean seagrass abundance (% cover ±Standard Error) at </w:t>
      </w:r>
      <w:r w:rsidR="00B910F2" w:rsidRPr="00403D16">
        <w:rPr>
          <w:i/>
          <w:color w:val="000000"/>
        </w:rPr>
        <w:t xml:space="preserve">inshore </w:t>
      </w:r>
      <w:r w:rsidRPr="00403D16">
        <w:rPr>
          <w:i/>
          <w:color w:val="000000"/>
        </w:rPr>
        <w:t xml:space="preserve">coastal </w:t>
      </w:r>
      <w:r w:rsidRPr="004F39E2">
        <w:rPr>
          <w:i/>
          <w:color w:val="000000"/>
        </w:rPr>
        <w:t>intertidal (a, b), reef intertidal (c) and reef subtidal (d) meadows in the Burdekin region</w:t>
      </w:r>
      <w:r w:rsidR="00B910F2" w:rsidRPr="004F39E2">
        <w:rPr>
          <w:i/>
          <w:color w:val="000000"/>
        </w:rPr>
        <w:t xml:space="preserve">, </w:t>
      </w:r>
      <w:r w:rsidRPr="004F39E2">
        <w:rPr>
          <w:i/>
          <w:color w:val="000000"/>
        </w:rPr>
        <w:t xml:space="preserve">2001 </w:t>
      </w:r>
      <w:r w:rsidR="00B910F2" w:rsidRPr="004F39E2">
        <w:rPr>
          <w:i/>
          <w:color w:val="000000"/>
        </w:rPr>
        <w:t>-</w:t>
      </w:r>
      <w:r w:rsidRPr="004F39E2">
        <w:rPr>
          <w:i/>
          <w:color w:val="000000"/>
        </w:rPr>
        <w:t xml:space="preserve"> 201</w:t>
      </w:r>
      <w:r w:rsidR="000A5F0A" w:rsidRPr="004F39E2">
        <w:rPr>
          <w:i/>
          <w:color w:val="000000"/>
        </w:rPr>
        <w:t>5</w:t>
      </w:r>
      <w:r w:rsidRPr="004F39E2">
        <w:rPr>
          <w:i/>
          <w:color w:val="000000"/>
        </w:rPr>
        <w:t>.</w:t>
      </w:r>
      <w:bookmarkEnd w:id="368"/>
      <w:bookmarkEnd w:id="369"/>
      <w:r w:rsidRPr="004F39E2">
        <w:rPr>
          <w:i/>
          <w:color w:val="000000"/>
        </w:rPr>
        <w:t xml:space="preserve"> </w:t>
      </w:r>
    </w:p>
    <w:p w:rsidR="00B910F2" w:rsidRPr="00403D16" w:rsidRDefault="00BD6B65" w:rsidP="00B910F2">
      <w:pPr>
        <w:rPr>
          <w:color w:val="000000"/>
        </w:rPr>
      </w:pPr>
      <w:proofErr w:type="spellStart"/>
      <w:r w:rsidRPr="004F39E2">
        <w:rPr>
          <w:i/>
          <w:color w:val="000000"/>
        </w:rPr>
        <w:t>Trendline</w:t>
      </w:r>
      <w:proofErr w:type="spellEnd"/>
      <w:r w:rsidRPr="004F39E2">
        <w:rPr>
          <w:i/>
          <w:color w:val="000000"/>
        </w:rPr>
        <w:t xml:space="preserve"> is 3rd order polynomial, 95% confidence intervals displayed, coastal intertidal r</w:t>
      </w:r>
      <w:r w:rsidRPr="004F39E2">
        <w:rPr>
          <w:i/>
          <w:color w:val="000000"/>
          <w:vertAlign w:val="superscript"/>
        </w:rPr>
        <w:t>2</w:t>
      </w:r>
      <w:r w:rsidR="00403D16" w:rsidRPr="004F39E2">
        <w:rPr>
          <w:i/>
          <w:color w:val="000000"/>
        </w:rPr>
        <w:t xml:space="preserve"> = 0.5</w:t>
      </w:r>
      <w:r w:rsidR="004F39E2" w:rsidRPr="004F39E2">
        <w:rPr>
          <w:i/>
          <w:color w:val="000000"/>
        </w:rPr>
        <w:t>2</w:t>
      </w:r>
      <w:r w:rsidRPr="004F39E2">
        <w:rPr>
          <w:i/>
          <w:color w:val="000000"/>
        </w:rPr>
        <w:t xml:space="preserve">, </w:t>
      </w:r>
      <w:bookmarkEnd w:id="370"/>
      <w:bookmarkEnd w:id="371"/>
      <w:r w:rsidRPr="004F39E2">
        <w:rPr>
          <w:i/>
          <w:color w:val="000000"/>
        </w:rPr>
        <w:t>reef intertidal r</w:t>
      </w:r>
      <w:r w:rsidRPr="004F39E2">
        <w:rPr>
          <w:i/>
          <w:color w:val="000000"/>
          <w:vertAlign w:val="superscript"/>
        </w:rPr>
        <w:t>2</w:t>
      </w:r>
      <w:r w:rsidRPr="004F39E2">
        <w:rPr>
          <w:i/>
          <w:color w:val="000000"/>
        </w:rPr>
        <w:t xml:space="preserve"> = 0.</w:t>
      </w:r>
      <w:r w:rsidR="00403D16" w:rsidRPr="004F39E2">
        <w:rPr>
          <w:i/>
          <w:color w:val="000000"/>
        </w:rPr>
        <w:t>5</w:t>
      </w:r>
      <w:r w:rsidR="004F39E2" w:rsidRPr="004F39E2">
        <w:rPr>
          <w:i/>
          <w:color w:val="000000"/>
        </w:rPr>
        <w:t>0</w:t>
      </w:r>
      <w:r w:rsidRPr="004F39E2">
        <w:rPr>
          <w:i/>
          <w:color w:val="000000"/>
        </w:rPr>
        <w:t xml:space="preserve"> and reef subtidal r</w:t>
      </w:r>
      <w:r w:rsidRPr="004F39E2">
        <w:rPr>
          <w:i/>
          <w:color w:val="000000"/>
          <w:vertAlign w:val="superscript"/>
        </w:rPr>
        <w:t>2</w:t>
      </w:r>
      <w:r w:rsidRPr="004F39E2">
        <w:rPr>
          <w:i/>
          <w:color w:val="000000"/>
        </w:rPr>
        <w:t xml:space="preserve"> = 0.8</w:t>
      </w:r>
      <w:r w:rsidR="004F39E2" w:rsidRPr="004F39E2">
        <w:rPr>
          <w:i/>
          <w:color w:val="000000"/>
        </w:rPr>
        <w:t>8</w:t>
      </w:r>
      <w:r w:rsidRPr="004F39E2">
        <w:rPr>
          <w:i/>
          <w:color w:val="000000"/>
        </w:rPr>
        <w:t>.</w:t>
      </w:r>
      <w:r w:rsidR="00B910F2" w:rsidRPr="00403D16">
        <w:rPr>
          <w:i/>
          <w:color w:val="000000"/>
        </w:rPr>
        <w:t xml:space="preserve"> </w:t>
      </w:r>
    </w:p>
    <w:p w:rsidR="00A062EF" w:rsidRDefault="00A062EF" w:rsidP="00FD7E76">
      <w:pPr>
        <w:rPr>
          <w:color w:val="000000"/>
          <w:szCs w:val="22"/>
        </w:rPr>
      </w:pPr>
      <w:r w:rsidRPr="00A062EF">
        <w:rPr>
          <w:color w:val="000000"/>
          <w:szCs w:val="22"/>
        </w:rPr>
        <w:t xml:space="preserve">An examination of the long term trends across the </w:t>
      </w:r>
      <w:r>
        <w:rPr>
          <w:color w:val="000000"/>
          <w:szCs w:val="22"/>
        </w:rPr>
        <w:t>Burdekin</w:t>
      </w:r>
      <w:r w:rsidRPr="00A062EF">
        <w:rPr>
          <w:color w:val="000000"/>
          <w:szCs w:val="22"/>
        </w:rPr>
        <w:t xml:space="preserve"> NRM region suggests seagrass abundance (% cover) </w:t>
      </w:r>
      <w:r>
        <w:rPr>
          <w:color w:val="000000"/>
          <w:szCs w:val="22"/>
        </w:rPr>
        <w:t>has recovered to pre-2011 levels (</w:t>
      </w:r>
      <w:r>
        <w:rPr>
          <w:color w:val="000000"/>
          <w:szCs w:val="22"/>
        </w:rPr>
        <w:fldChar w:fldCharType="begin"/>
      </w:r>
      <w:r>
        <w:rPr>
          <w:color w:val="000000"/>
          <w:szCs w:val="22"/>
        </w:rPr>
        <w:instrText xml:space="preserve"> REF _Ref442441725 \h </w:instrText>
      </w:r>
      <w:r>
        <w:rPr>
          <w:color w:val="000000"/>
          <w:szCs w:val="22"/>
        </w:rPr>
      </w:r>
      <w:r>
        <w:rPr>
          <w:color w:val="000000"/>
          <w:szCs w:val="22"/>
        </w:rPr>
        <w:fldChar w:fldCharType="separate"/>
      </w:r>
      <w:r w:rsidR="009C068F">
        <w:t xml:space="preserve">Figure </w:t>
      </w:r>
      <w:r w:rsidR="009C068F">
        <w:rPr>
          <w:noProof/>
        </w:rPr>
        <w:t>62</w:t>
      </w:r>
      <w:r>
        <w:rPr>
          <w:color w:val="000000"/>
          <w:szCs w:val="22"/>
        </w:rPr>
        <w:fldChar w:fldCharType="end"/>
      </w:r>
      <w:r>
        <w:rPr>
          <w:color w:val="000000"/>
          <w:szCs w:val="22"/>
        </w:rPr>
        <w:t>)</w:t>
      </w:r>
      <w:r w:rsidRPr="00A062EF">
        <w:rPr>
          <w:color w:val="000000"/>
          <w:szCs w:val="22"/>
        </w:rPr>
        <w:t>.</w:t>
      </w:r>
    </w:p>
    <w:p w:rsidR="00E43A54" w:rsidRDefault="00A062EF" w:rsidP="00E43A54">
      <w:pPr>
        <w:keepNext/>
        <w:widowControl w:val="0"/>
        <w:spacing w:after="0"/>
        <w:jc w:val="center"/>
        <w:rPr>
          <w:color w:val="000000"/>
          <w:szCs w:val="22"/>
        </w:rPr>
      </w:pPr>
      <w:r>
        <w:rPr>
          <w:noProof/>
          <w:color w:val="000000"/>
          <w:szCs w:val="22"/>
          <w:lang w:eastAsia="en-AU"/>
        </w:rPr>
        <w:drawing>
          <wp:inline distT="0" distB="0" distL="0" distR="0" wp14:anchorId="658B09C6" wp14:editId="2202CB98">
            <wp:extent cx="3600000" cy="2131200"/>
            <wp:effectExtent l="0" t="0" r="635" b="2540"/>
            <wp:docPr id="79" name="Picture 79" descr="GAM plot showing long-term temporal trends in seagrass abundance for each location in the Burdekin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B_cvr_GAM_Jan16.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3600000" cy="2131200"/>
                    </a:xfrm>
                    <a:prstGeom prst="rect">
                      <a:avLst/>
                    </a:prstGeom>
                  </pic:spPr>
                </pic:pic>
              </a:graphicData>
            </a:graphic>
          </wp:inline>
        </w:drawing>
      </w:r>
    </w:p>
    <w:p w:rsidR="00A062EF" w:rsidRPr="00A062EF" w:rsidRDefault="00E43A54" w:rsidP="00E43A54">
      <w:pPr>
        <w:rPr>
          <w:i/>
          <w:vanish/>
          <w:specVanish/>
        </w:rPr>
      </w:pPr>
      <w:bookmarkStart w:id="372" w:name="_Ref442441725"/>
      <w:bookmarkStart w:id="373" w:name="_Toc462684902"/>
      <w:r>
        <w:t xml:space="preserve">Figure </w:t>
      </w:r>
      <w:fldSimple w:instr=" SEQ Figure \* ARABIC ">
        <w:r w:rsidR="009C068F">
          <w:rPr>
            <w:noProof/>
          </w:rPr>
          <w:t>62</w:t>
        </w:r>
      </w:fldSimple>
      <w:bookmarkEnd w:id="372"/>
      <w:r>
        <w:t xml:space="preserve">.  </w:t>
      </w:r>
      <w:r w:rsidR="00A062EF" w:rsidRPr="00A062EF">
        <w:rPr>
          <w:i/>
        </w:rPr>
        <w:t>Temporal trends in seagrass abundance for each location in the Burdekin region represented by a GAM plot.</w:t>
      </w:r>
      <w:bookmarkEnd w:id="373"/>
    </w:p>
    <w:p w:rsidR="00E43A54" w:rsidRDefault="00A062EF" w:rsidP="00FD7E76">
      <w:pPr>
        <w:rPr>
          <w:color w:val="000000"/>
          <w:szCs w:val="22"/>
        </w:rPr>
      </w:pPr>
      <w:r w:rsidRPr="00A062EF">
        <w:rPr>
          <w:i/>
        </w:rPr>
        <w:t xml:space="preserve">  Regional trend (all habitats pooled) represented by black line with grey shaded areas defining 95% confidence intervals.</w:t>
      </w:r>
    </w:p>
    <w:p w:rsidR="000A5F0A" w:rsidRDefault="000A5F0A" w:rsidP="00FD7E76">
      <w:pPr>
        <w:rPr>
          <w:rFonts w:cs="TimesNewRoman,Italic"/>
          <w:iCs/>
          <w:color w:val="000000"/>
          <w:szCs w:val="22"/>
        </w:rPr>
      </w:pPr>
      <w:r w:rsidRPr="000A5F0A">
        <w:rPr>
          <w:color w:val="000000"/>
          <w:szCs w:val="22"/>
        </w:rPr>
        <w:t xml:space="preserve">There has also been a lower proportion of </w:t>
      </w:r>
      <w:r w:rsidR="00B65283">
        <w:rPr>
          <w:color w:val="000000"/>
          <w:szCs w:val="22"/>
        </w:rPr>
        <w:t xml:space="preserve">species displaying </w:t>
      </w:r>
      <w:r w:rsidRPr="000A5F0A">
        <w:rPr>
          <w:color w:val="000000"/>
          <w:szCs w:val="22"/>
        </w:rPr>
        <w:t xml:space="preserve">colonising </w:t>
      </w:r>
      <w:r w:rsidR="00B65283">
        <w:rPr>
          <w:color w:val="000000"/>
          <w:szCs w:val="22"/>
        </w:rPr>
        <w:t>traits (</w:t>
      </w:r>
      <w:proofErr w:type="spellStart"/>
      <w:r w:rsidR="00B65283" w:rsidRPr="00B65283">
        <w:rPr>
          <w:i/>
          <w:color w:val="000000"/>
          <w:szCs w:val="22"/>
        </w:rPr>
        <w:t>Halophila</w:t>
      </w:r>
      <w:proofErr w:type="spellEnd"/>
      <w:r w:rsidR="00B65283" w:rsidRPr="00B65283">
        <w:rPr>
          <w:i/>
          <w:color w:val="000000"/>
          <w:szCs w:val="22"/>
        </w:rPr>
        <w:t xml:space="preserve"> </w:t>
      </w:r>
      <w:proofErr w:type="spellStart"/>
      <w:r w:rsidR="00B65283" w:rsidRPr="00B65283">
        <w:rPr>
          <w:i/>
          <w:color w:val="000000"/>
          <w:szCs w:val="22"/>
        </w:rPr>
        <w:t>ovalis</w:t>
      </w:r>
      <w:proofErr w:type="spellEnd"/>
      <w:r w:rsidR="00B65283">
        <w:rPr>
          <w:color w:val="000000"/>
          <w:szCs w:val="22"/>
        </w:rPr>
        <w:t>)</w:t>
      </w:r>
      <w:r w:rsidRPr="000A5F0A">
        <w:rPr>
          <w:color w:val="000000"/>
          <w:szCs w:val="22"/>
        </w:rPr>
        <w:t>, instead being dominated by opportunistic species (</w:t>
      </w:r>
      <w:r w:rsidRPr="00E43A54">
        <w:rPr>
          <w:i/>
          <w:color w:val="000000"/>
          <w:szCs w:val="22"/>
        </w:rPr>
        <w:t xml:space="preserve">H. </w:t>
      </w:r>
      <w:proofErr w:type="spellStart"/>
      <w:r w:rsidRPr="00E43A54">
        <w:rPr>
          <w:i/>
          <w:color w:val="000000"/>
          <w:szCs w:val="22"/>
        </w:rPr>
        <w:t>uninervis</w:t>
      </w:r>
      <w:proofErr w:type="spellEnd"/>
      <w:r w:rsidRPr="00E43A54">
        <w:rPr>
          <w:i/>
          <w:color w:val="000000"/>
          <w:szCs w:val="22"/>
        </w:rPr>
        <w:t xml:space="preserve">, Z. </w:t>
      </w:r>
      <w:proofErr w:type="spellStart"/>
      <w:r w:rsidRPr="00E43A54">
        <w:rPr>
          <w:i/>
          <w:color w:val="000000"/>
          <w:szCs w:val="22"/>
        </w:rPr>
        <w:t>muelleri</w:t>
      </w:r>
      <w:proofErr w:type="spellEnd"/>
      <w:r w:rsidRPr="00E43A54">
        <w:rPr>
          <w:i/>
          <w:color w:val="000000"/>
          <w:szCs w:val="22"/>
        </w:rPr>
        <w:t xml:space="preserve">, C. </w:t>
      </w:r>
      <w:proofErr w:type="spellStart"/>
      <w:r w:rsidRPr="00E43A54">
        <w:rPr>
          <w:i/>
          <w:color w:val="000000"/>
          <w:szCs w:val="22"/>
        </w:rPr>
        <w:t>serrulata</w:t>
      </w:r>
      <w:proofErr w:type="spellEnd"/>
      <w:r w:rsidRPr="000A5F0A">
        <w:rPr>
          <w:color w:val="000000"/>
          <w:szCs w:val="22"/>
        </w:rPr>
        <w:t>) in coastal and reef sites or persistent species in intertidal reef habitat (</w:t>
      </w:r>
      <w:r w:rsidRPr="00E43A54">
        <w:rPr>
          <w:i/>
          <w:color w:val="000000"/>
          <w:szCs w:val="22"/>
        </w:rPr>
        <w:t xml:space="preserve">T. </w:t>
      </w:r>
      <w:proofErr w:type="spellStart"/>
      <w:r w:rsidRPr="00E43A54">
        <w:rPr>
          <w:i/>
          <w:color w:val="000000"/>
          <w:szCs w:val="22"/>
        </w:rPr>
        <w:t>hemprichii</w:t>
      </w:r>
      <w:proofErr w:type="spellEnd"/>
      <w:r w:rsidRPr="000A5F0A">
        <w:rPr>
          <w:color w:val="000000"/>
          <w:szCs w:val="22"/>
        </w:rPr>
        <w:t xml:space="preserve">, though </w:t>
      </w:r>
      <w:r w:rsidRPr="00E43A54">
        <w:rPr>
          <w:i/>
          <w:color w:val="000000"/>
          <w:szCs w:val="22"/>
        </w:rPr>
        <w:t xml:space="preserve">C. </w:t>
      </w:r>
      <w:proofErr w:type="spellStart"/>
      <w:r w:rsidRPr="00E43A54">
        <w:rPr>
          <w:i/>
          <w:color w:val="000000"/>
          <w:szCs w:val="22"/>
        </w:rPr>
        <w:t>serrulata</w:t>
      </w:r>
      <w:proofErr w:type="spellEnd"/>
      <w:r w:rsidRPr="000A5F0A">
        <w:rPr>
          <w:color w:val="000000"/>
          <w:szCs w:val="22"/>
        </w:rPr>
        <w:t xml:space="preserve"> can also behave like a persistent species) in 2014-15 than in the previous 3 years (</w:t>
      </w:r>
      <w:r w:rsidR="00C118FA">
        <w:rPr>
          <w:color w:val="000000"/>
          <w:szCs w:val="22"/>
        </w:rPr>
        <w:fldChar w:fldCharType="begin"/>
      </w:r>
      <w:r w:rsidR="00C118FA">
        <w:rPr>
          <w:color w:val="000000"/>
          <w:szCs w:val="22"/>
        </w:rPr>
        <w:instrText xml:space="preserve"> REF _Ref380429833 \h </w:instrText>
      </w:r>
      <w:r w:rsidR="00C118FA">
        <w:rPr>
          <w:color w:val="000000"/>
          <w:szCs w:val="22"/>
        </w:rPr>
      </w:r>
      <w:r w:rsidR="00C118FA">
        <w:rPr>
          <w:color w:val="000000"/>
          <w:szCs w:val="22"/>
        </w:rPr>
        <w:fldChar w:fldCharType="separate"/>
      </w:r>
      <w:r w:rsidR="009C068F" w:rsidRPr="006B4212">
        <w:rPr>
          <w:color w:val="000000"/>
        </w:rPr>
        <w:t xml:space="preserve">Figure </w:t>
      </w:r>
      <w:r w:rsidR="009C068F">
        <w:rPr>
          <w:noProof/>
          <w:color w:val="000000"/>
        </w:rPr>
        <w:t>63</w:t>
      </w:r>
      <w:r w:rsidR="00C118FA">
        <w:rPr>
          <w:color w:val="000000"/>
          <w:szCs w:val="22"/>
        </w:rPr>
        <w:fldChar w:fldCharType="end"/>
      </w:r>
      <w:r w:rsidR="00C118FA">
        <w:rPr>
          <w:color w:val="000000"/>
          <w:szCs w:val="22"/>
        </w:rPr>
        <w:t>; Appendix 4</w:t>
      </w:r>
      <w:r w:rsidRPr="000A5F0A">
        <w:rPr>
          <w:color w:val="000000"/>
          <w:szCs w:val="22"/>
        </w:rPr>
        <w:t>). This is a sign of meadow progression following near decimation after the events leading up to and including 2011. Opportunistic and persistent foundation species also have a capacity to resist stress (survive, through reallocation of resources) caused by acute disturbances (</w:t>
      </w:r>
      <w:hyperlink w:anchor="_ENREF_68" w:tooltip="Collier, 2012 #9308" w:history="1">
        <w:r w:rsidR="009C068F" w:rsidRPr="009C068F">
          <w:rPr>
            <w:rStyle w:val="Hyperlink"/>
          </w:rPr>
          <w:t>_ENREF_68</w:t>
        </w:r>
      </w:hyperlink>
      <w:hyperlink w:anchor="_ENREF_69" w:tooltip="Collier, 2012 #9368" w:history="1">
        <w:r w:rsidR="00E6043D">
          <w:rPr>
            <w:color w:val="000000"/>
            <w:szCs w:val="22"/>
          </w:rPr>
          <w:fldChar w:fldCharType="begin"/>
        </w:r>
        <w:r w:rsidR="00E6043D">
          <w:rPr>
            <w:color w:val="000000"/>
            <w:szCs w:val="22"/>
          </w:rPr>
          <w:instrText xml:space="preserve"> ADDIN EN.CITE &lt;EndNote&gt;&lt;Cite&gt;&lt;Author&gt;Collier&lt;/Author&gt;&lt;Year&gt;2012&lt;/Year&gt;&lt;RecNum&gt;9368&lt;/RecNum&gt;&lt;DisplayText&gt;Collier&lt;style face="italic"&gt; et al.&lt;/style&gt; 2012c&lt;/DisplayText&gt;&lt;record&gt;&lt;rec-number&gt;9368&lt;/rec-number&gt;&lt;foreign-keys&gt;&lt;key app="EN" db-id="0eve55x9y5vfd6e9dacxtew4eatve2dzds9a"&gt;9368&lt;/key&gt;&lt;/foreign-keys&gt;&lt;ref-type name="Journal Article"&gt;17&lt;/ref-type&gt;&lt;contributors&gt;&lt;authors&gt;&lt;author&gt;Collier, Catherine J.&lt;/author&gt;&lt;author&gt;Waycott, Michelle&lt;/author&gt;&lt;author&gt;Ospina, Ana Giraldo&lt;/author&gt;&lt;/authors&gt;&lt;/contributors&gt;&lt;titles&gt;&lt;title&gt;Responses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pub-dates&gt;&lt;date&gt;2012&lt;/date&gt;&lt;/pub-dates&gt;&lt;/dates&gt;&lt;isbn&gt;0025-326X&lt;/isbn&gt;&lt;accession-num&gt;WOS:000306249100023&lt;/accession-num&gt;&lt;urls&gt;&lt;related-urls&gt;&lt;url&gt;&amp;lt;Go to ISI&amp;gt;://WOS:000306249100023&lt;/url&gt;&lt;/related-urls&gt;&lt;/urls&gt;&lt;electronic-resource-num&gt;10.1016/j.marpolbul.2011.06.017&lt;/electronic-resource-num&gt;&lt;/record&gt;&lt;/Cite&gt;&lt;/EndNote&gt;</w:instrText>
        </w:r>
        <w:r w:rsidR="00E6043D">
          <w:rPr>
            <w:color w:val="000000"/>
            <w:szCs w:val="22"/>
          </w:rPr>
          <w:fldChar w:fldCharType="separate"/>
        </w:r>
        <w:r w:rsidR="00E6043D">
          <w:rPr>
            <w:noProof/>
            <w:color w:val="000000"/>
            <w:szCs w:val="22"/>
          </w:rPr>
          <w:t>Collier</w:t>
        </w:r>
        <w:r w:rsidR="00E6043D" w:rsidRPr="00DD4F10">
          <w:rPr>
            <w:i/>
            <w:noProof/>
            <w:color w:val="000000"/>
            <w:szCs w:val="22"/>
          </w:rPr>
          <w:t xml:space="preserve"> et al.</w:t>
        </w:r>
        <w:r w:rsidR="00E6043D">
          <w:rPr>
            <w:noProof/>
            <w:color w:val="000000"/>
            <w:szCs w:val="22"/>
          </w:rPr>
          <w:t xml:space="preserve"> 2012c</w:t>
        </w:r>
        <w:r w:rsidR="00E6043D">
          <w:rPr>
            <w:color w:val="000000"/>
            <w:szCs w:val="22"/>
          </w:rPr>
          <w:fldChar w:fldCharType="end"/>
        </w:r>
      </w:hyperlink>
      <w:r w:rsidRPr="000A5F0A">
        <w:rPr>
          <w:color w:val="000000"/>
          <w:szCs w:val="22"/>
        </w:rPr>
        <w:t>), and therefore, current species composition provides greater overall resilie</w:t>
      </w:r>
      <w:r w:rsidR="00F96B43">
        <w:rPr>
          <w:color w:val="000000"/>
          <w:szCs w:val="22"/>
        </w:rPr>
        <w:t>nce in Burdekin meadows.</w:t>
      </w:r>
    </w:p>
    <w:p w:rsidR="00270034" w:rsidRPr="000F45DC" w:rsidRDefault="00270034" w:rsidP="000F45DC">
      <w:pPr>
        <w:keepNext/>
        <w:widowControl w:val="0"/>
        <w:spacing w:after="0"/>
        <w:jc w:val="center"/>
        <w:rPr>
          <w:noProof/>
          <w:color w:val="000000"/>
          <w:szCs w:val="22"/>
          <w:lang w:eastAsia="en-AU"/>
        </w:rPr>
      </w:pPr>
      <w:r w:rsidRPr="000F45DC">
        <w:rPr>
          <w:noProof/>
          <w:color w:val="000000"/>
          <w:szCs w:val="22"/>
          <w:lang w:eastAsia="en-AU"/>
        </w:rPr>
        <w:lastRenderedPageBreak/>
        <w:drawing>
          <wp:inline distT="0" distB="0" distL="0" distR="0" wp14:anchorId="604957D0" wp14:editId="78BABF58">
            <wp:extent cx="4680000" cy="1681200"/>
            <wp:effectExtent l="0" t="0" r="6350" b="0"/>
            <wp:docPr id="10171" name="Picture 10171" descr="Panel of three area plots showing proportion of seagrass abundance composed of species displaying colonising traits at inshore habitats in the Burdekin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colonising_2015.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4680000" cy="1681200"/>
                    </a:xfrm>
                    <a:prstGeom prst="rect">
                      <a:avLst/>
                    </a:prstGeom>
                  </pic:spPr>
                </pic:pic>
              </a:graphicData>
            </a:graphic>
          </wp:inline>
        </w:drawing>
      </w:r>
    </w:p>
    <w:p w:rsidR="00B910F2" w:rsidRPr="006B4212" w:rsidRDefault="00BC6300" w:rsidP="00B910F2">
      <w:pPr>
        <w:rPr>
          <w:i/>
          <w:vanish/>
          <w:color w:val="000000"/>
          <w:szCs w:val="22"/>
          <w:specVanish/>
        </w:rPr>
      </w:pPr>
      <w:bookmarkStart w:id="374" w:name="_Ref380429833"/>
      <w:bookmarkStart w:id="375" w:name="_Toc431493858"/>
      <w:bookmarkStart w:id="376" w:name="_Toc462684903"/>
      <w:r w:rsidRPr="006B421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63</w:t>
      </w:r>
      <w:r w:rsidR="0073595B">
        <w:rPr>
          <w:color w:val="000000"/>
        </w:rPr>
        <w:fldChar w:fldCharType="end"/>
      </w:r>
      <w:bookmarkEnd w:id="374"/>
      <w:r w:rsidRPr="006B4212">
        <w:rPr>
          <w:color w:val="000000"/>
        </w:rPr>
        <w:t xml:space="preserve">. </w:t>
      </w:r>
      <w:r w:rsidRPr="006B4212">
        <w:rPr>
          <w:i/>
          <w:color w:val="000000"/>
        </w:rPr>
        <w:t xml:space="preserve">Proportion of seagrass abundance composed of </w:t>
      </w:r>
      <w:r w:rsidR="00270034">
        <w:rPr>
          <w:i/>
          <w:color w:val="000000"/>
        </w:rPr>
        <w:t>colonising</w:t>
      </w:r>
      <w:r w:rsidRPr="006B4212">
        <w:rPr>
          <w:i/>
          <w:color w:val="000000"/>
        </w:rPr>
        <w:t xml:space="preserve"> species</w:t>
      </w:r>
      <w:r w:rsidR="00B910F2" w:rsidRPr="006B4212">
        <w:rPr>
          <w:i/>
          <w:color w:val="000000"/>
        </w:rPr>
        <w:t xml:space="preserve"> at inshore habitats in the Burdekin region, 2001 - 201</w:t>
      </w:r>
      <w:r w:rsidR="00270034">
        <w:rPr>
          <w:i/>
          <w:color w:val="000000"/>
        </w:rPr>
        <w:t>5</w:t>
      </w:r>
      <w:r w:rsidRPr="006B4212">
        <w:rPr>
          <w:i/>
          <w:color w:val="000000"/>
        </w:rPr>
        <w:t>.</w:t>
      </w:r>
      <w:bookmarkEnd w:id="375"/>
      <w:bookmarkEnd w:id="376"/>
      <w:r w:rsidRPr="006B4212">
        <w:rPr>
          <w:i/>
          <w:color w:val="000000"/>
        </w:rPr>
        <w:t xml:space="preserve"> </w:t>
      </w:r>
    </w:p>
    <w:p w:rsidR="00B910F2" w:rsidRPr="006B4212" w:rsidRDefault="00BC6300" w:rsidP="00B910F2">
      <w:pPr>
        <w:rPr>
          <w:color w:val="000000"/>
        </w:rPr>
      </w:pPr>
      <w:r w:rsidRPr="006B4212">
        <w:rPr>
          <w:i/>
          <w:color w:val="000000"/>
        </w:rPr>
        <w:t xml:space="preserve">Grey area represents GBR long-term average proportion of </w:t>
      </w:r>
      <w:r w:rsidR="00270034">
        <w:rPr>
          <w:i/>
          <w:color w:val="000000"/>
        </w:rPr>
        <w:t>colonising</w:t>
      </w:r>
      <w:r w:rsidRPr="006B4212">
        <w:rPr>
          <w:i/>
          <w:color w:val="000000"/>
        </w:rPr>
        <w:t xml:space="preserve"> </w:t>
      </w:r>
      <w:r w:rsidR="00E207CE" w:rsidRPr="006B4212">
        <w:rPr>
          <w:i/>
          <w:color w:val="000000"/>
        </w:rPr>
        <w:t xml:space="preserve">species </w:t>
      </w:r>
      <w:r w:rsidRPr="006B4212">
        <w:rPr>
          <w:i/>
          <w:color w:val="000000"/>
        </w:rPr>
        <w:t>for each habitat type.</w:t>
      </w:r>
      <w:r w:rsidR="00B910F2" w:rsidRPr="006B4212">
        <w:rPr>
          <w:color w:val="000000"/>
        </w:rPr>
        <w:t xml:space="preserve"> </w:t>
      </w:r>
    </w:p>
    <w:p w:rsidR="00270034" w:rsidRPr="004F39E2" w:rsidRDefault="00F96B43" w:rsidP="00034AD4">
      <w:pPr>
        <w:rPr>
          <w:szCs w:val="22"/>
          <w:lang w:val="en-US"/>
        </w:rPr>
      </w:pPr>
      <w:r w:rsidRPr="00F96B43">
        <w:rPr>
          <w:szCs w:val="22"/>
          <w:lang w:val="en-GB"/>
        </w:rPr>
        <w:t>Seagrass meadow extent within a 100m radius of all intertidal monitoring sites has fluctuated within and between years (</w:t>
      </w:r>
      <w:r>
        <w:rPr>
          <w:szCs w:val="22"/>
          <w:lang w:val="en-GB"/>
        </w:rPr>
        <w:fldChar w:fldCharType="begin"/>
      </w:r>
      <w:r>
        <w:rPr>
          <w:szCs w:val="22"/>
          <w:lang w:val="en-GB"/>
        </w:rPr>
        <w:instrText xml:space="preserve"> REF _Ref179449820 \h </w:instrText>
      </w:r>
      <w:r>
        <w:rPr>
          <w:szCs w:val="22"/>
          <w:lang w:val="en-GB"/>
        </w:rPr>
      </w:r>
      <w:r>
        <w:rPr>
          <w:szCs w:val="22"/>
          <w:lang w:val="en-GB"/>
        </w:rPr>
        <w:fldChar w:fldCharType="separate"/>
      </w:r>
      <w:r w:rsidR="009C068F" w:rsidRPr="005373CC">
        <w:rPr>
          <w:color w:val="000000"/>
          <w:szCs w:val="22"/>
        </w:rPr>
        <w:t xml:space="preserve">Figure </w:t>
      </w:r>
      <w:r w:rsidR="009C068F">
        <w:rPr>
          <w:noProof/>
          <w:color w:val="000000"/>
          <w:szCs w:val="22"/>
        </w:rPr>
        <w:t>64</w:t>
      </w:r>
      <w:r>
        <w:rPr>
          <w:szCs w:val="22"/>
          <w:lang w:val="en-GB"/>
        </w:rPr>
        <w:fldChar w:fldCharType="end"/>
      </w:r>
      <w:r w:rsidRPr="00F96B43">
        <w:rPr>
          <w:szCs w:val="22"/>
          <w:lang w:val="en-GB"/>
        </w:rPr>
        <w:t xml:space="preserve">), primarily due to losses and subsequent </w:t>
      </w:r>
      <w:proofErr w:type="spellStart"/>
      <w:r w:rsidRPr="00F96B43">
        <w:rPr>
          <w:szCs w:val="22"/>
          <w:lang w:val="en-GB"/>
        </w:rPr>
        <w:t>recolonisation</w:t>
      </w:r>
      <w:proofErr w:type="spellEnd"/>
      <w:r w:rsidRPr="00F96B43">
        <w:rPr>
          <w:szCs w:val="22"/>
          <w:lang w:val="en-GB"/>
        </w:rPr>
        <w:t xml:space="preserve">. </w:t>
      </w:r>
      <w:r w:rsidR="00E85003" w:rsidRPr="004F39E2">
        <w:rPr>
          <w:szCs w:val="22"/>
          <w:lang w:val="en-US"/>
        </w:rPr>
        <w:t xml:space="preserve">In the </w:t>
      </w:r>
      <w:r w:rsidR="005132EF" w:rsidRPr="004F39E2">
        <w:rPr>
          <w:szCs w:val="22"/>
          <w:lang w:val="en-US"/>
        </w:rPr>
        <w:t>two to three years</w:t>
      </w:r>
      <w:r w:rsidR="00E85003" w:rsidRPr="004F39E2">
        <w:rPr>
          <w:szCs w:val="22"/>
          <w:lang w:val="en-US"/>
        </w:rPr>
        <w:t xml:space="preserve"> prior to 2011</w:t>
      </w:r>
      <w:r w:rsidR="005132EF" w:rsidRPr="004F39E2">
        <w:rPr>
          <w:szCs w:val="22"/>
          <w:lang w:val="en-US"/>
        </w:rPr>
        <w:t>, significant changes occurred across the region with all seagrass meadows reducing in size and changing in landscape from continuous, to patchy, to isolated patches and finally to isolated shoots with the loss of meadow cohesion (</w:t>
      </w:r>
      <w:r w:rsidR="00E85003" w:rsidRPr="004F39E2">
        <w:fldChar w:fldCharType="begin"/>
      </w:r>
      <w:r w:rsidR="00E85003" w:rsidRPr="004F39E2">
        <w:rPr>
          <w:szCs w:val="22"/>
          <w:lang w:val="en-US"/>
        </w:rPr>
        <w:instrText xml:space="preserve"> REF _Ref179449820 \h </w:instrText>
      </w:r>
      <w:r w:rsidR="00E85003" w:rsidRPr="004F39E2">
        <w:instrText xml:space="preserve"> \* MERGEFORMAT </w:instrText>
      </w:r>
      <w:r w:rsidR="00E85003" w:rsidRPr="004F39E2">
        <w:fldChar w:fldCharType="separate"/>
      </w:r>
      <w:r w:rsidR="009C068F" w:rsidRPr="009C068F">
        <w:rPr>
          <w:szCs w:val="22"/>
        </w:rPr>
        <w:t xml:space="preserve">Figure </w:t>
      </w:r>
      <w:r w:rsidR="009C068F" w:rsidRPr="009C068F">
        <w:rPr>
          <w:noProof/>
          <w:szCs w:val="22"/>
        </w:rPr>
        <w:t>64</w:t>
      </w:r>
      <w:r w:rsidR="00E85003" w:rsidRPr="004F39E2">
        <w:fldChar w:fldCharType="end"/>
      </w:r>
      <w:r w:rsidR="005132EF" w:rsidRPr="004F39E2">
        <w:rPr>
          <w:szCs w:val="22"/>
          <w:lang w:val="en-US"/>
        </w:rPr>
        <w:t xml:space="preserve">). </w:t>
      </w:r>
      <w:r w:rsidR="0063146C" w:rsidRPr="004F39E2">
        <w:rPr>
          <w:szCs w:val="22"/>
          <w:lang w:val="en-US"/>
        </w:rPr>
        <w:t xml:space="preserve">This was caused by the high rainfall and riverine discharge that affected much of the GBR. </w:t>
      </w:r>
      <w:r w:rsidR="00E85003" w:rsidRPr="004F39E2">
        <w:rPr>
          <w:szCs w:val="22"/>
          <w:lang w:val="en-US"/>
        </w:rPr>
        <w:t>Since 2011, meadow extents have increased in both coastal and reef habitats to pre-2009 levels (</w:t>
      </w:r>
      <w:r w:rsidR="00E85003" w:rsidRPr="004F39E2">
        <w:fldChar w:fldCharType="begin"/>
      </w:r>
      <w:r w:rsidR="00E85003" w:rsidRPr="004F39E2">
        <w:rPr>
          <w:szCs w:val="22"/>
          <w:lang w:val="en-US"/>
        </w:rPr>
        <w:instrText xml:space="preserve"> REF _Ref179449820 \h </w:instrText>
      </w:r>
      <w:r w:rsidR="00E85003" w:rsidRPr="004F39E2">
        <w:instrText xml:space="preserve"> \* MERGEFORMAT </w:instrText>
      </w:r>
      <w:r w:rsidR="00E85003" w:rsidRPr="004F39E2">
        <w:fldChar w:fldCharType="separate"/>
      </w:r>
      <w:r w:rsidR="009C068F" w:rsidRPr="009C068F">
        <w:rPr>
          <w:szCs w:val="22"/>
        </w:rPr>
        <w:t xml:space="preserve">Figure </w:t>
      </w:r>
      <w:r w:rsidR="009C068F" w:rsidRPr="009C068F">
        <w:rPr>
          <w:noProof/>
          <w:szCs w:val="22"/>
        </w:rPr>
        <w:t>64</w:t>
      </w:r>
      <w:r w:rsidR="00E85003" w:rsidRPr="004F39E2">
        <w:fldChar w:fldCharType="end"/>
      </w:r>
      <w:r w:rsidR="00E85003" w:rsidRPr="004F39E2">
        <w:rPr>
          <w:szCs w:val="22"/>
          <w:lang w:val="en-US"/>
        </w:rPr>
        <w:t>).</w:t>
      </w:r>
      <w:r w:rsidR="009243E9" w:rsidRPr="004F39E2">
        <w:rPr>
          <w:szCs w:val="22"/>
          <w:lang w:val="en-US"/>
        </w:rPr>
        <w:t xml:space="preserve"> In </w:t>
      </w:r>
      <w:r w:rsidR="004F39E2" w:rsidRPr="004F39E2">
        <w:rPr>
          <w:szCs w:val="22"/>
          <w:lang w:val="en-US"/>
        </w:rPr>
        <w:t xml:space="preserve">early </w:t>
      </w:r>
      <w:r w:rsidR="009243E9" w:rsidRPr="004F39E2">
        <w:rPr>
          <w:szCs w:val="22"/>
          <w:lang w:val="en-US"/>
        </w:rPr>
        <w:t>2014, however, seagrass extent declined at the subtidal habitat, to the lowest in 2 years</w:t>
      </w:r>
      <w:r w:rsidR="0063146C" w:rsidRPr="004F39E2">
        <w:rPr>
          <w:szCs w:val="22"/>
          <w:lang w:val="en-US"/>
        </w:rPr>
        <w:t xml:space="preserve"> but </w:t>
      </w:r>
      <w:r w:rsidR="004F39E2" w:rsidRPr="004F39E2">
        <w:rPr>
          <w:szCs w:val="22"/>
          <w:lang w:val="en-US"/>
        </w:rPr>
        <w:t>subsequently recovered. By early 2015, seagrass extent at all monitoring sites had fully recovered and were at or above baseline values</w:t>
      </w:r>
      <w:r w:rsidR="009243E9" w:rsidRPr="004F39E2">
        <w:rPr>
          <w:szCs w:val="22"/>
          <w:lang w:val="en-US"/>
        </w:rPr>
        <w:t>.</w:t>
      </w:r>
    </w:p>
    <w:p w:rsidR="00270034" w:rsidRPr="000F45DC" w:rsidRDefault="00270034" w:rsidP="000F45DC">
      <w:pPr>
        <w:keepNext/>
        <w:widowControl w:val="0"/>
        <w:spacing w:after="0"/>
        <w:jc w:val="center"/>
        <w:rPr>
          <w:noProof/>
          <w:color w:val="000000"/>
          <w:szCs w:val="22"/>
          <w:lang w:eastAsia="en-AU"/>
        </w:rPr>
      </w:pPr>
      <w:r>
        <w:rPr>
          <w:noProof/>
          <w:color w:val="000000"/>
          <w:szCs w:val="22"/>
          <w:lang w:eastAsia="en-AU"/>
        </w:rPr>
        <w:drawing>
          <wp:inline distT="0" distB="0" distL="0" distR="0" wp14:anchorId="2F4B8BAE" wp14:editId="003A5DAB">
            <wp:extent cx="4320000" cy="1821600"/>
            <wp:effectExtent l="0" t="0" r="4445" b="7620"/>
            <wp:docPr id="512" name="Picture 512" descr="Line graph showing spatial extent of seagrass meadows within a 100m radius of monitoring sites for each habitat and monitoring period across the Burdekin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extent_avg_2015.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4320000" cy="1821600"/>
                    </a:xfrm>
                    <a:prstGeom prst="rect">
                      <a:avLst/>
                    </a:prstGeom>
                  </pic:spPr>
                </pic:pic>
              </a:graphicData>
            </a:graphic>
          </wp:inline>
        </w:drawing>
      </w:r>
    </w:p>
    <w:p w:rsidR="00BC6300" w:rsidRPr="005373CC" w:rsidRDefault="005132EF" w:rsidP="00BC6300">
      <w:pPr>
        <w:rPr>
          <w:i/>
          <w:color w:val="000000"/>
          <w:szCs w:val="22"/>
        </w:rPr>
      </w:pPr>
      <w:bookmarkStart w:id="377" w:name="_Ref179449820"/>
      <w:bookmarkStart w:id="378" w:name="_Toc176158888"/>
      <w:bookmarkStart w:id="379" w:name="_Toc232845989"/>
      <w:bookmarkStart w:id="380" w:name="_Toc431493859"/>
      <w:bookmarkStart w:id="381" w:name="_Toc462684904"/>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64</w:t>
      </w:r>
      <w:r w:rsidR="0073595B">
        <w:rPr>
          <w:color w:val="000000"/>
          <w:szCs w:val="22"/>
        </w:rPr>
        <w:fldChar w:fldCharType="end"/>
      </w:r>
      <w:bookmarkEnd w:id="377"/>
      <w:r w:rsidRPr="005373CC">
        <w:rPr>
          <w:color w:val="000000"/>
          <w:szCs w:val="22"/>
        </w:rPr>
        <w:t>.</w:t>
      </w:r>
      <w:bookmarkEnd w:id="378"/>
      <w:bookmarkEnd w:id="379"/>
      <w:r w:rsidR="00BC6300" w:rsidRPr="005373CC">
        <w:rPr>
          <w:color w:val="000000"/>
          <w:szCs w:val="22"/>
        </w:rPr>
        <w:t xml:space="preserve"> </w:t>
      </w:r>
      <w:r w:rsidR="00BC6300" w:rsidRPr="005373CC">
        <w:rPr>
          <w:i/>
          <w:color w:val="000000"/>
          <w:szCs w:val="22"/>
        </w:rPr>
        <w:t xml:space="preserve">Change in spatial extent of seagrass meadows within a 100m radius of monitoring sites for each </w:t>
      </w:r>
      <w:r w:rsidR="00B910F2" w:rsidRPr="005373CC">
        <w:rPr>
          <w:i/>
          <w:color w:val="000000"/>
          <w:szCs w:val="22"/>
        </w:rPr>
        <w:t xml:space="preserve">inshore intertidal </w:t>
      </w:r>
      <w:r w:rsidR="00BC6300" w:rsidRPr="005373CC">
        <w:rPr>
          <w:i/>
          <w:color w:val="000000"/>
          <w:szCs w:val="22"/>
        </w:rPr>
        <w:t>habitat and monitoring period across the Burdekin region</w:t>
      </w:r>
      <w:r w:rsidR="00B910F2" w:rsidRPr="005373CC">
        <w:rPr>
          <w:i/>
          <w:color w:val="000000"/>
          <w:szCs w:val="22"/>
        </w:rPr>
        <w:t>, 2005 - 201</w:t>
      </w:r>
      <w:r w:rsidR="00270034">
        <w:rPr>
          <w:i/>
          <w:color w:val="000000"/>
          <w:szCs w:val="22"/>
        </w:rPr>
        <w:t>5</w:t>
      </w:r>
      <w:r w:rsidR="00BC6300" w:rsidRPr="005373CC">
        <w:rPr>
          <w:i/>
          <w:color w:val="000000"/>
          <w:szCs w:val="22"/>
        </w:rPr>
        <w:t>.</w:t>
      </w:r>
      <w:bookmarkEnd w:id="380"/>
      <w:bookmarkEnd w:id="381"/>
    </w:p>
    <w:p w:rsidR="00270034" w:rsidRPr="00270034" w:rsidRDefault="00270034" w:rsidP="00270034">
      <w:pPr>
        <w:rPr>
          <w:lang w:val="en-GB" w:eastAsia="en-AU"/>
        </w:rPr>
      </w:pPr>
      <w:bookmarkStart w:id="382" w:name="_Toc184102000"/>
      <w:r w:rsidRPr="00270034">
        <w:rPr>
          <w:lang w:val="en-GB" w:eastAsia="en-AU"/>
        </w:rPr>
        <w:t>Apart from the MMP, seagrass monitoring within the Burdekin NRM region is also conducted as part of the Queensland Ports Seagrass Monitoring Program (QPSMP). Annual monitoring of 10 seagrass meadows in the Port of Townsville reported the onset of recovery in October 2011, after unprecedented declines in biomass and distribution in 2010 (</w:t>
      </w:r>
      <w:hyperlink w:anchor="_ENREF_81" w:tooltip="Davies, 2015 #10489" w:history="1">
        <w:r w:rsidR="00E6043D">
          <w:rPr>
            <w:lang w:val="en-GB" w:eastAsia="en-AU"/>
          </w:rPr>
          <w:fldChar w:fldCharType="begin"/>
        </w:r>
        <w:r w:rsidR="00E6043D">
          <w:rPr>
            <w:lang w:val="en-GB" w:eastAsia="en-AU"/>
          </w:rPr>
          <w:instrText xml:space="preserve"> ADDIN EN.CITE &lt;EndNote&gt;&lt;Cite&gt;&lt;Author&gt;Davies&lt;/Author&gt;&lt;Year&gt;2015&lt;/Year&gt;&lt;RecNum&gt;10489&lt;/RecNum&gt;&lt;DisplayText&gt;Davies&lt;style face="italic"&gt;, et al.&lt;/style&gt; 2015&lt;/DisplayText&gt;&lt;record&gt;&lt;rec-number&gt;10489&lt;/rec-number&gt;&lt;foreign-keys&gt;&lt;key app="EN" db-id="0eve55x9y5vfd6e9dacxtew4eatve2dzds9a"&gt;10489&lt;/key&gt;&lt;/foreign-keys&gt;&lt;ref-type name="Book"&gt;6&lt;/ref-type&gt;&lt;contributors&gt;&lt;authors&gt;&lt;author&gt;Davies, JN&lt;/author&gt;&lt;author&gt;Tol, SJ&lt;/author&gt;&lt;author&gt;Rasheed, MA &lt;/author&gt;&lt;/authors&gt;&lt;/contributors&gt;&lt;titles&gt;&lt;title&gt;Port of Townsville Annual Monitoring Survey: October 2014&lt;/title&gt;&lt;/titles&gt;&lt;dates&gt;&lt;year&gt;2015&lt;/year&gt;&lt;/dates&gt;&lt;pub-location&gt;Cairns&lt;/pub-location&gt;&lt;publisher&gt;JCU Publication, Centre for Tropical Water &amp;amp; Aquatic Ecosystem Research&lt;/publisher&gt;&lt;urls&gt;&lt;/urls&gt;&lt;/record&gt;&lt;/Cite&gt;&lt;/EndNote&gt;</w:instrText>
        </w:r>
        <w:r w:rsidR="00E6043D">
          <w:rPr>
            <w:lang w:val="en-GB" w:eastAsia="en-AU"/>
          </w:rPr>
          <w:fldChar w:fldCharType="separate"/>
        </w:r>
        <w:r w:rsidR="00E6043D">
          <w:rPr>
            <w:noProof/>
            <w:lang w:val="en-GB" w:eastAsia="en-AU"/>
          </w:rPr>
          <w:t>Davies</w:t>
        </w:r>
        <w:r w:rsidR="00E6043D" w:rsidRPr="009A0520">
          <w:rPr>
            <w:i/>
            <w:noProof/>
            <w:lang w:val="en-GB" w:eastAsia="en-AU"/>
          </w:rPr>
          <w:t>, et al.</w:t>
        </w:r>
        <w:r w:rsidR="00E6043D">
          <w:rPr>
            <w:noProof/>
            <w:lang w:val="en-GB" w:eastAsia="en-AU"/>
          </w:rPr>
          <w:t xml:space="preserve"> 2015</w:t>
        </w:r>
        <w:r w:rsidR="00E6043D">
          <w:rPr>
            <w:lang w:val="en-GB" w:eastAsia="en-AU"/>
          </w:rPr>
          <w:fldChar w:fldCharType="end"/>
        </w:r>
      </w:hyperlink>
      <w:r w:rsidRPr="00270034">
        <w:rPr>
          <w:lang w:val="en-GB" w:eastAsia="en-AU"/>
        </w:rPr>
        <w:t>). Substantial recovery was reported in October 2014 with 8 out of 10 meadows having biomass that was above the long-term average, yet seagrass condition remained below the historical baseline (2007). Unfortunately, no comparison is made to the GBR historical baseline from 1987 (</w:t>
      </w:r>
      <w:r w:rsidR="00644A84">
        <w:rPr>
          <w:lang w:val="en-GB" w:eastAsia="en-AU"/>
        </w:rPr>
        <w:fldChar w:fldCharType="begin"/>
      </w:r>
      <w:r w:rsidR="00644A84">
        <w:rPr>
          <w:lang w:val="en-GB" w:eastAsia="en-AU"/>
        </w:rPr>
        <w:instrText xml:space="preserve"> ADDIN EN.CITE &lt;EndNote&gt;&lt;Cite&gt;&lt;Author&gt;Coles&lt;/Author&gt;&lt;Year&gt;1992&lt;/Year&gt;&lt;RecNum&gt;3768&lt;/RecNum&gt;&lt;DisplayText&gt;Coles&lt;style face="italic"&gt; et al.&lt;/style&gt; 1992; Coles&lt;style face="italic"&gt;, et al.&lt;/style&gt; 2001a&lt;/DisplayText&gt;&lt;record&gt;&lt;rec-number&gt;3768&lt;/rec-number&gt;&lt;foreign-keys&gt;&lt;key app="EN" db-id="0eve55x9y5vfd6e9dacxtew4eatve2dzds9a"&gt;3768&lt;/key&gt;&lt;/foreign-keys&gt;&lt;ref-type name="Book"&gt;6&lt;/ref-type&gt;&lt;contributors&gt;&lt;authors&gt;&lt;author&gt;Coles, R. G.&lt;/author&gt;&lt;author&gt;Lee Long, W. J.&lt;/author&gt;&lt;author&gt;Helmke, S. A.&lt;/author&gt;&lt;author&gt;Bennett, R. E.&lt;/author&gt;&lt;author&gt;Miller, K. J.&lt;/author&gt;&lt;author&gt;Derbyshire, K. J.&lt;/author&gt;&lt;/authors&gt;&lt;/contributors&gt;&lt;titles&gt;&lt;title&gt;Seagrass beds and juvenile prawn and fish nursery grounds: Cairns to Bowen&lt;/title&gt;&lt;secondary-title&gt;Queensland Department of Primary Industries Information Series&lt;/secondary-title&gt;&lt;/titles&gt;&lt;periodical&gt;&lt;full-title&gt;Queensland Department of Primary Industries Information Series&lt;/full-title&gt;&lt;/periodical&gt;&lt;pages&gt;64&lt;/pages&gt;&lt;volume&gt;QI92012&lt;/volume&gt;&lt;dates&gt;&lt;year&gt;1992&lt;/year&gt;&lt;/dates&gt;&lt;pub-location&gt;Brisbane&lt;/pub-location&gt;&lt;publisher&gt;Queensland Department of Primary Industries&lt;/publisher&gt;&lt;accession-num&gt;BIOSIS:PREV199344014745&lt;/accession-num&gt;&lt;urls&gt;&lt;related-urls&gt;&lt;url&gt;&amp;lt;Go to ISI&amp;gt;://BIOSIS:PREV199344014745 &lt;/url&gt;&lt;/related-urls&gt;&lt;/urls&gt;&lt;/record&gt;&lt;/Cite&gt;&lt;Cite&gt;&lt;Author&gt;Coles&lt;/Author&gt;&lt;Year&gt;2001&lt;/Year&gt;&lt;RecNum&gt;9760&lt;/RecNum&gt;&lt;record&gt;&lt;rec-number&gt;9760&lt;/rec-number&gt;&lt;foreign-keys&gt;&lt;key app="EN" db-id="0eve55x9y5vfd6e9dacxtew4eatve2dzds9a"&gt;9760&lt;/key&gt;&lt;/foreign-keys&gt;&lt;ref-type name="Report"&gt;27&lt;/ref-type&gt;&lt;contributors&gt;&lt;authors&gt;&lt;author&gt;Coles, R G&lt;/author&gt;&lt;author&gt;McKenzie, Len J&lt;/author&gt;&lt;author&gt;Mellors, J E&lt;/author&gt;&lt;author&gt;Yoshida, Rudi L&lt;/author&gt;&lt;/authors&gt;&lt;/contributors&gt;&lt;titles&gt;&lt;title&gt;Validation and GIS of seagrass surveys between Cairns and Bowen – October/November 1987&lt;/title&gt;&lt;/titles&gt;&lt;pages&gt;CD Rom.&lt;/pages&gt;&lt;dates&gt;&lt;year&gt;2001&lt;/year&gt;&lt;/dates&gt;&lt;pub-location&gt;Cairns&lt;/pub-location&gt;&lt;publisher&gt;DPI, QFS&lt;/publisher&gt;&lt;urls&gt;&lt;/urls&gt;&lt;/record&gt;&lt;/Cite&gt;&lt;/EndNote&gt;</w:instrText>
      </w:r>
      <w:r w:rsidR="00644A84">
        <w:rPr>
          <w:lang w:val="en-GB" w:eastAsia="en-AU"/>
        </w:rPr>
        <w:fldChar w:fldCharType="separate"/>
      </w:r>
      <w:hyperlink w:anchor="_ENREF_50" w:tooltip="Coles, 1992 #3768" w:history="1">
        <w:r w:rsidR="00E6043D">
          <w:rPr>
            <w:noProof/>
            <w:lang w:val="en-GB" w:eastAsia="en-AU"/>
          </w:rPr>
          <w:t>Coles</w:t>
        </w:r>
        <w:r w:rsidR="00E6043D" w:rsidRPr="00644A84">
          <w:rPr>
            <w:i/>
            <w:noProof/>
            <w:lang w:val="en-GB" w:eastAsia="en-AU"/>
          </w:rPr>
          <w:t xml:space="preserve"> et al.</w:t>
        </w:r>
        <w:r w:rsidR="00E6043D">
          <w:rPr>
            <w:noProof/>
            <w:lang w:val="en-GB" w:eastAsia="en-AU"/>
          </w:rPr>
          <w:t xml:space="preserve"> 1992</w:t>
        </w:r>
      </w:hyperlink>
      <w:r w:rsidR="00644A84">
        <w:rPr>
          <w:noProof/>
          <w:lang w:val="en-GB" w:eastAsia="en-AU"/>
        </w:rPr>
        <w:t xml:space="preserve">; </w:t>
      </w:r>
      <w:hyperlink w:anchor="_ENREF_55" w:tooltip="Coles, 2001 #9760" w:history="1">
        <w:r w:rsidR="00E6043D">
          <w:rPr>
            <w:noProof/>
            <w:lang w:val="en-GB" w:eastAsia="en-AU"/>
          </w:rPr>
          <w:t>Coles</w:t>
        </w:r>
        <w:r w:rsidR="00E6043D" w:rsidRPr="00644A84">
          <w:rPr>
            <w:i/>
            <w:noProof/>
            <w:lang w:val="en-GB" w:eastAsia="en-AU"/>
          </w:rPr>
          <w:t>, et al.</w:t>
        </w:r>
        <w:r w:rsidR="00E6043D">
          <w:rPr>
            <w:noProof/>
            <w:lang w:val="en-GB" w:eastAsia="en-AU"/>
          </w:rPr>
          <w:t xml:space="preserve"> 2001a</w:t>
        </w:r>
      </w:hyperlink>
      <w:r w:rsidR="00644A84">
        <w:rPr>
          <w:lang w:val="en-GB" w:eastAsia="en-AU"/>
        </w:rPr>
        <w:fldChar w:fldCharType="end"/>
      </w:r>
      <w:r w:rsidRPr="00270034">
        <w:rPr>
          <w:lang w:val="en-GB" w:eastAsia="en-AU"/>
        </w:rPr>
        <w:t>). In the southern part of the Burdekin NRM region, the findings from quarterly monitoring for the North Queensland Bulk Ports Corporation in the Port of Abbot Point were less clear, as discerning seagrass state at the coastal and subtidal locations is challenged by the extremely dynamic nature of the meadows. The dynamic deeper water seagrass increased biomass in late 2014 following the impacts of Tropical Cyclone Oswald (January 2013) (</w:t>
      </w:r>
      <w:hyperlink w:anchor="_ENREF_160" w:tooltip="McKenna, 2015 #10488" w:history="1">
        <w:r w:rsidR="00E6043D">
          <w:rPr>
            <w:lang w:val="en-GB" w:eastAsia="en-AU"/>
          </w:rPr>
          <w:fldChar w:fldCharType="begin"/>
        </w:r>
        <w:r w:rsidR="00E6043D">
          <w:rPr>
            <w:lang w:val="en-GB" w:eastAsia="en-AU"/>
          </w:rPr>
          <w:instrText xml:space="preserve"> ADDIN EN.CITE &lt;EndNote&gt;&lt;Cite&gt;&lt;Author&gt;McKenna&lt;/Author&gt;&lt;Year&gt;2015&lt;/Year&gt;&lt;RecNum&gt;10488&lt;/RecNum&gt;&lt;DisplayText&gt;McKenna&lt;style face="italic"&gt;, et al.&lt;/style&gt; 2015&lt;/DisplayText&gt;&lt;record&gt;&lt;rec-number&gt;10488&lt;/rec-number&gt;&lt;foreign-keys&gt;&lt;key app="EN" db-id="0eve55x9y5vfd6e9dacxtew4eatve2dzds9a"&gt;10488&lt;/key&gt;&lt;/foreign-keys&gt;&lt;ref-type name="Book"&gt;6&lt;/ref-type&gt;&lt;contributors&gt;&lt;authors&gt;&lt;author&gt;McKenna, SA&lt;/author&gt;&lt;author&gt;Sozou, AM&lt;/author&gt;&lt;author&gt;Scott, EL&lt;/author&gt;&lt;author&gt;Rasheed, MA&lt;/author&gt;&lt;/authors&gt;&lt;/contributors&gt;&lt;titles&gt;&lt;title&gt;Port of Abbot Point Long-Term Seagrass Monitoring: Annual Report 2013-2014&lt;/title&gt;&lt;/titles&gt;&lt;pages&gt;42&lt;/pages&gt;&lt;dates&gt;&lt;year&gt;2015&lt;/year&gt;&lt;/dates&gt;&lt;pub-location&gt;Cairns&lt;/pub-location&gt;&lt;publisher&gt;JCU Publication, Centre for Tropical Water &amp;amp; Aquatic Ecosystem Research&lt;/publisher&gt;&lt;urls&gt;&lt;/urls&gt;&lt;/record&gt;&lt;/Cite&gt;&lt;/EndNote&gt;</w:instrText>
        </w:r>
        <w:r w:rsidR="00E6043D">
          <w:rPr>
            <w:lang w:val="en-GB" w:eastAsia="en-AU"/>
          </w:rPr>
          <w:fldChar w:fldCharType="separate"/>
        </w:r>
        <w:r w:rsidR="00E6043D">
          <w:rPr>
            <w:noProof/>
            <w:lang w:val="en-GB" w:eastAsia="en-AU"/>
          </w:rPr>
          <w:t>McKenna</w:t>
        </w:r>
        <w:r w:rsidR="00E6043D" w:rsidRPr="00644A84">
          <w:rPr>
            <w:i/>
            <w:noProof/>
            <w:lang w:val="en-GB" w:eastAsia="en-AU"/>
          </w:rPr>
          <w:t>, et al.</w:t>
        </w:r>
        <w:r w:rsidR="00E6043D">
          <w:rPr>
            <w:noProof/>
            <w:lang w:val="en-GB" w:eastAsia="en-AU"/>
          </w:rPr>
          <w:t xml:space="preserve"> 2015</w:t>
        </w:r>
        <w:r w:rsidR="00E6043D">
          <w:rPr>
            <w:lang w:val="en-GB" w:eastAsia="en-AU"/>
          </w:rPr>
          <w:fldChar w:fldCharType="end"/>
        </w:r>
      </w:hyperlink>
      <w:r w:rsidRPr="00270034">
        <w:rPr>
          <w:lang w:val="en-GB" w:eastAsia="en-AU"/>
        </w:rPr>
        <w:t>). The shallower coastal meadows in Abbott Point, unlike those in the remainder of the region, have shown fewer signs of recovery, which may be a limited due to the absence of seed banks or propagules (data not presented) (</w:t>
      </w:r>
      <w:hyperlink w:anchor="_ENREF_160" w:tooltip="McKenna, 2015 #10488" w:history="1">
        <w:r w:rsidR="00E6043D">
          <w:rPr>
            <w:lang w:val="en-GB" w:eastAsia="en-AU"/>
          </w:rPr>
          <w:fldChar w:fldCharType="begin"/>
        </w:r>
        <w:r w:rsidR="00E6043D">
          <w:rPr>
            <w:lang w:val="en-GB" w:eastAsia="en-AU"/>
          </w:rPr>
          <w:instrText xml:space="preserve"> ADDIN EN.CITE &lt;EndNote&gt;&lt;Cite&gt;&lt;Author&gt;McKenna&lt;/Author&gt;&lt;Year&gt;2015&lt;/Year&gt;&lt;RecNum&gt;10488&lt;/RecNum&gt;&lt;DisplayText&gt;McKenna&lt;style face="italic"&gt;, et al.&lt;/style&gt; 2015&lt;/DisplayText&gt;&lt;record&gt;&lt;rec-number&gt;10488&lt;/rec-number&gt;&lt;foreign-keys&gt;&lt;key app="EN" db-id="0eve55x9y5vfd6e9dacxtew4eatve2dzds9a"&gt;10488&lt;/key&gt;&lt;/foreign-keys&gt;&lt;ref-type name="Book"&gt;6&lt;/ref-type&gt;&lt;contributors&gt;&lt;authors&gt;&lt;author&gt;McKenna, SA&lt;/author&gt;&lt;author&gt;Sozou, AM&lt;/author&gt;&lt;author&gt;Scott, EL&lt;/author&gt;&lt;author&gt;Rasheed, MA&lt;/author&gt;&lt;/authors&gt;&lt;/contributors&gt;&lt;titles&gt;&lt;title&gt;Port of Abbot Point Long-Term Seagrass Monitoring: Annual Report 2013-2014&lt;/title&gt;&lt;/titles&gt;&lt;pages&gt;42&lt;/pages&gt;&lt;dates&gt;&lt;year&gt;2015&lt;/year&gt;&lt;/dates&gt;&lt;pub-location&gt;Cairns&lt;/pub-location&gt;&lt;publisher&gt;JCU Publication, Centre for Tropical Water &amp;amp; Aquatic Ecosystem Research&lt;/publisher&gt;&lt;urls&gt;&lt;/urls&gt;&lt;/record&gt;&lt;/Cite&gt;&lt;/EndNote&gt;</w:instrText>
        </w:r>
        <w:r w:rsidR="00E6043D">
          <w:rPr>
            <w:lang w:val="en-GB" w:eastAsia="en-AU"/>
          </w:rPr>
          <w:fldChar w:fldCharType="separate"/>
        </w:r>
        <w:r w:rsidR="00E6043D">
          <w:rPr>
            <w:noProof/>
            <w:lang w:val="en-GB" w:eastAsia="en-AU"/>
          </w:rPr>
          <w:t>McKenna</w:t>
        </w:r>
        <w:r w:rsidR="00E6043D" w:rsidRPr="00644A84">
          <w:rPr>
            <w:i/>
            <w:noProof/>
            <w:lang w:val="en-GB" w:eastAsia="en-AU"/>
          </w:rPr>
          <w:t>, et al.</w:t>
        </w:r>
        <w:r w:rsidR="00E6043D">
          <w:rPr>
            <w:noProof/>
            <w:lang w:val="en-GB" w:eastAsia="en-AU"/>
          </w:rPr>
          <w:t xml:space="preserve"> 2015</w:t>
        </w:r>
        <w:r w:rsidR="00E6043D">
          <w:rPr>
            <w:lang w:val="en-GB" w:eastAsia="en-AU"/>
          </w:rPr>
          <w:fldChar w:fldCharType="end"/>
        </w:r>
      </w:hyperlink>
      <w:r w:rsidRPr="00270034">
        <w:rPr>
          <w:lang w:val="en-GB" w:eastAsia="en-AU"/>
        </w:rPr>
        <w:t xml:space="preserve">). </w:t>
      </w:r>
    </w:p>
    <w:p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lastRenderedPageBreak/>
        <w:t>Seagrass reproductive status</w:t>
      </w:r>
      <w:bookmarkEnd w:id="382"/>
    </w:p>
    <w:p w:rsidR="00270034" w:rsidRDefault="00270034" w:rsidP="00B45034">
      <w:pPr>
        <w:autoSpaceDE w:val="0"/>
        <w:autoSpaceDN w:val="0"/>
        <w:adjustRightInd w:val="0"/>
        <w:spacing w:before="0" w:after="0"/>
        <w:rPr>
          <w:color w:val="000000"/>
          <w:szCs w:val="22"/>
          <w:lang w:eastAsia="en-AU"/>
        </w:rPr>
      </w:pPr>
      <w:r w:rsidRPr="00270034">
        <w:rPr>
          <w:color w:val="000000"/>
          <w:szCs w:val="22"/>
          <w:lang w:eastAsia="en-AU"/>
        </w:rPr>
        <w:t xml:space="preserve">Reproductive effort in Burdekin </w:t>
      </w:r>
      <w:r w:rsidR="00F96B43">
        <w:rPr>
          <w:color w:val="000000"/>
          <w:szCs w:val="22"/>
          <w:lang w:eastAsia="en-AU"/>
        </w:rPr>
        <w:t xml:space="preserve">region </w:t>
      </w:r>
      <w:r w:rsidRPr="00270034">
        <w:rPr>
          <w:color w:val="000000"/>
          <w:szCs w:val="22"/>
          <w:lang w:eastAsia="en-AU"/>
        </w:rPr>
        <w:t xml:space="preserve">meadows had been on an increasing trajectory but the reproductive score declined to moderate in 2014-15, following a good rating in 2013-14. </w:t>
      </w:r>
      <w:r w:rsidR="008968C5">
        <w:rPr>
          <w:color w:val="000000"/>
          <w:szCs w:val="22"/>
          <w:lang w:eastAsia="en-AU"/>
        </w:rPr>
        <w:t>R</w:t>
      </w:r>
      <w:r w:rsidR="008968C5" w:rsidRPr="00270034">
        <w:rPr>
          <w:color w:val="000000"/>
          <w:szCs w:val="22"/>
          <w:lang w:eastAsia="en-AU"/>
        </w:rPr>
        <w:t>eproductive effort</w:t>
      </w:r>
      <w:r w:rsidR="008968C5" w:rsidRPr="008968C5">
        <w:rPr>
          <w:color w:val="000000"/>
          <w:szCs w:val="22"/>
          <w:lang w:eastAsia="en-AU"/>
        </w:rPr>
        <w:t xml:space="preserve"> </w:t>
      </w:r>
      <w:r w:rsidR="008968C5" w:rsidRPr="00270034">
        <w:rPr>
          <w:color w:val="000000"/>
          <w:szCs w:val="22"/>
          <w:lang w:eastAsia="en-AU"/>
        </w:rPr>
        <w:t xml:space="preserve">at coastal and reef intertidal sites </w:t>
      </w:r>
      <w:r w:rsidR="008968C5">
        <w:rPr>
          <w:color w:val="000000"/>
          <w:szCs w:val="22"/>
          <w:lang w:eastAsia="en-AU"/>
        </w:rPr>
        <w:t>was lower than the previous year</w:t>
      </w:r>
      <w:r w:rsidR="008968C5" w:rsidRPr="008968C5">
        <w:rPr>
          <w:color w:val="000000"/>
          <w:szCs w:val="22"/>
          <w:lang w:eastAsia="en-AU"/>
        </w:rPr>
        <w:t xml:space="preserve"> </w:t>
      </w:r>
      <w:r w:rsidR="008968C5" w:rsidRPr="00270034">
        <w:rPr>
          <w:color w:val="000000"/>
          <w:szCs w:val="22"/>
          <w:lang w:eastAsia="en-AU"/>
        </w:rPr>
        <w:t>in late 2014</w:t>
      </w:r>
      <w:r w:rsidR="008968C5">
        <w:rPr>
          <w:color w:val="000000"/>
          <w:szCs w:val="22"/>
          <w:lang w:eastAsia="en-AU"/>
        </w:rPr>
        <w:t xml:space="preserve">, however, at coastal sites this improved </w:t>
      </w:r>
      <w:r w:rsidR="008968C5" w:rsidRPr="00270034">
        <w:rPr>
          <w:color w:val="000000"/>
          <w:szCs w:val="22"/>
          <w:lang w:eastAsia="en-AU"/>
        </w:rPr>
        <w:t>in early 2015</w:t>
      </w:r>
      <w:r w:rsidR="008968C5">
        <w:rPr>
          <w:color w:val="000000"/>
          <w:szCs w:val="22"/>
          <w:lang w:eastAsia="en-AU"/>
        </w:rPr>
        <w:t xml:space="preserve"> (</w:t>
      </w:r>
      <w:r w:rsidR="008968C5">
        <w:rPr>
          <w:color w:val="000000"/>
          <w:szCs w:val="22"/>
          <w:lang w:eastAsia="en-AU"/>
        </w:rPr>
        <w:fldChar w:fldCharType="begin"/>
      </w:r>
      <w:r w:rsidR="008968C5">
        <w:rPr>
          <w:color w:val="000000"/>
          <w:szCs w:val="22"/>
          <w:lang w:eastAsia="en-AU"/>
        </w:rPr>
        <w:instrText xml:space="preserve"> REF _Ref271531417 \h </w:instrText>
      </w:r>
      <w:r w:rsidR="008968C5">
        <w:rPr>
          <w:color w:val="000000"/>
          <w:szCs w:val="22"/>
          <w:lang w:eastAsia="en-AU"/>
        </w:rPr>
      </w:r>
      <w:r w:rsidR="008968C5">
        <w:rPr>
          <w:color w:val="000000"/>
          <w:szCs w:val="22"/>
          <w:lang w:eastAsia="en-AU"/>
        </w:rPr>
        <w:fldChar w:fldCharType="separate"/>
      </w:r>
      <w:r w:rsidR="009C068F" w:rsidRPr="00CA2B35">
        <w:t xml:space="preserve">Figure </w:t>
      </w:r>
      <w:r w:rsidR="009C068F">
        <w:rPr>
          <w:noProof/>
        </w:rPr>
        <w:t>65</w:t>
      </w:r>
      <w:r w:rsidR="008968C5">
        <w:rPr>
          <w:color w:val="000000"/>
          <w:szCs w:val="22"/>
          <w:lang w:eastAsia="en-AU"/>
        </w:rPr>
        <w:fldChar w:fldCharType="end"/>
      </w:r>
      <w:r w:rsidR="008968C5">
        <w:rPr>
          <w:color w:val="000000"/>
          <w:szCs w:val="22"/>
          <w:lang w:eastAsia="en-AU"/>
        </w:rPr>
        <w:t xml:space="preserve">). </w:t>
      </w:r>
      <w:r w:rsidRPr="00270034">
        <w:rPr>
          <w:color w:val="000000"/>
          <w:szCs w:val="22"/>
          <w:lang w:eastAsia="en-AU"/>
        </w:rPr>
        <w:t>Reef subtidal sites had the highest recorded reproductive effort in late 2014, but it was subsequently reduced in early 2015. Seed banks are on an increasing trajectory, particularly at reef subtidal where the highest value for this site (&gt;1000 seeds m</w:t>
      </w:r>
      <w:r w:rsidRPr="00F96B43">
        <w:rPr>
          <w:color w:val="000000"/>
          <w:szCs w:val="22"/>
          <w:vertAlign w:val="superscript"/>
          <w:lang w:eastAsia="en-AU"/>
        </w:rPr>
        <w:t>-2</w:t>
      </w:r>
      <w:r w:rsidRPr="00270034">
        <w:rPr>
          <w:color w:val="000000"/>
          <w:szCs w:val="22"/>
          <w:lang w:eastAsia="en-AU"/>
        </w:rPr>
        <w:t>) was recorded, and they are increasing at coastal intertidal sites, but are still well below the peaks observed in 2007</w:t>
      </w:r>
      <w:r w:rsidR="008968C5">
        <w:rPr>
          <w:color w:val="000000"/>
          <w:szCs w:val="22"/>
          <w:lang w:eastAsia="en-AU"/>
        </w:rPr>
        <w:t xml:space="preserve"> (</w:t>
      </w:r>
      <w:r w:rsidR="008968C5">
        <w:rPr>
          <w:color w:val="000000"/>
          <w:szCs w:val="22"/>
          <w:lang w:eastAsia="en-AU"/>
        </w:rPr>
        <w:fldChar w:fldCharType="begin"/>
      </w:r>
      <w:r w:rsidR="008968C5">
        <w:rPr>
          <w:color w:val="000000"/>
          <w:szCs w:val="22"/>
          <w:lang w:eastAsia="en-AU"/>
        </w:rPr>
        <w:instrText xml:space="preserve"> REF _Ref271531417 \h </w:instrText>
      </w:r>
      <w:r w:rsidR="008968C5">
        <w:rPr>
          <w:color w:val="000000"/>
          <w:szCs w:val="22"/>
          <w:lang w:eastAsia="en-AU"/>
        </w:rPr>
      </w:r>
      <w:r w:rsidR="008968C5">
        <w:rPr>
          <w:color w:val="000000"/>
          <w:szCs w:val="22"/>
          <w:lang w:eastAsia="en-AU"/>
        </w:rPr>
        <w:fldChar w:fldCharType="separate"/>
      </w:r>
      <w:r w:rsidR="009C068F" w:rsidRPr="00CA2B35">
        <w:t xml:space="preserve">Figure </w:t>
      </w:r>
      <w:r w:rsidR="009C068F">
        <w:rPr>
          <w:noProof/>
        </w:rPr>
        <w:t>65</w:t>
      </w:r>
      <w:r w:rsidR="008968C5">
        <w:rPr>
          <w:color w:val="000000"/>
          <w:szCs w:val="22"/>
          <w:lang w:eastAsia="en-AU"/>
        </w:rPr>
        <w:fldChar w:fldCharType="end"/>
      </w:r>
      <w:r w:rsidR="008968C5">
        <w:rPr>
          <w:color w:val="000000"/>
          <w:szCs w:val="22"/>
          <w:lang w:eastAsia="en-AU"/>
        </w:rPr>
        <w:t>)</w:t>
      </w:r>
      <w:r w:rsidRPr="00270034">
        <w:rPr>
          <w:color w:val="000000"/>
          <w:szCs w:val="22"/>
          <w:lang w:eastAsia="en-AU"/>
        </w:rPr>
        <w:t>.</w:t>
      </w:r>
    </w:p>
    <w:p w:rsidR="00270034" w:rsidRPr="000F45DC" w:rsidRDefault="00270034" w:rsidP="000F45DC">
      <w:pPr>
        <w:keepNext/>
        <w:widowControl w:val="0"/>
        <w:spacing w:after="0"/>
        <w:jc w:val="center"/>
        <w:rPr>
          <w:noProof/>
          <w:color w:val="000000"/>
          <w:szCs w:val="22"/>
          <w:lang w:eastAsia="en-AU"/>
        </w:rPr>
      </w:pPr>
      <w:r w:rsidRPr="000F45DC">
        <w:rPr>
          <w:noProof/>
          <w:color w:val="000000"/>
          <w:szCs w:val="22"/>
          <w:lang w:eastAsia="en-AU"/>
        </w:rPr>
        <w:drawing>
          <wp:inline distT="0" distB="0" distL="0" distR="0" wp14:anchorId="5A281939" wp14:editId="4F5C9113">
            <wp:extent cx="5759450" cy="1356995"/>
            <wp:effectExtent l="0" t="0" r="0" b="0"/>
            <wp:docPr id="513" name="Picture 513" descr="Panel of three composite bar and scatter plot graphs showing seed banks (bars) and reproductive effort (dots) at inshore seagrass habitats in the Burdekin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repro15.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5759450" cy="1356995"/>
                    </a:xfrm>
                    <a:prstGeom prst="rect">
                      <a:avLst/>
                    </a:prstGeom>
                  </pic:spPr>
                </pic:pic>
              </a:graphicData>
            </a:graphic>
          </wp:inline>
        </w:drawing>
      </w:r>
    </w:p>
    <w:p w:rsidR="0075536C" w:rsidRPr="0075536C" w:rsidRDefault="005132EF" w:rsidP="0075536C">
      <w:pPr>
        <w:rPr>
          <w:i/>
          <w:vanish/>
          <w:color w:val="000000"/>
          <w:specVanish/>
        </w:rPr>
      </w:pPr>
      <w:bookmarkStart w:id="383" w:name="_Ref271531417"/>
      <w:bookmarkStart w:id="384" w:name="_Toc431493860"/>
      <w:bookmarkStart w:id="385" w:name="_Toc462684905"/>
      <w:r w:rsidRPr="00CA2B35">
        <w:t xml:space="preserve">Figure </w:t>
      </w:r>
      <w:fldSimple w:instr=" SEQ Figure \* ARABIC ">
        <w:r w:rsidR="009C068F">
          <w:rPr>
            <w:noProof/>
          </w:rPr>
          <w:t>65</w:t>
        </w:r>
      </w:fldSimple>
      <w:bookmarkEnd w:id="383"/>
      <w:r w:rsidRPr="00CA2B35">
        <w:t xml:space="preserve">. </w:t>
      </w:r>
      <w:r w:rsidR="00B910F2" w:rsidRPr="0075536C">
        <w:rPr>
          <w:i/>
        </w:rPr>
        <w:t xml:space="preserve">Seed bank and late dry season reproductive effort at inshore intertidal </w:t>
      </w:r>
      <w:r w:rsidR="00C72F27" w:rsidRPr="0075536C">
        <w:rPr>
          <w:i/>
        </w:rPr>
        <w:t xml:space="preserve">coast and reef </w:t>
      </w:r>
      <w:r w:rsidR="00CA2B35" w:rsidRPr="0075536C">
        <w:rPr>
          <w:i/>
        </w:rPr>
        <w:t xml:space="preserve">and subtidal reef </w:t>
      </w:r>
      <w:r w:rsidR="00B910F2" w:rsidRPr="0075536C">
        <w:rPr>
          <w:i/>
        </w:rPr>
        <w:t>habitats in the Burdekin region</w:t>
      </w:r>
      <w:r w:rsidR="00C72F27" w:rsidRPr="0075536C">
        <w:rPr>
          <w:i/>
        </w:rPr>
        <w:t>.</w:t>
      </w:r>
      <w:bookmarkEnd w:id="384"/>
      <w:bookmarkEnd w:id="385"/>
      <w:r w:rsidR="00B910F2" w:rsidRPr="0075536C">
        <w:rPr>
          <w:i/>
          <w:vanish/>
          <w:szCs w:val="22"/>
          <w:specVanish/>
        </w:rPr>
        <w:t xml:space="preserve"> </w:t>
      </w:r>
      <w:r w:rsidR="00C72F27" w:rsidRPr="0075536C">
        <w:rPr>
          <w:i/>
        </w:rPr>
        <w:t xml:space="preserve"> </w:t>
      </w:r>
    </w:p>
    <w:p w:rsidR="00270034" w:rsidRDefault="00B910F2" w:rsidP="00F31F8D">
      <w:pPr>
        <w:rPr>
          <w:rFonts w:cs="TimesNewRoman,Italic"/>
          <w:iCs/>
          <w:color w:val="000000"/>
          <w:szCs w:val="22"/>
        </w:rPr>
      </w:pPr>
      <w:r w:rsidRPr="0075536C">
        <w:rPr>
          <w:i/>
        </w:rPr>
        <w:t>Seed bank presented as the total number of seeds per m</w:t>
      </w:r>
      <w:r w:rsidRPr="0075536C">
        <w:rPr>
          <w:i/>
          <w:vertAlign w:val="superscript"/>
        </w:rPr>
        <w:t>2</w:t>
      </w:r>
      <w:r w:rsidRPr="0075536C">
        <w:rPr>
          <w:i/>
        </w:rPr>
        <w:t xml:space="preserve"> sediment surface</w:t>
      </w:r>
      <w:r w:rsidR="00B65283">
        <w:rPr>
          <w:i/>
        </w:rPr>
        <w:t xml:space="preserve"> (bars ±SE)</w:t>
      </w:r>
      <w:r w:rsidRPr="0075536C">
        <w:rPr>
          <w:i/>
        </w:rPr>
        <w:t>, and late dry season reproductive effort presented as the average number of reproductive structures per core (species and sites pooled)</w:t>
      </w:r>
      <w:r w:rsidR="00B65283">
        <w:rPr>
          <w:i/>
        </w:rPr>
        <w:t xml:space="preserve"> (dots ±SE)</w:t>
      </w:r>
      <w:r w:rsidRPr="0075536C">
        <w:rPr>
          <w:i/>
        </w:rPr>
        <w:t xml:space="preserve">. </w:t>
      </w:r>
      <w:r w:rsidR="00C72F27" w:rsidRPr="0075536C">
        <w:rPr>
          <w:i/>
        </w:rPr>
        <w:t>NB: Y-axis scale for seed banks</w:t>
      </w:r>
      <w:r w:rsidR="005132EF" w:rsidRPr="0075536C">
        <w:rPr>
          <w:i/>
        </w:rPr>
        <w:t xml:space="preserve"> </w:t>
      </w:r>
      <w:r w:rsidR="00C72F27" w:rsidRPr="0075536C">
        <w:rPr>
          <w:i/>
        </w:rPr>
        <w:t>differ</w:t>
      </w:r>
      <w:r w:rsidR="00B65283">
        <w:rPr>
          <w:i/>
        </w:rPr>
        <w:t>s</w:t>
      </w:r>
      <w:r w:rsidR="00C72F27" w:rsidRPr="0075536C">
        <w:rPr>
          <w:i/>
        </w:rPr>
        <w:t xml:space="preserve"> between habitats.</w:t>
      </w:r>
      <w:r w:rsidRPr="00CA2B35">
        <w:t xml:space="preserve"> </w:t>
      </w:r>
    </w:p>
    <w:p w:rsidR="00BC4EC5" w:rsidRPr="00BD0604" w:rsidRDefault="00FF0A86" w:rsidP="00926892">
      <w:pPr>
        <w:pStyle w:val="Heading3"/>
        <w:numPr>
          <w:ilvl w:val="2"/>
          <w:numId w:val="9"/>
        </w:numPr>
        <w:rPr>
          <w:rFonts w:ascii="Arial" w:hAnsi="Arial" w:cs="Arial"/>
          <w:color w:val="000000"/>
        </w:rPr>
      </w:pPr>
      <w:bookmarkStart w:id="386" w:name="_Toc462047352"/>
      <w:r>
        <w:rPr>
          <w:rFonts w:ascii="Arial" w:hAnsi="Arial" w:cs="Arial"/>
          <w:color w:val="000000"/>
        </w:rPr>
        <w:t>Indicators of environmental condition</w:t>
      </w:r>
      <w:bookmarkEnd w:id="386"/>
    </w:p>
    <w:p w:rsidR="005132EF" w:rsidRPr="004F2236" w:rsidRDefault="005132EF" w:rsidP="004F2236">
      <w:pPr>
        <w:pStyle w:val="Heading4"/>
        <w:numPr>
          <w:ilvl w:val="0"/>
          <w:numId w:val="0"/>
        </w:numPr>
        <w:rPr>
          <w:rFonts w:ascii="Arial" w:hAnsi="Arial" w:cs="Arial"/>
          <w:sz w:val="24"/>
          <w:szCs w:val="24"/>
        </w:rPr>
      </w:pPr>
      <w:bookmarkStart w:id="387" w:name="_Toc184102002"/>
      <w:r w:rsidRPr="004F2236">
        <w:rPr>
          <w:rFonts w:ascii="Arial" w:hAnsi="Arial" w:cs="Arial"/>
          <w:sz w:val="24"/>
          <w:szCs w:val="24"/>
        </w:rPr>
        <w:t>Seagrass tissue nutrients</w:t>
      </w:r>
      <w:bookmarkEnd w:id="387"/>
    </w:p>
    <w:p w:rsidR="00270034" w:rsidRDefault="00270034" w:rsidP="00270034">
      <w:pPr>
        <w:rPr>
          <w:color w:val="000000"/>
          <w:szCs w:val="22"/>
        </w:rPr>
      </w:pPr>
      <w:r w:rsidRPr="00270034">
        <w:rPr>
          <w:color w:val="000000"/>
          <w:szCs w:val="22"/>
        </w:rPr>
        <w:t>Seagrass leaf tissue molar C</w:t>
      </w:r>
      <w:proofErr w:type="gramStart"/>
      <w:r w:rsidRPr="00270034">
        <w:rPr>
          <w:color w:val="000000"/>
          <w:szCs w:val="22"/>
        </w:rPr>
        <w:t>:N</w:t>
      </w:r>
      <w:proofErr w:type="gramEnd"/>
      <w:r w:rsidRPr="00270034">
        <w:rPr>
          <w:color w:val="000000"/>
          <w:szCs w:val="22"/>
        </w:rPr>
        <w:t xml:space="preserve"> ratios reduced slightly after increases in the previous few years (</w:t>
      </w:r>
      <w:r w:rsidR="002C452C">
        <w:rPr>
          <w:color w:val="000000"/>
          <w:szCs w:val="22"/>
        </w:rPr>
        <w:fldChar w:fldCharType="begin"/>
      </w:r>
      <w:r w:rsidR="002C452C">
        <w:rPr>
          <w:color w:val="000000"/>
          <w:szCs w:val="22"/>
        </w:rPr>
        <w:instrText xml:space="preserve"> REF _Ref271126020 \h </w:instrText>
      </w:r>
      <w:r w:rsidR="002C452C">
        <w:rPr>
          <w:color w:val="000000"/>
          <w:szCs w:val="22"/>
        </w:rPr>
      </w:r>
      <w:r w:rsidR="002C452C">
        <w:rPr>
          <w:color w:val="000000"/>
          <w:szCs w:val="22"/>
        </w:rPr>
        <w:fldChar w:fldCharType="separate"/>
      </w:r>
      <w:r w:rsidR="009C068F" w:rsidRPr="00B05710">
        <w:rPr>
          <w:color w:val="000000"/>
        </w:rPr>
        <w:t xml:space="preserve">Figure </w:t>
      </w:r>
      <w:r w:rsidR="009C068F">
        <w:rPr>
          <w:noProof/>
          <w:color w:val="000000"/>
        </w:rPr>
        <w:t>66</w:t>
      </w:r>
      <w:r w:rsidR="002C452C">
        <w:rPr>
          <w:color w:val="000000"/>
          <w:szCs w:val="22"/>
        </w:rPr>
        <w:fldChar w:fldCharType="end"/>
      </w:r>
      <w:r w:rsidRPr="00270034">
        <w:rPr>
          <w:color w:val="000000"/>
          <w:szCs w:val="22"/>
        </w:rPr>
        <w:t>). The lowest values were below the threshold value (C:N &lt;20) indicating light limitation/reduced carbon incorporation relative to N availability at coastal sites (Townsville) where high turbidity (primary water, Table 11) and low light conditions prevail</w:t>
      </w:r>
      <w:r w:rsidR="00B32B4D">
        <w:rPr>
          <w:color w:val="000000"/>
          <w:szCs w:val="22"/>
        </w:rPr>
        <w:t>;</w:t>
      </w:r>
      <w:r w:rsidRPr="00270034">
        <w:rPr>
          <w:color w:val="000000"/>
          <w:szCs w:val="22"/>
        </w:rPr>
        <w:t xml:space="preserve"> resulting in I</w:t>
      </w:r>
      <w:r w:rsidRPr="002C452C">
        <w:rPr>
          <w:color w:val="000000"/>
          <w:szCs w:val="22"/>
          <w:vertAlign w:val="subscript"/>
        </w:rPr>
        <w:t>d</w:t>
      </w:r>
      <w:r w:rsidRPr="00270034">
        <w:rPr>
          <w:color w:val="000000"/>
          <w:szCs w:val="22"/>
        </w:rPr>
        <w:t xml:space="preserve"> being the lowest among all intertidal sites (</w:t>
      </w:r>
      <w:r w:rsidR="00B32B4D">
        <w:rPr>
          <w:color w:val="000000"/>
          <w:szCs w:val="22"/>
        </w:rPr>
        <w:fldChar w:fldCharType="begin"/>
      </w:r>
      <w:r w:rsidR="00B32B4D">
        <w:rPr>
          <w:color w:val="000000"/>
          <w:szCs w:val="22"/>
        </w:rPr>
        <w:instrText xml:space="preserve"> REF _Ref461447383 \h </w:instrText>
      </w:r>
      <w:r w:rsidR="00B32B4D">
        <w:rPr>
          <w:color w:val="000000"/>
          <w:szCs w:val="22"/>
        </w:rPr>
      </w:r>
      <w:r w:rsidR="00B32B4D">
        <w:rPr>
          <w:color w:val="000000"/>
          <w:szCs w:val="22"/>
        </w:rPr>
        <w:fldChar w:fldCharType="separate"/>
      </w:r>
      <w:r w:rsidR="009C068F" w:rsidRPr="00213082">
        <w:t xml:space="preserve">Figure </w:t>
      </w:r>
      <w:r w:rsidR="009C068F">
        <w:rPr>
          <w:noProof/>
        </w:rPr>
        <w:t>58</w:t>
      </w:r>
      <w:r w:rsidR="00B32B4D">
        <w:rPr>
          <w:color w:val="000000"/>
          <w:szCs w:val="22"/>
        </w:rPr>
        <w:fldChar w:fldCharType="end"/>
      </w:r>
      <w:r w:rsidRPr="00270034">
        <w:rPr>
          <w:color w:val="000000"/>
          <w:szCs w:val="22"/>
        </w:rPr>
        <w:t>). However, an increase in N</w:t>
      </w:r>
      <w:proofErr w:type="gramStart"/>
      <w:r w:rsidRPr="00270034">
        <w:rPr>
          <w:color w:val="000000"/>
          <w:szCs w:val="22"/>
        </w:rPr>
        <w:t>:P</w:t>
      </w:r>
      <w:proofErr w:type="gramEnd"/>
      <w:r w:rsidRPr="00270034">
        <w:rPr>
          <w:color w:val="000000"/>
          <w:szCs w:val="22"/>
        </w:rPr>
        <w:t xml:space="preserve"> at coastal sites also suggest that increasing N may also have occurred</w:t>
      </w:r>
      <w:r w:rsidR="00B32B4D">
        <w:rPr>
          <w:color w:val="000000"/>
          <w:szCs w:val="22"/>
        </w:rPr>
        <w:t xml:space="preserve"> (</w:t>
      </w:r>
      <w:r w:rsidR="00B32B4D">
        <w:rPr>
          <w:color w:val="000000"/>
          <w:szCs w:val="22"/>
        </w:rPr>
        <w:fldChar w:fldCharType="begin"/>
      </w:r>
      <w:r w:rsidR="00B32B4D">
        <w:rPr>
          <w:color w:val="000000"/>
          <w:szCs w:val="22"/>
        </w:rPr>
        <w:instrText xml:space="preserve"> REF _Ref236801906 \h </w:instrText>
      </w:r>
      <w:r w:rsidR="00B32B4D">
        <w:rPr>
          <w:color w:val="000000"/>
          <w:szCs w:val="22"/>
        </w:rPr>
      </w:r>
      <w:r w:rsidR="00B32B4D">
        <w:rPr>
          <w:color w:val="000000"/>
          <w:szCs w:val="22"/>
        </w:rPr>
        <w:fldChar w:fldCharType="separate"/>
      </w:r>
      <w:r w:rsidR="009C068F" w:rsidRPr="00833388">
        <w:rPr>
          <w:color w:val="000000"/>
          <w:szCs w:val="22"/>
        </w:rPr>
        <w:t xml:space="preserve">Figure </w:t>
      </w:r>
      <w:r w:rsidR="009C068F">
        <w:rPr>
          <w:noProof/>
          <w:color w:val="000000"/>
          <w:szCs w:val="22"/>
        </w:rPr>
        <w:t>67</w:t>
      </w:r>
      <w:r w:rsidR="00B32B4D">
        <w:rPr>
          <w:color w:val="000000"/>
          <w:szCs w:val="22"/>
        </w:rPr>
        <w:fldChar w:fldCharType="end"/>
      </w:r>
      <w:r w:rsidR="00B32B4D">
        <w:rPr>
          <w:color w:val="000000"/>
          <w:szCs w:val="22"/>
        </w:rPr>
        <w:t>)</w:t>
      </w:r>
      <w:r w:rsidRPr="00270034">
        <w:rPr>
          <w:color w:val="000000"/>
          <w:szCs w:val="22"/>
        </w:rPr>
        <w:t xml:space="preserve">. At reef sites, C:N in October 2014 remained above 20 which is a sign of good water quality where photosynthetic C incorporation is increased relative to N uptake. </w:t>
      </w:r>
    </w:p>
    <w:p w:rsidR="00270034" w:rsidRPr="00270034" w:rsidRDefault="00270034" w:rsidP="00A40091">
      <w:pPr>
        <w:keepNext/>
        <w:widowControl w:val="0"/>
        <w:spacing w:after="0"/>
        <w:jc w:val="center"/>
        <w:rPr>
          <w:color w:val="000000"/>
          <w:szCs w:val="22"/>
        </w:rPr>
      </w:pPr>
      <w:r>
        <w:rPr>
          <w:noProof/>
          <w:color w:val="000000"/>
          <w:szCs w:val="22"/>
          <w:lang w:eastAsia="en-AU"/>
        </w:rPr>
        <w:drawing>
          <wp:inline distT="0" distB="0" distL="0" distR="0" wp14:anchorId="2D366750" wp14:editId="1B2620A3">
            <wp:extent cx="5220000" cy="1602000"/>
            <wp:effectExtent l="0" t="0" r="0" b="0"/>
            <wp:docPr id="514" name="Picture 514" descr="Panel of three scatter plots with straight lines and markers showing elemental ratios (atomic) of seagrass leaf tissue C:N for the foundation species in inshore seagrass habitats in the Burdekin NRM region from 2006 to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CN_yr_Dec15.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220000" cy="1602000"/>
                    </a:xfrm>
                    <a:prstGeom prst="rect">
                      <a:avLst/>
                    </a:prstGeom>
                  </pic:spPr>
                </pic:pic>
              </a:graphicData>
            </a:graphic>
          </wp:inline>
        </w:drawing>
      </w:r>
    </w:p>
    <w:p w:rsidR="00527E4F" w:rsidRPr="00B05710" w:rsidRDefault="005132EF" w:rsidP="00A40091">
      <w:pPr>
        <w:rPr>
          <w:i/>
          <w:iCs/>
          <w:vanish/>
          <w:color w:val="000000"/>
          <w:szCs w:val="22"/>
          <w:lang w:eastAsia="en-AU"/>
          <w:specVanish/>
        </w:rPr>
      </w:pPr>
      <w:bookmarkStart w:id="388" w:name="_Ref271126020"/>
      <w:bookmarkStart w:id="389" w:name="_Toc431493862"/>
      <w:bookmarkStart w:id="390" w:name="_Toc462684906"/>
      <w:r w:rsidRPr="00B05710">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66</w:t>
      </w:r>
      <w:r w:rsidR="0073595B">
        <w:rPr>
          <w:color w:val="000000"/>
        </w:rPr>
        <w:fldChar w:fldCharType="end"/>
      </w:r>
      <w:bookmarkEnd w:id="388"/>
      <w:r w:rsidRPr="00B05710">
        <w:rPr>
          <w:color w:val="000000"/>
        </w:rPr>
        <w:t xml:space="preserve">. </w:t>
      </w:r>
      <w:r w:rsidRPr="00B05710">
        <w:rPr>
          <w:i/>
          <w:color w:val="000000"/>
          <w:lang w:eastAsia="en-AU"/>
        </w:rPr>
        <w:t xml:space="preserve">Elemental ratios (atomic) of seagrass leaf tissue C:N for </w:t>
      </w:r>
      <w:r w:rsidRPr="00B05710">
        <w:rPr>
          <w:i/>
          <w:color w:val="000000"/>
        </w:rPr>
        <w:t xml:space="preserve">the foundation seagrass species examined at each </w:t>
      </w:r>
      <w:r w:rsidR="00527E4F" w:rsidRPr="00B05710">
        <w:rPr>
          <w:i/>
          <w:color w:val="000000"/>
        </w:rPr>
        <w:t xml:space="preserve">inshore </w:t>
      </w:r>
      <w:r w:rsidRPr="00B05710">
        <w:rPr>
          <w:i/>
          <w:color w:val="000000"/>
        </w:rPr>
        <w:t>habitat in the Burdekin region</w:t>
      </w:r>
      <w:r w:rsidRPr="00B05710">
        <w:rPr>
          <w:i/>
          <w:color w:val="000000"/>
          <w:lang w:eastAsia="en-AU"/>
        </w:rPr>
        <w:t xml:space="preserve"> each year</w:t>
      </w:r>
      <w:bookmarkEnd w:id="389"/>
      <w:bookmarkEnd w:id="390"/>
    </w:p>
    <w:p w:rsidR="00565927" w:rsidRDefault="005132EF" w:rsidP="00A40091">
      <w:pPr>
        <w:rPr>
          <w:i/>
          <w:color w:val="000000"/>
          <w:lang w:eastAsia="en-AU"/>
        </w:rPr>
      </w:pPr>
      <w:r w:rsidRPr="00B05710">
        <w:rPr>
          <w:i/>
          <w:color w:val="000000"/>
          <w:lang w:eastAsia="en-AU"/>
        </w:rPr>
        <w:t xml:space="preserve"> (species pooled) </w:t>
      </w:r>
      <w:r w:rsidRPr="00B05710">
        <w:rPr>
          <w:i/>
          <w:color w:val="000000"/>
        </w:rPr>
        <w:t>(mean</w:t>
      </w:r>
      <w:r w:rsidRPr="00B05710">
        <w:rPr>
          <w:i/>
          <w:color w:val="000000"/>
          <w:lang w:eastAsia="en-AU"/>
        </w:rPr>
        <w:t xml:space="preserve"> ± Standard Error</w:t>
      </w:r>
      <w:r w:rsidRPr="00B05710">
        <w:rPr>
          <w:i/>
          <w:color w:val="000000"/>
        </w:rPr>
        <w:t>)</w:t>
      </w:r>
      <w:r w:rsidRPr="00B05710">
        <w:rPr>
          <w:i/>
          <w:color w:val="000000"/>
          <w:lang w:eastAsia="en-AU"/>
        </w:rPr>
        <w:t xml:space="preserve">. Horizontal shaded band on the C:N ratio panel represents the accepted </w:t>
      </w:r>
      <w:r w:rsidRPr="00B05710">
        <w:rPr>
          <w:i/>
          <w:color w:val="000000"/>
        </w:rPr>
        <w:t xml:space="preserve">guideline </w:t>
      </w:r>
      <w:r w:rsidRPr="00B05710">
        <w:rPr>
          <w:i/>
          <w:color w:val="000000"/>
          <w:lang w:eastAsia="en-AU"/>
        </w:rPr>
        <w:t xml:space="preserve">seagrass “Redfield” ratio </w:t>
      </w:r>
      <w:r w:rsidRPr="00B05710">
        <w:rPr>
          <w:i/>
          <w:color w:val="000000"/>
        </w:rPr>
        <w:t xml:space="preserve">of 20:1 </w:t>
      </w:r>
      <w:r w:rsidR="00C63415" w:rsidRPr="00B05710">
        <w:rPr>
          <w:i/>
          <w:color w:val="000000"/>
        </w:rPr>
        <w:t>(</w: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rPr>
          <w:i/>
          <w:color w:val="000000"/>
        </w:rPr>
        <w:instrText xml:space="preserve"> ADDIN EN.CITE </w:instrTex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rPr>
          <w:i/>
          <w:color w:val="000000"/>
        </w:rPr>
        <w:instrText xml:space="preserve"> ADDIN EN.CITE.DATA </w:instrText>
      </w:r>
      <w:r w:rsidR="00644A84">
        <w:rPr>
          <w:i/>
          <w:color w:val="000000"/>
        </w:rPr>
      </w:r>
      <w:r w:rsidR="00644A84">
        <w:rPr>
          <w:i/>
          <w:color w:val="000000"/>
        </w:rPr>
        <w:fldChar w:fldCharType="end"/>
      </w:r>
      <w:r w:rsidR="00644A84">
        <w:rPr>
          <w:i/>
          <w:color w:val="000000"/>
        </w:rPr>
      </w:r>
      <w:r w:rsidR="00644A84">
        <w:rPr>
          <w:i/>
          <w:color w:val="000000"/>
        </w:rPr>
        <w:fldChar w:fldCharType="separate"/>
      </w:r>
      <w:hyperlink w:anchor="_ENREF_2" w:tooltip="Abal, 1994 #7405" w:history="1">
        <w:r w:rsidR="00E6043D">
          <w:rPr>
            <w:i/>
            <w:noProof/>
            <w:color w:val="000000"/>
          </w:rPr>
          <w:t>Abal, et al. 1994</w:t>
        </w:r>
      </w:hyperlink>
      <w:r w:rsidR="00644A84">
        <w:rPr>
          <w:i/>
          <w:noProof/>
          <w:color w:val="000000"/>
        </w:rPr>
        <w:t xml:space="preserve">; </w:t>
      </w:r>
      <w:hyperlink w:anchor="_ENREF_118" w:tooltip="Grice, 1996 #1346" w:history="1">
        <w:r w:rsidR="00E6043D">
          <w:rPr>
            <w:i/>
            <w:noProof/>
            <w:color w:val="000000"/>
          </w:rPr>
          <w:t>Grice, et al. 1996</w:t>
        </w:r>
      </w:hyperlink>
      <w:r w:rsidR="00644A84">
        <w:rPr>
          <w:i/>
          <w:color w:val="000000"/>
        </w:rPr>
        <w:fldChar w:fldCharType="end"/>
      </w:r>
      <w:r w:rsidR="00C63415" w:rsidRPr="00B05710">
        <w:rPr>
          <w:i/>
          <w:color w:val="000000"/>
        </w:rPr>
        <w:t>)</w:t>
      </w:r>
      <w:r w:rsidRPr="00B05710">
        <w:rPr>
          <w:i/>
          <w:color w:val="000000"/>
          <w:lang w:eastAsia="en-AU"/>
        </w:rPr>
        <w:t xml:space="preserve">. C:N ratios below this line </w:t>
      </w:r>
      <w:r w:rsidRPr="00B05710">
        <w:rPr>
          <w:i/>
          <w:color w:val="000000"/>
        </w:rPr>
        <w:t>indicate reduced light availability</w:t>
      </w:r>
      <w:r w:rsidR="00C45977" w:rsidRPr="00B05710">
        <w:rPr>
          <w:i/>
          <w:color w:val="000000"/>
        </w:rPr>
        <w:t xml:space="preserve"> and/or N enrichment</w:t>
      </w:r>
      <w:r w:rsidRPr="00B05710">
        <w:rPr>
          <w:i/>
          <w:color w:val="000000"/>
          <w:lang w:eastAsia="en-AU"/>
        </w:rPr>
        <w:t>.</w:t>
      </w:r>
      <w:r w:rsidR="00565927" w:rsidRPr="00B05710">
        <w:rPr>
          <w:i/>
          <w:color w:val="000000"/>
          <w:lang w:eastAsia="en-AU"/>
        </w:rPr>
        <w:t xml:space="preserve"> </w:t>
      </w:r>
    </w:p>
    <w:p w:rsidR="00270034" w:rsidRDefault="00270034" w:rsidP="00A40091">
      <w:pPr>
        <w:keepNext/>
        <w:widowControl w:val="0"/>
        <w:spacing w:after="0"/>
        <w:jc w:val="center"/>
        <w:rPr>
          <w:rFonts w:cs="TimesNewRoman,Italic"/>
          <w:iCs/>
          <w:color w:val="000000"/>
          <w:szCs w:val="22"/>
        </w:rPr>
      </w:pPr>
      <w:r>
        <w:rPr>
          <w:rFonts w:cs="TimesNewRoman,Italic"/>
          <w:iCs/>
          <w:noProof/>
          <w:color w:val="000000"/>
          <w:szCs w:val="22"/>
          <w:lang w:eastAsia="en-AU"/>
        </w:rPr>
        <w:lastRenderedPageBreak/>
        <w:drawing>
          <wp:inline distT="0" distB="0" distL="0" distR="0" wp14:anchorId="20BEC603" wp14:editId="51BF2ECA">
            <wp:extent cx="5220000" cy="3074400"/>
            <wp:effectExtent l="0" t="0" r="0" b="0"/>
            <wp:docPr id="515" name="Picture 515" descr="Set of four scatter plots with straight lines and markers showing elemental ratios (atomic) of seagrass leaf tissue N:P and C:P for the foundation species in inshore seagrass habitats in the Burdekin NRM region from 2006 to 20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CNP_yr_Dec15.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220000" cy="3074400"/>
                    </a:xfrm>
                    <a:prstGeom prst="rect">
                      <a:avLst/>
                    </a:prstGeom>
                  </pic:spPr>
                </pic:pic>
              </a:graphicData>
            </a:graphic>
          </wp:inline>
        </w:drawing>
      </w:r>
    </w:p>
    <w:p w:rsidR="00527E4F" w:rsidRPr="00833388" w:rsidRDefault="005132EF" w:rsidP="00527E4F">
      <w:pPr>
        <w:rPr>
          <w:i/>
          <w:iCs/>
          <w:vanish/>
          <w:color w:val="000000"/>
          <w:szCs w:val="22"/>
          <w:lang w:eastAsia="en-AU"/>
          <w:specVanish/>
        </w:rPr>
      </w:pPr>
      <w:bookmarkStart w:id="391" w:name="_Ref236801906"/>
      <w:bookmarkStart w:id="392" w:name="_Toc431493863"/>
      <w:bookmarkStart w:id="393" w:name="_Toc462684907"/>
      <w:r w:rsidRPr="00833388">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67</w:t>
      </w:r>
      <w:r w:rsidR="0073595B">
        <w:rPr>
          <w:color w:val="000000"/>
          <w:szCs w:val="22"/>
        </w:rPr>
        <w:fldChar w:fldCharType="end"/>
      </w:r>
      <w:bookmarkEnd w:id="391"/>
      <w:r w:rsidRPr="00833388">
        <w:rPr>
          <w:color w:val="000000"/>
          <w:szCs w:val="22"/>
        </w:rPr>
        <w:t xml:space="preserve">. </w:t>
      </w:r>
      <w:r w:rsidRPr="00833388">
        <w:rPr>
          <w:i/>
          <w:iCs/>
          <w:color w:val="000000"/>
          <w:szCs w:val="22"/>
          <w:lang w:eastAsia="en-AU"/>
        </w:rPr>
        <w:t xml:space="preserve">Elemental ratios (atomic) of seagrass leaf tissue N:P and C:P </w:t>
      </w:r>
      <w:r w:rsidRPr="00833388">
        <w:rPr>
          <w:i/>
          <w:iCs/>
          <w:color w:val="000000"/>
          <w:szCs w:val="22"/>
        </w:rPr>
        <w:t xml:space="preserve">for the foundation seagrass species examined at each </w:t>
      </w:r>
      <w:r w:rsidR="00527E4F" w:rsidRPr="00833388">
        <w:rPr>
          <w:i/>
          <w:iCs/>
          <w:color w:val="000000"/>
          <w:szCs w:val="22"/>
        </w:rPr>
        <w:t>inshore intertidal habitat</w:t>
      </w:r>
      <w:r w:rsidRPr="00833388">
        <w:rPr>
          <w:i/>
          <w:iCs/>
          <w:color w:val="000000"/>
          <w:szCs w:val="22"/>
        </w:rPr>
        <w:t xml:space="preserve"> in the Burdekin region </w:t>
      </w:r>
      <w:r w:rsidRPr="00833388">
        <w:rPr>
          <w:i/>
          <w:iCs/>
          <w:color w:val="000000"/>
          <w:szCs w:val="22"/>
          <w:lang w:eastAsia="en-AU"/>
        </w:rPr>
        <w:t>each year</w:t>
      </w:r>
      <w:bookmarkEnd w:id="392"/>
      <w:bookmarkEnd w:id="393"/>
    </w:p>
    <w:p w:rsidR="00527E4F" w:rsidRDefault="005132EF" w:rsidP="00034AD4">
      <w:pPr>
        <w:rPr>
          <w:i/>
          <w:iCs/>
          <w:color w:val="000000"/>
          <w:szCs w:val="22"/>
          <w:lang w:eastAsia="en-AU"/>
        </w:rPr>
      </w:pPr>
      <w:r w:rsidRPr="00833388">
        <w:rPr>
          <w:i/>
          <w:iCs/>
          <w:color w:val="000000"/>
          <w:szCs w:val="22"/>
          <w:lang w:eastAsia="en-AU"/>
        </w:rPr>
        <w:t xml:space="preserve"> (species pooled) (</w:t>
      </w:r>
      <w:r w:rsidRPr="00833388">
        <w:rPr>
          <w:i/>
          <w:iCs/>
          <w:color w:val="000000"/>
          <w:szCs w:val="22"/>
        </w:rPr>
        <w:t>mean</w:t>
      </w:r>
      <w:r w:rsidRPr="00833388">
        <w:rPr>
          <w:i/>
          <w:iCs/>
          <w:color w:val="000000"/>
          <w:szCs w:val="22"/>
          <w:lang w:eastAsia="en-AU"/>
        </w:rPr>
        <w:t xml:space="preserve">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527E4F" w:rsidRPr="00833388">
        <w:rPr>
          <w:i/>
          <w:iCs/>
          <w:color w:val="000000"/>
          <w:szCs w:val="22"/>
          <w:lang w:eastAsia="en-AU"/>
        </w:rPr>
        <w:t xml:space="preserve"> </w:t>
      </w:r>
    </w:p>
    <w:p w:rsidR="00BC4EC5" w:rsidRDefault="00BC4EC5" w:rsidP="00BC4EC5">
      <w:pPr>
        <w:rPr>
          <w:color w:val="000000"/>
          <w:szCs w:val="22"/>
          <w:lang w:val="en-GB"/>
        </w:rPr>
      </w:pPr>
      <w:bookmarkStart w:id="394" w:name="_Toc232845920"/>
      <w:bookmarkStart w:id="395" w:name="_Toc184102003"/>
    </w:p>
    <w:p w:rsidR="00BC4EC5" w:rsidRPr="001D05D4" w:rsidRDefault="00BC4EC5" w:rsidP="00BC4EC5">
      <w:pPr>
        <w:pStyle w:val="Heading4"/>
        <w:numPr>
          <w:ilvl w:val="0"/>
          <w:numId w:val="0"/>
        </w:numPr>
        <w:rPr>
          <w:rFonts w:ascii="Arial" w:hAnsi="Arial" w:cs="Arial"/>
          <w:sz w:val="24"/>
          <w:szCs w:val="24"/>
        </w:rPr>
      </w:pPr>
      <w:r>
        <w:rPr>
          <w:rFonts w:ascii="Arial" w:hAnsi="Arial" w:cs="Arial"/>
          <w:sz w:val="24"/>
          <w:szCs w:val="24"/>
        </w:rPr>
        <w:t>Seagrass meadow sediments</w:t>
      </w:r>
    </w:p>
    <w:p w:rsidR="00BC4EC5" w:rsidRPr="00372A66" w:rsidRDefault="00A40091" w:rsidP="00BC4EC5">
      <w:pPr>
        <w:rPr>
          <w:color w:val="000000"/>
          <w:szCs w:val="22"/>
          <w:lang w:val="en-GB"/>
        </w:rPr>
      </w:pPr>
      <w:r>
        <w:rPr>
          <w:color w:val="000000"/>
          <w:szCs w:val="22"/>
          <w:lang w:val="en-GB"/>
        </w:rPr>
        <w:t xml:space="preserve">The proportion of mud at </w:t>
      </w:r>
      <w:proofErr w:type="spellStart"/>
      <w:r>
        <w:rPr>
          <w:color w:val="000000"/>
          <w:szCs w:val="22"/>
          <w:lang w:val="en-GB"/>
        </w:rPr>
        <w:t>Jerona</w:t>
      </w:r>
      <w:proofErr w:type="spellEnd"/>
      <w:r>
        <w:rPr>
          <w:color w:val="000000"/>
          <w:szCs w:val="22"/>
          <w:lang w:val="en-GB"/>
        </w:rPr>
        <w:t xml:space="preserve"> </w:t>
      </w:r>
      <w:r w:rsidR="002C452C">
        <w:rPr>
          <w:color w:val="000000"/>
          <w:szCs w:val="22"/>
          <w:lang w:val="en-GB"/>
        </w:rPr>
        <w:t>(</w:t>
      </w:r>
      <w:proofErr w:type="spellStart"/>
      <w:r w:rsidR="002C452C">
        <w:rPr>
          <w:color w:val="000000"/>
          <w:szCs w:val="22"/>
          <w:lang w:val="en-GB"/>
        </w:rPr>
        <w:t>Barratta</w:t>
      </w:r>
      <w:proofErr w:type="spellEnd"/>
      <w:r w:rsidR="002C452C">
        <w:rPr>
          <w:color w:val="000000"/>
          <w:szCs w:val="22"/>
          <w:lang w:val="en-GB"/>
        </w:rPr>
        <w:t xml:space="preserve"> Creek) coastal habitat </w:t>
      </w:r>
      <w:r>
        <w:rPr>
          <w:color w:val="000000"/>
          <w:szCs w:val="22"/>
          <w:lang w:val="en-GB"/>
        </w:rPr>
        <w:t xml:space="preserve">was much higher than Townsville sites </w:t>
      </w:r>
      <w:r w:rsidR="002C452C">
        <w:rPr>
          <w:color w:val="000000"/>
          <w:szCs w:val="22"/>
          <w:lang w:val="en-GB"/>
        </w:rPr>
        <w:t>(Bush</w:t>
      </w:r>
      <w:r w:rsidR="00993358">
        <w:rPr>
          <w:color w:val="000000"/>
          <w:szCs w:val="22"/>
          <w:lang w:val="en-GB"/>
        </w:rPr>
        <w:t>l</w:t>
      </w:r>
      <w:r w:rsidR="002C452C">
        <w:rPr>
          <w:color w:val="000000"/>
          <w:szCs w:val="22"/>
          <w:lang w:val="en-GB"/>
        </w:rPr>
        <w:t xml:space="preserve">and Beach and Shelley Beach) </w:t>
      </w:r>
      <w:r>
        <w:rPr>
          <w:color w:val="000000"/>
          <w:szCs w:val="22"/>
          <w:lang w:val="en-GB"/>
        </w:rPr>
        <w:t>and has remained well above the GBR long-te</w:t>
      </w:r>
      <w:r w:rsidR="002C452C">
        <w:rPr>
          <w:color w:val="000000"/>
          <w:szCs w:val="22"/>
          <w:lang w:val="en-GB"/>
        </w:rPr>
        <w:t>rm average. Townsville sites we</w:t>
      </w:r>
      <w:r>
        <w:rPr>
          <w:color w:val="000000"/>
          <w:szCs w:val="22"/>
          <w:lang w:val="en-GB"/>
        </w:rPr>
        <w:t>re dominated by fine sediments, although the proportion of mud has declined post 2011. Conversely, reef habitats which were dominated by coarser sediment prior to 2009-10, hav</w:t>
      </w:r>
      <w:r w:rsidR="002C452C">
        <w:rPr>
          <w:color w:val="000000"/>
          <w:szCs w:val="22"/>
          <w:lang w:val="en-GB"/>
        </w:rPr>
        <w:t>ing since</w:t>
      </w:r>
      <w:r>
        <w:rPr>
          <w:color w:val="000000"/>
          <w:szCs w:val="22"/>
          <w:lang w:val="en-GB"/>
        </w:rPr>
        <w:t xml:space="preserve"> gradually increased in composition of fine sand and mud. More fine</w:t>
      </w:r>
      <w:r w:rsidR="002C452C">
        <w:rPr>
          <w:color w:val="000000"/>
          <w:szCs w:val="22"/>
          <w:lang w:val="en-GB"/>
        </w:rPr>
        <w:t xml:space="preserve"> sediments we</w:t>
      </w:r>
      <w:r>
        <w:rPr>
          <w:color w:val="000000"/>
          <w:szCs w:val="22"/>
          <w:lang w:val="en-GB"/>
        </w:rPr>
        <w:t>re present at the Cockle Bay than the Picnic Bay reef habitats meadows.</w:t>
      </w:r>
    </w:p>
    <w:p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 xml:space="preserve">Epiphytes and </w:t>
      </w:r>
      <w:proofErr w:type="spellStart"/>
      <w:r w:rsidRPr="004F2236">
        <w:rPr>
          <w:rFonts w:ascii="Arial" w:hAnsi="Arial" w:cs="Arial"/>
          <w:sz w:val="24"/>
          <w:szCs w:val="24"/>
        </w:rPr>
        <w:t>macroalgae</w:t>
      </w:r>
      <w:bookmarkEnd w:id="394"/>
      <w:bookmarkEnd w:id="395"/>
      <w:proofErr w:type="spellEnd"/>
    </w:p>
    <w:p w:rsidR="00F84928" w:rsidRPr="002C452C" w:rsidRDefault="005132EF" w:rsidP="00034AD4">
      <w:pPr>
        <w:rPr>
          <w:szCs w:val="22"/>
          <w:lang w:val="en-US"/>
        </w:rPr>
      </w:pPr>
      <w:r w:rsidRPr="00F84928">
        <w:rPr>
          <w:szCs w:val="22"/>
          <w:lang w:val="en-US"/>
        </w:rPr>
        <w:t xml:space="preserve">Epiphyte cover on seagrass leaf blades at coastal </w:t>
      </w:r>
      <w:r w:rsidR="00C45977" w:rsidRPr="00F84928">
        <w:rPr>
          <w:szCs w:val="22"/>
          <w:lang w:val="en-US"/>
        </w:rPr>
        <w:t>meadows</w:t>
      </w:r>
      <w:r w:rsidRPr="00F84928">
        <w:rPr>
          <w:szCs w:val="22"/>
          <w:lang w:val="en-US"/>
        </w:rPr>
        <w:t xml:space="preserve"> </w:t>
      </w:r>
      <w:r w:rsidR="00C45977" w:rsidRPr="00F84928">
        <w:rPr>
          <w:szCs w:val="22"/>
          <w:lang w:val="en-US"/>
        </w:rPr>
        <w:t>were</w:t>
      </w:r>
      <w:r w:rsidR="00BB0EF6" w:rsidRPr="00F84928">
        <w:rPr>
          <w:szCs w:val="22"/>
          <w:lang w:val="en-US"/>
        </w:rPr>
        <w:t xml:space="preserve"> higher in the </w:t>
      </w:r>
      <w:r w:rsidR="00F84928" w:rsidRPr="00F84928">
        <w:rPr>
          <w:szCs w:val="22"/>
          <w:lang w:val="en-US"/>
        </w:rPr>
        <w:t xml:space="preserve">dry rather than the </w:t>
      </w:r>
      <w:r w:rsidR="00BB0EF6" w:rsidRPr="00F84928">
        <w:rPr>
          <w:szCs w:val="22"/>
          <w:lang w:val="en-US"/>
        </w:rPr>
        <w:t xml:space="preserve">wet season </w:t>
      </w:r>
      <w:r w:rsidR="00F84928" w:rsidRPr="00F84928">
        <w:rPr>
          <w:szCs w:val="22"/>
          <w:lang w:val="en-US"/>
        </w:rPr>
        <w:t>in 2014-15 and has fluctuated greatly over the long-term</w:t>
      </w:r>
      <w:r w:rsidR="00C45977" w:rsidRPr="00F84928">
        <w:rPr>
          <w:szCs w:val="22"/>
          <w:lang w:val="en-US"/>
        </w:rPr>
        <w:t xml:space="preserve"> (</w:t>
      </w:r>
      <w:r w:rsidR="00C45977" w:rsidRPr="00F84928">
        <w:rPr>
          <w:szCs w:val="22"/>
          <w:lang w:val="en-US"/>
        </w:rPr>
        <w:fldChar w:fldCharType="begin"/>
      </w:r>
      <w:r w:rsidR="00C45977" w:rsidRPr="00F84928">
        <w:rPr>
          <w:szCs w:val="22"/>
          <w:lang w:val="en-US"/>
        </w:rPr>
        <w:instrText xml:space="preserve"> REF _Ref380433470 \h </w:instrText>
      </w:r>
      <w:r w:rsidR="00015190" w:rsidRPr="00F84928">
        <w:rPr>
          <w:szCs w:val="22"/>
          <w:lang w:val="en-US"/>
        </w:rPr>
        <w:instrText xml:space="preserve"> \* MERGEFORMAT </w:instrText>
      </w:r>
      <w:r w:rsidR="00C45977" w:rsidRPr="00F84928">
        <w:rPr>
          <w:szCs w:val="22"/>
          <w:lang w:val="en-US"/>
        </w:rPr>
      </w:r>
      <w:r w:rsidR="00C45977" w:rsidRPr="00F84928">
        <w:rPr>
          <w:szCs w:val="22"/>
          <w:lang w:val="en-US"/>
        </w:rPr>
        <w:fldChar w:fldCharType="separate"/>
      </w:r>
      <w:r w:rsidR="009C068F" w:rsidRPr="009C068F">
        <w:t xml:space="preserve">Figure </w:t>
      </w:r>
      <w:r w:rsidR="009C068F" w:rsidRPr="009C068F">
        <w:rPr>
          <w:noProof/>
        </w:rPr>
        <w:t>68</w:t>
      </w:r>
      <w:r w:rsidR="00C45977" w:rsidRPr="00F84928">
        <w:rPr>
          <w:szCs w:val="22"/>
          <w:lang w:val="en-US"/>
        </w:rPr>
        <w:fldChar w:fldCharType="end"/>
      </w:r>
      <w:r w:rsidR="003B09B2" w:rsidRPr="00F84928">
        <w:rPr>
          <w:szCs w:val="22"/>
          <w:lang w:val="en-US"/>
        </w:rPr>
        <w:t xml:space="preserve">; Appendix </w:t>
      </w:r>
      <w:r w:rsidR="00F80777" w:rsidRPr="00F84928">
        <w:rPr>
          <w:szCs w:val="22"/>
          <w:lang w:val="en-US"/>
        </w:rPr>
        <w:t>2</w:t>
      </w:r>
      <w:r w:rsidR="003B09B2" w:rsidRPr="00F84928">
        <w:rPr>
          <w:szCs w:val="22"/>
          <w:lang w:val="en-US"/>
        </w:rPr>
        <w:t xml:space="preserve">, </w:t>
      </w:r>
      <w:r w:rsidR="003B09B2" w:rsidRPr="00F84928">
        <w:rPr>
          <w:szCs w:val="22"/>
          <w:lang w:val="en-US"/>
        </w:rPr>
        <w:fldChar w:fldCharType="begin"/>
      </w:r>
      <w:r w:rsidR="003B09B2" w:rsidRPr="00F84928">
        <w:rPr>
          <w:szCs w:val="22"/>
          <w:lang w:val="en-US"/>
        </w:rPr>
        <w:instrText xml:space="preserve"> REF _Ref382202839 \h </w:instrText>
      </w:r>
      <w:r w:rsidR="00015190" w:rsidRPr="00F84928">
        <w:rPr>
          <w:szCs w:val="22"/>
          <w:lang w:val="en-US"/>
        </w:rPr>
        <w:instrText xml:space="preserve"> \* MERGEFORMAT </w:instrText>
      </w:r>
      <w:r w:rsidR="003B09B2" w:rsidRPr="00F84928">
        <w:rPr>
          <w:szCs w:val="22"/>
          <w:lang w:val="en-US"/>
        </w:rPr>
      </w:r>
      <w:r w:rsidR="003B09B2" w:rsidRPr="00F84928">
        <w:rPr>
          <w:szCs w:val="22"/>
          <w:lang w:val="en-US"/>
        </w:rPr>
        <w:fldChar w:fldCharType="separate"/>
      </w:r>
      <w:r w:rsidR="009C068F" w:rsidRPr="009C068F">
        <w:rPr>
          <w:szCs w:val="22"/>
        </w:rPr>
        <w:t xml:space="preserve">Figure </w:t>
      </w:r>
      <w:r w:rsidR="009C068F" w:rsidRPr="009C068F">
        <w:rPr>
          <w:noProof/>
          <w:szCs w:val="22"/>
        </w:rPr>
        <w:t>205</w:t>
      </w:r>
      <w:r w:rsidR="003B09B2" w:rsidRPr="00F84928">
        <w:rPr>
          <w:szCs w:val="22"/>
          <w:lang w:val="en-US"/>
        </w:rPr>
        <w:fldChar w:fldCharType="end"/>
      </w:r>
      <w:r w:rsidR="00C45977" w:rsidRPr="00F84928">
        <w:rPr>
          <w:szCs w:val="22"/>
          <w:lang w:val="en-US"/>
        </w:rPr>
        <w:t>)</w:t>
      </w:r>
      <w:r w:rsidR="00BB0EF6" w:rsidRPr="00F84928">
        <w:rPr>
          <w:szCs w:val="22"/>
          <w:lang w:val="en-US"/>
        </w:rPr>
        <w:t xml:space="preserve">. </w:t>
      </w:r>
      <w:r w:rsidR="00F84928" w:rsidRPr="00F84928">
        <w:rPr>
          <w:szCs w:val="22"/>
          <w:lang w:val="en-GB"/>
        </w:rPr>
        <w:t>Epiphyte cover at intertidal reef habitats continued to increase from the previous monitoring periods, and in late</w:t>
      </w:r>
      <w:r w:rsidR="00F84928" w:rsidRPr="00F84928">
        <w:rPr>
          <w:szCs w:val="22"/>
          <w:lang w:val="en-US"/>
        </w:rPr>
        <w:t xml:space="preserve"> 2014 was above the GBR long-term average (</w:t>
      </w:r>
      <w:r w:rsidR="00F84928" w:rsidRPr="00F84928">
        <w:rPr>
          <w:szCs w:val="22"/>
          <w:lang w:val="en-US"/>
        </w:rPr>
        <w:fldChar w:fldCharType="begin"/>
      </w:r>
      <w:r w:rsidR="00F84928" w:rsidRPr="00F84928">
        <w:rPr>
          <w:szCs w:val="22"/>
          <w:lang w:val="en-US"/>
        </w:rPr>
        <w:instrText xml:space="preserve"> REF _Ref380433470 \h  \* MERGEFORMAT </w:instrText>
      </w:r>
      <w:r w:rsidR="00F84928" w:rsidRPr="00F84928">
        <w:rPr>
          <w:szCs w:val="22"/>
          <w:lang w:val="en-US"/>
        </w:rPr>
      </w:r>
      <w:r w:rsidR="00F84928" w:rsidRPr="00F84928">
        <w:rPr>
          <w:szCs w:val="22"/>
          <w:lang w:val="en-US"/>
        </w:rPr>
        <w:fldChar w:fldCharType="separate"/>
      </w:r>
      <w:r w:rsidR="009C068F" w:rsidRPr="009C068F">
        <w:rPr>
          <w:szCs w:val="22"/>
        </w:rPr>
        <w:t xml:space="preserve">Figure </w:t>
      </w:r>
      <w:r w:rsidR="009C068F" w:rsidRPr="009C068F">
        <w:rPr>
          <w:noProof/>
          <w:szCs w:val="22"/>
        </w:rPr>
        <w:t>68</w:t>
      </w:r>
      <w:r w:rsidR="00F84928" w:rsidRPr="00F84928">
        <w:rPr>
          <w:szCs w:val="22"/>
          <w:lang w:val="en-US"/>
        </w:rPr>
        <w:fldChar w:fldCharType="end"/>
      </w:r>
      <w:r w:rsidR="00F84928" w:rsidRPr="00F84928">
        <w:rPr>
          <w:szCs w:val="22"/>
          <w:lang w:val="en-US"/>
        </w:rPr>
        <w:t xml:space="preserve">c; Appendix 2). </w:t>
      </w:r>
      <w:r w:rsidR="00D23D53" w:rsidRPr="00F84928">
        <w:rPr>
          <w:szCs w:val="22"/>
          <w:lang w:val="en-US"/>
        </w:rPr>
        <w:t>The greatest change in e</w:t>
      </w:r>
      <w:r w:rsidR="00BB0EF6" w:rsidRPr="00F84928">
        <w:rPr>
          <w:szCs w:val="22"/>
          <w:lang w:val="en-US"/>
        </w:rPr>
        <w:t xml:space="preserve">piphyte cover </w:t>
      </w:r>
      <w:r w:rsidR="00D23D53" w:rsidRPr="00F84928">
        <w:rPr>
          <w:szCs w:val="22"/>
          <w:lang w:val="en-US"/>
        </w:rPr>
        <w:t xml:space="preserve">was the </w:t>
      </w:r>
      <w:r w:rsidR="00F80777" w:rsidRPr="00F84928">
        <w:rPr>
          <w:szCs w:val="22"/>
          <w:lang w:val="en-US"/>
        </w:rPr>
        <w:t xml:space="preserve">increase at </w:t>
      </w:r>
      <w:r w:rsidR="00F84928" w:rsidRPr="00F84928">
        <w:rPr>
          <w:szCs w:val="22"/>
          <w:lang w:val="en-US"/>
        </w:rPr>
        <w:t>subtidal habitats over the 2014</w:t>
      </w:r>
      <w:r w:rsidR="00F80777" w:rsidRPr="00F84928">
        <w:rPr>
          <w:szCs w:val="22"/>
          <w:lang w:val="en-US"/>
        </w:rPr>
        <w:t>-1</w:t>
      </w:r>
      <w:r w:rsidR="00F84928" w:rsidRPr="00F84928">
        <w:rPr>
          <w:szCs w:val="22"/>
          <w:lang w:val="en-US"/>
        </w:rPr>
        <w:t>5</w:t>
      </w:r>
      <w:r w:rsidR="00F80777" w:rsidRPr="00F84928">
        <w:rPr>
          <w:szCs w:val="22"/>
          <w:lang w:val="en-US"/>
        </w:rPr>
        <w:t xml:space="preserve"> </w:t>
      </w:r>
      <w:proofErr w:type="gramStart"/>
      <w:r w:rsidR="00F80777" w:rsidRPr="00F84928">
        <w:rPr>
          <w:szCs w:val="22"/>
          <w:lang w:val="en-US"/>
        </w:rPr>
        <w:t>period</w:t>
      </w:r>
      <w:proofErr w:type="gramEnd"/>
      <w:r w:rsidR="00D23D53" w:rsidRPr="00F84928">
        <w:rPr>
          <w:szCs w:val="22"/>
          <w:lang w:val="en-US"/>
        </w:rPr>
        <w:t xml:space="preserve"> (</w:t>
      </w:r>
      <w:r w:rsidR="00D23D53" w:rsidRPr="00F84928">
        <w:rPr>
          <w:szCs w:val="22"/>
          <w:lang w:val="en-US"/>
        </w:rPr>
        <w:fldChar w:fldCharType="begin"/>
      </w:r>
      <w:r w:rsidR="00D23D53" w:rsidRPr="00F84928">
        <w:rPr>
          <w:szCs w:val="22"/>
          <w:lang w:val="en-US"/>
        </w:rPr>
        <w:instrText xml:space="preserve"> REF _Ref380433470 \h  \* MERGEFORMAT </w:instrText>
      </w:r>
      <w:r w:rsidR="00D23D53" w:rsidRPr="00F84928">
        <w:rPr>
          <w:szCs w:val="22"/>
          <w:lang w:val="en-US"/>
        </w:rPr>
      </w:r>
      <w:r w:rsidR="00D23D53" w:rsidRPr="00F84928">
        <w:rPr>
          <w:szCs w:val="22"/>
          <w:lang w:val="en-US"/>
        </w:rPr>
        <w:fldChar w:fldCharType="separate"/>
      </w:r>
      <w:r w:rsidR="009C068F" w:rsidRPr="009C068F">
        <w:rPr>
          <w:szCs w:val="22"/>
        </w:rPr>
        <w:t xml:space="preserve">Figure </w:t>
      </w:r>
      <w:r w:rsidR="009C068F" w:rsidRPr="009C068F">
        <w:rPr>
          <w:noProof/>
          <w:szCs w:val="22"/>
        </w:rPr>
        <w:t>68</w:t>
      </w:r>
      <w:r w:rsidR="00D23D53" w:rsidRPr="00F84928">
        <w:rPr>
          <w:szCs w:val="22"/>
          <w:lang w:val="en-US"/>
        </w:rPr>
        <w:fldChar w:fldCharType="end"/>
      </w:r>
      <w:r w:rsidR="00F84928" w:rsidRPr="00F84928">
        <w:rPr>
          <w:szCs w:val="22"/>
          <w:lang w:val="en-US"/>
        </w:rPr>
        <w:t>e</w:t>
      </w:r>
      <w:r w:rsidR="00D23D53" w:rsidRPr="00F84928">
        <w:rPr>
          <w:szCs w:val="22"/>
          <w:lang w:val="en-US"/>
        </w:rPr>
        <w:t>)</w:t>
      </w:r>
      <w:r w:rsidR="00F80777" w:rsidRPr="00F84928">
        <w:rPr>
          <w:szCs w:val="22"/>
          <w:lang w:val="en-US"/>
        </w:rPr>
        <w:t xml:space="preserve"> </w:t>
      </w:r>
      <w:r w:rsidR="00F84928" w:rsidRPr="00F84928">
        <w:rPr>
          <w:szCs w:val="22"/>
          <w:lang w:val="en-US"/>
        </w:rPr>
        <w:t>(Appendix 2</w:t>
      </w:r>
      <w:r w:rsidR="00F80777" w:rsidRPr="00F84928">
        <w:rPr>
          <w:szCs w:val="22"/>
          <w:lang w:val="en-US"/>
        </w:rPr>
        <w:t xml:space="preserve">). </w:t>
      </w:r>
      <w:r w:rsidRPr="00F84928">
        <w:rPr>
          <w:szCs w:val="22"/>
          <w:lang w:val="en-US"/>
        </w:rPr>
        <w:t xml:space="preserve">Percentage cover of </w:t>
      </w:r>
      <w:proofErr w:type="spellStart"/>
      <w:r w:rsidRPr="00F84928">
        <w:rPr>
          <w:szCs w:val="22"/>
          <w:lang w:val="en-US"/>
        </w:rPr>
        <w:t>macroalgae</w:t>
      </w:r>
      <w:proofErr w:type="spellEnd"/>
      <w:r w:rsidRPr="00F84928">
        <w:rPr>
          <w:szCs w:val="22"/>
          <w:lang w:val="en-US"/>
        </w:rPr>
        <w:t xml:space="preserve"> </w:t>
      </w:r>
      <w:r w:rsidR="00F84928" w:rsidRPr="00F84928">
        <w:rPr>
          <w:szCs w:val="22"/>
          <w:lang w:val="en-US"/>
        </w:rPr>
        <w:t xml:space="preserve">has changed little across all habitats </w:t>
      </w:r>
      <w:r w:rsidR="00D23D53" w:rsidRPr="00F84928">
        <w:rPr>
          <w:szCs w:val="22"/>
          <w:lang w:val="en-US"/>
        </w:rPr>
        <w:t>over the last 4 years (</w:t>
      </w:r>
      <w:r w:rsidR="00D23D53" w:rsidRPr="00F84928">
        <w:rPr>
          <w:szCs w:val="22"/>
          <w:lang w:val="en-US"/>
        </w:rPr>
        <w:fldChar w:fldCharType="begin"/>
      </w:r>
      <w:r w:rsidR="00D23D53" w:rsidRPr="00F84928">
        <w:rPr>
          <w:szCs w:val="22"/>
          <w:lang w:val="en-US"/>
        </w:rPr>
        <w:instrText xml:space="preserve"> REF _Ref380433470 \h  \* MERGEFORMAT </w:instrText>
      </w:r>
      <w:r w:rsidR="00D23D53" w:rsidRPr="00F84928">
        <w:rPr>
          <w:szCs w:val="22"/>
          <w:lang w:val="en-US"/>
        </w:rPr>
      </w:r>
      <w:r w:rsidR="00D23D53" w:rsidRPr="00F84928">
        <w:rPr>
          <w:szCs w:val="22"/>
          <w:lang w:val="en-US"/>
        </w:rPr>
        <w:fldChar w:fldCharType="separate"/>
      </w:r>
      <w:r w:rsidR="009C068F" w:rsidRPr="009C068F">
        <w:rPr>
          <w:szCs w:val="22"/>
        </w:rPr>
        <w:t xml:space="preserve">Figure </w:t>
      </w:r>
      <w:r w:rsidR="009C068F" w:rsidRPr="009C068F">
        <w:rPr>
          <w:noProof/>
          <w:szCs w:val="22"/>
        </w:rPr>
        <w:t>68</w:t>
      </w:r>
      <w:r w:rsidR="00D23D53" w:rsidRPr="00F84928">
        <w:rPr>
          <w:szCs w:val="22"/>
          <w:lang w:val="en-US"/>
        </w:rPr>
        <w:fldChar w:fldCharType="end"/>
      </w:r>
      <w:r w:rsidR="00D23D53" w:rsidRPr="00F84928">
        <w:rPr>
          <w:szCs w:val="22"/>
          <w:lang w:val="en-US"/>
        </w:rPr>
        <w:t xml:space="preserve">b) </w:t>
      </w:r>
      <w:r w:rsidR="00D23D53" w:rsidRPr="002C452C">
        <w:rPr>
          <w:szCs w:val="22"/>
          <w:lang w:val="en-US"/>
        </w:rPr>
        <w:t xml:space="preserve">with location abundances </w:t>
      </w:r>
      <w:r w:rsidRPr="002C452C">
        <w:rPr>
          <w:szCs w:val="22"/>
          <w:lang w:val="en-US"/>
        </w:rPr>
        <w:t>remain</w:t>
      </w:r>
      <w:r w:rsidR="00D23D53" w:rsidRPr="002C452C">
        <w:rPr>
          <w:szCs w:val="22"/>
          <w:lang w:val="en-US"/>
        </w:rPr>
        <w:t xml:space="preserve">ing </w:t>
      </w:r>
      <w:r w:rsidRPr="002C452C">
        <w:rPr>
          <w:szCs w:val="22"/>
          <w:lang w:val="en-US"/>
        </w:rPr>
        <w:t xml:space="preserve">low </w:t>
      </w:r>
      <w:r w:rsidR="00D23D53" w:rsidRPr="002C452C">
        <w:rPr>
          <w:szCs w:val="22"/>
          <w:lang w:val="en-US"/>
        </w:rPr>
        <w:t>and</w:t>
      </w:r>
      <w:r w:rsidR="003B09B2" w:rsidRPr="002C452C">
        <w:rPr>
          <w:szCs w:val="22"/>
          <w:lang w:val="en-US"/>
        </w:rPr>
        <w:t xml:space="preserve"> </w:t>
      </w:r>
      <w:r w:rsidR="00F84928" w:rsidRPr="002C452C">
        <w:rPr>
          <w:szCs w:val="22"/>
          <w:lang w:val="en-US"/>
        </w:rPr>
        <w:t xml:space="preserve">generally </w:t>
      </w:r>
      <w:r w:rsidRPr="002C452C">
        <w:rPr>
          <w:szCs w:val="22"/>
          <w:lang w:val="en-US"/>
        </w:rPr>
        <w:t>below the GBR long-term average</w:t>
      </w:r>
      <w:r w:rsidR="003B09B2" w:rsidRPr="002C452C">
        <w:rPr>
          <w:szCs w:val="22"/>
          <w:lang w:val="en-US"/>
        </w:rPr>
        <w:t xml:space="preserve"> </w:t>
      </w:r>
      <w:r w:rsidR="00F80777" w:rsidRPr="002C452C">
        <w:rPr>
          <w:szCs w:val="22"/>
          <w:lang w:val="en-US"/>
        </w:rPr>
        <w:t xml:space="preserve">(Appendix 2, </w:t>
      </w:r>
      <w:r w:rsidR="00F80777" w:rsidRPr="002C452C">
        <w:rPr>
          <w:szCs w:val="22"/>
          <w:lang w:val="en-US"/>
        </w:rPr>
        <w:fldChar w:fldCharType="begin"/>
      </w:r>
      <w:r w:rsidR="00F80777" w:rsidRPr="002C452C">
        <w:rPr>
          <w:szCs w:val="22"/>
          <w:lang w:val="en-US"/>
        </w:rPr>
        <w:instrText xml:space="preserve"> REF _Ref382202839 \h  \* MERGEFORMAT </w:instrText>
      </w:r>
      <w:r w:rsidR="00F80777" w:rsidRPr="002C452C">
        <w:rPr>
          <w:szCs w:val="22"/>
          <w:lang w:val="en-US"/>
        </w:rPr>
      </w:r>
      <w:r w:rsidR="00F80777" w:rsidRPr="002C452C">
        <w:rPr>
          <w:szCs w:val="22"/>
          <w:lang w:val="en-US"/>
        </w:rPr>
        <w:fldChar w:fldCharType="separate"/>
      </w:r>
      <w:r w:rsidR="009C068F" w:rsidRPr="009C068F">
        <w:rPr>
          <w:szCs w:val="22"/>
        </w:rPr>
        <w:t xml:space="preserve">Figure </w:t>
      </w:r>
      <w:r w:rsidR="009C068F" w:rsidRPr="009C068F">
        <w:rPr>
          <w:noProof/>
          <w:szCs w:val="22"/>
        </w:rPr>
        <w:t>205</w:t>
      </w:r>
      <w:r w:rsidR="00F80777" w:rsidRPr="002C452C">
        <w:rPr>
          <w:szCs w:val="22"/>
          <w:lang w:val="en-US"/>
        </w:rPr>
        <w:fldChar w:fldCharType="end"/>
      </w:r>
      <w:r w:rsidR="00F80777" w:rsidRPr="002C452C">
        <w:rPr>
          <w:szCs w:val="22"/>
          <w:lang w:val="en-US"/>
        </w:rPr>
        <w:t xml:space="preserve">b, </w:t>
      </w:r>
      <w:r w:rsidR="00F80777" w:rsidRPr="002C452C">
        <w:rPr>
          <w:szCs w:val="22"/>
          <w:lang w:val="en-US"/>
        </w:rPr>
        <w:fldChar w:fldCharType="begin"/>
      </w:r>
      <w:r w:rsidR="00F80777" w:rsidRPr="002C452C">
        <w:rPr>
          <w:szCs w:val="22"/>
          <w:lang w:val="en-US"/>
        </w:rPr>
        <w:instrText xml:space="preserve"> REF _Ref382202839 \h  \* MERGEFORMAT </w:instrText>
      </w:r>
      <w:r w:rsidR="00F80777" w:rsidRPr="002C452C">
        <w:rPr>
          <w:szCs w:val="22"/>
          <w:lang w:val="en-US"/>
        </w:rPr>
      </w:r>
      <w:r w:rsidR="00F80777" w:rsidRPr="002C452C">
        <w:rPr>
          <w:szCs w:val="22"/>
          <w:lang w:val="en-US"/>
        </w:rPr>
        <w:fldChar w:fldCharType="separate"/>
      </w:r>
      <w:r w:rsidR="009C068F" w:rsidRPr="009C068F">
        <w:rPr>
          <w:szCs w:val="22"/>
        </w:rPr>
        <w:t xml:space="preserve">Figure </w:t>
      </w:r>
      <w:r w:rsidR="009C068F" w:rsidRPr="009C068F">
        <w:rPr>
          <w:noProof/>
          <w:szCs w:val="22"/>
        </w:rPr>
        <w:t>205</w:t>
      </w:r>
      <w:r w:rsidR="00F80777" w:rsidRPr="002C452C">
        <w:rPr>
          <w:szCs w:val="22"/>
          <w:lang w:val="en-US"/>
        </w:rPr>
        <w:fldChar w:fldCharType="end"/>
      </w:r>
      <w:r w:rsidR="00F80777" w:rsidRPr="002C452C">
        <w:rPr>
          <w:szCs w:val="22"/>
          <w:lang w:val="en-US"/>
        </w:rPr>
        <w:t>d</w:t>
      </w:r>
      <w:r w:rsidR="003B09B2" w:rsidRPr="002C452C">
        <w:rPr>
          <w:szCs w:val="22"/>
          <w:lang w:val="en-US"/>
        </w:rPr>
        <w:t>)</w:t>
      </w:r>
      <w:r w:rsidRPr="002C452C">
        <w:rPr>
          <w:szCs w:val="22"/>
          <w:lang w:val="en-US"/>
        </w:rPr>
        <w:t xml:space="preserve">. </w:t>
      </w:r>
    </w:p>
    <w:p w:rsidR="00F84928" w:rsidRPr="00F84928" w:rsidRDefault="009D6F3D" w:rsidP="00F84928">
      <w:pPr>
        <w:keepNext/>
        <w:widowControl w:val="0"/>
        <w:spacing w:after="0"/>
        <w:jc w:val="center"/>
        <w:rPr>
          <w:szCs w:val="22"/>
          <w:lang w:val="en-GB"/>
        </w:rPr>
      </w:pPr>
      <w:r>
        <w:rPr>
          <w:noProof/>
          <w:szCs w:val="22"/>
          <w:lang w:eastAsia="en-AU"/>
        </w:rPr>
        <w:lastRenderedPageBreak/>
        <w:drawing>
          <wp:inline distT="0" distB="0" distL="0" distR="0" wp14:anchorId="2E72E316" wp14:editId="087E8575">
            <wp:extent cx="5759450" cy="3089910"/>
            <wp:effectExtent l="0" t="0" r="0" b="0"/>
            <wp:docPr id="145" name="Picture 145" descr="Set of six scatter plots with straight lines and markers showing long-term trend in mean epiphyte and macroalgae abundance (% cover) at each inshore seagrass habitats in the Burdekin NRM region, relative to the long-term average for each inshore GBR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B_epi_algae_change_2015.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5759450" cy="3089910"/>
                    </a:xfrm>
                    <a:prstGeom prst="rect">
                      <a:avLst/>
                    </a:prstGeom>
                  </pic:spPr>
                </pic:pic>
              </a:graphicData>
            </a:graphic>
          </wp:inline>
        </w:drawing>
      </w:r>
    </w:p>
    <w:p w:rsidR="00527E4F" w:rsidRPr="00DE31AC" w:rsidRDefault="005132EF" w:rsidP="00527E4F">
      <w:pPr>
        <w:spacing w:before="0"/>
        <w:ind w:right="233"/>
        <w:rPr>
          <w:i/>
          <w:vanish/>
          <w:color w:val="000000"/>
          <w:szCs w:val="22"/>
          <w:specVanish/>
        </w:rPr>
      </w:pPr>
      <w:bookmarkStart w:id="396" w:name="_Ref211930918"/>
      <w:bookmarkStart w:id="397" w:name="_Ref380433470"/>
      <w:bookmarkStart w:id="398" w:name="_Toc232845987"/>
      <w:bookmarkStart w:id="399" w:name="_Toc431493864"/>
      <w:bookmarkStart w:id="400" w:name="_Toc462684908"/>
      <w:r w:rsidRPr="00DE31AC">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68</w:t>
      </w:r>
      <w:r w:rsidR="0073595B">
        <w:rPr>
          <w:color w:val="000000"/>
        </w:rPr>
        <w:fldChar w:fldCharType="end"/>
      </w:r>
      <w:bookmarkEnd w:id="396"/>
      <w:bookmarkEnd w:id="397"/>
      <w:r w:rsidRPr="00DE31AC">
        <w:rPr>
          <w:color w:val="000000"/>
        </w:rPr>
        <w:t xml:space="preserve">. </w:t>
      </w:r>
      <w:bookmarkEnd w:id="398"/>
      <w:r w:rsidR="00BC6300" w:rsidRPr="00DE31AC">
        <w:rPr>
          <w:i/>
          <w:color w:val="000000"/>
        </w:rPr>
        <w:t xml:space="preserve">Long-term trend in mean epiphyte and </w:t>
      </w:r>
      <w:proofErr w:type="spellStart"/>
      <w:r w:rsidR="00BC6300" w:rsidRPr="00DE31AC">
        <w:rPr>
          <w:i/>
          <w:color w:val="000000"/>
        </w:rPr>
        <w:t>macroalgae</w:t>
      </w:r>
      <w:proofErr w:type="spellEnd"/>
      <w:r w:rsidR="00BC6300" w:rsidRPr="00DE31AC">
        <w:rPr>
          <w:i/>
          <w:color w:val="000000"/>
        </w:rPr>
        <w:t xml:space="preserve"> abundance (% cover) relative to the long-term </w:t>
      </w:r>
      <w:r w:rsidR="00DE31AC" w:rsidRPr="00DE31AC">
        <w:rPr>
          <w:i/>
          <w:color w:val="000000"/>
        </w:rPr>
        <w:t xml:space="preserve">GBR </w:t>
      </w:r>
      <w:r w:rsidR="00BC6300" w:rsidRPr="00DE31AC">
        <w:rPr>
          <w:i/>
          <w:color w:val="000000"/>
        </w:rPr>
        <w:t xml:space="preserve">average for each </w:t>
      </w:r>
      <w:r w:rsidR="00527E4F" w:rsidRPr="00DE31AC">
        <w:rPr>
          <w:i/>
          <w:color w:val="000000"/>
        </w:rPr>
        <w:t>inshore</w:t>
      </w:r>
      <w:r w:rsidR="00BC6300" w:rsidRPr="00DE31AC">
        <w:rPr>
          <w:i/>
          <w:color w:val="000000"/>
        </w:rPr>
        <w:t xml:space="preserve"> seagrass habitat </w:t>
      </w:r>
      <w:r w:rsidR="00527E4F" w:rsidRPr="00DE31AC">
        <w:rPr>
          <w:i/>
          <w:color w:val="000000"/>
        </w:rPr>
        <w:t>in the Burdekin region</w:t>
      </w:r>
      <w:bookmarkEnd w:id="399"/>
      <w:bookmarkEnd w:id="400"/>
      <w:r w:rsidR="00527E4F" w:rsidRPr="00DE31AC">
        <w:rPr>
          <w:i/>
          <w:color w:val="000000"/>
        </w:rPr>
        <w:t xml:space="preserve"> </w:t>
      </w:r>
    </w:p>
    <w:p w:rsidR="00527E4F" w:rsidRDefault="00527E4F" w:rsidP="00527E4F">
      <w:pPr>
        <w:spacing w:before="0"/>
        <w:ind w:right="233"/>
        <w:rPr>
          <w:i/>
          <w:color w:val="000000"/>
        </w:rPr>
      </w:pPr>
      <w:r w:rsidRPr="00DE31AC">
        <w:rPr>
          <w:i/>
          <w:color w:val="000000"/>
        </w:rPr>
        <w:t xml:space="preserve"> </w:t>
      </w:r>
      <w:r w:rsidR="00BC6300" w:rsidRPr="00DE31AC">
        <w:rPr>
          <w:i/>
          <w:color w:val="000000"/>
        </w:rPr>
        <w:t xml:space="preserve">(sites pooled, ±SE). </w:t>
      </w:r>
    </w:p>
    <w:p w:rsidR="00BC6384" w:rsidRDefault="00BC6384" w:rsidP="00BC6384">
      <w:pPr>
        <w:rPr>
          <w:color w:val="000000"/>
          <w:lang w:val="en-GB"/>
        </w:rPr>
      </w:pPr>
    </w:p>
    <w:p w:rsidR="00BC6384" w:rsidRPr="00BD0604" w:rsidRDefault="00BC6384" w:rsidP="00926892">
      <w:pPr>
        <w:pStyle w:val="Heading3"/>
        <w:numPr>
          <w:ilvl w:val="2"/>
          <w:numId w:val="9"/>
        </w:numPr>
        <w:rPr>
          <w:rFonts w:ascii="Arial" w:hAnsi="Arial" w:cs="Arial"/>
          <w:color w:val="000000"/>
        </w:rPr>
      </w:pPr>
      <w:bookmarkStart w:id="401" w:name="_Toc462047353"/>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401"/>
      <w:r w:rsidRPr="000C1668">
        <w:rPr>
          <w:rFonts w:ascii="Arial" w:hAnsi="Arial" w:cs="Arial"/>
          <w:color w:val="000000"/>
        </w:rPr>
        <w:t xml:space="preserve"> </w:t>
      </w:r>
    </w:p>
    <w:p w:rsidR="00BC6384" w:rsidRDefault="00BC6384" w:rsidP="00BC6384">
      <w:pPr>
        <w:rPr>
          <w:color w:val="000000"/>
          <w:lang w:val="en-GB"/>
        </w:rPr>
      </w:pPr>
      <w:r>
        <w:rPr>
          <w:color w:val="000000"/>
          <w:lang w:val="en-GB"/>
        </w:rPr>
        <w:t xml:space="preserve">In the 2014-15 monitoring period, the seagrass index for </w:t>
      </w:r>
      <w:r w:rsidR="001264B9">
        <w:rPr>
          <w:color w:val="000000"/>
          <w:lang w:val="en-GB"/>
        </w:rPr>
        <w:t>the Burdekin region was</w:t>
      </w:r>
      <w:r>
        <w:rPr>
          <w:color w:val="000000"/>
          <w:lang w:val="en-GB"/>
        </w:rPr>
        <w:t xml:space="preserve"> </w:t>
      </w:r>
      <w:r w:rsidR="001264B9">
        <w:rPr>
          <w:color w:val="000000"/>
          <w:lang w:val="en-GB"/>
        </w:rPr>
        <w:t>lower than</w:t>
      </w:r>
      <w:r>
        <w:rPr>
          <w:color w:val="000000"/>
          <w:lang w:val="en-GB"/>
        </w:rPr>
        <w:t xml:space="preserve"> the previous period. The </w:t>
      </w:r>
      <w:r w:rsidR="001264B9">
        <w:rPr>
          <w:color w:val="000000"/>
          <w:lang w:val="en-GB"/>
        </w:rPr>
        <w:t>decrease</w:t>
      </w:r>
      <w:r>
        <w:rPr>
          <w:color w:val="000000"/>
          <w:lang w:val="en-GB"/>
        </w:rPr>
        <w:t xml:space="preserve"> appears </w:t>
      </w:r>
      <w:r w:rsidR="001264B9">
        <w:rPr>
          <w:color w:val="000000"/>
          <w:lang w:val="en-GB"/>
        </w:rPr>
        <w:t xml:space="preserve">primarily </w:t>
      </w:r>
      <w:r>
        <w:rPr>
          <w:color w:val="000000"/>
          <w:lang w:val="en-GB"/>
        </w:rPr>
        <w:t xml:space="preserve">a consequence of </w:t>
      </w:r>
      <w:r w:rsidR="001264B9">
        <w:rPr>
          <w:color w:val="000000"/>
          <w:lang w:val="en-GB"/>
        </w:rPr>
        <w:t>reduced reproductive effort</w:t>
      </w:r>
      <w:r>
        <w:rPr>
          <w:color w:val="000000"/>
          <w:lang w:val="en-GB"/>
        </w:rPr>
        <w:t xml:space="preserve"> </w:t>
      </w:r>
      <w:r w:rsidR="001264B9">
        <w:rPr>
          <w:color w:val="000000"/>
          <w:lang w:val="en-GB"/>
        </w:rPr>
        <w:t xml:space="preserve">and leaf tissue nutrient </w:t>
      </w:r>
      <w:r>
        <w:rPr>
          <w:color w:val="000000"/>
          <w:lang w:val="en-GB"/>
        </w:rPr>
        <w:t xml:space="preserve">in </w:t>
      </w:r>
      <w:r w:rsidR="001264B9">
        <w:rPr>
          <w:color w:val="000000"/>
          <w:lang w:val="en-GB"/>
        </w:rPr>
        <w:t xml:space="preserve">the intertidal </w:t>
      </w:r>
      <w:r>
        <w:rPr>
          <w:color w:val="000000"/>
          <w:lang w:val="en-GB"/>
        </w:rPr>
        <w:t xml:space="preserve">coastal </w:t>
      </w:r>
      <w:r w:rsidR="001264B9">
        <w:rPr>
          <w:color w:val="000000"/>
          <w:lang w:val="en-GB"/>
        </w:rPr>
        <w:t xml:space="preserve">and reef </w:t>
      </w:r>
      <w:r>
        <w:rPr>
          <w:color w:val="000000"/>
          <w:lang w:val="en-GB"/>
        </w:rPr>
        <w:t xml:space="preserve">habitats. Overall, </w:t>
      </w:r>
      <w:r w:rsidR="001264B9">
        <w:rPr>
          <w:color w:val="000000"/>
          <w:lang w:val="en-GB"/>
        </w:rPr>
        <w:t xml:space="preserve">abundances continued to improve across all habitats and </w:t>
      </w:r>
      <w:r>
        <w:rPr>
          <w:color w:val="000000"/>
          <w:lang w:val="en-GB"/>
        </w:rPr>
        <w:t xml:space="preserve">the </w:t>
      </w:r>
      <w:r w:rsidR="001264B9">
        <w:rPr>
          <w:color w:val="000000"/>
          <w:lang w:val="en-GB"/>
        </w:rPr>
        <w:t xml:space="preserve">Burdekin </w:t>
      </w:r>
      <w:r>
        <w:rPr>
          <w:color w:val="000000"/>
          <w:lang w:val="en-GB"/>
        </w:rPr>
        <w:t xml:space="preserve">seagrass index </w:t>
      </w:r>
      <w:r w:rsidR="001264B9">
        <w:rPr>
          <w:color w:val="000000"/>
          <w:lang w:val="en-GB"/>
        </w:rPr>
        <w:t>wa</w:t>
      </w:r>
      <w:r>
        <w:rPr>
          <w:color w:val="000000"/>
          <w:lang w:val="en-GB"/>
        </w:rPr>
        <w:t xml:space="preserve">s the </w:t>
      </w:r>
      <w:r w:rsidR="001264B9">
        <w:rPr>
          <w:color w:val="000000"/>
          <w:lang w:val="en-GB"/>
        </w:rPr>
        <w:t xml:space="preserve">second </w:t>
      </w:r>
      <w:r>
        <w:rPr>
          <w:color w:val="000000"/>
          <w:lang w:val="en-GB"/>
        </w:rPr>
        <w:t xml:space="preserve">highest since </w:t>
      </w:r>
      <w:r w:rsidR="001264B9">
        <w:rPr>
          <w:color w:val="000000"/>
          <w:lang w:val="en-GB"/>
        </w:rPr>
        <w:t>the</w:t>
      </w:r>
      <w:r>
        <w:rPr>
          <w:color w:val="000000"/>
          <w:lang w:val="en-GB"/>
        </w:rPr>
        <w:t xml:space="preserve"> 2005-06 baseline.</w:t>
      </w:r>
    </w:p>
    <w:p w:rsidR="00B32B4D" w:rsidRDefault="00B32B4D" w:rsidP="00BC6384">
      <w:pPr>
        <w:rPr>
          <w:color w:val="000000"/>
          <w:lang w:val="en-GB"/>
        </w:rPr>
      </w:pPr>
    </w:p>
    <w:p w:rsidR="00E43A54" w:rsidRPr="000F1DF9" w:rsidRDefault="00E43A54" w:rsidP="00E43A54">
      <w:pPr>
        <w:jc w:val="center"/>
        <w:rPr>
          <w:i/>
          <w:vanish/>
          <w:color w:val="000000"/>
          <w:szCs w:val="22"/>
          <w:specVanish/>
        </w:rPr>
      </w:pPr>
      <w:bookmarkStart w:id="402" w:name="_Toc462685089"/>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9C068F">
        <w:rPr>
          <w:noProof/>
          <w:color w:val="000000"/>
        </w:rPr>
        <w:t>20</w:t>
      </w:r>
      <w:r w:rsidRPr="000F1DF9">
        <w:rPr>
          <w:color w:val="000000"/>
        </w:rPr>
        <w:fldChar w:fldCharType="end"/>
      </w:r>
      <w:r w:rsidRPr="000F1DF9">
        <w:rPr>
          <w:color w:val="000000"/>
        </w:rPr>
        <w:t xml:space="preserve">. </w:t>
      </w:r>
      <w:r w:rsidRPr="000F1DF9">
        <w:rPr>
          <w:i/>
          <w:color w:val="000000"/>
        </w:rPr>
        <w:t xml:space="preserve">Long-term </w:t>
      </w:r>
      <w:r w:rsidR="001264B9" w:rsidRPr="000F1DF9">
        <w:rPr>
          <w:i/>
          <w:color w:val="000000"/>
        </w:rPr>
        <w:t xml:space="preserve">report card </w:t>
      </w:r>
      <w:r w:rsidR="001264B9">
        <w:rPr>
          <w:i/>
          <w:color w:val="000000"/>
        </w:rPr>
        <w:t xml:space="preserve">scores </w:t>
      </w:r>
      <w:r w:rsidR="001264B9" w:rsidRPr="000F1DF9">
        <w:rPr>
          <w:i/>
          <w:color w:val="000000"/>
        </w:rPr>
        <w:t>for seagrass abundance</w:t>
      </w:r>
      <w:r w:rsidR="001264B9">
        <w:rPr>
          <w:i/>
          <w:color w:val="000000"/>
        </w:rPr>
        <w:t>, reproductive</w:t>
      </w:r>
      <w:r w:rsidR="001264B9" w:rsidRPr="000F1DF9">
        <w:rPr>
          <w:i/>
          <w:color w:val="000000"/>
        </w:rPr>
        <w:t xml:space="preserve"> </w:t>
      </w:r>
      <w:r w:rsidR="001264B9">
        <w:rPr>
          <w:i/>
          <w:color w:val="000000"/>
        </w:rPr>
        <w:t>and leaf tissue nutrient</w:t>
      </w:r>
      <w:r w:rsidR="001264B9" w:rsidRPr="000F1DF9">
        <w:rPr>
          <w:i/>
          <w:color w:val="000000"/>
        </w:rPr>
        <w:t xml:space="preserve"> status for each habitat in </w:t>
      </w:r>
      <w:r w:rsidR="001264B9">
        <w:rPr>
          <w:i/>
          <w:color w:val="000000"/>
        </w:rPr>
        <w:t>the Burdekin</w:t>
      </w:r>
      <w:r w:rsidRPr="000F1DF9">
        <w:rPr>
          <w:i/>
          <w:color w:val="000000"/>
        </w:rPr>
        <w:t xml:space="preserve"> region: Ju</w:t>
      </w:r>
      <w:r>
        <w:rPr>
          <w:i/>
          <w:color w:val="000000"/>
        </w:rPr>
        <w:t>ne</w:t>
      </w:r>
      <w:r w:rsidRPr="000F1DF9">
        <w:rPr>
          <w:i/>
          <w:color w:val="000000"/>
        </w:rPr>
        <w:t xml:space="preserve"> 2005 – May 201</w:t>
      </w:r>
      <w:r>
        <w:rPr>
          <w:i/>
          <w:color w:val="000000"/>
        </w:rPr>
        <w:t>5</w:t>
      </w:r>
      <w:r w:rsidRPr="000F1DF9">
        <w:rPr>
          <w:i/>
          <w:color w:val="000000"/>
        </w:rPr>
        <w:t>.</w:t>
      </w:r>
      <w:bookmarkEnd w:id="402"/>
      <w:r w:rsidRPr="000F1DF9">
        <w:rPr>
          <w:i/>
          <w:color w:val="000000"/>
        </w:rPr>
        <w:t xml:space="preserve"> </w:t>
      </w:r>
    </w:p>
    <w:p w:rsidR="00E43A54" w:rsidRPr="00B00E71" w:rsidRDefault="00E43A54" w:rsidP="00E43A54">
      <w:pPr>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1E70A1">
        <w:rPr>
          <w:rFonts w:ascii="Arial" w:hAnsi="Arial" w:cs="Arial"/>
          <w:i/>
          <w:color w:val="FF0000"/>
          <w:szCs w:val="22"/>
        </w:rPr>
        <w:t>■</w:t>
      </w:r>
      <w:r w:rsidR="001E70A1">
        <w:rPr>
          <w:i/>
          <w:szCs w:val="22"/>
        </w:rPr>
        <w:t xml:space="preserve"> = very poor (0 - </w:t>
      </w:r>
      <w:r w:rsidR="001E70A1" w:rsidRPr="00E237C6">
        <w:rPr>
          <w:i/>
          <w:szCs w:val="22"/>
        </w:rPr>
        <w:t>20).</w:t>
      </w:r>
      <w:r>
        <w:rPr>
          <w:i/>
          <w:color w:val="000000"/>
        </w:rPr>
        <w:t xml:space="preserve"> </w:t>
      </w:r>
      <w:r>
        <w:rPr>
          <w:i/>
          <w:szCs w:val="22"/>
        </w:rPr>
        <w:t xml:space="preserve">NB: Scores are </w:t>
      </w:r>
      <w:proofErr w:type="spellStart"/>
      <w:r>
        <w:rPr>
          <w:i/>
          <w:szCs w:val="22"/>
        </w:rPr>
        <w:t>unitless</w:t>
      </w:r>
      <w:proofErr w:type="spellEnd"/>
      <w:r>
        <w:rPr>
          <w:i/>
          <w:szCs w:val="22"/>
        </w:rPr>
        <w:t>.</w:t>
      </w:r>
    </w:p>
    <w:tbl>
      <w:tblPr>
        <w:tblW w:w="10584"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2"/>
        <w:gridCol w:w="1699"/>
        <w:gridCol w:w="761"/>
        <w:gridCol w:w="761"/>
        <w:gridCol w:w="761"/>
        <w:gridCol w:w="761"/>
        <w:gridCol w:w="761"/>
        <w:gridCol w:w="761"/>
        <w:gridCol w:w="761"/>
        <w:gridCol w:w="752"/>
        <w:gridCol w:w="752"/>
        <w:gridCol w:w="752"/>
      </w:tblGrid>
      <w:tr w:rsidR="00E43A54" w:rsidRPr="00EC364C" w:rsidTr="001264B9">
        <w:trPr>
          <w:trHeight w:val="276"/>
          <w:jc w:val="center"/>
        </w:trPr>
        <w:tc>
          <w:tcPr>
            <w:tcW w:w="1275" w:type="dxa"/>
            <w:tcBorders>
              <w:top w:val="single" w:sz="4" w:space="0" w:color="000000"/>
              <w:bottom w:val="single" w:sz="4" w:space="0" w:color="000000"/>
            </w:tcBorders>
            <w:shd w:val="clear" w:color="auto" w:fill="auto"/>
            <w:vAlign w:val="center"/>
          </w:tcPr>
          <w:p w:rsidR="00E43A54" w:rsidRPr="00EC364C" w:rsidRDefault="001264B9" w:rsidP="00E43A54">
            <w:pPr>
              <w:spacing w:before="0" w:after="0"/>
              <w:jc w:val="center"/>
              <w:rPr>
                <w:b/>
                <w:color w:val="000000"/>
                <w:sz w:val="20"/>
                <w:szCs w:val="20"/>
                <w:lang w:eastAsia="en-AU"/>
              </w:rPr>
            </w:pPr>
            <w:r>
              <w:rPr>
                <w:b/>
                <w:color w:val="000000"/>
                <w:sz w:val="20"/>
                <w:szCs w:val="20"/>
                <w:lang w:eastAsia="en-AU"/>
              </w:rPr>
              <w:t>Report Card</w:t>
            </w:r>
          </w:p>
        </w:tc>
        <w:tc>
          <w:tcPr>
            <w:tcW w:w="1699" w:type="dxa"/>
            <w:tcBorders>
              <w:top w:val="single" w:sz="4" w:space="0" w:color="000000"/>
              <w:bottom w:val="single" w:sz="4" w:space="0" w:color="000000"/>
            </w:tcBorders>
            <w:shd w:val="clear" w:color="auto" w:fill="auto"/>
            <w:noWrap/>
            <w:vAlign w:val="center"/>
          </w:tcPr>
          <w:p w:rsidR="00E43A54" w:rsidRPr="00EC364C" w:rsidRDefault="00E43A54" w:rsidP="00E43A54">
            <w:pPr>
              <w:spacing w:before="0" w:after="0"/>
              <w:jc w:val="center"/>
              <w:rPr>
                <w:b/>
                <w:color w:val="000000"/>
                <w:sz w:val="20"/>
                <w:szCs w:val="20"/>
                <w:lang w:eastAsia="en-AU"/>
              </w:rPr>
            </w:pPr>
            <w:r w:rsidRPr="00EC364C">
              <w:rPr>
                <w:b/>
                <w:color w:val="000000"/>
                <w:sz w:val="20"/>
                <w:szCs w:val="20"/>
                <w:lang w:eastAsia="en-AU"/>
              </w:rPr>
              <w:t>Habitat</w:t>
            </w:r>
          </w:p>
        </w:tc>
        <w:tc>
          <w:tcPr>
            <w:tcW w:w="761" w:type="dxa"/>
            <w:tcBorders>
              <w:top w:val="single" w:sz="4" w:space="0" w:color="000000"/>
              <w:bottom w:val="single" w:sz="4" w:space="0" w:color="000000"/>
            </w:tcBorders>
            <w:shd w:val="clear" w:color="auto" w:fill="auto"/>
            <w:vAlign w:val="center"/>
          </w:tcPr>
          <w:p w:rsidR="00E43A54" w:rsidRPr="00EC364C" w:rsidRDefault="00E43A54" w:rsidP="00E43A54">
            <w:pPr>
              <w:spacing w:before="0" w:after="0"/>
              <w:jc w:val="center"/>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761" w:type="dxa"/>
            <w:tcBorders>
              <w:top w:val="single" w:sz="4" w:space="0" w:color="000000"/>
              <w:bottom w:val="single" w:sz="4" w:space="0" w:color="000000"/>
            </w:tcBorders>
            <w:shd w:val="clear" w:color="auto" w:fill="auto"/>
            <w:vAlign w:val="center"/>
          </w:tcPr>
          <w:p w:rsidR="00E43A54" w:rsidRPr="00EC364C" w:rsidRDefault="00E43A54" w:rsidP="00E43A54">
            <w:pPr>
              <w:spacing w:before="0" w:after="0"/>
              <w:jc w:val="center"/>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761" w:type="dxa"/>
            <w:tcBorders>
              <w:top w:val="single" w:sz="4" w:space="0" w:color="000000"/>
              <w:bottom w:val="single" w:sz="4" w:space="0" w:color="000000"/>
            </w:tcBorders>
            <w:shd w:val="clear" w:color="auto" w:fill="auto"/>
            <w:vAlign w:val="center"/>
          </w:tcPr>
          <w:p w:rsidR="00E43A54" w:rsidRPr="00EC364C" w:rsidRDefault="00E43A54" w:rsidP="00E43A54">
            <w:pPr>
              <w:spacing w:before="0" w:after="0"/>
              <w:jc w:val="center"/>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761" w:type="dxa"/>
            <w:tcBorders>
              <w:top w:val="single" w:sz="4" w:space="0" w:color="000000"/>
              <w:bottom w:val="single" w:sz="4" w:space="0" w:color="000000"/>
            </w:tcBorders>
            <w:shd w:val="clear" w:color="auto" w:fill="auto"/>
            <w:vAlign w:val="center"/>
          </w:tcPr>
          <w:p w:rsidR="00E43A54" w:rsidRPr="00EC364C" w:rsidRDefault="00E43A54" w:rsidP="00E43A54">
            <w:pPr>
              <w:spacing w:before="0" w:after="0"/>
              <w:jc w:val="center"/>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761" w:type="dxa"/>
            <w:tcBorders>
              <w:top w:val="single" w:sz="4" w:space="0" w:color="000000"/>
              <w:bottom w:val="single" w:sz="4" w:space="0" w:color="000000"/>
            </w:tcBorders>
            <w:shd w:val="clear" w:color="auto" w:fill="auto"/>
            <w:vAlign w:val="center"/>
          </w:tcPr>
          <w:p w:rsidR="00E43A54" w:rsidRPr="00EC364C" w:rsidRDefault="00E43A54" w:rsidP="00E43A54">
            <w:pPr>
              <w:spacing w:before="0" w:after="0"/>
              <w:jc w:val="center"/>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761" w:type="dxa"/>
            <w:tcBorders>
              <w:top w:val="single" w:sz="4" w:space="0" w:color="000000"/>
              <w:bottom w:val="single" w:sz="4" w:space="0" w:color="000000"/>
            </w:tcBorders>
            <w:shd w:val="clear" w:color="auto" w:fill="auto"/>
            <w:vAlign w:val="center"/>
          </w:tcPr>
          <w:p w:rsidR="00E43A54" w:rsidRPr="00EC364C" w:rsidRDefault="00E43A54" w:rsidP="00E43A54">
            <w:pPr>
              <w:spacing w:before="0" w:after="0"/>
              <w:jc w:val="center"/>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761" w:type="dxa"/>
            <w:tcBorders>
              <w:top w:val="single" w:sz="4" w:space="0" w:color="000000"/>
              <w:bottom w:val="single" w:sz="4" w:space="0" w:color="000000"/>
            </w:tcBorders>
            <w:shd w:val="clear" w:color="auto" w:fill="auto"/>
            <w:vAlign w:val="center"/>
          </w:tcPr>
          <w:p w:rsidR="00E43A54" w:rsidRPr="00EC364C" w:rsidRDefault="00E43A54" w:rsidP="00E43A54">
            <w:pPr>
              <w:spacing w:before="0" w:after="0"/>
              <w:jc w:val="center"/>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761" w:type="dxa"/>
            <w:tcBorders>
              <w:top w:val="single" w:sz="4" w:space="0" w:color="000000"/>
              <w:bottom w:val="single" w:sz="4" w:space="0" w:color="000000"/>
            </w:tcBorders>
            <w:vAlign w:val="center"/>
          </w:tcPr>
          <w:p w:rsidR="00E43A54" w:rsidRPr="00EC364C" w:rsidRDefault="00E43A54" w:rsidP="00E43A54">
            <w:pPr>
              <w:spacing w:before="0" w:after="0"/>
              <w:jc w:val="center"/>
              <w:rPr>
                <w:b/>
                <w:color w:val="000000"/>
                <w:sz w:val="16"/>
                <w:szCs w:val="16"/>
                <w:lang w:eastAsia="en-AU"/>
              </w:rPr>
            </w:pPr>
            <w:r w:rsidRPr="00EC364C">
              <w:rPr>
                <w:b/>
                <w:color w:val="000000"/>
                <w:sz w:val="16"/>
                <w:szCs w:val="16"/>
                <w:lang w:eastAsia="en-AU"/>
              </w:rPr>
              <w:t>2012-13</w:t>
            </w:r>
          </w:p>
        </w:tc>
        <w:tc>
          <w:tcPr>
            <w:tcW w:w="761" w:type="dxa"/>
            <w:tcBorders>
              <w:top w:val="single" w:sz="4" w:space="0" w:color="000000"/>
              <w:bottom w:val="single" w:sz="4" w:space="0" w:color="000000"/>
            </w:tcBorders>
            <w:vAlign w:val="center"/>
          </w:tcPr>
          <w:p w:rsidR="00E43A54" w:rsidRPr="00EC364C" w:rsidRDefault="00E43A54" w:rsidP="00E43A54">
            <w:pPr>
              <w:spacing w:before="0" w:after="0"/>
              <w:jc w:val="center"/>
              <w:rPr>
                <w:b/>
                <w:color w:val="000000"/>
                <w:sz w:val="16"/>
                <w:szCs w:val="16"/>
                <w:lang w:eastAsia="en-AU"/>
              </w:rPr>
            </w:pPr>
            <w:r w:rsidRPr="00EC364C">
              <w:rPr>
                <w:b/>
                <w:color w:val="000000"/>
                <w:sz w:val="16"/>
                <w:szCs w:val="16"/>
                <w:lang w:eastAsia="en-AU"/>
              </w:rPr>
              <w:t>2013-14</w:t>
            </w:r>
          </w:p>
        </w:tc>
        <w:tc>
          <w:tcPr>
            <w:tcW w:w="761" w:type="dxa"/>
            <w:tcBorders>
              <w:top w:val="single" w:sz="4" w:space="0" w:color="000000"/>
              <w:bottom w:val="single" w:sz="4" w:space="0" w:color="000000"/>
            </w:tcBorders>
            <w:vAlign w:val="center"/>
          </w:tcPr>
          <w:p w:rsidR="00E43A54" w:rsidRPr="00EC364C" w:rsidRDefault="00E43A54" w:rsidP="00E43A54">
            <w:pPr>
              <w:spacing w:before="0" w:after="0"/>
              <w:jc w:val="center"/>
              <w:rPr>
                <w:b/>
                <w:color w:val="000000"/>
                <w:sz w:val="16"/>
                <w:szCs w:val="16"/>
                <w:lang w:eastAsia="en-AU"/>
              </w:rPr>
            </w:pPr>
            <w:r>
              <w:rPr>
                <w:b/>
                <w:color w:val="000000"/>
                <w:sz w:val="16"/>
                <w:szCs w:val="16"/>
                <w:lang w:eastAsia="en-AU"/>
              </w:rPr>
              <w:t>2014-15</w:t>
            </w:r>
          </w:p>
        </w:tc>
      </w:tr>
      <w:tr w:rsidR="00E43A54" w:rsidRPr="00EC364C" w:rsidTr="001264B9">
        <w:trPr>
          <w:trHeight w:val="312"/>
          <w:jc w:val="center"/>
        </w:trPr>
        <w:tc>
          <w:tcPr>
            <w:tcW w:w="1275" w:type="dxa"/>
            <w:tcBorders>
              <w:top w:val="single" w:sz="4" w:space="0" w:color="000000"/>
              <w:left w:val="single" w:sz="4" w:space="0" w:color="FFFFFF"/>
              <w:bottom w:val="single" w:sz="4" w:space="0" w:color="FFFFFF"/>
              <w:right w:val="single" w:sz="4" w:space="0" w:color="FFFFFF"/>
            </w:tcBorders>
            <w:shd w:val="clear" w:color="auto" w:fill="auto"/>
            <w:noWrap/>
            <w:vAlign w:val="center"/>
          </w:tcPr>
          <w:p w:rsidR="00E43A54" w:rsidRPr="00EC364C" w:rsidRDefault="001264B9" w:rsidP="00E43A54">
            <w:pPr>
              <w:spacing w:before="0" w:after="0"/>
              <w:rPr>
                <w:color w:val="000000"/>
                <w:sz w:val="20"/>
                <w:szCs w:val="20"/>
                <w:lang w:eastAsia="en-AU"/>
              </w:rPr>
            </w:pPr>
            <w:r>
              <w:rPr>
                <w:color w:val="000000"/>
                <w:sz w:val="20"/>
                <w:szCs w:val="20"/>
                <w:lang w:eastAsia="en-AU"/>
              </w:rPr>
              <w:t>Abundance</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rsidR="00E43A54" w:rsidRPr="00EC364C" w:rsidRDefault="00E43A54" w:rsidP="001264B9">
            <w:pPr>
              <w:spacing w:before="0" w:after="0"/>
              <w:rPr>
                <w:color w:val="000000"/>
                <w:sz w:val="20"/>
                <w:szCs w:val="20"/>
                <w:lang w:eastAsia="en-AU"/>
              </w:rPr>
            </w:pPr>
            <w:r w:rsidRPr="00EC364C">
              <w:rPr>
                <w:color w:val="000000"/>
                <w:sz w:val="20"/>
                <w:szCs w:val="20"/>
                <w:lang w:eastAsia="en-AU"/>
              </w:rPr>
              <w:t>coastal intertidal</w:t>
            </w:r>
          </w:p>
        </w:tc>
        <w:tc>
          <w:tcPr>
            <w:tcW w:w="761" w:type="dxa"/>
            <w:tcBorders>
              <w:left w:val="single" w:sz="4" w:space="0" w:color="FFFFFF"/>
            </w:tcBorders>
            <w:shd w:val="clear" w:color="auto" w:fill="008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88</w:t>
            </w:r>
          </w:p>
        </w:tc>
        <w:tc>
          <w:tcPr>
            <w:tcW w:w="761" w:type="dxa"/>
            <w:shd w:val="clear" w:color="auto" w:fill="FFCC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31</w:t>
            </w:r>
          </w:p>
        </w:tc>
        <w:tc>
          <w:tcPr>
            <w:tcW w:w="761" w:type="dxa"/>
            <w:shd w:val="clear" w:color="auto" w:fill="FFCC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34</w:t>
            </w:r>
          </w:p>
        </w:tc>
        <w:tc>
          <w:tcPr>
            <w:tcW w:w="761" w:type="dxa"/>
            <w:shd w:val="clear" w:color="auto" w:fill="FFCC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25</w:t>
            </w:r>
          </w:p>
        </w:tc>
        <w:tc>
          <w:tcPr>
            <w:tcW w:w="761" w:type="dxa"/>
            <w:shd w:val="clear" w:color="auto" w:fill="FF0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11</w:t>
            </w:r>
          </w:p>
        </w:tc>
        <w:tc>
          <w:tcPr>
            <w:tcW w:w="761" w:type="dxa"/>
            <w:shd w:val="clear" w:color="auto" w:fill="FF0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6</w:t>
            </w:r>
          </w:p>
        </w:tc>
        <w:tc>
          <w:tcPr>
            <w:tcW w:w="761" w:type="dxa"/>
            <w:shd w:val="clear" w:color="auto" w:fill="FF0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5</w:t>
            </w:r>
          </w:p>
        </w:tc>
        <w:tc>
          <w:tcPr>
            <w:tcW w:w="761" w:type="dxa"/>
            <w:shd w:val="clear" w:color="auto" w:fill="FFCC00"/>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29</w:t>
            </w:r>
          </w:p>
        </w:tc>
        <w:tc>
          <w:tcPr>
            <w:tcW w:w="761" w:type="dxa"/>
            <w:shd w:val="clear" w:color="auto" w:fill="FFFF00"/>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44</w:t>
            </w:r>
          </w:p>
        </w:tc>
        <w:tc>
          <w:tcPr>
            <w:tcW w:w="761" w:type="dxa"/>
            <w:shd w:val="clear" w:color="auto" w:fill="FFFF00"/>
            <w:vAlign w:val="center"/>
          </w:tcPr>
          <w:p w:rsidR="00E43A54" w:rsidRPr="00056DBB" w:rsidRDefault="00E43A54" w:rsidP="00E43A54">
            <w:pPr>
              <w:spacing w:before="0" w:after="0"/>
              <w:jc w:val="center"/>
              <w:rPr>
                <w:b/>
                <w:color w:val="000000"/>
                <w:sz w:val="20"/>
                <w:szCs w:val="20"/>
                <w:lang w:eastAsia="en-AU"/>
              </w:rPr>
            </w:pPr>
            <w:r w:rsidRPr="00056DBB">
              <w:rPr>
                <w:sz w:val="20"/>
                <w:szCs w:val="20"/>
              </w:rPr>
              <w:t>49</w:t>
            </w:r>
          </w:p>
        </w:tc>
      </w:tr>
      <w:tr w:rsidR="00E43A54" w:rsidRPr="00EC364C" w:rsidTr="001264B9">
        <w:trPr>
          <w:trHeight w:val="312"/>
          <w:jc w:val="center"/>
        </w:trPr>
        <w:tc>
          <w:tcPr>
            <w:tcW w:w="1275" w:type="dxa"/>
            <w:tcBorders>
              <w:top w:val="single" w:sz="4" w:space="0" w:color="FFFFFF"/>
              <w:bottom w:val="single" w:sz="4" w:space="0" w:color="FFFFFF"/>
            </w:tcBorders>
            <w:shd w:val="clear" w:color="auto" w:fill="auto"/>
            <w:noWrap/>
            <w:vAlign w:val="center"/>
          </w:tcPr>
          <w:p w:rsidR="00E43A54" w:rsidRPr="00EC364C" w:rsidRDefault="00E43A54" w:rsidP="00E43A54">
            <w:pPr>
              <w:spacing w:before="0" w:after="0"/>
              <w:rPr>
                <w:color w:val="000000"/>
                <w:sz w:val="20"/>
                <w:szCs w:val="20"/>
                <w:lang w:eastAsia="en-AU"/>
              </w:rPr>
            </w:pPr>
          </w:p>
        </w:tc>
        <w:tc>
          <w:tcPr>
            <w:tcW w:w="1699" w:type="dxa"/>
            <w:tcBorders>
              <w:top w:val="single" w:sz="4" w:space="0" w:color="FFFFFF"/>
              <w:bottom w:val="single" w:sz="4" w:space="0" w:color="FFFFFF"/>
            </w:tcBorders>
            <w:shd w:val="clear" w:color="auto" w:fill="auto"/>
            <w:noWrap/>
            <w:vAlign w:val="center"/>
          </w:tcPr>
          <w:p w:rsidR="00E43A54" w:rsidRPr="00EC364C" w:rsidRDefault="00E43A54" w:rsidP="001264B9">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tcBorders>
            <w:shd w:val="clear" w:color="auto" w:fill="FFFF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59</w:t>
            </w:r>
          </w:p>
        </w:tc>
        <w:tc>
          <w:tcPr>
            <w:tcW w:w="761" w:type="dxa"/>
            <w:tcBorders>
              <w:top w:val="single" w:sz="4" w:space="0" w:color="FFFFFF"/>
            </w:tcBorders>
            <w:shd w:val="clear" w:color="auto" w:fill="FFFF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59</w:t>
            </w:r>
          </w:p>
        </w:tc>
        <w:tc>
          <w:tcPr>
            <w:tcW w:w="761" w:type="dxa"/>
            <w:tcBorders>
              <w:top w:val="single" w:sz="4" w:space="0" w:color="FFFFFF"/>
            </w:tcBorders>
            <w:shd w:val="clear" w:color="auto" w:fill="92D05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75</w:t>
            </w:r>
          </w:p>
        </w:tc>
        <w:tc>
          <w:tcPr>
            <w:tcW w:w="761" w:type="dxa"/>
            <w:tcBorders>
              <w:top w:val="single" w:sz="4" w:space="0" w:color="FFFFFF"/>
            </w:tcBorders>
            <w:shd w:val="clear" w:color="auto" w:fill="FFCC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31</w:t>
            </w:r>
          </w:p>
        </w:tc>
        <w:tc>
          <w:tcPr>
            <w:tcW w:w="761" w:type="dxa"/>
            <w:tcBorders>
              <w:top w:val="single" w:sz="4" w:space="0" w:color="FFFFFF"/>
            </w:tcBorders>
            <w:shd w:val="clear" w:color="auto" w:fill="FF0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6</w:t>
            </w:r>
          </w:p>
        </w:tc>
        <w:tc>
          <w:tcPr>
            <w:tcW w:w="761" w:type="dxa"/>
            <w:tcBorders>
              <w:top w:val="single" w:sz="4" w:space="0" w:color="FFFFFF"/>
            </w:tcBorders>
            <w:shd w:val="clear" w:color="auto" w:fill="FF0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9</w:t>
            </w:r>
          </w:p>
        </w:tc>
        <w:tc>
          <w:tcPr>
            <w:tcW w:w="761" w:type="dxa"/>
            <w:tcBorders>
              <w:top w:val="single" w:sz="4" w:space="0" w:color="FFFFFF"/>
            </w:tcBorders>
            <w:shd w:val="clear" w:color="auto" w:fill="FFCC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25</w:t>
            </w:r>
          </w:p>
        </w:tc>
        <w:tc>
          <w:tcPr>
            <w:tcW w:w="761" w:type="dxa"/>
            <w:tcBorders>
              <w:top w:val="single" w:sz="4" w:space="0" w:color="FFFFFF"/>
            </w:tcBorders>
            <w:shd w:val="clear" w:color="auto" w:fill="FFFF00"/>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41</w:t>
            </w:r>
          </w:p>
        </w:tc>
        <w:tc>
          <w:tcPr>
            <w:tcW w:w="761" w:type="dxa"/>
            <w:tcBorders>
              <w:top w:val="single" w:sz="4" w:space="0" w:color="FFFFFF"/>
            </w:tcBorders>
            <w:shd w:val="clear" w:color="auto" w:fill="FFFF00"/>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50</w:t>
            </w:r>
          </w:p>
        </w:tc>
        <w:tc>
          <w:tcPr>
            <w:tcW w:w="761" w:type="dxa"/>
            <w:tcBorders>
              <w:top w:val="single" w:sz="4" w:space="0" w:color="FFFFFF"/>
            </w:tcBorders>
            <w:shd w:val="clear" w:color="auto" w:fill="FFFF00"/>
            <w:vAlign w:val="center"/>
          </w:tcPr>
          <w:p w:rsidR="00E43A54" w:rsidRPr="00056DBB" w:rsidRDefault="00E43A54" w:rsidP="00E43A54">
            <w:pPr>
              <w:spacing w:before="0" w:after="0"/>
              <w:jc w:val="center"/>
              <w:rPr>
                <w:b/>
                <w:color w:val="000000"/>
                <w:sz w:val="20"/>
                <w:szCs w:val="20"/>
                <w:lang w:eastAsia="en-AU"/>
              </w:rPr>
            </w:pPr>
            <w:r w:rsidRPr="00056DBB">
              <w:rPr>
                <w:sz w:val="20"/>
                <w:szCs w:val="20"/>
              </w:rPr>
              <w:t>56</w:t>
            </w:r>
          </w:p>
        </w:tc>
      </w:tr>
      <w:tr w:rsidR="00E43A54" w:rsidRPr="00EC364C" w:rsidTr="001264B9">
        <w:trPr>
          <w:trHeight w:val="312"/>
          <w:jc w:val="center"/>
        </w:trPr>
        <w:tc>
          <w:tcPr>
            <w:tcW w:w="1275" w:type="dxa"/>
            <w:tcBorders>
              <w:top w:val="single" w:sz="4" w:space="0" w:color="FFFFFF"/>
              <w:bottom w:val="single" w:sz="4" w:space="0" w:color="000000"/>
            </w:tcBorders>
            <w:shd w:val="clear" w:color="auto" w:fill="auto"/>
            <w:noWrap/>
            <w:vAlign w:val="center"/>
          </w:tcPr>
          <w:p w:rsidR="00E43A54" w:rsidRPr="00EC364C" w:rsidRDefault="00E43A54" w:rsidP="00E43A54">
            <w:pPr>
              <w:spacing w:before="0" w:after="0"/>
              <w:rPr>
                <w:color w:val="000000"/>
                <w:sz w:val="20"/>
                <w:szCs w:val="20"/>
                <w:lang w:eastAsia="en-AU"/>
              </w:rPr>
            </w:pPr>
          </w:p>
        </w:tc>
        <w:tc>
          <w:tcPr>
            <w:tcW w:w="1699" w:type="dxa"/>
            <w:tcBorders>
              <w:top w:val="single" w:sz="4" w:space="0" w:color="FFFFFF"/>
              <w:bottom w:val="single" w:sz="4" w:space="0" w:color="000000"/>
            </w:tcBorders>
            <w:shd w:val="clear" w:color="auto" w:fill="auto"/>
            <w:noWrap/>
            <w:vAlign w:val="center"/>
          </w:tcPr>
          <w:p w:rsidR="00E43A54" w:rsidRPr="00EC364C" w:rsidRDefault="00E43A54" w:rsidP="001264B9">
            <w:pPr>
              <w:spacing w:before="0" w:after="0"/>
              <w:rPr>
                <w:color w:val="000000"/>
                <w:sz w:val="20"/>
                <w:szCs w:val="20"/>
                <w:lang w:eastAsia="en-AU"/>
              </w:rPr>
            </w:pPr>
            <w:r w:rsidRPr="00EC364C">
              <w:rPr>
                <w:color w:val="000000"/>
                <w:sz w:val="20"/>
                <w:szCs w:val="20"/>
                <w:lang w:eastAsia="en-AU"/>
              </w:rPr>
              <w:t>reef subtidal</w:t>
            </w:r>
          </w:p>
        </w:tc>
        <w:tc>
          <w:tcPr>
            <w:tcW w:w="761" w:type="dxa"/>
            <w:tcBorders>
              <w:bottom w:val="single" w:sz="4" w:space="0" w:color="FFFFFF"/>
            </w:tcBorders>
            <w:shd w:val="clear" w:color="auto" w:fill="auto"/>
            <w:noWrap/>
            <w:vAlign w:val="center"/>
          </w:tcPr>
          <w:p w:rsidR="00E43A54" w:rsidRPr="00EC364C"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E43A54" w:rsidRPr="00EC364C"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008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100</w:t>
            </w:r>
          </w:p>
        </w:tc>
        <w:tc>
          <w:tcPr>
            <w:tcW w:w="761" w:type="dxa"/>
            <w:tcBorders>
              <w:bottom w:val="single" w:sz="4" w:space="0" w:color="FFFFFF"/>
            </w:tcBorders>
            <w:shd w:val="clear" w:color="auto" w:fill="FFFF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50</w:t>
            </w:r>
          </w:p>
        </w:tc>
        <w:tc>
          <w:tcPr>
            <w:tcW w:w="761" w:type="dxa"/>
            <w:tcBorders>
              <w:bottom w:val="single" w:sz="4" w:space="0" w:color="FFFFFF"/>
            </w:tcBorders>
            <w:shd w:val="clear" w:color="auto" w:fill="FF0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8</w:t>
            </w:r>
          </w:p>
        </w:tc>
        <w:tc>
          <w:tcPr>
            <w:tcW w:w="761" w:type="dxa"/>
            <w:tcBorders>
              <w:bottom w:val="single" w:sz="4" w:space="0" w:color="FFFFFF"/>
            </w:tcBorders>
            <w:shd w:val="clear" w:color="auto" w:fill="FF0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0</w:t>
            </w:r>
          </w:p>
        </w:tc>
        <w:tc>
          <w:tcPr>
            <w:tcW w:w="761" w:type="dxa"/>
            <w:tcBorders>
              <w:bottom w:val="single" w:sz="4" w:space="0" w:color="FFFFFF"/>
            </w:tcBorders>
            <w:shd w:val="clear" w:color="auto" w:fill="FF0000"/>
            <w:noWrap/>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8</w:t>
            </w:r>
          </w:p>
        </w:tc>
        <w:tc>
          <w:tcPr>
            <w:tcW w:w="761" w:type="dxa"/>
            <w:tcBorders>
              <w:bottom w:val="single" w:sz="4" w:space="0" w:color="FFFFFF"/>
            </w:tcBorders>
            <w:shd w:val="clear" w:color="auto" w:fill="FFCC00"/>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31</w:t>
            </w:r>
          </w:p>
        </w:tc>
        <w:tc>
          <w:tcPr>
            <w:tcW w:w="761" w:type="dxa"/>
            <w:tcBorders>
              <w:bottom w:val="single" w:sz="4" w:space="0" w:color="FFFFFF"/>
            </w:tcBorders>
            <w:shd w:val="clear" w:color="auto" w:fill="92D050"/>
            <w:vAlign w:val="center"/>
          </w:tcPr>
          <w:p w:rsidR="00E43A54" w:rsidRPr="00EC364C" w:rsidRDefault="00E43A54" w:rsidP="00E43A54">
            <w:pPr>
              <w:spacing w:before="0" w:after="0"/>
              <w:jc w:val="center"/>
              <w:rPr>
                <w:color w:val="000000"/>
                <w:sz w:val="20"/>
                <w:szCs w:val="20"/>
                <w:lang w:eastAsia="en-AU"/>
              </w:rPr>
            </w:pPr>
            <w:r w:rsidRPr="00EC364C">
              <w:rPr>
                <w:color w:val="000000"/>
                <w:sz w:val="20"/>
                <w:szCs w:val="20"/>
                <w:lang w:eastAsia="en-AU"/>
              </w:rPr>
              <w:t>75</w:t>
            </w:r>
          </w:p>
        </w:tc>
        <w:tc>
          <w:tcPr>
            <w:tcW w:w="761" w:type="dxa"/>
            <w:tcBorders>
              <w:bottom w:val="single" w:sz="4" w:space="0" w:color="FFFFFF"/>
            </w:tcBorders>
            <w:shd w:val="clear" w:color="auto" w:fill="008000"/>
            <w:vAlign w:val="center"/>
          </w:tcPr>
          <w:p w:rsidR="00E43A54" w:rsidRPr="00056DBB" w:rsidRDefault="00E43A54" w:rsidP="00E43A54">
            <w:pPr>
              <w:spacing w:before="0" w:after="0"/>
              <w:jc w:val="center"/>
              <w:rPr>
                <w:b/>
                <w:color w:val="000000"/>
                <w:sz w:val="20"/>
                <w:szCs w:val="20"/>
                <w:lang w:eastAsia="en-AU"/>
              </w:rPr>
            </w:pPr>
            <w:r w:rsidRPr="00056DBB">
              <w:rPr>
                <w:sz w:val="20"/>
                <w:szCs w:val="20"/>
              </w:rPr>
              <w:t>100</w:t>
            </w:r>
          </w:p>
        </w:tc>
      </w:tr>
      <w:tr w:rsidR="00E43A54" w:rsidRPr="00EC364C" w:rsidTr="001264B9">
        <w:trPr>
          <w:trHeight w:val="312"/>
          <w:jc w:val="center"/>
        </w:trPr>
        <w:tc>
          <w:tcPr>
            <w:tcW w:w="1275" w:type="dxa"/>
            <w:tcBorders>
              <w:top w:val="single" w:sz="4" w:space="0" w:color="000000"/>
              <w:left w:val="single" w:sz="4" w:space="0" w:color="FFFFFF"/>
              <w:bottom w:val="single" w:sz="4" w:space="0" w:color="FFFFFF"/>
              <w:right w:val="single" w:sz="4" w:space="0" w:color="FFFFFF"/>
            </w:tcBorders>
            <w:shd w:val="clear" w:color="auto" w:fill="auto"/>
            <w:noWrap/>
            <w:vAlign w:val="center"/>
          </w:tcPr>
          <w:p w:rsidR="001264B9" w:rsidRPr="00EC364C" w:rsidRDefault="001264B9" w:rsidP="001E70A1">
            <w:pPr>
              <w:spacing w:before="0" w:after="0"/>
              <w:rPr>
                <w:color w:val="000000"/>
                <w:sz w:val="20"/>
                <w:szCs w:val="20"/>
                <w:lang w:eastAsia="en-AU"/>
              </w:rPr>
            </w:pPr>
            <w:r>
              <w:rPr>
                <w:color w:val="000000"/>
                <w:sz w:val="20"/>
                <w:szCs w:val="20"/>
                <w:lang w:eastAsia="en-AU"/>
              </w:rPr>
              <w:t>Reproductive</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rsidR="00E43A54" w:rsidRPr="00EC364C" w:rsidRDefault="00E43A54" w:rsidP="001264B9">
            <w:pPr>
              <w:spacing w:before="0" w:after="0"/>
              <w:rPr>
                <w:color w:val="000000"/>
                <w:sz w:val="20"/>
                <w:szCs w:val="20"/>
                <w:lang w:eastAsia="en-AU"/>
              </w:rPr>
            </w:pPr>
            <w:r w:rsidRPr="00EC364C">
              <w:rPr>
                <w:color w:val="000000"/>
                <w:sz w:val="20"/>
                <w:szCs w:val="20"/>
                <w:lang w:eastAsia="en-AU"/>
              </w:rPr>
              <w:t>coastal intertidal</w:t>
            </w:r>
          </w:p>
        </w:tc>
        <w:tc>
          <w:tcPr>
            <w:tcW w:w="761" w:type="dxa"/>
            <w:tcBorders>
              <w:left w:val="single" w:sz="4" w:space="0" w:color="FFFFFF"/>
            </w:tcBorders>
            <w:shd w:val="clear" w:color="auto" w:fill="FFFF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50</w:t>
            </w:r>
          </w:p>
        </w:tc>
        <w:tc>
          <w:tcPr>
            <w:tcW w:w="761" w:type="dxa"/>
            <w:shd w:val="clear" w:color="auto" w:fill="FFCC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25</w:t>
            </w:r>
          </w:p>
        </w:tc>
        <w:tc>
          <w:tcPr>
            <w:tcW w:w="761" w:type="dxa"/>
            <w:shd w:val="clear" w:color="auto" w:fill="FFCC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25</w:t>
            </w:r>
          </w:p>
        </w:tc>
        <w:tc>
          <w:tcPr>
            <w:tcW w:w="761" w:type="dxa"/>
            <w:shd w:val="clear" w:color="auto" w:fill="FFCC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38</w:t>
            </w:r>
          </w:p>
        </w:tc>
        <w:tc>
          <w:tcPr>
            <w:tcW w:w="761" w:type="dxa"/>
            <w:shd w:val="clear" w:color="auto" w:fill="FF00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0</w:t>
            </w:r>
          </w:p>
        </w:tc>
        <w:tc>
          <w:tcPr>
            <w:tcW w:w="761" w:type="dxa"/>
            <w:shd w:val="clear" w:color="auto" w:fill="FF00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0</w:t>
            </w:r>
          </w:p>
        </w:tc>
        <w:tc>
          <w:tcPr>
            <w:tcW w:w="761" w:type="dxa"/>
            <w:shd w:val="clear" w:color="auto" w:fill="FF00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0</w:t>
            </w:r>
          </w:p>
        </w:tc>
        <w:tc>
          <w:tcPr>
            <w:tcW w:w="761" w:type="dxa"/>
            <w:shd w:val="clear" w:color="auto" w:fill="FF0000"/>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13</w:t>
            </w:r>
          </w:p>
        </w:tc>
        <w:tc>
          <w:tcPr>
            <w:tcW w:w="761" w:type="dxa"/>
            <w:shd w:val="clear" w:color="auto" w:fill="FF0000"/>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19</w:t>
            </w:r>
          </w:p>
        </w:tc>
        <w:tc>
          <w:tcPr>
            <w:tcW w:w="761" w:type="dxa"/>
            <w:shd w:val="clear" w:color="auto" w:fill="FF0000"/>
            <w:vAlign w:val="bottom"/>
          </w:tcPr>
          <w:p w:rsidR="00E43A54" w:rsidRPr="005556A8" w:rsidRDefault="00E43A54" w:rsidP="00E43A54">
            <w:pPr>
              <w:spacing w:before="0" w:after="0"/>
              <w:jc w:val="center"/>
              <w:rPr>
                <w:color w:val="000000"/>
                <w:sz w:val="20"/>
                <w:szCs w:val="20"/>
                <w:lang w:eastAsia="en-AU"/>
              </w:rPr>
            </w:pPr>
            <w:r>
              <w:rPr>
                <w:color w:val="000000"/>
                <w:sz w:val="20"/>
                <w:szCs w:val="20"/>
              </w:rPr>
              <w:t>6</w:t>
            </w:r>
          </w:p>
        </w:tc>
      </w:tr>
      <w:tr w:rsidR="00E43A54" w:rsidRPr="00EC364C" w:rsidTr="001264B9">
        <w:trPr>
          <w:trHeight w:val="312"/>
          <w:jc w:val="center"/>
        </w:trPr>
        <w:tc>
          <w:tcPr>
            <w:tcW w:w="1275" w:type="dxa"/>
            <w:tcBorders>
              <w:top w:val="single" w:sz="4" w:space="0" w:color="FFFFFF"/>
              <w:bottom w:val="single" w:sz="4" w:space="0" w:color="FFFFFF"/>
            </w:tcBorders>
            <w:shd w:val="clear" w:color="auto" w:fill="auto"/>
            <w:noWrap/>
            <w:vAlign w:val="center"/>
          </w:tcPr>
          <w:p w:rsidR="00E43A54" w:rsidRPr="00EC364C" w:rsidRDefault="001E70A1" w:rsidP="00E43A54">
            <w:pPr>
              <w:spacing w:before="0" w:after="0"/>
              <w:rPr>
                <w:color w:val="000000"/>
                <w:sz w:val="20"/>
                <w:szCs w:val="20"/>
                <w:lang w:eastAsia="en-AU"/>
              </w:rPr>
            </w:pPr>
            <w:r>
              <w:rPr>
                <w:color w:val="000000"/>
                <w:sz w:val="20"/>
                <w:szCs w:val="20"/>
                <w:lang w:eastAsia="en-AU"/>
              </w:rPr>
              <w:t>effort</w:t>
            </w:r>
          </w:p>
        </w:tc>
        <w:tc>
          <w:tcPr>
            <w:tcW w:w="1699" w:type="dxa"/>
            <w:tcBorders>
              <w:top w:val="single" w:sz="4" w:space="0" w:color="FFFFFF"/>
              <w:bottom w:val="single" w:sz="4" w:space="0" w:color="FFFFFF"/>
            </w:tcBorders>
            <w:shd w:val="clear" w:color="auto" w:fill="auto"/>
            <w:noWrap/>
            <w:vAlign w:val="center"/>
          </w:tcPr>
          <w:p w:rsidR="00E43A54" w:rsidRPr="00EC364C" w:rsidRDefault="00E43A54" w:rsidP="001264B9">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tcBorders>
            <w:shd w:val="clear" w:color="auto" w:fill="FFFF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50</w:t>
            </w:r>
          </w:p>
        </w:tc>
        <w:tc>
          <w:tcPr>
            <w:tcW w:w="761" w:type="dxa"/>
            <w:tcBorders>
              <w:top w:val="single" w:sz="4" w:space="0" w:color="FFFFFF"/>
            </w:tcBorders>
            <w:shd w:val="clear" w:color="auto" w:fill="FFFF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50</w:t>
            </w:r>
          </w:p>
        </w:tc>
        <w:tc>
          <w:tcPr>
            <w:tcW w:w="761" w:type="dxa"/>
            <w:tcBorders>
              <w:top w:val="single" w:sz="4" w:space="0" w:color="FFFFFF"/>
            </w:tcBorders>
            <w:shd w:val="clear" w:color="auto" w:fill="FF00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tcBorders>
            <w:shd w:val="clear" w:color="auto" w:fill="FFCC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25</w:t>
            </w:r>
          </w:p>
        </w:tc>
        <w:tc>
          <w:tcPr>
            <w:tcW w:w="761" w:type="dxa"/>
            <w:tcBorders>
              <w:top w:val="single" w:sz="4" w:space="0" w:color="FFFFFF"/>
            </w:tcBorders>
            <w:shd w:val="clear" w:color="auto" w:fill="FFCC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25</w:t>
            </w:r>
          </w:p>
        </w:tc>
        <w:tc>
          <w:tcPr>
            <w:tcW w:w="761" w:type="dxa"/>
            <w:tcBorders>
              <w:top w:val="single" w:sz="4" w:space="0" w:color="FFFFFF"/>
            </w:tcBorders>
            <w:shd w:val="clear" w:color="auto" w:fill="FFCC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25</w:t>
            </w:r>
          </w:p>
        </w:tc>
        <w:tc>
          <w:tcPr>
            <w:tcW w:w="761" w:type="dxa"/>
            <w:tcBorders>
              <w:top w:val="single" w:sz="4" w:space="0" w:color="FFFFFF"/>
            </w:tcBorders>
            <w:shd w:val="clear" w:color="auto" w:fill="FFCC00"/>
            <w:noWrap/>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38</w:t>
            </w:r>
          </w:p>
        </w:tc>
        <w:tc>
          <w:tcPr>
            <w:tcW w:w="761" w:type="dxa"/>
            <w:tcBorders>
              <w:top w:val="single" w:sz="4" w:space="0" w:color="FFFFFF"/>
            </w:tcBorders>
            <w:shd w:val="clear" w:color="auto" w:fill="92D050"/>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75</w:t>
            </w:r>
          </w:p>
        </w:tc>
        <w:tc>
          <w:tcPr>
            <w:tcW w:w="761" w:type="dxa"/>
            <w:tcBorders>
              <w:top w:val="single" w:sz="4" w:space="0" w:color="FFFFFF"/>
            </w:tcBorders>
            <w:shd w:val="clear" w:color="auto" w:fill="92D050"/>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63</w:t>
            </w:r>
          </w:p>
        </w:tc>
        <w:tc>
          <w:tcPr>
            <w:tcW w:w="761" w:type="dxa"/>
            <w:tcBorders>
              <w:top w:val="single" w:sz="4" w:space="0" w:color="FFFFFF"/>
            </w:tcBorders>
            <w:shd w:val="clear" w:color="auto" w:fill="FF0000"/>
            <w:vAlign w:val="bottom"/>
          </w:tcPr>
          <w:p w:rsidR="00E43A54" w:rsidRPr="005556A8" w:rsidRDefault="00E43A54" w:rsidP="00E43A54">
            <w:pPr>
              <w:spacing w:before="0" w:after="0"/>
              <w:jc w:val="center"/>
              <w:rPr>
                <w:color w:val="000000"/>
                <w:sz w:val="20"/>
                <w:szCs w:val="20"/>
                <w:lang w:eastAsia="en-AU"/>
              </w:rPr>
            </w:pPr>
            <w:r>
              <w:rPr>
                <w:color w:val="000000"/>
                <w:sz w:val="20"/>
                <w:szCs w:val="20"/>
              </w:rPr>
              <w:t>13</w:t>
            </w:r>
          </w:p>
        </w:tc>
      </w:tr>
      <w:tr w:rsidR="00E43A54" w:rsidRPr="00EC364C" w:rsidTr="001264B9">
        <w:trPr>
          <w:trHeight w:val="312"/>
          <w:jc w:val="center"/>
        </w:trPr>
        <w:tc>
          <w:tcPr>
            <w:tcW w:w="1275" w:type="dxa"/>
            <w:tcBorders>
              <w:top w:val="single" w:sz="4" w:space="0" w:color="FFFFFF"/>
              <w:bottom w:val="single" w:sz="4" w:space="0" w:color="000000"/>
            </w:tcBorders>
            <w:shd w:val="clear" w:color="auto" w:fill="auto"/>
            <w:noWrap/>
            <w:vAlign w:val="center"/>
          </w:tcPr>
          <w:p w:rsidR="00E43A54" w:rsidRPr="00EC364C" w:rsidRDefault="00E43A54" w:rsidP="00E43A54">
            <w:pPr>
              <w:spacing w:before="0" w:after="0"/>
              <w:rPr>
                <w:color w:val="000000"/>
                <w:sz w:val="20"/>
                <w:szCs w:val="20"/>
                <w:lang w:eastAsia="en-AU"/>
              </w:rPr>
            </w:pPr>
          </w:p>
        </w:tc>
        <w:tc>
          <w:tcPr>
            <w:tcW w:w="1699" w:type="dxa"/>
            <w:tcBorders>
              <w:top w:val="single" w:sz="4" w:space="0" w:color="FFFFFF"/>
              <w:bottom w:val="single" w:sz="4" w:space="0" w:color="000000"/>
            </w:tcBorders>
            <w:shd w:val="clear" w:color="auto" w:fill="auto"/>
            <w:noWrap/>
            <w:vAlign w:val="center"/>
          </w:tcPr>
          <w:p w:rsidR="00E43A54" w:rsidRPr="00EC364C" w:rsidRDefault="00E43A54" w:rsidP="001264B9">
            <w:pPr>
              <w:spacing w:before="0" w:after="0"/>
              <w:rPr>
                <w:color w:val="000000"/>
                <w:sz w:val="20"/>
                <w:szCs w:val="20"/>
                <w:lang w:eastAsia="en-AU"/>
              </w:rPr>
            </w:pPr>
            <w:r w:rsidRPr="00EC364C">
              <w:rPr>
                <w:color w:val="000000"/>
                <w:sz w:val="20"/>
                <w:szCs w:val="20"/>
                <w:lang w:eastAsia="en-AU"/>
              </w:rPr>
              <w:t>reef subtidal</w:t>
            </w:r>
          </w:p>
        </w:tc>
        <w:tc>
          <w:tcPr>
            <w:tcW w:w="761" w:type="dxa"/>
            <w:tcBorders>
              <w:bottom w:val="single" w:sz="4" w:space="0" w:color="FFFFFF"/>
            </w:tcBorders>
            <w:shd w:val="clear" w:color="auto" w:fill="auto"/>
            <w:noWrap/>
            <w:vAlign w:val="bottom"/>
          </w:tcPr>
          <w:p w:rsidR="00E43A54" w:rsidRPr="005556A8"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bottom"/>
          </w:tcPr>
          <w:p w:rsidR="00E43A54" w:rsidRPr="005556A8"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bottom"/>
          </w:tcPr>
          <w:p w:rsidR="00E43A54" w:rsidRPr="005556A8"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bottom"/>
          </w:tcPr>
          <w:p w:rsidR="00E43A54" w:rsidRPr="005556A8"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bottom"/>
          </w:tcPr>
          <w:p w:rsidR="00E43A54" w:rsidRPr="005556A8"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bottom"/>
          </w:tcPr>
          <w:p w:rsidR="00E43A54" w:rsidRPr="005556A8"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bottom"/>
          </w:tcPr>
          <w:p w:rsidR="00E43A54" w:rsidRPr="005556A8"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vAlign w:val="bottom"/>
          </w:tcPr>
          <w:p w:rsidR="00E43A54" w:rsidRPr="005556A8"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008000"/>
            <w:vAlign w:val="bottom"/>
          </w:tcPr>
          <w:p w:rsidR="00E43A54" w:rsidRPr="005556A8" w:rsidRDefault="00E43A54" w:rsidP="00E43A54">
            <w:pPr>
              <w:spacing w:before="0" w:after="0"/>
              <w:jc w:val="center"/>
              <w:rPr>
                <w:color w:val="000000"/>
                <w:sz w:val="20"/>
                <w:szCs w:val="20"/>
                <w:lang w:eastAsia="en-AU"/>
              </w:rPr>
            </w:pPr>
            <w:r w:rsidRPr="005556A8">
              <w:rPr>
                <w:color w:val="000000"/>
                <w:sz w:val="20"/>
                <w:szCs w:val="20"/>
                <w:lang w:eastAsia="en-AU"/>
              </w:rPr>
              <w:t>100</w:t>
            </w:r>
          </w:p>
        </w:tc>
        <w:tc>
          <w:tcPr>
            <w:tcW w:w="761" w:type="dxa"/>
            <w:tcBorders>
              <w:bottom w:val="single" w:sz="4" w:space="0" w:color="FFFFFF"/>
            </w:tcBorders>
            <w:shd w:val="clear" w:color="auto" w:fill="008000"/>
            <w:vAlign w:val="bottom"/>
          </w:tcPr>
          <w:p w:rsidR="00E43A54" w:rsidRPr="005556A8" w:rsidRDefault="00E43A54" w:rsidP="00E43A54">
            <w:pPr>
              <w:spacing w:before="0" w:after="0"/>
              <w:jc w:val="center"/>
              <w:rPr>
                <w:color w:val="000000"/>
                <w:sz w:val="20"/>
                <w:szCs w:val="20"/>
                <w:lang w:eastAsia="en-AU"/>
              </w:rPr>
            </w:pPr>
            <w:r>
              <w:rPr>
                <w:color w:val="000000"/>
                <w:sz w:val="20"/>
                <w:szCs w:val="20"/>
              </w:rPr>
              <w:t>100</w:t>
            </w:r>
          </w:p>
        </w:tc>
      </w:tr>
      <w:tr w:rsidR="00E43A54" w:rsidRPr="00EC364C" w:rsidTr="001264B9">
        <w:trPr>
          <w:trHeight w:val="312"/>
          <w:jc w:val="center"/>
        </w:trPr>
        <w:tc>
          <w:tcPr>
            <w:tcW w:w="1275" w:type="dxa"/>
            <w:tcBorders>
              <w:top w:val="single" w:sz="4" w:space="0" w:color="000000"/>
              <w:left w:val="single" w:sz="4" w:space="0" w:color="FFFFFF"/>
              <w:bottom w:val="single" w:sz="4" w:space="0" w:color="FFFFFF"/>
              <w:right w:val="single" w:sz="4" w:space="0" w:color="FFFFFF"/>
            </w:tcBorders>
            <w:shd w:val="clear" w:color="auto" w:fill="auto"/>
            <w:noWrap/>
            <w:vAlign w:val="center"/>
          </w:tcPr>
          <w:p w:rsidR="001264B9" w:rsidRPr="00EC364C" w:rsidRDefault="001264B9" w:rsidP="001E70A1">
            <w:pPr>
              <w:spacing w:before="0" w:after="0"/>
              <w:rPr>
                <w:color w:val="000000"/>
                <w:sz w:val="20"/>
                <w:szCs w:val="20"/>
                <w:lang w:eastAsia="en-AU"/>
              </w:rPr>
            </w:pPr>
            <w:r>
              <w:rPr>
                <w:color w:val="000000"/>
                <w:sz w:val="20"/>
                <w:szCs w:val="20"/>
                <w:lang w:eastAsia="en-AU"/>
              </w:rPr>
              <w:t>Leaf tissue</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rsidR="00E43A54" w:rsidRPr="00EC364C" w:rsidRDefault="00E43A54" w:rsidP="001264B9">
            <w:pPr>
              <w:spacing w:before="0" w:after="0"/>
              <w:rPr>
                <w:color w:val="000000"/>
                <w:sz w:val="20"/>
                <w:szCs w:val="20"/>
                <w:lang w:eastAsia="en-AU"/>
              </w:rPr>
            </w:pPr>
            <w:r w:rsidRPr="00EC364C">
              <w:rPr>
                <w:color w:val="000000"/>
                <w:sz w:val="20"/>
                <w:szCs w:val="20"/>
                <w:lang w:eastAsia="en-AU"/>
              </w:rPr>
              <w:t>coastal intertidal</w:t>
            </w:r>
          </w:p>
        </w:tc>
        <w:tc>
          <w:tcPr>
            <w:tcW w:w="761" w:type="dxa"/>
            <w:tcBorders>
              <w:left w:val="single" w:sz="4" w:space="0" w:color="FFFFFF"/>
            </w:tcBorders>
            <w:shd w:val="clear" w:color="auto" w:fill="auto"/>
            <w:noWrap/>
            <w:vAlign w:val="center"/>
          </w:tcPr>
          <w:p w:rsidR="00E43A54" w:rsidRPr="002D209A" w:rsidRDefault="00E43A54" w:rsidP="00E43A54">
            <w:pPr>
              <w:spacing w:before="0" w:after="0"/>
              <w:jc w:val="center"/>
              <w:rPr>
                <w:color w:val="000000"/>
                <w:sz w:val="20"/>
                <w:szCs w:val="20"/>
                <w:lang w:eastAsia="en-AU"/>
              </w:rPr>
            </w:pPr>
          </w:p>
        </w:tc>
        <w:tc>
          <w:tcPr>
            <w:tcW w:w="761" w:type="dxa"/>
            <w:shd w:val="clear" w:color="auto" w:fill="FFCC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30</w:t>
            </w:r>
          </w:p>
        </w:tc>
        <w:tc>
          <w:tcPr>
            <w:tcW w:w="761" w:type="dxa"/>
            <w:shd w:val="clear" w:color="auto" w:fill="FFCC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27</w:t>
            </w:r>
          </w:p>
        </w:tc>
        <w:tc>
          <w:tcPr>
            <w:tcW w:w="761" w:type="dxa"/>
            <w:shd w:val="clear" w:color="auto" w:fill="FFCC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27</w:t>
            </w:r>
          </w:p>
        </w:tc>
        <w:tc>
          <w:tcPr>
            <w:tcW w:w="761" w:type="dxa"/>
            <w:shd w:val="clear" w:color="auto" w:fill="FF00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19</w:t>
            </w:r>
          </w:p>
        </w:tc>
        <w:tc>
          <w:tcPr>
            <w:tcW w:w="761" w:type="dxa"/>
            <w:shd w:val="clear" w:color="auto" w:fill="FF00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6</w:t>
            </w:r>
          </w:p>
        </w:tc>
        <w:tc>
          <w:tcPr>
            <w:tcW w:w="761" w:type="dxa"/>
            <w:shd w:val="clear" w:color="auto" w:fill="FF00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14</w:t>
            </w:r>
          </w:p>
        </w:tc>
        <w:tc>
          <w:tcPr>
            <w:tcW w:w="761" w:type="dxa"/>
            <w:shd w:val="clear" w:color="auto" w:fill="FFCC00"/>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26</w:t>
            </w:r>
          </w:p>
        </w:tc>
        <w:tc>
          <w:tcPr>
            <w:tcW w:w="761" w:type="dxa"/>
            <w:shd w:val="clear" w:color="auto" w:fill="FFCC00"/>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39</w:t>
            </w:r>
          </w:p>
        </w:tc>
        <w:tc>
          <w:tcPr>
            <w:tcW w:w="761" w:type="dxa"/>
            <w:shd w:val="clear" w:color="auto" w:fill="FFCC00"/>
            <w:vAlign w:val="center"/>
          </w:tcPr>
          <w:p w:rsidR="00E43A54" w:rsidRPr="002D209A" w:rsidRDefault="00E43A54" w:rsidP="00E43A54">
            <w:pPr>
              <w:spacing w:before="0" w:after="0"/>
              <w:jc w:val="center"/>
              <w:rPr>
                <w:color w:val="000000"/>
                <w:sz w:val="20"/>
                <w:szCs w:val="20"/>
                <w:lang w:eastAsia="en-AU"/>
              </w:rPr>
            </w:pPr>
            <w:r>
              <w:rPr>
                <w:color w:val="000000"/>
                <w:sz w:val="20"/>
                <w:szCs w:val="20"/>
              </w:rPr>
              <w:t>28</w:t>
            </w:r>
          </w:p>
        </w:tc>
      </w:tr>
      <w:tr w:rsidR="00E43A54" w:rsidRPr="00EC364C" w:rsidTr="001264B9">
        <w:trPr>
          <w:trHeight w:val="312"/>
          <w:jc w:val="center"/>
        </w:trPr>
        <w:tc>
          <w:tcPr>
            <w:tcW w:w="1275" w:type="dxa"/>
            <w:tcBorders>
              <w:top w:val="single" w:sz="4" w:space="0" w:color="FFFFFF"/>
              <w:bottom w:val="single" w:sz="4" w:space="0" w:color="FFFFFF"/>
            </w:tcBorders>
            <w:shd w:val="clear" w:color="auto" w:fill="auto"/>
            <w:noWrap/>
            <w:vAlign w:val="center"/>
          </w:tcPr>
          <w:p w:rsidR="00E43A54" w:rsidRPr="00EC364C" w:rsidRDefault="001E70A1" w:rsidP="00E43A54">
            <w:pPr>
              <w:spacing w:before="0" w:after="0"/>
              <w:rPr>
                <w:color w:val="000000"/>
                <w:sz w:val="20"/>
                <w:szCs w:val="20"/>
                <w:lang w:eastAsia="en-AU"/>
              </w:rPr>
            </w:pPr>
            <w:r>
              <w:rPr>
                <w:color w:val="000000"/>
                <w:sz w:val="20"/>
                <w:szCs w:val="20"/>
                <w:lang w:eastAsia="en-AU"/>
              </w:rPr>
              <w:t>nutrients</w:t>
            </w:r>
          </w:p>
        </w:tc>
        <w:tc>
          <w:tcPr>
            <w:tcW w:w="1699" w:type="dxa"/>
            <w:tcBorders>
              <w:top w:val="single" w:sz="4" w:space="0" w:color="FFFFFF"/>
              <w:bottom w:val="single" w:sz="4" w:space="0" w:color="FFFFFF"/>
            </w:tcBorders>
            <w:shd w:val="clear" w:color="auto" w:fill="auto"/>
            <w:noWrap/>
            <w:vAlign w:val="center"/>
          </w:tcPr>
          <w:p w:rsidR="00E43A54" w:rsidRPr="00EC364C" w:rsidRDefault="00E43A54" w:rsidP="001264B9">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tcBorders>
            <w:shd w:val="clear" w:color="auto" w:fill="auto"/>
            <w:noWrap/>
            <w:vAlign w:val="center"/>
          </w:tcPr>
          <w:p w:rsidR="00E43A54" w:rsidRPr="002D209A" w:rsidRDefault="00E43A54" w:rsidP="00E43A54">
            <w:pPr>
              <w:spacing w:before="0" w:after="0"/>
              <w:jc w:val="center"/>
              <w:rPr>
                <w:color w:val="000000"/>
                <w:sz w:val="20"/>
                <w:szCs w:val="20"/>
                <w:lang w:eastAsia="en-AU"/>
              </w:rPr>
            </w:pPr>
          </w:p>
        </w:tc>
        <w:tc>
          <w:tcPr>
            <w:tcW w:w="761" w:type="dxa"/>
            <w:tcBorders>
              <w:top w:val="single" w:sz="4" w:space="0" w:color="FFFFFF"/>
            </w:tcBorders>
            <w:shd w:val="clear" w:color="auto" w:fill="92D05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62</w:t>
            </w:r>
          </w:p>
        </w:tc>
        <w:tc>
          <w:tcPr>
            <w:tcW w:w="761" w:type="dxa"/>
            <w:tcBorders>
              <w:top w:val="single" w:sz="4" w:space="0" w:color="FFFFFF"/>
            </w:tcBorders>
            <w:shd w:val="clear" w:color="auto" w:fill="FFFF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54</w:t>
            </w:r>
          </w:p>
        </w:tc>
        <w:tc>
          <w:tcPr>
            <w:tcW w:w="761" w:type="dxa"/>
            <w:tcBorders>
              <w:top w:val="single" w:sz="4" w:space="0" w:color="FFFFFF"/>
            </w:tcBorders>
            <w:shd w:val="clear" w:color="auto" w:fill="FFFF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51</w:t>
            </w:r>
          </w:p>
        </w:tc>
        <w:tc>
          <w:tcPr>
            <w:tcW w:w="761" w:type="dxa"/>
            <w:tcBorders>
              <w:top w:val="single" w:sz="4" w:space="0" w:color="FFFFFF"/>
            </w:tcBorders>
            <w:shd w:val="clear" w:color="auto" w:fill="92D05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64</w:t>
            </w:r>
          </w:p>
        </w:tc>
        <w:tc>
          <w:tcPr>
            <w:tcW w:w="761" w:type="dxa"/>
            <w:tcBorders>
              <w:top w:val="single" w:sz="4" w:space="0" w:color="FFFFFF"/>
            </w:tcBorders>
            <w:shd w:val="clear" w:color="auto" w:fill="FFCC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28</w:t>
            </w:r>
          </w:p>
        </w:tc>
        <w:tc>
          <w:tcPr>
            <w:tcW w:w="761" w:type="dxa"/>
            <w:tcBorders>
              <w:top w:val="single" w:sz="4" w:space="0" w:color="FFFFFF"/>
            </w:tcBorders>
            <w:shd w:val="clear" w:color="auto" w:fill="FFCC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28</w:t>
            </w:r>
          </w:p>
        </w:tc>
        <w:tc>
          <w:tcPr>
            <w:tcW w:w="761" w:type="dxa"/>
            <w:tcBorders>
              <w:top w:val="single" w:sz="4" w:space="0" w:color="FFFFFF"/>
            </w:tcBorders>
            <w:shd w:val="clear" w:color="auto" w:fill="FFFF00"/>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42</w:t>
            </w:r>
          </w:p>
        </w:tc>
        <w:tc>
          <w:tcPr>
            <w:tcW w:w="761" w:type="dxa"/>
            <w:tcBorders>
              <w:top w:val="single" w:sz="4" w:space="0" w:color="FFFFFF"/>
            </w:tcBorders>
            <w:shd w:val="clear" w:color="auto" w:fill="92D050"/>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69</w:t>
            </w:r>
          </w:p>
        </w:tc>
        <w:tc>
          <w:tcPr>
            <w:tcW w:w="761" w:type="dxa"/>
            <w:tcBorders>
              <w:top w:val="single" w:sz="4" w:space="0" w:color="FFFFFF"/>
            </w:tcBorders>
            <w:shd w:val="clear" w:color="auto" w:fill="FFFF00"/>
            <w:vAlign w:val="center"/>
          </w:tcPr>
          <w:p w:rsidR="00E43A54" w:rsidRPr="002D209A" w:rsidRDefault="00E43A54" w:rsidP="00E43A54">
            <w:pPr>
              <w:spacing w:before="0" w:after="0"/>
              <w:jc w:val="center"/>
              <w:rPr>
                <w:color w:val="000000"/>
                <w:sz w:val="20"/>
                <w:szCs w:val="20"/>
                <w:lang w:eastAsia="en-AU"/>
              </w:rPr>
            </w:pPr>
            <w:r>
              <w:rPr>
                <w:color w:val="000000"/>
                <w:sz w:val="20"/>
                <w:szCs w:val="20"/>
              </w:rPr>
              <w:t>57</w:t>
            </w:r>
          </w:p>
        </w:tc>
      </w:tr>
      <w:tr w:rsidR="00E43A54" w:rsidRPr="00EC364C" w:rsidTr="001264B9">
        <w:trPr>
          <w:trHeight w:val="312"/>
          <w:jc w:val="center"/>
        </w:trPr>
        <w:tc>
          <w:tcPr>
            <w:tcW w:w="1275" w:type="dxa"/>
            <w:tcBorders>
              <w:top w:val="single" w:sz="4" w:space="0" w:color="FFFFFF"/>
              <w:bottom w:val="single" w:sz="4" w:space="0" w:color="000000"/>
            </w:tcBorders>
            <w:shd w:val="clear" w:color="auto" w:fill="auto"/>
            <w:noWrap/>
            <w:vAlign w:val="center"/>
          </w:tcPr>
          <w:p w:rsidR="00E43A54" w:rsidRPr="00EC364C" w:rsidRDefault="00E43A54" w:rsidP="00E43A54">
            <w:pPr>
              <w:spacing w:before="0" w:after="0"/>
              <w:rPr>
                <w:color w:val="000000"/>
                <w:sz w:val="20"/>
                <w:szCs w:val="20"/>
                <w:lang w:eastAsia="en-AU"/>
              </w:rPr>
            </w:pPr>
          </w:p>
        </w:tc>
        <w:tc>
          <w:tcPr>
            <w:tcW w:w="1699" w:type="dxa"/>
            <w:tcBorders>
              <w:top w:val="single" w:sz="4" w:space="0" w:color="FFFFFF"/>
              <w:bottom w:val="single" w:sz="4" w:space="0" w:color="000000"/>
            </w:tcBorders>
            <w:shd w:val="clear" w:color="auto" w:fill="auto"/>
            <w:noWrap/>
            <w:vAlign w:val="center"/>
          </w:tcPr>
          <w:p w:rsidR="00E43A54" w:rsidRPr="00EC364C" w:rsidRDefault="00E43A54" w:rsidP="001264B9">
            <w:pPr>
              <w:spacing w:before="0" w:after="0"/>
              <w:rPr>
                <w:color w:val="000000"/>
                <w:sz w:val="20"/>
                <w:szCs w:val="20"/>
                <w:lang w:eastAsia="en-AU"/>
              </w:rPr>
            </w:pPr>
            <w:r w:rsidRPr="00EC364C">
              <w:rPr>
                <w:color w:val="000000"/>
                <w:sz w:val="20"/>
                <w:szCs w:val="20"/>
                <w:lang w:eastAsia="en-AU"/>
              </w:rPr>
              <w:t>reef subtidal</w:t>
            </w:r>
          </w:p>
        </w:tc>
        <w:tc>
          <w:tcPr>
            <w:tcW w:w="761" w:type="dxa"/>
            <w:tcBorders>
              <w:bottom w:val="single" w:sz="4" w:space="0" w:color="FFFFFF"/>
            </w:tcBorders>
            <w:shd w:val="clear" w:color="auto" w:fill="auto"/>
            <w:noWrap/>
            <w:vAlign w:val="center"/>
          </w:tcPr>
          <w:p w:rsidR="00E43A54" w:rsidRPr="002D209A"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E43A54" w:rsidRPr="002D209A"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E43A54" w:rsidRPr="002D209A"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auto"/>
            <w:noWrap/>
            <w:vAlign w:val="center"/>
          </w:tcPr>
          <w:p w:rsidR="00E43A54" w:rsidRPr="002D209A"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FFCC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39</w:t>
            </w:r>
          </w:p>
        </w:tc>
        <w:tc>
          <w:tcPr>
            <w:tcW w:w="761" w:type="dxa"/>
            <w:tcBorders>
              <w:bottom w:val="single" w:sz="4" w:space="0" w:color="FFFFFF"/>
            </w:tcBorders>
            <w:shd w:val="clear" w:color="auto" w:fill="FFCC00"/>
            <w:noWrap/>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30</w:t>
            </w:r>
          </w:p>
        </w:tc>
        <w:tc>
          <w:tcPr>
            <w:tcW w:w="761" w:type="dxa"/>
            <w:tcBorders>
              <w:bottom w:val="single" w:sz="4" w:space="0" w:color="FFFFFF"/>
            </w:tcBorders>
            <w:shd w:val="clear" w:color="auto" w:fill="auto"/>
            <w:noWrap/>
            <w:vAlign w:val="center"/>
          </w:tcPr>
          <w:p w:rsidR="00E43A54" w:rsidRPr="002D209A" w:rsidRDefault="00E43A54" w:rsidP="00E43A54">
            <w:pPr>
              <w:spacing w:before="0" w:after="0"/>
              <w:jc w:val="center"/>
              <w:rPr>
                <w:color w:val="000000"/>
                <w:sz w:val="20"/>
                <w:szCs w:val="20"/>
                <w:lang w:eastAsia="en-AU"/>
              </w:rPr>
            </w:pPr>
          </w:p>
        </w:tc>
        <w:tc>
          <w:tcPr>
            <w:tcW w:w="761" w:type="dxa"/>
            <w:tcBorders>
              <w:bottom w:val="single" w:sz="4" w:space="0" w:color="FFFFFF"/>
            </w:tcBorders>
            <w:shd w:val="clear" w:color="auto" w:fill="FFCC00"/>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37</w:t>
            </w:r>
          </w:p>
        </w:tc>
        <w:tc>
          <w:tcPr>
            <w:tcW w:w="761" w:type="dxa"/>
            <w:tcBorders>
              <w:bottom w:val="single" w:sz="4" w:space="0" w:color="FFFFFF"/>
            </w:tcBorders>
            <w:shd w:val="clear" w:color="auto" w:fill="008000"/>
            <w:vAlign w:val="center"/>
          </w:tcPr>
          <w:p w:rsidR="00E43A54" w:rsidRPr="002D209A" w:rsidRDefault="00E43A54" w:rsidP="00E43A54">
            <w:pPr>
              <w:spacing w:before="0" w:after="0"/>
              <w:jc w:val="center"/>
              <w:rPr>
                <w:color w:val="000000"/>
                <w:sz w:val="20"/>
                <w:szCs w:val="20"/>
                <w:lang w:eastAsia="en-AU"/>
              </w:rPr>
            </w:pPr>
            <w:r w:rsidRPr="002D209A">
              <w:rPr>
                <w:color w:val="000000"/>
                <w:sz w:val="20"/>
                <w:szCs w:val="20"/>
                <w:lang w:eastAsia="en-AU"/>
              </w:rPr>
              <w:t>100</w:t>
            </w:r>
          </w:p>
        </w:tc>
        <w:tc>
          <w:tcPr>
            <w:tcW w:w="761" w:type="dxa"/>
            <w:tcBorders>
              <w:bottom w:val="single" w:sz="4" w:space="0" w:color="FFFFFF"/>
            </w:tcBorders>
            <w:shd w:val="clear" w:color="auto" w:fill="008000"/>
            <w:vAlign w:val="center"/>
          </w:tcPr>
          <w:p w:rsidR="00E43A54" w:rsidRPr="002D209A" w:rsidRDefault="00E43A54" w:rsidP="00E43A54">
            <w:pPr>
              <w:spacing w:before="0" w:after="0"/>
              <w:jc w:val="center"/>
              <w:rPr>
                <w:color w:val="000000"/>
                <w:sz w:val="20"/>
                <w:szCs w:val="20"/>
                <w:lang w:eastAsia="en-AU"/>
              </w:rPr>
            </w:pPr>
            <w:r>
              <w:rPr>
                <w:color w:val="000000"/>
                <w:sz w:val="20"/>
                <w:szCs w:val="20"/>
              </w:rPr>
              <w:t>100</w:t>
            </w:r>
          </w:p>
        </w:tc>
      </w:tr>
      <w:tr w:rsidR="00E43A54" w:rsidRPr="002D209A" w:rsidTr="001E70A1">
        <w:trPr>
          <w:trHeight w:val="312"/>
          <w:jc w:val="center"/>
        </w:trPr>
        <w:tc>
          <w:tcPr>
            <w:tcW w:w="2974" w:type="dxa"/>
            <w:gridSpan w:val="2"/>
            <w:tcBorders>
              <w:top w:val="single" w:sz="4" w:space="0" w:color="000000"/>
              <w:bottom w:val="single" w:sz="4" w:space="0" w:color="000000"/>
            </w:tcBorders>
            <w:shd w:val="clear" w:color="auto" w:fill="auto"/>
            <w:noWrap/>
            <w:vAlign w:val="center"/>
          </w:tcPr>
          <w:p w:rsidR="00E43A54" w:rsidRPr="002D209A" w:rsidRDefault="001264B9" w:rsidP="00C60158">
            <w:pPr>
              <w:spacing w:before="0" w:after="0"/>
              <w:rPr>
                <w:b/>
                <w:color w:val="000000"/>
                <w:sz w:val="20"/>
                <w:szCs w:val="20"/>
                <w:lang w:eastAsia="en-AU"/>
              </w:rPr>
            </w:pPr>
            <w:r>
              <w:rPr>
                <w:b/>
                <w:color w:val="000000"/>
                <w:sz w:val="20"/>
                <w:szCs w:val="20"/>
                <w:lang w:eastAsia="en-AU"/>
              </w:rPr>
              <w:t>Seagrass Index</w:t>
            </w:r>
          </w:p>
        </w:tc>
        <w:tc>
          <w:tcPr>
            <w:tcW w:w="761" w:type="dxa"/>
            <w:tcBorders>
              <w:top w:val="single" w:sz="4" w:space="0" w:color="000000"/>
              <w:bottom w:val="single" w:sz="4" w:space="0" w:color="000000"/>
            </w:tcBorders>
            <w:shd w:val="clear" w:color="auto" w:fill="92D050"/>
            <w:noWrap/>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62</w:t>
            </w:r>
          </w:p>
        </w:tc>
        <w:tc>
          <w:tcPr>
            <w:tcW w:w="761" w:type="dxa"/>
            <w:tcBorders>
              <w:top w:val="single" w:sz="4" w:space="0" w:color="000000"/>
              <w:bottom w:val="single" w:sz="4" w:space="0" w:color="000000"/>
            </w:tcBorders>
            <w:shd w:val="clear" w:color="auto" w:fill="FFFF00"/>
            <w:noWrap/>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43</w:t>
            </w:r>
          </w:p>
        </w:tc>
        <w:tc>
          <w:tcPr>
            <w:tcW w:w="761" w:type="dxa"/>
            <w:tcBorders>
              <w:top w:val="single" w:sz="4" w:space="0" w:color="000000"/>
              <w:bottom w:val="single" w:sz="4" w:space="0" w:color="000000"/>
            </w:tcBorders>
            <w:shd w:val="clear" w:color="auto" w:fill="FFCC00"/>
            <w:noWrap/>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38</w:t>
            </w:r>
          </w:p>
        </w:tc>
        <w:tc>
          <w:tcPr>
            <w:tcW w:w="761" w:type="dxa"/>
            <w:tcBorders>
              <w:top w:val="single" w:sz="4" w:space="0" w:color="000000"/>
              <w:bottom w:val="single" w:sz="4" w:space="0" w:color="000000"/>
            </w:tcBorders>
            <w:shd w:val="clear" w:color="auto" w:fill="FFCC00"/>
            <w:noWrap/>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34</w:t>
            </w:r>
          </w:p>
        </w:tc>
        <w:tc>
          <w:tcPr>
            <w:tcW w:w="761" w:type="dxa"/>
            <w:tcBorders>
              <w:top w:val="single" w:sz="4" w:space="0" w:color="000000"/>
              <w:bottom w:val="single" w:sz="4" w:space="0" w:color="000000"/>
            </w:tcBorders>
            <w:shd w:val="clear" w:color="auto" w:fill="FF0000"/>
            <w:noWrap/>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20</w:t>
            </w:r>
          </w:p>
        </w:tc>
        <w:tc>
          <w:tcPr>
            <w:tcW w:w="761" w:type="dxa"/>
            <w:tcBorders>
              <w:top w:val="single" w:sz="4" w:space="0" w:color="000000"/>
              <w:bottom w:val="single" w:sz="4" w:space="0" w:color="000000"/>
            </w:tcBorders>
            <w:shd w:val="clear" w:color="auto" w:fill="FF0000"/>
            <w:noWrap/>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13</w:t>
            </w:r>
          </w:p>
        </w:tc>
        <w:tc>
          <w:tcPr>
            <w:tcW w:w="761" w:type="dxa"/>
            <w:tcBorders>
              <w:top w:val="single" w:sz="4" w:space="0" w:color="000000"/>
              <w:bottom w:val="single" w:sz="4" w:space="0" w:color="000000"/>
            </w:tcBorders>
            <w:shd w:val="clear" w:color="auto" w:fill="FF0000"/>
            <w:noWrap/>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18</w:t>
            </w:r>
          </w:p>
        </w:tc>
        <w:tc>
          <w:tcPr>
            <w:tcW w:w="761" w:type="dxa"/>
            <w:tcBorders>
              <w:top w:val="single" w:sz="4" w:space="0" w:color="000000"/>
              <w:bottom w:val="single" w:sz="4" w:space="0" w:color="000000"/>
            </w:tcBorders>
            <w:shd w:val="clear" w:color="auto" w:fill="FFCC00"/>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37</w:t>
            </w:r>
          </w:p>
        </w:tc>
        <w:tc>
          <w:tcPr>
            <w:tcW w:w="761" w:type="dxa"/>
            <w:tcBorders>
              <w:top w:val="single" w:sz="4" w:space="0" w:color="000000"/>
              <w:bottom w:val="single" w:sz="4" w:space="0" w:color="000000"/>
            </w:tcBorders>
            <w:shd w:val="clear" w:color="auto" w:fill="FFFF00"/>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60</w:t>
            </w:r>
          </w:p>
        </w:tc>
        <w:tc>
          <w:tcPr>
            <w:tcW w:w="761" w:type="dxa"/>
            <w:tcBorders>
              <w:top w:val="single" w:sz="4" w:space="0" w:color="000000"/>
              <w:bottom w:val="single" w:sz="4" w:space="0" w:color="000000"/>
            </w:tcBorders>
            <w:shd w:val="clear" w:color="auto" w:fill="FFFF00"/>
            <w:vAlign w:val="center"/>
          </w:tcPr>
          <w:p w:rsidR="00E43A54" w:rsidRPr="00423BA4" w:rsidRDefault="00E43A54" w:rsidP="00E43A54">
            <w:pPr>
              <w:spacing w:before="0" w:after="0"/>
              <w:jc w:val="center"/>
              <w:rPr>
                <w:b/>
                <w:color w:val="000000"/>
                <w:sz w:val="20"/>
                <w:szCs w:val="20"/>
                <w:lang w:eastAsia="en-AU"/>
              </w:rPr>
            </w:pPr>
            <w:r w:rsidRPr="006834BF">
              <w:rPr>
                <w:b/>
                <w:color w:val="000000"/>
                <w:sz w:val="20"/>
                <w:szCs w:val="20"/>
                <w:lang w:eastAsia="en-AU"/>
              </w:rPr>
              <w:t>53</w:t>
            </w:r>
          </w:p>
        </w:tc>
      </w:tr>
    </w:tbl>
    <w:p w:rsidR="00270034" w:rsidRDefault="00270034" w:rsidP="00270034">
      <w:pPr>
        <w:rPr>
          <w:color w:val="000000"/>
          <w:szCs w:val="22"/>
          <w:lang w:val="en-US"/>
        </w:rPr>
      </w:pPr>
    </w:p>
    <w:p w:rsidR="00E0661B" w:rsidRPr="006E0687" w:rsidRDefault="005132EF" w:rsidP="00926892">
      <w:pPr>
        <w:pStyle w:val="Heading2"/>
        <w:numPr>
          <w:ilvl w:val="1"/>
          <w:numId w:val="9"/>
        </w:numPr>
        <w:rPr>
          <w:rFonts w:ascii="Century Gothic" w:hAnsi="Century Gothic"/>
          <w:color w:val="000000"/>
        </w:rPr>
      </w:pPr>
      <w:r w:rsidRPr="00015190">
        <w:rPr>
          <w:color w:val="0000FF"/>
          <w:lang w:val="en-GB"/>
        </w:rPr>
        <w:br w:type="page"/>
      </w:r>
      <w:bookmarkStart w:id="403" w:name="_Toc175991081"/>
      <w:bookmarkStart w:id="404" w:name="_Toc232845924"/>
      <w:bookmarkStart w:id="405" w:name="_Toc184102009"/>
      <w:bookmarkStart w:id="406" w:name="_Toc431493773"/>
      <w:bookmarkStart w:id="407" w:name="_Toc462047354"/>
      <w:bookmarkStart w:id="408" w:name="_Toc170191638"/>
      <w:r w:rsidR="00E0661B" w:rsidRPr="006E0687">
        <w:rPr>
          <w:rFonts w:ascii="Century Gothic" w:hAnsi="Century Gothic"/>
          <w:color w:val="000000"/>
        </w:rPr>
        <w:lastRenderedPageBreak/>
        <w:t>Mackay Whitsunday</w:t>
      </w:r>
      <w:bookmarkEnd w:id="403"/>
      <w:bookmarkEnd w:id="404"/>
      <w:bookmarkEnd w:id="405"/>
      <w:bookmarkEnd w:id="406"/>
      <w:bookmarkEnd w:id="407"/>
    </w:p>
    <w:p w:rsidR="005132EF" w:rsidRPr="00712221" w:rsidRDefault="00EC364C" w:rsidP="00926892">
      <w:pPr>
        <w:pStyle w:val="Heading3"/>
        <w:numPr>
          <w:ilvl w:val="2"/>
          <w:numId w:val="9"/>
        </w:numPr>
        <w:rPr>
          <w:rFonts w:ascii="Arial" w:hAnsi="Arial" w:cs="Arial"/>
          <w:color w:val="000000"/>
        </w:rPr>
      </w:pPr>
      <w:bookmarkStart w:id="409" w:name="_Toc184102010"/>
      <w:bookmarkStart w:id="410" w:name="_Toc431493774"/>
      <w:bookmarkStart w:id="411" w:name="_Toc462047355"/>
      <w:bookmarkStart w:id="412" w:name="OLE_LINK38"/>
      <w:bookmarkStart w:id="413" w:name="OLE_LINK39"/>
      <w:bookmarkEnd w:id="408"/>
      <w:r w:rsidRPr="00712221">
        <w:rPr>
          <w:rFonts w:ascii="Arial" w:hAnsi="Arial" w:cs="Arial"/>
          <w:color w:val="000000"/>
        </w:rPr>
        <w:t>201</w:t>
      </w:r>
      <w:r w:rsidR="00270034">
        <w:rPr>
          <w:rFonts w:ascii="Arial" w:hAnsi="Arial" w:cs="Arial"/>
          <w:color w:val="000000"/>
        </w:rPr>
        <w:t>4</w:t>
      </w:r>
      <w:r w:rsidRPr="00712221">
        <w:rPr>
          <w:rFonts w:ascii="Arial" w:hAnsi="Arial" w:cs="Arial"/>
          <w:color w:val="000000"/>
        </w:rPr>
        <w:t>-1</w:t>
      </w:r>
      <w:r w:rsidR="00270034">
        <w:rPr>
          <w:rFonts w:ascii="Arial" w:hAnsi="Arial" w:cs="Arial"/>
          <w:color w:val="000000"/>
        </w:rPr>
        <w:t>5</w:t>
      </w:r>
      <w:r w:rsidR="005132EF" w:rsidRPr="00712221">
        <w:rPr>
          <w:rFonts w:ascii="Arial" w:hAnsi="Arial" w:cs="Arial"/>
          <w:color w:val="000000"/>
        </w:rPr>
        <w:t xml:space="preserve"> Summary</w:t>
      </w:r>
      <w:bookmarkEnd w:id="409"/>
      <w:bookmarkEnd w:id="410"/>
      <w:bookmarkEnd w:id="411"/>
    </w:p>
    <w:p w:rsidR="00270034" w:rsidRPr="0074698D" w:rsidRDefault="00270034" w:rsidP="00270034">
      <w:pPr>
        <w:rPr>
          <w:szCs w:val="22"/>
        </w:rPr>
      </w:pPr>
      <w:bookmarkStart w:id="414" w:name="_Toc184102011"/>
      <w:bookmarkStart w:id="415" w:name="_Toc431493775"/>
      <w:bookmarkEnd w:id="412"/>
      <w:bookmarkEnd w:id="413"/>
      <w:r w:rsidRPr="0074698D">
        <w:rPr>
          <w:lang w:val="en-GB"/>
        </w:rPr>
        <w:t xml:space="preserve">The Mackay Whitsunday region is characterised by episodic flows from adjacent catchments, as well as urban and marina development, tourism and is also vulnerable to temperature extremes in shallow habitats. As in 2013-14, climatic conditions in 2014-15 were more conducive to seagrass growth than </w:t>
      </w:r>
      <w:r>
        <w:rPr>
          <w:lang w:val="en-GB"/>
        </w:rPr>
        <w:t xml:space="preserve">in </w:t>
      </w:r>
      <w:r w:rsidRPr="0074698D">
        <w:rPr>
          <w:lang w:val="en-GB"/>
        </w:rPr>
        <w:t>previous years. There was l</w:t>
      </w:r>
      <w:r w:rsidRPr="0074698D">
        <w:rPr>
          <w:rFonts w:cs="TimesNewRoman"/>
          <w:szCs w:val="22"/>
        </w:rPr>
        <w:t>ow rainfall and below average river flows; however, average wind conditions provide risk of exposure to re</w:t>
      </w:r>
      <w:r>
        <w:rPr>
          <w:rFonts w:cs="TimesNewRoman"/>
          <w:szCs w:val="22"/>
        </w:rPr>
        <w:t>-</w:t>
      </w:r>
      <w:r w:rsidRPr="0074698D">
        <w:rPr>
          <w:rFonts w:cs="TimesNewRoman"/>
          <w:szCs w:val="22"/>
        </w:rPr>
        <w:t xml:space="preserve">suspension of sediments and nutrients. Most meadows were exposed to primary or secondary water every week during December to April and within canopy daily light was below average. </w:t>
      </w:r>
      <w:r w:rsidRPr="0074698D">
        <w:rPr>
          <w:szCs w:val="22"/>
        </w:rPr>
        <w:t xml:space="preserve">Above average seawater temperatures exposed meadows to warm conditions throughout the year, however these were unlikely to have been </w:t>
      </w:r>
      <w:r>
        <w:rPr>
          <w:szCs w:val="22"/>
        </w:rPr>
        <w:t xml:space="preserve">particularly </w:t>
      </w:r>
      <w:r w:rsidRPr="0074698D">
        <w:rPr>
          <w:szCs w:val="22"/>
        </w:rPr>
        <w:t>stressful as no extreme temperatures (&gt;40</w:t>
      </w:r>
      <w:r w:rsidRPr="0074698D">
        <w:rPr>
          <w:szCs w:val="22"/>
        </w:rPr>
        <w:sym w:font="Symbol" w:char="F0B0"/>
      </w:r>
      <w:r w:rsidRPr="0074698D">
        <w:rPr>
          <w:szCs w:val="22"/>
        </w:rPr>
        <w:t>C</w:t>
      </w:r>
      <w:r w:rsidRPr="0074698D">
        <w:rPr>
          <w:rFonts w:cs="Calibri"/>
          <w:szCs w:val="22"/>
        </w:rPr>
        <w:t>) were</w:t>
      </w:r>
      <w:r>
        <w:rPr>
          <w:rFonts w:cs="Calibri"/>
          <w:szCs w:val="22"/>
        </w:rPr>
        <w:t xml:space="preserve"> recorded</w:t>
      </w:r>
      <w:r w:rsidRPr="0074698D">
        <w:rPr>
          <w:szCs w:val="22"/>
        </w:rPr>
        <w:t xml:space="preserve">. </w:t>
      </w:r>
    </w:p>
    <w:p w:rsidR="00270034" w:rsidRPr="00993358" w:rsidRDefault="00270034" w:rsidP="00270034">
      <w:pPr>
        <w:rPr>
          <w:rFonts w:cs="TimesNewRoman,Italic"/>
          <w:iCs/>
          <w:szCs w:val="22"/>
        </w:rPr>
      </w:pPr>
      <w:r w:rsidRPr="004A2FD7">
        <w:rPr>
          <w:szCs w:val="22"/>
        </w:rPr>
        <w:t xml:space="preserve">During 2014-15 seagrass abundance continued to increase at coastal and estuarine habitats, and was stable at other sites increasing the score to </w:t>
      </w:r>
      <w:r w:rsidRPr="004A2FD7">
        <w:rPr>
          <w:b/>
          <w:szCs w:val="22"/>
        </w:rPr>
        <w:t>poor</w:t>
      </w:r>
      <w:r w:rsidRPr="004A2FD7">
        <w:rPr>
          <w:szCs w:val="22"/>
        </w:rPr>
        <w:t xml:space="preserve">, compared to very poor in 2013-14. Meadows </w:t>
      </w:r>
      <w:r w:rsidRPr="00993358">
        <w:rPr>
          <w:szCs w:val="22"/>
        </w:rPr>
        <w:t xml:space="preserve">continued to increase their extent across the region. Furthermore, at coastal and estuarine sites there was a large increase in the proportion of opportunistic species, which were displacing colonising species. </w:t>
      </w:r>
      <w:r w:rsidRPr="00993358">
        <w:rPr>
          <w:szCs w:val="22"/>
          <w:lang w:val="en-GB"/>
        </w:rPr>
        <w:t>These species changes coupled with increasing abundance and extent,</w:t>
      </w:r>
      <w:r w:rsidRPr="00993358">
        <w:rPr>
          <w:rFonts w:cs="TimesNewRoman,Italic"/>
          <w:iCs/>
          <w:szCs w:val="22"/>
        </w:rPr>
        <w:t xml:space="preserve"> improve resistance to disturbances. </w:t>
      </w:r>
    </w:p>
    <w:p w:rsidR="00270034" w:rsidRPr="00993358" w:rsidRDefault="00270034" w:rsidP="00270034">
      <w:pPr>
        <w:rPr>
          <w:szCs w:val="22"/>
        </w:rPr>
      </w:pPr>
      <w:r w:rsidRPr="00993358">
        <w:rPr>
          <w:szCs w:val="22"/>
          <w:lang w:val="en-GB"/>
        </w:rPr>
        <w:t xml:space="preserve">Seagrass reproductive effort continued to recover but remained </w:t>
      </w:r>
      <w:r w:rsidRPr="00993358">
        <w:rPr>
          <w:b/>
          <w:szCs w:val="22"/>
          <w:lang w:val="en-GB"/>
        </w:rPr>
        <w:t>poor</w:t>
      </w:r>
      <w:r w:rsidRPr="00993358">
        <w:rPr>
          <w:szCs w:val="22"/>
          <w:lang w:val="en-GB"/>
        </w:rPr>
        <w:t xml:space="preserve">. This may have driven a slight increase in seed </w:t>
      </w:r>
      <w:r w:rsidRPr="00993358">
        <w:rPr>
          <w:szCs w:val="22"/>
        </w:rPr>
        <w:t xml:space="preserve">bank density, which enables them to recover from disturbances and contributes to an improvement in overall resilience. Leaf tissue C:N ratios were similar to previous years, but remain below 20 and are classed as </w:t>
      </w:r>
      <w:r w:rsidRPr="00993358">
        <w:rPr>
          <w:b/>
          <w:szCs w:val="22"/>
        </w:rPr>
        <w:t>poor</w:t>
      </w:r>
      <w:r w:rsidRPr="00993358">
        <w:rPr>
          <w:szCs w:val="22"/>
        </w:rPr>
        <w:t>. This, together with an increase in N:P indicate a surplus in availability of N, relative to demand from photosynthetic C incorporation and growth.</w:t>
      </w:r>
    </w:p>
    <w:p w:rsidR="00270034" w:rsidRDefault="00270034" w:rsidP="00270034">
      <w:pPr>
        <w:rPr>
          <w:szCs w:val="22"/>
        </w:rPr>
      </w:pPr>
      <w:r w:rsidRPr="00987680">
        <w:rPr>
          <w:szCs w:val="22"/>
        </w:rPr>
        <w:t>Mackay Whitsunday r</w:t>
      </w:r>
      <w:r>
        <w:rPr>
          <w:szCs w:val="22"/>
        </w:rPr>
        <w:t>egional seagrass state improved</w:t>
      </w:r>
      <w:r w:rsidRPr="00987680">
        <w:rPr>
          <w:szCs w:val="22"/>
        </w:rPr>
        <w:t xml:space="preserve"> </w:t>
      </w:r>
      <w:r>
        <w:rPr>
          <w:szCs w:val="22"/>
        </w:rPr>
        <w:t>but remained</w:t>
      </w:r>
      <w:r w:rsidRPr="00987680">
        <w:rPr>
          <w:szCs w:val="22"/>
        </w:rPr>
        <w:t xml:space="preserve"> </w:t>
      </w:r>
      <w:r w:rsidRPr="00987680">
        <w:rPr>
          <w:b/>
          <w:szCs w:val="22"/>
        </w:rPr>
        <w:t>poor</w:t>
      </w:r>
      <w:r w:rsidRPr="00987680">
        <w:rPr>
          <w:szCs w:val="22"/>
        </w:rPr>
        <w:t xml:space="preserve"> in 2014-15 (</w:t>
      </w:r>
      <w:r w:rsidR="00F7114B">
        <w:rPr>
          <w:szCs w:val="22"/>
        </w:rPr>
        <w:fldChar w:fldCharType="begin"/>
      </w:r>
      <w:r w:rsidR="00F7114B">
        <w:rPr>
          <w:szCs w:val="22"/>
        </w:rPr>
        <w:instrText xml:space="preserve"> REF _Ref461377180 \h </w:instrText>
      </w:r>
      <w:r w:rsidR="00F7114B">
        <w:rPr>
          <w:szCs w:val="22"/>
        </w:rPr>
      </w:r>
      <w:r w:rsidR="00F7114B">
        <w:rPr>
          <w:szCs w:val="22"/>
        </w:rPr>
        <w:fldChar w:fldCharType="separate"/>
      </w:r>
      <w:r w:rsidR="009C068F" w:rsidRPr="00447838">
        <w:rPr>
          <w:color w:val="000000"/>
        </w:rPr>
        <w:t xml:space="preserve">Figure </w:t>
      </w:r>
      <w:r w:rsidR="009C068F">
        <w:rPr>
          <w:noProof/>
          <w:color w:val="000000"/>
        </w:rPr>
        <w:t>69</w:t>
      </w:r>
      <w:r w:rsidR="00F7114B">
        <w:rPr>
          <w:szCs w:val="22"/>
        </w:rPr>
        <w:fldChar w:fldCharType="end"/>
      </w:r>
      <w:r w:rsidRPr="00987680">
        <w:rPr>
          <w:szCs w:val="22"/>
        </w:rPr>
        <w:t xml:space="preserve">). While the condition and resilience of these meadows show signs of improvement, they remain highly vulnerable to further disturbances. </w:t>
      </w:r>
    </w:p>
    <w:p w:rsidR="00F7114B" w:rsidRDefault="00F7114B" w:rsidP="00F7114B">
      <w:pPr>
        <w:jc w:val="center"/>
        <w:rPr>
          <w:color w:val="000000"/>
          <w:szCs w:val="22"/>
        </w:rPr>
      </w:pPr>
      <w:r>
        <w:rPr>
          <w:noProof/>
          <w:color w:val="000000"/>
          <w:szCs w:val="22"/>
          <w:lang w:eastAsia="en-AU"/>
        </w:rPr>
        <w:drawing>
          <wp:inline distT="0" distB="0" distL="0" distR="0" wp14:anchorId="78D29166" wp14:editId="4120E33A">
            <wp:extent cx="5040000" cy="2710800"/>
            <wp:effectExtent l="0" t="0" r="8255" b="0"/>
            <wp:docPr id="519" name="Picture 519" descr="Panel of four scatter plots with straight lines and markers showing report card of seagrass condition (indicators and index) for the Mackay Whitsunda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X_MW_2015.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5040000" cy="2710800"/>
                    </a:xfrm>
                    <a:prstGeom prst="rect">
                      <a:avLst/>
                    </a:prstGeom>
                  </pic:spPr>
                </pic:pic>
              </a:graphicData>
            </a:graphic>
          </wp:inline>
        </w:drawing>
      </w:r>
    </w:p>
    <w:p w:rsidR="00F7114B" w:rsidRPr="00447838" w:rsidRDefault="00F7114B" w:rsidP="00F7114B">
      <w:pPr>
        <w:rPr>
          <w:i/>
          <w:vanish/>
          <w:color w:val="000000"/>
          <w:specVanish/>
        </w:rPr>
      </w:pPr>
      <w:bookmarkStart w:id="416" w:name="_Ref461377180"/>
      <w:bookmarkStart w:id="417" w:name="_Toc431493872"/>
      <w:bookmarkStart w:id="418" w:name="_Toc462684909"/>
      <w:r w:rsidRPr="00447838">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69</w:t>
      </w:r>
      <w:r>
        <w:rPr>
          <w:color w:val="000000"/>
        </w:rPr>
        <w:fldChar w:fldCharType="end"/>
      </w:r>
      <w:bookmarkEnd w:id="416"/>
      <w:r w:rsidRPr="00447838">
        <w:rPr>
          <w:color w:val="000000"/>
        </w:rPr>
        <w:t xml:space="preserve">. </w:t>
      </w:r>
      <w:r w:rsidRPr="00447838">
        <w:rPr>
          <w:i/>
          <w:color w:val="000000"/>
        </w:rPr>
        <w:t>Report card of seagrass status indicators and index for the Mackay Whitsunday NRM region</w:t>
      </w:r>
      <w:bookmarkEnd w:id="417"/>
      <w:bookmarkEnd w:id="418"/>
    </w:p>
    <w:p w:rsidR="00F7114B" w:rsidRDefault="00F7114B" w:rsidP="00F7114B">
      <w:pPr>
        <w:rPr>
          <w:color w:val="000000"/>
          <w:szCs w:val="22"/>
          <w:lang w:val="en-GB"/>
        </w:rPr>
      </w:pPr>
      <w:r w:rsidRPr="00447838">
        <w:rPr>
          <w:i/>
          <w:color w:val="000000"/>
          <w:szCs w:val="22"/>
        </w:rPr>
        <w:t xml:space="preserve"> (averages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 very poor (0 - 20)</w:t>
      </w:r>
      <w:r w:rsidRPr="00E237C6">
        <w:rPr>
          <w:i/>
          <w:szCs w:val="22"/>
        </w:rPr>
        <w:t>.</w:t>
      </w:r>
    </w:p>
    <w:p w:rsidR="00270034" w:rsidRPr="000C1040" w:rsidRDefault="00270034" w:rsidP="00926892">
      <w:pPr>
        <w:pStyle w:val="Heading3"/>
        <w:numPr>
          <w:ilvl w:val="2"/>
          <w:numId w:val="9"/>
        </w:numPr>
        <w:rPr>
          <w:rFonts w:ascii="Arial" w:hAnsi="Arial" w:cs="Arial"/>
          <w:color w:val="000000"/>
        </w:rPr>
      </w:pPr>
      <w:bookmarkStart w:id="419" w:name="_Toc462047356"/>
      <w:r w:rsidRPr="000C1040">
        <w:rPr>
          <w:rFonts w:ascii="Arial" w:hAnsi="Arial" w:cs="Arial"/>
          <w:color w:val="000000"/>
        </w:rPr>
        <w:lastRenderedPageBreak/>
        <w:t>Climate and environmental pressures</w:t>
      </w:r>
      <w:bookmarkEnd w:id="419"/>
    </w:p>
    <w:p w:rsidR="00270034" w:rsidRDefault="00270034" w:rsidP="00270034">
      <w:r>
        <w:t>Rainfall and river discharge was considerably lower than the long-term average in 2014-15 (</w:t>
      </w:r>
      <w:r w:rsidR="005D293A">
        <w:fldChar w:fldCharType="begin"/>
      </w:r>
      <w:r w:rsidR="005D293A">
        <w:instrText xml:space="preserve"> REF _Ref441843332 \h </w:instrText>
      </w:r>
      <w:r w:rsidR="005D293A">
        <w:fldChar w:fldCharType="separate"/>
      </w:r>
      <w:r w:rsidR="009C068F">
        <w:t xml:space="preserve">Table </w:t>
      </w:r>
      <w:r w:rsidR="009C068F">
        <w:rPr>
          <w:noProof/>
        </w:rPr>
        <w:t>21</w:t>
      </w:r>
      <w:r w:rsidR="005D293A">
        <w:fldChar w:fldCharType="end"/>
      </w:r>
      <w:r>
        <w:t>)</w:t>
      </w:r>
      <w:r w:rsidR="005D293A">
        <w:t xml:space="preserve">. </w:t>
      </w:r>
      <w:r w:rsidR="005D293A" w:rsidRPr="00993358">
        <w:t>H</w:t>
      </w:r>
      <w:r w:rsidRPr="00993358">
        <w:t>owever wind speeds were above average, which i</w:t>
      </w:r>
      <w:r w:rsidR="005D293A" w:rsidRPr="00993358">
        <w:t>ncreased risk of exposure to re</w:t>
      </w:r>
      <w:r w:rsidRPr="00993358">
        <w:t>suspension of sediments and nutrients delivered in previous flows (</w:t>
      </w:r>
      <w:hyperlink w:anchor="_ENREF_103" w:tooltip="Fabricius, 2012 #9294" w:history="1">
        <w:r w:rsidR="00E6043D">
          <w:fldChar w:fldCharType="begin"/>
        </w:r>
        <w:r w:rsidR="00E6043D">
          <w:instrText xml:space="preserve"> ADDIN EN.CITE &lt;EndNote&gt;&lt;Cite&gt;&lt;Author&gt;Fabricius&lt;/Author&gt;&lt;Year&gt;2012&lt;/Year&gt;&lt;RecNum&gt;9294&lt;/RecNum&gt;&lt;DisplayText&gt;Fabricius&lt;style face="italic"&gt;, et al.&lt;/style&gt; 2012&lt;/DisplayText&gt;&lt;record&gt;&lt;rec-number&gt;9294&lt;/rec-number&gt;&lt;foreign-keys&gt;&lt;key app="EN" db-id="0eve55x9y5vfd6e9dacxtew4eatve2dzds9a"&gt;9294&lt;/key&gt;&lt;/foreign-keys&gt;&lt;ref-type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Science&lt;/full-title&gt;&lt;/periodical&gt;&lt;pages&gt;458-470&lt;/pages&gt;&lt;volume&gt;3&lt;/volume&gt;&lt;dates&gt;&lt;year&gt;2012&lt;/year&gt;&lt;/dates&gt;&lt;urls&gt;&lt;/urls&gt;&lt;/record&gt;&lt;/Cite&gt;&lt;/EndNote&gt;</w:instrText>
        </w:r>
        <w:r w:rsidR="00E6043D">
          <w:fldChar w:fldCharType="separate"/>
        </w:r>
        <w:r w:rsidR="00E6043D">
          <w:rPr>
            <w:noProof/>
          </w:rPr>
          <w:t>Fabricius</w:t>
        </w:r>
        <w:r w:rsidR="00E6043D" w:rsidRPr="00D821F1">
          <w:rPr>
            <w:i/>
            <w:noProof/>
          </w:rPr>
          <w:t>, et al.</w:t>
        </w:r>
        <w:r w:rsidR="00E6043D">
          <w:rPr>
            <w:noProof/>
          </w:rPr>
          <w:t xml:space="preserve"> 2012</w:t>
        </w:r>
        <w:r w:rsidR="00E6043D">
          <w:fldChar w:fldCharType="end"/>
        </w:r>
      </w:hyperlink>
      <w:r w:rsidRPr="00993358">
        <w:t>). The majority of sites were exposed to turbid primary water or green secondary water for 100% (</w:t>
      </w:r>
      <w:proofErr w:type="gramStart"/>
      <w:r w:rsidRPr="00993358">
        <w:t>f</w:t>
      </w:r>
      <w:r w:rsidRPr="00993358">
        <w:rPr>
          <w:vertAlign w:val="subscript"/>
        </w:rPr>
        <w:t>(</w:t>
      </w:r>
      <w:proofErr w:type="gramEnd"/>
      <w:r w:rsidRPr="00993358">
        <w:rPr>
          <w:vertAlign w:val="subscript"/>
        </w:rPr>
        <w:t>P+S)</w:t>
      </w:r>
      <w:r w:rsidRPr="00993358">
        <w:t xml:space="preserve"> = 1.00) of the wet season </w:t>
      </w:r>
      <w:r>
        <w:t>(</w:t>
      </w:r>
      <w:r w:rsidR="00FA3DCD">
        <w:fldChar w:fldCharType="begin"/>
      </w:r>
      <w:r w:rsidR="00FA3DCD">
        <w:instrText xml:space="preserve"> REF _Ref461614236 \h </w:instrText>
      </w:r>
      <w:r w:rsidR="00FA3DCD">
        <w:fldChar w:fldCharType="separate"/>
      </w:r>
      <w:r w:rsidR="009C068F">
        <w:t xml:space="preserve">Figure </w:t>
      </w:r>
      <w:r w:rsidR="009C068F">
        <w:rPr>
          <w:noProof/>
        </w:rPr>
        <w:t>70</w:t>
      </w:r>
      <w:r w:rsidR="00FA3DCD">
        <w:fldChar w:fldCharType="end"/>
      </w:r>
      <w:r w:rsidR="00FA3DCD">
        <w:t xml:space="preserve">, </w:t>
      </w:r>
      <w:r w:rsidR="005D293A">
        <w:fldChar w:fldCharType="begin"/>
      </w:r>
      <w:r w:rsidR="005D293A">
        <w:instrText xml:space="preserve"> REF _Ref314325239 \h </w:instrText>
      </w:r>
      <w:r w:rsidR="005D293A">
        <w:fldChar w:fldCharType="separate"/>
      </w:r>
      <w:r w:rsidR="009C068F">
        <w:t xml:space="preserve">Table </w:t>
      </w:r>
      <w:r w:rsidR="009C068F">
        <w:rPr>
          <w:noProof/>
        </w:rPr>
        <w:t>22</w:t>
      </w:r>
      <w:r w:rsidR="005D293A">
        <w:fldChar w:fldCharType="end"/>
      </w:r>
      <w:r>
        <w:t>). The exception was at Hamilton Island (HM), where exposure was</w:t>
      </w:r>
      <w:r w:rsidR="00681546">
        <w:t xml:space="preserve"> slightly lower (f</w:t>
      </w:r>
      <w:r w:rsidR="00681546" w:rsidRPr="00681546">
        <w:rPr>
          <w:vertAlign w:val="subscript"/>
        </w:rPr>
        <w:t>(P+S)</w:t>
      </w:r>
      <w:r w:rsidR="00681546">
        <w:t xml:space="preserve"> = 0.77), although </w:t>
      </w:r>
      <w:r>
        <w:t xml:space="preserve">very high for a reef </w:t>
      </w:r>
      <w:r w:rsidR="00681546">
        <w:t>habitat</w:t>
      </w:r>
      <w:r>
        <w:t xml:space="preserve">. </w:t>
      </w:r>
    </w:p>
    <w:p w:rsidR="00270034" w:rsidRPr="005D293A" w:rsidRDefault="005D293A" w:rsidP="005D293A">
      <w:pPr>
        <w:jc w:val="center"/>
        <w:rPr>
          <w:i/>
          <w:color w:val="000000"/>
          <w:szCs w:val="22"/>
        </w:rPr>
      </w:pPr>
      <w:bookmarkStart w:id="420" w:name="_Ref441843332"/>
      <w:bookmarkStart w:id="421" w:name="_Toc462685090"/>
      <w:r>
        <w:t xml:space="preserve">Table </w:t>
      </w:r>
      <w:fldSimple w:instr=" SEQ Table \* ARABIC ">
        <w:r w:rsidR="009C068F">
          <w:rPr>
            <w:noProof/>
          </w:rPr>
          <w:t>21</w:t>
        </w:r>
      </w:fldSimple>
      <w:bookmarkEnd w:id="420"/>
      <w:r>
        <w:t xml:space="preserve">. </w:t>
      </w:r>
      <w:r w:rsidRPr="005D293A">
        <w:rPr>
          <w:i/>
        </w:rPr>
        <w:t xml:space="preserve">Summary of environmental conditions at monitoring sites in Mackay Whitsunday </w:t>
      </w:r>
      <w:r>
        <w:rPr>
          <w:i/>
        </w:rPr>
        <w:t xml:space="preserve">region </w:t>
      </w:r>
      <w:r w:rsidRPr="005D293A">
        <w:rPr>
          <w:i/>
        </w:rPr>
        <w:t>in 2014-15 compared to the long-term average (long-term range indicated for each data set).</w:t>
      </w:r>
      <w:bookmarkEnd w:id="421"/>
    </w:p>
    <w:tbl>
      <w:tblPr>
        <w:tblW w:w="0" w:type="auto"/>
        <w:jc w:val="center"/>
        <w:tblBorders>
          <w:bottom w:val="single" w:sz="4" w:space="0" w:color="auto"/>
        </w:tblBorders>
        <w:tblLook w:val="04A0" w:firstRow="1" w:lastRow="0" w:firstColumn="1" w:lastColumn="0" w:noHBand="0" w:noVBand="1"/>
      </w:tblPr>
      <w:tblGrid>
        <w:gridCol w:w="3652"/>
        <w:gridCol w:w="2268"/>
        <w:gridCol w:w="1559"/>
      </w:tblGrid>
      <w:tr w:rsidR="00270034" w:rsidRPr="005D293A" w:rsidTr="0059610E">
        <w:trPr>
          <w:trHeight w:val="227"/>
          <w:jc w:val="center"/>
        </w:trPr>
        <w:tc>
          <w:tcPr>
            <w:tcW w:w="3652" w:type="dxa"/>
            <w:tcBorders>
              <w:top w:val="single" w:sz="4" w:space="0" w:color="auto"/>
              <w:bottom w:val="single" w:sz="4" w:space="0" w:color="auto"/>
            </w:tcBorders>
            <w:shd w:val="clear" w:color="auto" w:fill="BBE0E3"/>
          </w:tcPr>
          <w:p w:rsidR="00270034" w:rsidRPr="005D293A" w:rsidRDefault="00270034"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rsidR="00270034" w:rsidRPr="005D293A" w:rsidRDefault="00270034" w:rsidP="0059610E">
            <w:pPr>
              <w:spacing w:before="0" w:after="0"/>
              <w:rPr>
                <w:b/>
                <w:sz w:val="18"/>
                <w:szCs w:val="18"/>
              </w:rPr>
            </w:pPr>
            <w:r w:rsidRPr="005D293A">
              <w:rPr>
                <w:b/>
                <w:sz w:val="18"/>
                <w:szCs w:val="18"/>
              </w:rPr>
              <w:t>Long-term average</w:t>
            </w:r>
          </w:p>
        </w:tc>
        <w:tc>
          <w:tcPr>
            <w:tcW w:w="1559" w:type="dxa"/>
            <w:tcBorders>
              <w:top w:val="single" w:sz="4" w:space="0" w:color="auto"/>
              <w:bottom w:val="single" w:sz="4" w:space="0" w:color="auto"/>
            </w:tcBorders>
            <w:shd w:val="clear" w:color="auto" w:fill="BBE0E3"/>
          </w:tcPr>
          <w:p w:rsidR="00270034" w:rsidRPr="005D293A" w:rsidRDefault="00270034" w:rsidP="0059610E">
            <w:pPr>
              <w:spacing w:before="0" w:after="0"/>
              <w:rPr>
                <w:b/>
                <w:sz w:val="18"/>
                <w:szCs w:val="18"/>
              </w:rPr>
            </w:pPr>
            <w:r w:rsidRPr="005D293A">
              <w:rPr>
                <w:b/>
                <w:sz w:val="18"/>
                <w:szCs w:val="18"/>
              </w:rPr>
              <w:t>2014-15</w:t>
            </w:r>
          </w:p>
        </w:tc>
      </w:tr>
      <w:tr w:rsidR="00270034" w:rsidTr="0059610E">
        <w:trPr>
          <w:trHeight w:val="227"/>
          <w:jc w:val="center"/>
        </w:trPr>
        <w:tc>
          <w:tcPr>
            <w:tcW w:w="3652" w:type="dxa"/>
            <w:shd w:val="clear" w:color="auto" w:fill="E7F3F4"/>
          </w:tcPr>
          <w:p w:rsidR="00270034" w:rsidRPr="008D1B84" w:rsidRDefault="00270034" w:rsidP="0059610E">
            <w:pPr>
              <w:spacing w:before="0" w:after="0"/>
              <w:rPr>
                <w:sz w:val="18"/>
                <w:szCs w:val="18"/>
              </w:rPr>
            </w:pPr>
            <w:r w:rsidRPr="008D1B84">
              <w:rPr>
                <w:sz w:val="18"/>
                <w:szCs w:val="18"/>
              </w:rPr>
              <w:t>Rainfall</w:t>
            </w:r>
            <w:r>
              <w:rPr>
                <w:sz w:val="18"/>
                <w:szCs w:val="18"/>
              </w:rPr>
              <w:t xml:space="preserve"> (1910-2015)</w:t>
            </w:r>
          </w:p>
        </w:tc>
        <w:tc>
          <w:tcPr>
            <w:tcW w:w="2268" w:type="dxa"/>
            <w:shd w:val="clear" w:color="auto" w:fill="E7F3F4"/>
          </w:tcPr>
          <w:p w:rsidR="00270034" w:rsidRPr="008D1B84" w:rsidRDefault="00270034" w:rsidP="0059610E">
            <w:pPr>
              <w:spacing w:before="0" w:after="0"/>
              <w:rPr>
                <w:sz w:val="18"/>
                <w:szCs w:val="18"/>
              </w:rPr>
            </w:pPr>
            <w:r>
              <w:rPr>
                <w:sz w:val="18"/>
                <w:szCs w:val="18"/>
              </w:rPr>
              <w:t>1,505 mm</w:t>
            </w:r>
          </w:p>
        </w:tc>
        <w:tc>
          <w:tcPr>
            <w:tcW w:w="1559" w:type="dxa"/>
            <w:shd w:val="clear" w:color="auto" w:fill="E7F3F4"/>
          </w:tcPr>
          <w:p w:rsidR="00270034" w:rsidRPr="008D1B84" w:rsidRDefault="00270034" w:rsidP="0059610E">
            <w:pPr>
              <w:spacing w:before="0" w:after="0"/>
              <w:rPr>
                <w:sz w:val="18"/>
                <w:szCs w:val="18"/>
              </w:rPr>
            </w:pPr>
            <w:r>
              <w:rPr>
                <w:sz w:val="18"/>
                <w:szCs w:val="18"/>
              </w:rPr>
              <w:t>967 mm</w:t>
            </w:r>
          </w:p>
        </w:tc>
      </w:tr>
      <w:tr w:rsidR="00270034" w:rsidTr="0059610E">
        <w:trPr>
          <w:trHeight w:val="227"/>
          <w:jc w:val="center"/>
        </w:trPr>
        <w:tc>
          <w:tcPr>
            <w:tcW w:w="3652" w:type="dxa"/>
            <w:shd w:val="clear" w:color="auto" w:fill="E7F3F4"/>
          </w:tcPr>
          <w:p w:rsidR="00270034" w:rsidRDefault="00270034" w:rsidP="0059610E">
            <w:pPr>
              <w:spacing w:before="0" w:after="0"/>
              <w:rPr>
                <w:sz w:val="18"/>
                <w:szCs w:val="18"/>
              </w:rPr>
            </w:pPr>
            <w:r>
              <w:rPr>
                <w:sz w:val="18"/>
                <w:szCs w:val="18"/>
              </w:rPr>
              <w:t>River discharge (1970</w:t>
            </w:r>
            <w:r w:rsidRPr="008D1B84">
              <w:rPr>
                <w:sz w:val="18"/>
                <w:szCs w:val="18"/>
              </w:rPr>
              <w:t>-2015)</w:t>
            </w:r>
          </w:p>
        </w:tc>
        <w:tc>
          <w:tcPr>
            <w:tcW w:w="2268" w:type="dxa"/>
            <w:shd w:val="clear" w:color="auto" w:fill="E7F3F4"/>
          </w:tcPr>
          <w:p w:rsidR="00270034" w:rsidRDefault="00270034" w:rsidP="0059610E">
            <w:pPr>
              <w:spacing w:before="0" w:after="0"/>
              <w:rPr>
                <w:sz w:val="18"/>
                <w:szCs w:val="18"/>
              </w:rPr>
            </w:pPr>
            <w:r>
              <w:rPr>
                <w:sz w:val="18"/>
                <w:szCs w:val="18"/>
              </w:rPr>
              <w:t xml:space="preserve">507,516 </w:t>
            </w:r>
            <w:r w:rsidRPr="008D1B84">
              <w:rPr>
                <w:sz w:val="18"/>
                <w:szCs w:val="18"/>
              </w:rPr>
              <w:t>L</w:t>
            </w:r>
            <w:r>
              <w:rPr>
                <w:sz w:val="18"/>
                <w:szCs w:val="18"/>
              </w:rPr>
              <w:t xml:space="preserve"> yr</w:t>
            </w:r>
            <w:r w:rsidRPr="00233108">
              <w:rPr>
                <w:sz w:val="18"/>
                <w:szCs w:val="18"/>
                <w:vertAlign w:val="superscript"/>
              </w:rPr>
              <w:t>-1</w:t>
            </w:r>
          </w:p>
        </w:tc>
        <w:tc>
          <w:tcPr>
            <w:tcW w:w="1559" w:type="dxa"/>
            <w:shd w:val="clear" w:color="auto" w:fill="E7F3F4"/>
          </w:tcPr>
          <w:p w:rsidR="00270034" w:rsidRDefault="00270034" w:rsidP="0059610E">
            <w:pPr>
              <w:spacing w:before="0" w:after="0"/>
              <w:rPr>
                <w:sz w:val="18"/>
                <w:szCs w:val="18"/>
              </w:rPr>
            </w:pPr>
            <w:r>
              <w:rPr>
                <w:sz w:val="18"/>
                <w:szCs w:val="18"/>
              </w:rPr>
              <w:t xml:space="preserve">143,011 </w:t>
            </w:r>
            <w:r w:rsidRPr="008D1B84">
              <w:rPr>
                <w:sz w:val="18"/>
                <w:szCs w:val="18"/>
              </w:rPr>
              <w:t>L</w:t>
            </w:r>
            <w:r>
              <w:rPr>
                <w:sz w:val="18"/>
                <w:szCs w:val="18"/>
              </w:rPr>
              <w:t xml:space="preserve"> yr</w:t>
            </w:r>
            <w:r w:rsidRPr="00233108">
              <w:rPr>
                <w:sz w:val="18"/>
                <w:szCs w:val="18"/>
                <w:vertAlign w:val="superscript"/>
              </w:rPr>
              <w:t>-1</w:t>
            </w:r>
          </w:p>
        </w:tc>
      </w:tr>
      <w:tr w:rsidR="00270034" w:rsidTr="0059610E">
        <w:trPr>
          <w:trHeight w:val="227"/>
          <w:jc w:val="center"/>
        </w:trPr>
        <w:tc>
          <w:tcPr>
            <w:tcW w:w="3652" w:type="dxa"/>
            <w:shd w:val="clear" w:color="auto" w:fill="E7F3F4"/>
          </w:tcPr>
          <w:p w:rsidR="00270034" w:rsidRDefault="00270034" w:rsidP="0059610E">
            <w:pPr>
              <w:spacing w:before="0" w:after="0"/>
              <w:rPr>
                <w:sz w:val="18"/>
                <w:szCs w:val="18"/>
              </w:rPr>
            </w:pPr>
            <w:r>
              <w:rPr>
                <w:sz w:val="18"/>
                <w:szCs w:val="18"/>
              </w:rPr>
              <w:t>Flood p</w:t>
            </w:r>
            <w:r w:rsidRPr="008D1B84">
              <w:rPr>
                <w:sz w:val="18"/>
                <w:szCs w:val="18"/>
              </w:rPr>
              <w:t>lume exposure</w:t>
            </w:r>
            <w:r w:rsidR="00681546">
              <w:rPr>
                <w:sz w:val="18"/>
                <w:szCs w:val="18"/>
              </w:rPr>
              <w:t xml:space="preserve"> </w:t>
            </w:r>
            <w:r w:rsidR="00681546" w:rsidRPr="00681546">
              <w:rPr>
                <w:i/>
                <w:sz w:val="18"/>
                <w:szCs w:val="18"/>
              </w:rPr>
              <w:t>f</w:t>
            </w:r>
            <w:r w:rsidR="00681546" w:rsidRPr="00681546">
              <w:rPr>
                <w:sz w:val="18"/>
                <w:szCs w:val="18"/>
                <w:vertAlign w:val="subscript"/>
              </w:rPr>
              <w:t>(P+S)</w:t>
            </w:r>
            <w:r w:rsidRPr="008D1B84">
              <w:rPr>
                <w:sz w:val="18"/>
                <w:szCs w:val="18"/>
              </w:rPr>
              <w:t xml:space="preserve"> (2006-2015)</w:t>
            </w:r>
          </w:p>
        </w:tc>
        <w:tc>
          <w:tcPr>
            <w:tcW w:w="2268" w:type="dxa"/>
            <w:shd w:val="clear" w:color="auto" w:fill="E7F3F4"/>
          </w:tcPr>
          <w:p w:rsidR="00270034" w:rsidRPr="004A0042" w:rsidRDefault="005D293A" w:rsidP="005D293A">
            <w:pPr>
              <w:spacing w:before="0" w:after="0"/>
              <w:rPr>
                <w:i/>
                <w:sz w:val="16"/>
                <w:szCs w:val="16"/>
              </w:rPr>
            </w:pPr>
            <w:r>
              <w:rPr>
                <w:i/>
                <w:sz w:val="16"/>
                <w:szCs w:val="16"/>
              </w:rPr>
              <w:t xml:space="preserve">not </w:t>
            </w:r>
            <w:r w:rsidR="00270034" w:rsidRPr="004A0042">
              <w:rPr>
                <w:i/>
                <w:sz w:val="16"/>
                <w:szCs w:val="16"/>
              </w:rPr>
              <w:t>available</w:t>
            </w:r>
          </w:p>
        </w:tc>
        <w:tc>
          <w:tcPr>
            <w:tcW w:w="1559" w:type="dxa"/>
            <w:shd w:val="clear" w:color="auto" w:fill="E7F3F4"/>
          </w:tcPr>
          <w:p w:rsidR="00270034" w:rsidRDefault="00270034" w:rsidP="0059610E">
            <w:pPr>
              <w:spacing w:before="0" w:after="0"/>
              <w:rPr>
                <w:sz w:val="18"/>
                <w:szCs w:val="18"/>
              </w:rPr>
            </w:pPr>
            <w:r>
              <w:rPr>
                <w:sz w:val="18"/>
                <w:szCs w:val="18"/>
              </w:rPr>
              <w:t>95.4%</w:t>
            </w:r>
          </w:p>
        </w:tc>
      </w:tr>
      <w:tr w:rsidR="00270034" w:rsidTr="0059610E">
        <w:trPr>
          <w:trHeight w:val="227"/>
          <w:jc w:val="center"/>
        </w:trPr>
        <w:tc>
          <w:tcPr>
            <w:tcW w:w="3652" w:type="dxa"/>
            <w:shd w:val="clear" w:color="auto" w:fill="E7F3F4"/>
          </w:tcPr>
          <w:p w:rsidR="00270034" w:rsidRPr="008D1B84" w:rsidRDefault="00270034" w:rsidP="0059610E">
            <w:pPr>
              <w:spacing w:before="0" w:after="0"/>
              <w:rPr>
                <w:sz w:val="18"/>
                <w:szCs w:val="18"/>
              </w:rPr>
            </w:pPr>
            <w:r>
              <w:rPr>
                <w:sz w:val="18"/>
                <w:szCs w:val="18"/>
              </w:rPr>
              <w:t>Daytime tidal exposure (1999-2015)</w:t>
            </w:r>
          </w:p>
        </w:tc>
        <w:tc>
          <w:tcPr>
            <w:tcW w:w="2268" w:type="dxa"/>
            <w:shd w:val="clear" w:color="auto" w:fill="E7F3F4"/>
          </w:tcPr>
          <w:p w:rsidR="00270034" w:rsidRPr="008D1B84" w:rsidRDefault="00270034" w:rsidP="0059610E">
            <w:pPr>
              <w:spacing w:before="0" w:after="0"/>
              <w:rPr>
                <w:sz w:val="18"/>
                <w:szCs w:val="18"/>
              </w:rPr>
            </w:pPr>
            <w:r>
              <w:rPr>
                <w:sz w:val="18"/>
                <w:szCs w:val="18"/>
              </w:rPr>
              <w:t>50.11 hrs yr</w:t>
            </w:r>
            <w:r w:rsidRPr="003E5A31">
              <w:rPr>
                <w:sz w:val="18"/>
                <w:szCs w:val="18"/>
                <w:vertAlign w:val="superscript"/>
              </w:rPr>
              <w:t>-1</w:t>
            </w:r>
          </w:p>
        </w:tc>
        <w:tc>
          <w:tcPr>
            <w:tcW w:w="1559" w:type="dxa"/>
            <w:shd w:val="clear" w:color="auto" w:fill="E7F3F4"/>
          </w:tcPr>
          <w:p w:rsidR="00270034" w:rsidRPr="008D1B84" w:rsidRDefault="00270034" w:rsidP="0059610E">
            <w:pPr>
              <w:spacing w:before="0" w:after="0"/>
              <w:rPr>
                <w:sz w:val="18"/>
                <w:szCs w:val="18"/>
              </w:rPr>
            </w:pPr>
            <w:r>
              <w:rPr>
                <w:sz w:val="18"/>
                <w:szCs w:val="18"/>
              </w:rPr>
              <w:t>41.44 hrs yr</w:t>
            </w:r>
            <w:r w:rsidRPr="003E5A31">
              <w:rPr>
                <w:sz w:val="18"/>
                <w:szCs w:val="18"/>
                <w:vertAlign w:val="superscript"/>
              </w:rPr>
              <w:t>-1</w:t>
            </w:r>
          </w:p>
        </w:tc>
      </w:tr>
      <w:tr w:rsidR="00270034" w:rsidTr="0059610E">
        <w:trPr>
          <w:trHeight w:val="227"/>
          <w:jc w:val="center"/>
        </w:trPr>
        <w:tc>
          <w:tcPr>
            <w:tcW w:w="3652" w:type="dxa"/>
            <w:tcBorders>
              <w:bottom w:val="single" w:sz="4" w:space="0" w:color="auto"/>
            </w:tcBorders>
            <w:shd w:val="clear" w:color="auto" w:fill="E7F3F4"/>
          </w:tcPr>
          <w:p w:rsidR="00270034" w:rsidRPr="008D1B84" w:rsidRDefault="00270034" w:rsidP="0059610E">
            <w:pPr>
              <w:spacing w:before="0" w:after="0"/>
              <w:rPr>
                <w:sz w:val="18"/>
                <w:szCs w:val="18"/>
              </w:rPr>
            </w:pPr>
            <w:r w:rsidRPr="008D1B84">
              <w:rPr>
                <w:sz w:val="18"/>
                <w:szCs w:val="18"/>
              </w:rPr>
              <w:t>Wind</w:t>
            </w:r>
            <w:r>
              <w:rPr>
                <w:sz w:val="18"/>
                <w:szCs w:val="18"/>
              </w:rPr>
              <w:t xml:space="preserve"> </w:t>
            </w:r>
            <w:r w:rsidR="00681546">
              <w:rPr>
                <w:sz w:val="18"/>
                <w:szCs w:val="18"/>
              </w:rPr>
              <w:t>&gt;25km hr</w:t>
            </w:r>
            <w:r w:rsidR="00681546" w:rsidRPr="00681546">
              <w:rPr>
                <w:sz w:val="18"/>
                <w:szCs w:val="18"/>
                <w:vertAlign w:val="superscript"/>
              </w:rPr>
              <w:t>-1</w:t>
            </w:r>
            <w:r>
              <w:rPr>
                <w:sz w:val="18"/>
                <w:szCs w:val="18"/>
              </w:rPr>
              <w:t>(1998-2015)</w:t>
            </w:r>
          </w:p>
        </w:tc>
        <w:tc>
          <w:tcPr>
            <w:tcW w:w="2268" w:type="dxa"/>
            <w:tcBorders>
              <w:bottom w:val="single" w:sz="4" w:space="0" w:color="auto"/>
            </w:tcBorders>
            <w:shd w:val="clear" w:color="auto" w:fill="E7F3F4"/>
          </w:tcPr>
          <w:p w:rsidR="00270034" w:rsidRPr="008D1B84" w:rsidRDefault="00270034" w:rsidP="0059610E">
            <w:pPr>
              <w:spacing w:before="0" w:after="0"/>
              <w:rPr>
                <w:sz w:val="18"/>
                <w:szCs w:val="18"/>
              </w:rPr>
            </w:pPr>
            <w:r>
              <w:rPr>
                <w:sz w:val="18"/>
                <w:szCs w:val="18"/>
              </w:rPr>
              <w:t>124.2 days yr</w:t>
            </w:r>
            <w:r w:rsidRPr="008D1B84">
              <w:rPr>
                <w:sz w:val="18"/>
                <w:szCs w:val="18"/>
                <w:vertAlign w:val="superscript"/>
              </w:rPr>
              <w:t>-1</w:t>
            </w:r>
          </w:p>
        </w:tc>
        <w:tc>
          <w:tcPr>
            <w:tcW w:w="1559" w:type="dxa"/>
            <w:tcBorders>
              <w:bottom w:val="single" w:sz="4" w:space="0" w:color="auto"/>
            </w:tcBorders>
            <w:shd w:val="clear" w:color="auto" w:fill="E7F3F4"/>
          </w:tcPr>
          <w:p w:rsidR="00270034" w:rsidRPr="008D1B84" w:rsidRDefault="00270034" w:rsidP="0059610E">
            <w:pPr>
              <w:spacing w:before="0" w:after="0"/>
              <w:rPr>
                <w:sz w:val="18"/>
                <w:szCs w:val="18"/>
              </w:rPr>
            </w:pPr>
            <w:r>
              <w:rPr>
                <w:sz w:val="18"/>
                <w:szCs w:val="18"/>
              </w:rPr>
              <w:t>166.3 days yr</w:t>
            </w:r>
            <w:r w:rsidRPr="008D1B84">
              <w:rPr>
                <w:sz w:val="18"/>
                <w:szCs w:val="18"/>
                <w:vertAlign w:val="superscript"/>
              </w:rPr>
              <w:t>-1</w:t>
            </w:r>
          </w:p>
        </w:tc>
      </w:tr>
      <w:tr w:rsidR="00270034" w:rsidTr="0059610E">
        <w:trPr>
          <w:trHeight w:val="227"/>
          <w:jc w:val="center"/>
        </w:trPr>
        <w:tc>
          <w:tcPr>
            <w:tcW w:w="3652" w:type="dxa"/>
            <w:shd w:val="clear" w:color="auto" w:fill="F3F9FA"/>
          </w:tcPr>
          <w:p w:rsidR="00270034" w:rsidRPr="008D1B84" w:rsidRDefault="00270034" w:rsidP="0059610E">
            <w:pPr>
              <w:spacing w:before="0" w:after="0"/>
              <w:rPr>
                <w:sz w:val="18"/>
                <w:szCs w:val="18"/>
              </w:rPr>
            </w:pPr>
            <w:r w:rsidRPr="008D1B84">
              <w:rPr>
                <w:sz w:val="18"/>
                <w:szCs w:val="18"/>
              </w:rPr>
              <w:t>Within canopy temperature (20</w:t>
            </w:r>
            <w:r>
              <w:rPr>
                <w:sz w:val="18"/>
                <w:szCs w:val="18"/>
              </w:rPr>
              <w:t>03</w:t>
            </w:r>
            <w:r w:rsidRPr="008D1B84">
              <w:rPr>
                <w:sz w:val="18"/>
                <w:szCs w:val="18"/>
              </w:rPr>
              <w:t>-2015)</w:t>
            </w:r>
          </w:p>
        </w:tc>
        <w:tc>
          <w:tcPr>
            <w:tcW w:w="2268" w:type="dxa"/>
            <w:shd w:val="clear" w:color="auto" w:fill="F3F9FA"/>
          </w:tcPr>
          <w:p w:rsidR="00270034" w:rsidRPr="008D1B84" w:rsidRDefault="00270034" w:rsidP="0059610E">
            <w:pPr>
              <w:spacing w:before="0" w:after="0"/>
              <w:rPr>
                <w:sz w:val="18"/>
                <w:szCs w:val="18"/>
              </w:rPr>
            </w:pPr>
            <w:r>
              <w:rPr>
                <w:sz w:val="18"/>
                <w:szCs w:val="18"/>
              </w:rPr>
              <w:t>25.4</w:t>
            </w:r>
            <w:r w:rsidRPr="003E5A31">
              <w:rPr>
                <w:sz w:val="18"/>
                <w:szCs w:val="18"/>
              </w:rPr>
              <w:t>°C</w:t>
            </w:r>
            <w:r>
              <w:rPr>
                <w:sz w:val="18"/>
                <w:szCs w:val="18"/>
              </w:rPr>
              <w:t xml:space="preserve"> </w:t>
            </w:r>
            <w:r w:rsidRPr="006577FA">
              <w:rPr>
                <w:i/>
                <w:sz w:val="18"/>
                <w:szCs w:val="18"/>
              </w:rPr>
              <w:t>(42.7°C)</w:t>
            </w:r>
          </w:p>
        </w:tc>
        <w:tc>
          <w:tcPr>
            <w:tcW w:w="1559" w:type="dxa"/>
            <w:shd w:val="clear" w:color="auto" w:fill="F3F9FA"/>
          </w:tcPr>
          <w:p w:rsidR="00270034" w:rsidRPr="008D1B84" w:rsidRDefault="00270034" w:rsidP="0059610E">
            <w:pPr>
              <w:spacing w:before="0" w:after="0"/>
              <w:rPr>
                <w:sz w:val="18"/>
                <w:szCs w:val="18"/>
              </w:rPr>
            </w:pPr>
            <w:r w:rsidRPr="0043293A">
              <w:rPr>
                <w:sz w:val="18"/>
                <w:szCs w:val="18"/>
              </w:rPr>
              <w:t>25.5</w:t>
            </w:r>
            <w:r w:rsidRPr="003E5A31">
              <w:rPr>
                <w:sz w:val="18"/>
                <w:szCs w:val="18"/>
              </w:rPr>
              <w:t>°C</w:t>
            </w:r>
            <w:r w:rsidRPr="0043293A">
              <w:rPr>
                <w:sz w:val="18"/>
                <w:szCs w:val="18"/>
              </w:rPr>
              <w:t xml:space="preserve"> </w:t>
            </w:r>
            <w:r w:rsidRPr="006577FA">
              <w:rPr>
                <w:i/>
                <w:sz w:val="18"/>
                <w:szCs w:val="18"/>
              </w:rPr>
              <w:t>(39.9°C)</w:t>
            </w:r>
          </w:p>
        </w:tc>
      </w:tr>
      <w:tr w:rsidR="00270034" w:rsidTr="0059610E">
        <w:trPr>
          <w:trHeight w:val="227"/>
          <w:jc w:val="center"/>
        </w:trPr>
        <w:tc>
          <w:tcPr>
            <w:tcW w:w="3652" w:type="dxa"/>
            <w:shd w:val="clear" w:color="auto" w:fill="F3F9FA"/>
          </w:tcPr>
          <w:p w:rsidR="00270034" w:rsidRPr="008D1B84" w:rsidRDefault="00270034" w:rsidP="0059610E">
            <w:pPr>
              <w:spacing w:before="0" w:after="0"/>
              <w:rPr>
                <w:sz w:val="18"/>
                <w:szCs w:val="18"/>
              </w:rPr>
            </w:pPr>
            <w:r w:rsidRPr="008D1B84">
              <w:rPr>
                <w:sz w:val="18"/>
                <w:szCs w:val="18"/>
              </w:rPr>
              <w:t>Within canopy light (2012-2015)</w:t>
            </w:r>
          </w:p>
        </w:tc>
        <w:tc>
          <w:tcPr>
            <w:tcW w:w="2268" w:type="dxa"/>
            <w:shd w:val="clear" w:color="auto" w:fill="F3F9FA"/>
          </w:tcPr>
          <w:p w:rsidR="00270034" w:rsidRPr="008D1B84" w:rsidRDefault="00270034" w:rsidP="0059610E">
            <w:pPr>
              <w:spacing w:before="0" w:after="0"/>
              <w:rPr>
                <w:sz w:val="18"/>
                <w:szCs w:val="18"/>
              </w:rPr>
            </w:pPr>
            <w:r>
              <w:rPr>
                <w:sz w:val="18"/>
                <w:szCs w:val="18"/>
              </w:rPr>
              <w:t xml:space="preserve">11.5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c>
          <w:tcPr>
            <w:tcW w:w="1559" w:type="dxa"/>
            <w:shd w:val="clear" w:color="auto" w:fill="F3F9FA"/>
          </w:tcPr>
          <w:p w:rsidR="00270034" w:rsidRPr="008D1B84" w:rsidRDefault="00270034" w:rsidP="0059610E">
            <w:pPr>
              <w:spacing w:before="0" w:after="0"/>
              <w:rPr>
                <w:sz w:val="18"/>
                <w:szCs w:val="18"/>
              </w:rPr>
            </w:pPr>
            <w:r>
              <w:rPr>
                <w:sz w:val="18"/>
                <w:szCs w:val="18"/>
              </w:rPr>
              <w:t xml:space="preserve">10.1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r>
    </w:tbl>
    <w:p w:rsidR="00270034" w:rsidRPr="005D293A" w:rsidRDefault="00270034" w:rsidP="000F45DC">
      <w:pPr>
        <w:spacing w:before="0" w:after="0"/>
        <w:jc w:val="both"/>
        <w:rPr>
          <w:sz w:val="16"/>
          <w:szCs w:val="16"/>
        </w:rPr>
      </w:pPr>
    </w:p>
    <w:p w:rsidR="000F45DC" w:rsidRDefault="000F45DC" w:rsidP="000F45DC">
      <w:pPr>
        <w:widowControl w:val="0"/>
        <w:spacing w:before="0" w:after="0"/>
      </w:pPr>
      <w:r>
        <w:rPr>
          <w:noProof/>
          <w:color w:val="000000"/>
          <w:szCs w:val="22"/>
          <w:lang w:eastAsia="en-AU"/>
        </w:rPr>
        <w:drawing>
          <wp:anchor distT="0" distB="0" distL="114300" distR="114300" simplePos="0" relativeHeight="251676672" behindDoc="0" locked="0" layoutInCell="1" allowOverlap="1" wp14:anchorId="25B9F493" wp14:editId="69E87056">
            <wp:simplePos x="0" y="0"/>
            <wp:positionH relativeFrom="column">
              <wp:posOffset>635</wp:posOffset>
            </wp:positionH>
            <wp:positionV relativeFrom="paragraph">
              <wp:posOffset>-1270</wp:posOffset>
            </wp:positionV>
            <wp:extent cx="2340000" cy="3351600"/>
            <wp:effectExtent l="0" t="0" r="3175" b="1270"/>
            <wp:wrapSquare wrapText="right"/>
            <wp:docPr id="517" name="Picture 517" descr="Composite graph showing the location of each seagrass monitoring site and the frequency of exposure to plume water in the Mackay Whitsunday NRM, wet season (December 2014 – Apri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 Whitsundays sites_legend.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2340000" cy="3351600"/>
                    </a:xfrm>
                    <a:prstGeom prst="rect">
                      <a:avLst/>
                    </a:prstGeom>
                  </pic:spPr>
                </pic:pic>
              </a:graphicData>
            </a:graphic>
            <wp14:sizeRelH relativeFrom="margin">
              <wp14:pctWidth>0</wp14:pctWidth>
            </wp14:sizeRelH>
            <wp14:sizeRelV relativeFrom="margin">
              <wp14:pctHeight>0</wp14:pctHeight>
            </wp14:sizeRelV>
          </wp:anchor>
        </w:drawing>
      </w:r>
    </w:p>
    <w:p w:rsidR="000F45DC" w:rsidRPr="000F45DC" w:rsidRDefault="000F45DC" w:rsidP="005D293A">
      <w:pPr>
        <w:rPr>
          <w:i/>
          <w:vanish/>
          <w:specVanish/>
        </w:rPr>
      </w:pPr>
      <w:bookmarkStart w:id="422" w:name="_Ref461614236"/>
      <w:bookmarkStart w:id="423" w:name="_Toc462684910"/>
      <w:r>
        <w:t xml:space="preserve">Figure </w:t>
      </w:r>
      <w:fldSimple w:instr=" SEQ Figure \* ARABIC ">
        <w:r w:rsidR="009C068F">
          <w:rPr>
            <w:noProof/>
          </w:rPr>
          <w:t>70</w:t>
        </w:r>
      </w:fldSimple>
      <w:bookmarkEnd w:id="422"/>
      <w:r>
        <w:t xml:space="preserve">.  </w:t>
      </w:r>
      <w:r w:rsidR="005D293A" w:rsidRPr="000F45DC">
        <w:rPr>
          <w:i/>
        </w:rPr>
        <w:t>Frequency of exposure to plume water in the Mackay Whitsunday NRM region, wet season (Decembe</w:t>
      </w:r>
      <w:r>
        <w:rPr>
          <w:i/>
        </w:rPr>
        <w:t>r 2014 – April 2015) composite.</w:t>
      </w:r>
      <w:bookmarkEnd w:id="423"/>
    </w:p>
    <w:p w:rsidR="005D293A" w:rsidRPr="000F45DC" w:rsidRDefault="000F45DC" w:rsidP="005D293A">
      <w:pPr>
        <w:rPr>
          <w:i/>
        </w:rPr>
      </w:pPr>
      <w:r>
        <w:rPr>
          <w:i/>
        </w:rPr>
        <w:t xml:space="preserve"> </w:t>
      </w:r>
      <w:r w:rsidR="005D293A" w:rsidRPr="000F45DC">
        <w:rPr>
          <w:i/>
        </w:rPr>
        <w:t xml:space="preserve">Frequency calculated as number of weeks in wet season exposed to primary or secondary water (colour classes 1 – 5). </w:t>
      </w:r>
      <w:r w:rsidR="00FF0A86" w:rsidRPr="008925B3">
        <w:rPr>
          <w:i/>
        </w:rPr>
        <w:t xml:space="preserve">Each colour class category is described by mean water quality values for TSS, CDOM, chlorophyll a and </w:t>
      </w:r>
      <w:proofErr w:type="spellStart"/>
      <w:r w:rsidR="00FF0A86" w:rsidRPr="008925B3">
        <w:rPr>
          <w:i/>
        </w:rPr>
        <w:t>K</w:t>
      </w:r>
      <w:r w:rsidR="00FF0A86" w:rsidRPr="007C3ABF">
        <w:rPr>
          <w:i/>
          <w:vertAlign w:val="subscript"/>
        </w:rPr>
        <w:t>d</w:t>
      </w:r>
      <w:proofErr w:type="spellEnd"/>
      <w:r w:rsidR="00FF0A86" w:rsidRPr="008925B3">
        <w:rPr>
          <w:i/>
        </w:rPr>
        <w:t xml:space="preserve"> (PAR) (</w:t>
      </w:r>
      <w:hyperlink w:anchor="_ENREF_94" w:tooltip="Devlin, 2015 #10405" w:history="1">
        <w:r w:rsidR="00E6043D">
          <w:rPr>
            <w:i/>
          </w:rPr>
          <w:fldChar w:fldCharType="begin"/>
        </w:r>
        <w:r w:rsidR="00E6043D">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043D">
          <w:rPr>
            <w:i/>
          </w:rPr>
          <w:fldChar w:fldCharType="separate"/>
        </w:r>
        <w:r w:rsidR="00E6043D">
          <w:rPr>
            <w:i/>
            <w:noProof/>
          </w:rPr>
          <w:t>Devlin, et al. 2015</w:t>
        </w:r>
        <w:r w:rsidR="00E6043D">
          <w:rPr>
            <w:i/>
          </w:rPr>
          <w:fldChar w:fldCharType="end"/>
        </w:r>
      </w:hyperlink>
      <w:r w:rsidR="00FF0A86" w:rsidRPr="008925B3">
        <w:rPr>
          <w:i/>
        </w:rPr>
        <w:t xml:space="preserve">; </w:t>
      </w:r>
      <w:hyperlink w:anchor="_ENREF_151" w:tooltip="Lønborg, 2015 #10475" w:history="1">
        <w:r w:rsidR="00E6043D">
          <w:rPr>
            <w:i/>
          </w:rPr>
          <w:fldChar w:fldCharType="begin"/>
        </w:r>
        <w:r w:rsidR="00E6043D">
          <w:rPr>
            <w:i/>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i/>
          </w:rPr>
          <w:fldChar w:fldCharType="separate"/>
        </w:r>
        <w:r w:rsidR="00E6043D">
          <w:rPr>
            <w:i/>
            <w:noProof/>
          </w:rPr>
          <w:t>Lønborg, et al. 2015</w:t>
        </w:r>
        <w:r w:rsidR="00E6043D">
          <w:rPr>
            <w:i/>
          </w:rPr>
          <w:fldChar w:fldCharType="end"/>
        </w:r>
      </w:hyperlink>
      <w:r w:rsidR="00FF0A86" w:rsidRPr="008925B3">
        <w:rPr>
          <w:i/>
        </w:rPr>
        <w:t>).</w:t>
      </w:r>
      <w:r w:rsidR="00FF0A86">
        <w:rPr>
          <w:i/>
        </w:rPr>
        <w:t xml:space="preserve"> For site details, see Tables 3 &amp; 4.</w:t>
      </w:r>
    </w:p>
    <w:p w:rsidR="005D293A" w:rsidRDefault="005D293A" w:rsidP="00270034">
      <w:pPr>
        <w:rPr>
          <w:color w:val="000000"/>
          <w:szCs w:val="22"/>
        </w:rPr>
      </w:pPr>
    </w:p>
    <w:p w:rsidR="005D293A" w:rsidRDefault="005D293A" w:rsidP="00270034">
      <w:pPr>
        <w:rPr>
          <w:color w:val="000000"/>
          <w:szCs w:val="22"/>
        </w:rPr>
      </w:pPr>
    </w:p>
    <w:p w:rsidR="005D293A" w:rsidRDefault="005D293A" w:rsidP="00270034">
      <w:pPr>
        <w:rPr>
          <w:color w:val="000000"/>
          <w:szCs w:val="22"/>
        </w:rPr>
      </w:pPr>
    </w:p>
    <w:p w:rsidR="005D293A" w:rsidRDefault="005D293A" w:rsidP="00270034">
      <w:pPr>
        <w:rPr>
          <w:color w:val="000000"/>
          <w:szCs w:val="22"/>
        </w:rPr>
      </w:pPr>
    </w:p>
    <w:p w:rsidR="005D293A" w:rsidRDefault="005D293A" w:rsidP="00270034">
      <w:pPr>
        <w:rPr>
          <w:color w:val="000000"/>
          <w:szCs w:val="22"/>
        </w:rPr>
      </w:pPr>
    </w:p>
    <w:p w:rsidR="005D293A" w:rsidRDefault="005D293A" w:rsidP="00270034">
      <w:pPr>
        <w:rPr>
          <w:color w:val="000000"/>
          <w:szCs w:val="22"/>
        </w:rPr>
      </w:pPr>
    </w:p>
    <w:p w:rsidR="000F45DC" w:rsidRDefault="000F45DC" w:rsidP="00270034">
      <w:pPr>
        <w:rPr>
          <w:color w:val="000000"/>
          <w:szCs w:val="22"/>
        </w:rPr>
      </w:pPr>
    </w:p>
    <w:p w:rsidR="000F45DC" w:rsidRPr="000F45DC" w:rsidRDefault="00270034" w:rsidP="00270034">
      <w:pPr>
        <w:keepNext/>
        <w:rPr>
          <w:i/>
          <w:vanish/>
          <w:specVanish/>
        </w:rPr>
      </w:pPr>
      <w:bookmarkStart w:id="424" w:name="_Ref314325239"/>
      <w:bookmarkStart w:id="425" w:name="_Toc462685091"/>
      <w:r>
        <w:t xml:space="preserve">Table </w:t>
      </w:r>
      <w:fldSimple w:instr=" SEQ Table \* ARABIC ">
        <w:r w:rsidR="009C068F">
          <w:rPr>
            <w:noProof/>
          </w:rPr>
          <w:t>22</w:t>
        </w:r>
      </w:fldSimple>
      <w:bookmarkEnd w:id="424"/>
      <w:r w:rsidRPr="00652F48">
        <w:rPr>
          <w:i/>
        </w:rPr>
        <w:t xml:space="preserve">. Water </w:t>
      </w:r>
      <w:r>
        <w:rPr>
          <w:i/>
        </w:rPr>
        <w:t xml:space="preserve">type at each location in the Mackay Whitsunday </w:t>
      </w:r>
      <w:r w:rsidR="00681546">
        <w:rPr>
          <w:i/>
        </w:rPr>
        <w:t>region</w:t>
      </w:r>
      <w:r>
        <w:rPr>
          <w:i/>
        </w:rPr>
        <w:t xml:space="preserve"> derived from MODIS true colour images</w:t>
      </w:r>
      <w:bookmarkEnd w:id="425"/>
    </w:p>
    <w:p w:rsidR="00270034" w:rsidRPr="00652F48" w:rsidRDefault="00270034" w:rsidP="00270034">
      <w:pPr>
        <w:keepNext/>
        <w:rPr>
          <w:i/>
        </w:rPr>
      </w:pPr>
      <w:r w:rsidRPr="00652F48">
        <w:rPr>
          <w:i/>
        </w:rPr>
        <w:t xml:space="preserve"> as colour classes of turbid primary water (class 1 – 4, </w:t>
      </w:r>
      <w:r>
        <w:rPr>
          <w:i/>
        </w:rPr>
        <w:t>red/</w:t>
      </w:r>
      <w:r w:rsidRPr="00652F48">
        <w:rPr>
          <w:i/>
        </w:rPr>
        <w:t>brown), nutrient/chlorophyll-enriched secondary water (class 5, green), and tertiary (some freshwater</w:t>
      </w:r>
      <w:r>
        <w:rPr>
          <w:i/>
        </w:rPr>
        <w:t>/CDOM</w:t>
      </w:r>
      <w:r w:rsidRPr="00652F48">
        <w:rPr>
          <w:i/>
        </w:rPr>
        <w:t xml:space="preserve"> influence) or no plume influence (class 6 and 7 respectively, blue), </w:t>
      </w:r>
      <w:r>
        <w:rPr>
          <w:i/>
        </w:rPr>
        <w:t xml:space="preserve">for 22 weeks from December 2014 – April 2015. Also shown, </w:t>
      </w:r>
      <w:r w:rsidRPr="00652F48">
        <w:rPr>
          <w:i/>
        </w:rPr>
        <w:t>median wet season colour class (Med), frequency of primary water as f</w:t>
      </w:r>
      <w:r w:rsidRPr="00681546">
        <w:rPr>
          <w:i/>
          <w:vertAlign w:val="subscript"/>
        </w:rPr>
        <w:t>(P)</w:t>
      </w:r>
      <w:r w:rsidRPr="00652F48">
        <w:rPr>
          <w:i/>
        </w:rPr>
        <w:t>, the frequency of secondary water as f</w:t>
      </w:r>
      <w:r w:rsidRPr="00681546">
        <w:rPr>
          <w:i/>
          <w:vertAlign w:val="subscript"/>
        </w:rPr>
        <w:t>(S)</w:t>
      </w:r>
      <w:r w:rsidRPr="00652F48">
        <w:rPr>
          <w:i/>
        </w:rPr>
        <w:t>, and the frequency of primary or secondary as f</w:t>
      </w:r>
      <w:r w:rsidRPr="00681546">
        <w:rPr>
          <w:i/>
          <w:vertAlign w:val="subscript"/>
        </w:rPr>
        <w:t>(P+S)</w:t>
      </w:r>
      <w:r w:rsidRPr="00652F48">
        <w:rPr>
          <w:i/>
        </w:rPr>
        <w:t xml:space="preserve">. </w:t>
      </w:r>
      <w:r>
        <w:rPr>
          <w:i/>
        </w:rPr>
        <w:t>*denotes data obtained from adjacent pixel. Methods described in Devlin et al (2015), d</w:t>
      </w:r>
      <w:r w:rsidRPr="00652F48">
        <w:rPr>
          <w:i/>
        </w:rPr>
        <w:t xml:space="preserve">ata from </w:t>
      </w:r>
      <w:proofErr w:type="spellStart"/>
      <w:r w:rsidR="00527C29" w:rsidRPr="00527C29">
        <w:rPr>
          <w:i/>
        </w:rPr>
        <w:t>Lønborg</w:t>
      </w:r>
      <w:proofErr w:type="spellEnd"/>
      <w:r w:rsidRPr="00652F48">
        <w:rPr>
          <w:i/>
        </w:rPr>
        <w:t xml:space="preserve"> et al </w:t>
      </w:r>
      <w:r>
        <w:rPr>
          <w:i/>
        </w:rPr>
        <w:t>(</w:t>
      </w:r>
      <w:r w:rsidRPr="00652F48">
        <w:rPr>
          <w:i/>
        </w:rPr>
        <w:t>In review</w:t>
      </w:r>
      <w:r>
        <w:rPr>
          <w:i/>
        </w:rPr>
        <w:t>)</w:t>
      </w:r>
      <w:r w:rsidRPr="00652F48">
        <w:rPr>
          <w:i/>
        </w:rPr>
        <w:t xml:space="preserve">.   </w:t>
      </w:r>
    </w:p>
    <w:p w:rsidR="00270034" w:rsidRDefault="00270034" w:rsidP="00270034">
      <w:pPr>
        <w:widowControl w:val="0"/>
        <w:jc w:val="center"/>
      </w:pPr>
      <w:r>
        <w:rPr>
          <w:noProof/>
          <w:lang w:eastAsia="en-AU"/>
        </w:rPr>
        <w:drawing>
          <wp:inline distT="0" distB="0" distL="0" distR="0" wp14:anchorId="152A7148" wp14:editId="18488910">
            <wp:extent cx="5759450" cy="773430"/>
            <wp:effectExtent l="0" t="0" r="0" b="7620"/>
            <wp:docPr id="72" name="Picture 72" descr="Table of water type at each location in the Mackay Whitsunday derived from MODIS true colour images as colour classes of turbid primary water, nutrient/chlorophyll-enriched secondary water, and tertiary or no plume influence for 22 weeks from December 2014 – April 2015"/>
            <wp:cNvGraphicFramePr/>
            <a:graphic xmlns:a="http://schemas.openxmlformats.org/drawingml/2006/main">
              <a:graphicData uri="http://schemas.openxmlformats.org/drawingml/2006/picture">
                <pic:pic xmlns:pic="http://schemas.openxmlformats.org/drawingml/2006/picture">
                  <pic:nvPicPr>
                    <pic:cNvPr id="527" name="Picture 527"/>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759450" cy="773430"/>
                    </a:xfrm>
                    <a:prstGeom prst="rect">
                      <a:avLst/>
                    </a:prstGeom>
                    <a:noFill/>
                    <a:ln>
                      <a:noFill/>
                    </a:ln>
                  </pic:spPr>
                </pic:pic>
              </a:graphicData>
            </a:graphic>
          </wp:inline>
        </w:drawing>
      </w:r>
    </w:p>
    <w:p w:rsidR="00993358" w:rsidRDefault="00993358" w:rsidP="00270034">
      <w:pPr>
        <w:widowControl w:val="0"/>
        <w:spacing w:before="0" w:after="0"/>
        <w:rPr>
          <w:color w:val="000000"/>
          <w:szCs w:val="22"/>
        </w:rPr>
      </w:pPr>
    </w:p>
    <w:p w:rsidR="00270034" w:rsidRPr="007B06EF" w:rsidRDefault="00270034" w:rsidP="00270034">
      <w:pPr>
        <w:widowControl w:val="0"/>
        <w:spacing w:before="0" w:after="0"/>
      </w:pPr>
      <w:r w:rsidRPr="00933003">
        <w:rPr>
          <w:color w:val="000000"/>
          <w:szCs w:val="22"/>
        </w:rPr>
        <w:lastRenderedPageBreak/>
        <w:t>Daily light (I</w:t>
      </w:r>
      <w:r w:rsidRPr="000F45DC">
        <w:rPr>
          <w:color w:val="000000"/>
          <w:szCs w:val="22"/>
          <w:vertAlign w:val="subscript"/>
        </w:rPr>
        <w:t>d</w:t>
      </w:r>
      <w:r w:rsidRPr="00933003">
        <w:rPr>
          <w:color w:val="000000"/>
          <w:szCs w:val="22"/>
        </w:rPr>
        <w:t xml:space="preserve">) at Mackay Whitsunday sites has been monitored since 2009 for some </w:t>
      </w:r>
      <w:r w:rsidR="00681546">
        <w:rPr>
          <w:color w:val="000000"/>
          <w:szCs w:val="22"/>
        </w:rPr>
        <w:t>locations</w:t>
      </w:r>
      <w:r w:rsidRPr="00933003">
        <w:rPr>
          <w:color w:val="000000"/>
          <w:szCs w:val="22"/>
        </w:rPr>
        <w:t>. In 2014-15, the typical late dry peak in I</w:t>
      </w:r>
      <w:r w:rsidRPr="00681546">
        <w:rPr>
          <w:color w:val="000000"/>
          <w:szCs w:val="22"/>
          <w:vertAlign w:val="subscript"/>
        </w:rPr>
        <w:t>d</w:t>
      </w:r>
      <w:r w:rsidRPr="00933003">
        <w:rPr>
          <w:color w:val="000000"/>
          <w:szCs w:val="22"/>
        </w:rPr>
        <w:t xml:space="preserve"> was truncated and relatively low light conditions (around 10 </w:t>
      </w:r>
      <w:proofErr w:type="spellStart"/>
      <w:r w:rsidRPr="00933003">
        <w:rPr>
          <w:color w:val="000000"/>
          <w:szCs w:val="22"/>
        </w:rPr>
        <w:t>mol</w:t>
      </w:r>
      <w:proofErr w:type="spellEnd"/>
      <w:r w:rsidRPr="00933003">
        <w:rPr>
          <w:color w:val="000000"/>
          <w:szCs w:val="22"/>
        </w:rPr>
        <w:t xml:space="preserve"> m</w:t>
      </w:r>
      <w:r w:rsidRPr="00A63B2C">
        <w:rPr>
          <w:color w:val="000000"/>
          <w:szCs w:val="22"/>
          <w:vertAlign w:val="superscript"/>
        </w:rPr>
        <w:t>-2</w:t>
      </w:r>
      <w:r w:rsidRPr="00933003">
        <w:rPr>
          <w:color w:val="000000"/>
          <w:szCs w:val="22"/>
        </w:rPr>
        <w:t xml:space="preserve"> d</w:t>
      </w:r>
      <w:r w:rsidRPr="00A63B2C">
        <w:rPr>
          <w:color w:val="000000"/>
          <w:szCs w:val="22"/>
          <w:vertAlign w:val="superscript"/>
        </w:rPr>
        <w:t>-1</w:t>
      </w:r>
      <w:r w:rsidRPr="00933003">
        <w:rPr>
          <w:color w:val="000000"/>
          <w:szCs w:val="22"/>
        </w:rPr>
        <w:t>) prevailed throughout late 2014 and into 2015</w:t>
      </w:r>
      <w:r w:rsidR="00FA3DCD">
        <w:rPr>
          <w:color w:val="000000"/>
          <w:szCs w:val="22"/>
        </w:rPr>
        <w:t xml:space="preserve"> (</w:t>
      </w:r>
      <w:r w:rsidR="00FA3DCD">
        <w:rPr>
          <w:color w:val="000000"/>
          <w:szCs w:val="22"/>
        </w:rPr>
        <w:fldChar w:fldCharType="begin"/>
      </w:r>
      <w:r w:rsidR="00FA3DCD">
        <w:rPr>
          <w:color w:val="000000"/>
          <w:szCs w:val="22"/>
        </w:rPr>
        <w:instrText xml:space="preserve"> REF _Ref461614333 \h </w:instrText>
      </w:r>
      <w:r w:rsidR="00FA3DCD">
        <w:rPr>
          <w:color w:val="000000"/>
          <w:szCs w:val="22"/>
        </w:rPr>
      </w:r>
      <w:r w:rsidR="00FA3DCD">
        <w:rPr>
          <w:color w:val="000000"/>
          <w:szCs w:val="22"/>
        </w:rPr>
        <w:fldChar w:fldCharType="separate"/>
      </w:r>
      <w:r w:rsidR="009C068F" w:rsidRPr="00F9462F">
        <w:t xml:space="preserve">Figure </w:t>
      </w:r>
      <w:r w:rsidR="009C068F">
        <w:rPr>
          <w:noProof/>
        </w:rPr>
        <w:t>71</w:t>
      </w:r>
      <w:r w:rsidR="00FA3DCD">
        <w:rPr>
          <w:color w:val="000000"/>
          <w:szCs w:val="22"/>
        </w:rPr>
        <w:fldChar w:fldCharType="end"/>
      </w:r>
      <w:r w:rsidR="00FA3DCD">
        <w:rPr>
          <w:color w:val="000000"/>
          <w:szCs w:val="22"/>
        </w:rPr>
        <w:t>)</w:t>
      </w:r>
      <w:r w:rsidRPr="007B06EF">
        <w:t>. On average, I</w:t>
      </w:r>
      <w:r w:rsidRPr="007B06EF">
        <w:rPr>
          <w:vertAlign w:val="subscript"/>
        </w:rPr>
        <w:t xml:space="preserve">d </w:t>
      </w:r>
      <w:r w:rsidRPr="007B06EF">
        <w:t>was lower in 2014-15 than in previous years</w:t>
      </w:r>
      <w:r w:rsidR="00681546">
        <w:t>;</w:t>
      </w:r>
      <w:r w:rsidRPr="007B06EF">
        <w:t xml:space="preserve"> a pattern consistently observed in other regions</w:t>
      </w:r>
      <w:r w:rsidR="00FA3DCD">
        <w:t xml:space="preserve"> </w:t>
      </w:r>
      <w:r w:rsidR="00FA3DCD">
        <w:rPr>
          <w:color w:val="000000"/>
          <w:szCs w:val="22"/>
        </w:rPr>
        <w:t>(</w:t>
      </w:r>
      <w:r w:rsidR="00FA3DCD">
        <w:rPr>
          <w:color w:val="000000"/>
          <w:szCs w:val="22"/>
        </w:rPr>
        <w:fldChar w:fldCharType="begin"/>
      </w:r>
      <w:r w:rsidR="00FA3DCD">
        <w:rPr>
          <w:color w:val="000000"/>
          <w:szCs w:val="22"/>
        </w:rPr>
        <w:instrText xml:space="preserve"> REF _Ref461614333 \h </w:instrText>
      </w:r>
      <w:r w:rsidR="00FA3DCD">
        <w:rPr>
          <w:color w:val="000000"/>
          <w:szCs w:val="22"/>
        </w:rPr>
      </w:r>
      <w:r w:rsidR="00FA3DCD">
        <w:rPr>
          <w:color w:val="000000"/>
          <w:szCs w:val="22"/>
        </w:rPr>
        <w:fldChar w:fldCharType="separate"/>
      </w:r>
      <w:r w:rsidR="009C068F" w:rsidRPr="00F9462F">
        <w:t xml:space="preserve">Figure </w:t>
      </w:r>
      <w:r w:rsidR="009C068F">
        <w:rPr>
          <w:noProof/>
        </w:rPr>
        <w:t>71</w:t>
      </w:r>
      <w:r w:rsidR="00FA3DCD">
        <w:rPr>
          <w:color w:val="000000"/>
          <w:szCs w:val="22"/>
        </w:rPr>
        <w:fldChar w:fldCharType="end"/>
      </w:r>
      <w:r w:rsidR="00FA3DCD">
        <w:rPr>
          <w:color w:val="000000"/>
          <w:szCs w:val="22"/>
        </w:rPr>
        <w:t>)</w:t>
      </w:r>
      <w:r w:rsidRPr="007B06EF">
        <w:t xml:space="preserve">.  </w:t>
      </w:r>
    </w:p>
    <w:p w:rsidR="00270034" w:rsidRDefault="00994153" w:rsidP="00994153">
      <w:pPr>
        <w:keepNext/>
        <w:widowControl w:val="0"/>
        <w:spacing w:before="0" w:after="0"/>
        <w:rPr>
          <w:color w:val="000000"/>
          <w:szCs w:val="22"/>
        </w:rPr>
      </w:pPr>
      <w:r>
        <w:rPr>
          <w:noProof/>
          <w:color w:val="000000"/>
          <w:szCs w:val="22"/>
          <w:lang w:eastAsia="en-AU"/>
        </w:rPr>
        <w:drawing>
          <wp:inline distT="0" distB="0" distL="0" distR="0" wp14:anchorId="31BEDD3E" wp14:editId="023A505F">
            <wp:extent cx="5759450" cy="1882140"/>
            <wp:effectExtent l="0" t="0" r="0" b="3810"/>
            <wp:docPr id="122" name="Picture 122" descr="Panel of two line graphs showing daily light (mean) at each location with 28-d rolling average and GAM plots for each seagrass habitat in the Mackay Whitsunday NRM region from 200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MW_Avg_28d_avg_GAM_2015.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5759450" cy="1882140"/>
                    </a:xfrm>
                    <a:prstGeom prst="rect">
                      <a:avLst/>
                    </a:prstGeom>
                  </pic:spPr>
                </pic:pic>
              </a:graphicData>
            </a:graphic>
          </wp:inline>
        </w:drawing>
      </w:r>
    </w:p>
    <w:p w:rsidR="00994153" w:rsidRPr="00F9462F" w:rsidRDefault="00270034" w:rsidP="00270034">
      <w:pPr>
        <w:rPr>
          <w:i/>
          <w:vanish/>
          <w:specVanish/>
        </w:rPr>
      </w:pPr>
      <w:bookmarkStart w:id="426" w:name="_Ref461614333"/>
      <w:bookmarkStart w:id="427" w:name="_Toc462684911"/>
      <w:r w:rsidRPr="00F9462F">
        <w:t xml:space="preserve">Figure </w:t>
      </w:r>
      <w:fldSimple w:instr=" SEQ Figure \* ARABIC ">
        <w:r w:rsidR="009C068F">
          <w:rPr>
            <w:noProof/>
          </w:rPr>
          <w:t>71</w:t>
        </w:r>
      </w:fldSimple>
      <w:bookmarkEnd w:id="426"/>
      <w:r w:rsidR="00681546" w:rsidRPr="00F9462F">
        <w:rPr>
          <w:i/>
        </w:rPr>
        <w:t>. Mean daily light at Mackay Whitsunday habitats</w:t>
      </w:r>
      <w:r w:rsidRPr="00F9462F">
        <w:rPr>
          <w:i/>
        </w:rPr>
        <w:t xml:space="preserve"> with 28-d rolling average from 2012 to 2015 (left) and GAM plots </w:t>
      </w:r>
      <w:r w:rsidR="00994153" w:rsidRPr="00F9462F">
        <w:rPr>
          <w:i/>
        </w:rPr>
        <w:t>(right)</w:t>
      </w:r>
      <w:bookmarkEnd w:id="427"/>
    </w:p>
    <w:p w:rsidR="00270034" w:rsidRPr="00F9462F" w:rsidRDefault="00994153" w:rsidP="00270034">
      <w:pPr>
        <w:rPr>
          <w:rFonts w:ascii="Arial" w:hAnsi="Arial" w:cs="Arial"/>
          <w:i/>
          <w:color w:val="000000"/>
        </w:rPr>
      </w:pPr>
      <w:r w:rsidRPr="00F9462F">
        <w:rPr>
          <w:i/>
        </w:rPr>
        <w:t xml:space="preserve"> </w:t>
      </w:r>
      <w:r w:rsidR="00270034" w:rsidRPr="00F9462F">
        <w:rPr>
          <w:i/>
        </w:rPr>
        <w:t xml:space="preserve">with the black line showing mean trend for all sites (±95% confidence interval in grey shade) and coloured lines (with CI’s) showing the trend for each site. Results of statistical analysis (GAM) and site-specific graphs (site-level daily light data plus 28-d rolling average) are shown in Appendix 4.  </w:t>
      </w:r>
    </w:p>
    <w:p w:rsidR="00270034" w:rsidRDefault="00270034" w:rsidP="00270034">
      <w:pPr>
        <w:rPr>
          <w:rFonts w:ascii="Arial" w:hAnsi="Arial" w:cs="Arial"/>
          <w:color w:val="000000"/>
        </w:rPr>
      </w:pPr>
      <w:r w:rsidRPr="00F9462F">
        <w:t>Water temperature was warm in the Mackay Whitsunday region in 2014-15 with a large number of days</w:t>
      </w:r>
      <w:r>
        <w:t xml:space="preserve"> above 35°</w:t>
      </w:r>
      <w:r w:rsidRPr="00E8756B">
        <w:t>C (62 days)</w:t>
      </w:r>
      <w:r w:rsidR="00FA3DCD">
        <w:t xml:space="preserve"> (</w:t>
      </w:r>
      <w:r w:rsidR="00FA3DCD">
        <w:fldChar w:fldCharType="begin"/>
      </w:r>
      <w:r w:rsidR="00FA3DCD">
        <w:instrText xml:space="preserve"> REF _Ref461614401 \h </w:instrText>
      </w:r>
      <w:r w:rsidR="00FA3DCD">
        <w:fldChar w:fldCharType="separate"/>
      </w:r>
      <w:r w:rsidR="009C068F" w:rsidRPr="00EA10D7">
        <w:rPr>
          <w:color w:val="000000"/>
        </w:rPr>
        <w:t xml:space="preserve">Figure </w:t>
      </w:r>
      <w:r w:rsidR="009C068F">
        <w:rPr>
          <w:noProof/>
          <w:color w:val="000000"/>
        </w:rPr>
        <w:t>72</w:t>
      </w:r>
      <w:r w:rsidR="00FA3DCD">
        <w:fldChar w:fldCharType="end"/>
      </w:r>
      <w:r w:rsidR="00FA3DCD">
        <w:t>)</w:t>
      </w:r>
      <w:r w:rsidRPr="00E8756B">
        <w:t xml:space="preserve">, </w:t>
      </w:r>
      <w:r>
        <w:t xml:space="preserve">and frequent warm deviation from the baseline. These temperatures do not usually cause significant </w:t>
      </w:r>
      <w:proofErr w:type="spellStart"/>
      <w:r>
        <w:t>photoinhibition</w:t>
      </w:r>
      <w:proofErr w:type="spellEnd"/>
      <w:r>
        <w:t xml:space="preserve"> (</w:t>
      </w:r>
      <w:hyperlink w:anchor="_ENREF_33" w:tooltip="Campbell, 2006 #2896" w:history="1">
        <w:r w:rsidR="00E6043D">
          <w:fldChar w:fldCharType="begin"/>
        </w:r>
        <w:r w:rsidR="00E6043D">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fldChar w:fldCharType="separate"/>
        </w:r>
        <w:r w:rsidR="00E6043D">
          <w:rPr>
            <w:noProof/>
          </w:rPr>
          <w:t>Campbell</w:t>
        </w:r>
        <w:r w:rsidR="00E6043D" w:rsidRPr="00644A84">
          <w:rPr>
            <w:i/>
            <w:noProof/>
          </w:rPr>
          <w:t>, et al.</w:t>
        </w:r>
        <w:r w:rsidR="00E6043D">
          <w:rPr>
            <w:noProof/>
          </w:rPr>
          <w:t xml:space="preserve"> 2006</w:t>
        </w:r>
        <w:r w:rsidR="00E6043D">
          <w:fldChar w:fldCharType="end"/>
        </w:r>
      </w:hyperlink>
      <w:r>
        <w:t xml:space="preserve">), however, prolonged exposure to warm water can reduce growth in some species such as </w:t>
      </w:r>
      <w:proofErr w:type="spellStart"/>
      <w:r w:rsidRPr="00012DA3">
        <w:rPr>
          <w:i/>
        </w:rPr>
        <w:t>Zostera</w:t>
      </w:r>
      <w:proofErr w:type="spellEnd"/>
      <w:r w:rsidRPr="00012DA3">
        <w:rPr>
          <w:i/>
        </w:rPr>
        <w:t xml:space="preserve"> </w:t>
      </w:r>
      <w:proofErr w:type="spellStart"/>
      <w:r w:rsidRPr="00012DA3">
        <w:rPr>
          <w:i/>
        </w:rPr>
        <w:t>muelleri</w:t>
      </w:r>
      <w:proofErr w:type="spellEnd"/>
      <w:r>
        <w:t>, while other species may increase their primary productivity from warm water temperatures &gt;35°C (</w:t>
      </w:r>
      <w:r w:rsidR="009A0520">
        <w:fldChar w:fldCharType="begin">
          <w:fldData xml:space="preserve">PEVuZE5vdGU+PENpdGU+PEF1dGhvcj5Db2xsaWVyPC9BdXRob3I+PFllYXI+MjAxMTwvWWVhcj48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</w:fldData>
        </w:fldChar>
      </w:r>
      <w:r w:rsidR="00E6043D">
        <w:instrText xml:space="preserve"> ADDIN EN.CITE </w:instrText>
      </w:r>
      <w:r w:rsidR="00E6043D">
        <w:fldChar w:fldCharType="begin">
          <w:fldData xml:space="preserve">PEVuZE5vdGU+PENpdGU+PEF1dGhvcj5Db2xsaWVyPC9BdXRob3I+PFllYXI+MjAxMTwvWWVhcj48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</w:fldData>
        </w:fldChar>
      </w:r>
      <w:r w:rsidR="00E6043D">
        <w:instrText xml:space="preserve"> ADDIN EN.CITE.DATA </w:instrText>
      </w:r>
      <w:r w:rsidR="00E6043D">
        <w:fldChar w:fldCharType="end"/>
      </w:r>
      <w:r w:rsidR="009A0520">
        <w:fldChar w:fldCharType="separate"/>
      </w:r>
      <w:hyperlink w:anchor="_ENREF_65" w:tooltip="Collier, 2011 #9244" w:history="1">
        <w:r w:rsidR="00E6043D">
          <w:rPr>
            <w:noProof/>
          </w:rPr>
          <w:t>Collier</w:t>
        </w:r>
        <w:r w:rsidR="00E6043D" w:rsidRPr="00E6043D">
          <w:rPr>
            <w:i/>
            <w:noProof/>
          </w:rPr>
          <w:t>, et al.</w:t>
        </w:r>
        <w:r w:rsidR="00E6043D">
          <w:rPr>
            <w:noProof/>
          </w:rPr>
          <w:t xml:space="preserve"> 2011</w:t>
        </w:r>
      </w:hyperlink>
      <w:r w:rsidR="00E6043D">
        <w:rPr>
          <w:noProof/>
        </w:rPr>
        <w:t xml:space="preserve">; </w:t>
      </w:r>
      <w:hyperlink w:anchor="_ENREF_62" w:tooltip="Collier, 2016 #10625" w:history="1">
        <w:r w:rsidR="00E6043D">
          <w:rPr>
            <w:noProof/>
          </w:rPr>
          <w:t>Collier</w:t>
        </w:r>
        <w:r w:rsidR="00E6043D" w:rsidRPr="00E6043D">
          <w:rPr>
            <w:i/>
            <w:noProof/>
          </w:rPr>
          <w:t xml:space="preserve"> et al.</w:t>
        </w:r>
        <w:r w:rsidR="00E6043D">
          <w:rPr>
            <w:noProof/>
          </w:rPr>
          <w:t xml:space="preserve"> 2016a</w:t>
        </w:r>
      </w:hyperlink>
      <w:r w:rsidR="009A0520">
        <w:fldChar w:fldCharType="end"/>
      </w:r>
      <w:r>
        <w:t>). There was below-average daily tide exposure (Appendix 4) and no extreme heat days (&gt;40°C), which can cause leaf “burn-off”</w:t>
      </w:r>
      <w:r w:rsidR="00FA3DCD">
        <w:t xml:space="preserve"> (</w:t>
      </w:r>
      <w:r w:rsidR="00FA3DCD">
        <w:fldChar w:fldCharType="begin"/>
      </w:r>
      <w:r w:rsidR="00FA3DCD">
        <w:instrText xml:space="preserve"> REF _Ref461614401 \h </w:instrText>
      </w:r>
      <w:r w:rsidR="00FA3DCD">
        <w:fldChar w:fldCharType="separate"/>
      </w:r>
      <w:r w:rsidR="009C068F" w:rsidRPr="00EA10D7">
        <w:rPr>
          <w:color w:val="000000"/>
        </w:rPr>
        <w:t xml:space="preserve">Figure </w:t>
      </w:r>
      <w:r w:rsidR="009C068F">
        <w:rPr>
          <w:noProof/>
          <w:color w:val="000000"/>
        </w:rPr>
        <w:t>72</w:t>
      </w:r>
      <w:r w:rsidR="00FA3DCD">
        <w:fldChar w:fldCharType="end"/>
      </w:r>
      <w:r w:rsidR="00FA3DCD">
        <w:t>)</w:t>
      </w:r>
      <w:r>
        <w:t xml:space="preserve">. </w:t>
      </w:r>
    </w:p>
    <w:p w:rsidR="00270034" w:rsidRDefault="00270034" w:rsidP="00270034">
      <w:pPr>
        <w:rPr>
          <w:color w:val="000000"/>
          <w:szCs w:val="22"/>
        </w:rPr>
      </w:pPr>
    </w:p>
    <w:p w:rsidR="00270034" w:rsidRDefault="00270034" w:rsidP="00270034">
      <w:pPr>
        <w:jc w:val="center"/>
        <w:rPr>
          <w:color w:val="000000"/>
          <w:szCs w:val="22"/>
        </w:rPr>
      </w:pPr>
      <w:r>
        <w:rPr>
          <w:noProof/>
          <w:color w:val="000000"/>
          <w:szCs w:val="22"/>
          <w:lang w:eastAsia="en-AU"/>
        </w:rPr>
        <w:drawing>
          <wp:inline distT="0" distB="0" distL="0" distR="0" wp14:anchorId="1229EC82" wp14:editId="6D630035">
            <wp:extent cx="4658867" cy="2524259"/>
            <wp:effectExtent l="0" t="0" r="8890" b="0"/>
            <wp:docPr id="518" name="Picture 518" descr="Panel of two bar graphs showing number of days when inshore within canopy sea temperature exceeded 35°C, 38°C, 40°C and 43°C within each season and deviations at intertidal seagrass habitats from 11-year mean weekly temperature records for intertidal seagrass habitats in the Mackay Whitsunday NRM region from September 2003 to Ju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temperature_deviation_2015.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4660105" cy="2524930"/>
                    </a:xfrm>
                    <a:prstGeom prst="rect">
                      <a:avLst/>
                    </a:prstGeom>
                  </pic:spPr>
                </pic:pic>
              </a:graphicData>
            </a:graphic>
          </wp:inline>
        </w:drawing>
      </w:r>
    </w:p>
    <w:p w:rsidR="00270034" w:rsidRPr="00EA10D7" w:rsidRDefault="00270034" w:rsidP="00270034">
      <w:pPr>
        <w:rPr>
          <w:i/>
          <w:vanish/>
          <w:color w:val="000000"/>
          <w:szCs w:val="22"/>
          <w:specVanish/>
        </w:rPr>
      </w:pPr>
      <w:bookmarkStart w:id="428" w:name="_Ref461614401"/>
      <w:bookmarkStart w:id="429" w:name="_Toc462684912"/>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72</w:t>
      </w:r>
      <w:r w:rsidR="0073595B">
        <w:rPr>
          <w:color w:val="000000"/>
        </w:rPr>
        <w:fldChar w:fldCharType="end"/>
      </w:r>
      <w:bookmarkEnd w:id="428"/>
      <w:r w:rsidRPr="00EA10D7">
        <w:rPr>
          <w:color w:val="000000"/>
        </w:rPr>
        <w:t xml:space="preserve">. </w:t>
      </w:r>
      <w:r w:rsidRPr="00EA10D7">
        <w:rPr>
          <w:i/>
          <w:color w:val="000000"/>
        </w:rPr>
        <w:t>Inshore sea temperatures within each intertidal seagrass habitat in the Mackay Whitsunday region, September 2003 - June 201</w:t>
      </w:r>
      <w:r>
        <w:rPr>
          <w:i/>
          <w:color w:val="000000"/>
        </w:rPr>
        <w:t>5</w:t>
      </w:r>
      <w:bookmarkEnd w:id="429"/>
    </w:p>
    <w:p w:rsidR="00270034" w:rsidRPr="00EA10D7" w:rsidRDefault="00270034" w:rsidP="00270034">
      <w:pPr>
        <w:rPr>
          <w:color w:val="000000"/>
        </w:rPr>
      </w:pPr>
      <w:r w:rsidRPr="00EA10D7">
        <w:rPr>
          <w:i/>
          <w:color w:val="000000"/>
        </w:rPr>
        <w:t xml:space="preserve">: a) number of days when temperature has exceeded 35°C, 38°C, 40°C and 43°C within each season (thresholds adapted from </w:t>
      </w:r>
      <w:hyperlink w:anchor="_ENREF_33" w:tooltip="Campbell, 2006 #2896" w:history="1">
        <w:r w:rsidR="00E6043D">
          <w:rPr>
            <w:i/>
            <w:color w:val="000000"/>
          </w:rPr>
          <w:fldChar w:fldCharType="begin"/>
        </w:r>
        <w:r w:rsidR="00E6043D">
          <w:rPr>
            <w:i/>
            <w:color w:val="000000"/>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rPr>
            <w:i/>
            <w:color w:val="000000"/>
          </w:rPr>
          <w:fldChar w:fldCharType="separate"/>
        </w:r>
        <w:r w:rsidR="00E6043D">
          <w:rPr>
            <w:i/>
            <w:noProof/>
            <w:color w:val="000000"/>
          </w:rPr>
          <w:t>Campbell, et al. 2006</w:t>
        </w:r>
        <w:r w:rsidR="00E6043D">
          <w:rPr>
            <w:i/>
            <w:color w:val="000000"/>
          </w:rPr>
          <w:fldChar w:fldCharType="end"/>
        </w:r>
      </w:hyperlink>
      <w:r w:rsidRPr="00EA10D7">
        <w:rPr>
          <w:i/>
          <w:color w:val="000000"/>
        </w:rPr>
        <w:t>); b) deviations from 1</w:t>
      </w:r>
      <w:r>
        <w:rPr>
          <w:i/>
          <w:color w:val="000000"/>
        </w:rPr>
        <w:t>1</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r w:rsidRPr="00EA10D7">
        <w:rPr>
          <w:color w:val="000000"/>
        </w:rPr>
        <w:t xml:space="preserve"> </w:t>
      </w:r>
    </w:p>
    <w:p w:rsidR="00FA3DCD" w:rsidRPr="00712221" w:rsidRDefault="00FA3DCD" w:rsidP="00FA3DCD">
      <w:pPr>
        <w:pStyle w:val="Heading3"/>
        <w:numPr>
          <w:ilvl w:val="2"/>
          <w:numId w:val="9"/>
        </w:numPr>
        <w:rPr>
          <w:rFonts w:ascii="Arial" w:hAnsi="Arial" w:cs="Arial"/>
          <w:color w:val="000000"/>
        </w:rPr>
      </w:pPr>
      <w:bookmarkStart w:id="430" w:name="_Toc462047357"/>
      <w:bookmarkStart w:id="431" w:name="_Toc431493776"/>
      <w:bookmarkEnd w:id="414"/>
      <w:bookmarkEnd w:id="415"/>
      <w:r>
        <w:rPr>
          <w:rFonts w:ascii="Arial" w:hAnsi="Arial" w:cs="Arial"/>
          <w:color w:val="000000"/>
        </w:rPr>
        <w:lastRenderedPageBreak/>
        <w:t>Indicators of seagrass condition</w:t>
      </w:r>
      <w:bookmarkEnd w:id="430"/>
    </w:p>
    <w:bookmarkEnd w:id="431"/>
    <w:p w:rsidR="00AA3AA8" w:rsidRPr="004F2236" w:rsidRDefault="00AA3AA8" w:rsidP="004F2236">
      <w:pPr>
        <w:pStyle w:val="Heading4"/>
        <w:numPr>
          <w:ilvl w:val="0"/>
          <w:numId w:val="0"/>
        </w:numPr>
        <w:rPr>
          <w:rFonts w:ascii="Arial" w:hAnsi="Arial" w:cs="Arial"/>
          <w:sz w:val="24"/>
          <w:szCs w:val="24"/>
        </w:rPr>
      </w:pPr>
      <w:r w:rsidRPr="004F2236">
        <w:rPr>
          <w:rFonts w:ascii="Arial" w:hAnsi="Arial" w:cs="Arial"/>
          <w:sz w:val="24"/>
          <w:szCs w:val="24"/>
        </w:rPr>
        <w:t>Seagrass abundance</w:t>
      </w:r>
      <w:r w:rsidR="00DA702C" w:rsidRPr="004F2236">
        <w:rPr>
          <w:rFonts w:ascii="Arial" w:hAnsi="Arial" w:cs="Arial"/>
          <w:sz w:val="24"/>
          <w:szCs w:val="24"/>
        </w:rPr>
        <w:t xml:space="preserve">, </w:t>
      </w:r>
      <w:r w:rsidRPr="004F2236">
        <w:rPr>
          <w:rFonts w:ascii="Arial" w:hAnsi="Arial" w:cs="Arial"/>
          <w:sz w:val="24"/>
          <w:szCs w:val="24"/>
        </w:rPr>
        <w:t>composition</w:t>
      </w:r>
      <w:r w:rsidR="00DA702C" w:rsidRPr="004F2236">
        <w:rPr>
          <w:rFonts w:ascii="Arial" w:hAnsi="Arial" w:cs="Arial"/>
          <w:sz w:val="24"/>
          <w:szCs w:val="24"/>
        </w:rPr>
        <w:t xml:space="preserve"> and </w:t>
      </w:r>
      <w:r w:rsidR="00994153">
        <w:rPr>
          <w:rFonts w:ascii="Arial" w:hAnsi="Arial" w:cs="Arial"/>
          <w:sz w:val="24"/>
          <w:szCs w:val="24"/>
        </w:rPr>
        <w:t>distribution</w:t>
      </w:r>
    </w:p>
    <w:p w:rsidR="004A5BCE" w:rsidRDefault="004A5BCE" w:rsidP="008730D4">
      <w:pPr>
        <w:rPr>
          <w:color w:val="000000"/>
          <w:szCs w:val="22"/>
        </w:rPr>
      </w:pPr>
      <w:r w:rsidRPr="004A5BCE">
        <w:rPr>
          <w:color w:val="000000"/>
          <w:szCs w:val="22"/>
        </w:rPr>
        <w:t>Seagrass abundance continued to increase at coastal and estuarine habitats (Pioneer Bay, and Sarina Inlet) and remained stable at all other sites in the Mackay Whitsunday region in 2014-15 (</w:t>
      </w:r>
      <w:r w:rsidR="00FA7EC1">
        <w:rPr>
          <w:color w:val="000000"/>
          <w:szCs w:val="22"/>
        </w:rPr>
        <w:t>Figure 74</w:t>
      </w:r>
      <w:r w:rsidRPr="004A5BCE">
        <w:rPr>
          <w:color w:val="000000"/>
          <w:szCs w:val="22"/>
        </w:rPr>
        <w:t xml:space="preserve">). However, abundance continues to remain considerably lower than historical peaks, particularly at Sarina Inlet and </w:t>
      </w:r>
      <w:proofErr w:type="spellStart"/>
      <w:r w:rsidRPr="004A5BCE">
        <w:rPr>
          <w:color w:val="000000"/>
          <w:szCs w:val="22"/>
        </w:rPr>
        <w:t>Hydeaway</w:t>
      </w:r>
      <w:proofErr w:type="spellEnd"/>
      <w:r w:rsidRPr="004A5BCE">
        <w:rPr>
          <w:color w:val="000000"/>
          <w:szCs w:val="22"/>
        </w:rPr>
        <w:t xml:space="preserve"> Bay (a Seagrass-Watch location). There was an overall increase in the seagrass abundance score to poor in 2014-15 after being very poor in the previous 4 years (</w:t>
      </w:r>
      <w:r w:rsidR="00FA7EC1">
        <w:rPr>
          <w:color w:val="000000"/>
          <w:szCs w:val="22"/>
        </w:rPr>
        <w:t>Figure 73</w:t>
      </w:r>
      <w:r w:rsidRPr="004A5BCE">
        <w:rPr>
          <w:color w:val="000000"/>
          <w:szCs w:val="22"/>
        </w:rPr>
        <w:t>).</w:t>
      </w:r>
    </w:p>
    <w:p w:rsidR="004A5BCE" w:rsidRDefault="004A5BCE" w:rsidP="00630574">
      <w:pPr>
        <w:keepNext/>
        <w:widowControl w:val="0"/>
        <w:spacing w:after="0"/>
        <w:jc w:val="center"/>
        <w:rPr>
          <w:color w:val="000000"/>
          <w:szCs w:val="22"/>
          <w:lang w:val="en-GB"/>
        </w:rPr>
      </w:pPr>
      <w:r>
        <w:rPr>
          <w:noProof/>
          <w:color w:val="000000"/>
          <w:szCs w:val="22"/>
          <w:lang w:eastAsia="en-AU"/>
        </w:rPr>
        <w:drawing>
          <wp:inline distT="0" distB="0" distL="0" distR="0" wp14:anchorId="0A0BDEF4" wp14:editId="0474E720">
            <wp:extent cx="5227092" cy="5525036"/>
            <wp:effectExtent l="0" t="0" r="0" b="0"/>
            <wp:docPr id="520" name="Picture 520" descr="Panel of five scatter plots with straight lines and markers showing seagrass abundance (% cover ± Standard Error) at inshore intertidal habitats in the Mackay Whitsunday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SG15.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5228331" cy="5526346"/>
                    </a:xfrm>
                    <a:prstGeom prst="rect">
                      <a:avLst/>
                    </a:prstGeom>
                  </pic:spPr>
                </pic:pic>
              </a:graphicData>
            </a:graphic>
          </wp:inline>
        </w:drawing>
      </w:r>
    </w:p>
    <w:p w:rsidR="006341F9" w:rsidRPr="004F39E2" w:rsidRDefault="001961E3" w:rsidP="006341F9">
      <w:pPr>
        <w:rPr>
          <w:i/>
          <w:vanish/>
          <w:specVanish/>
        </w:rPr>
      </w:pPr>
      <w:bookmarkStart w:id="432" w:name="_Ref179444988"/>
      <w:bookmarkStart w:id="433" w:name="_Toc431493873"/>
      <w:bookmarkStart w:id="434" w:name="_Toc462684913"/>
      <w:bookmarkStart w:id="435" w:name="_Toc176158899"/>
      <w:bookmarkStart w:id="436" w:name="_Toc232845997"/>
      <w:r w:rsidRPr="00BA409D">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73</w:t>
      </w:r>
      <w:r w:rsidR="0073595B">
        <w:rPr>
          <w:color w:val="000000"/>
        </w:rPr>
        <w:fldChar w:fldCharType="end"/>
      </w:r>
      <w:bookmarkEnd w:id="432"/>
      <w:r w:rsidRPr="00BA409D">
        <w:rPr>
          <w:color w:val="000000"/>
        </w:rPr>
        <w:t xml:space="preserve">. </w:t>
      </w:r>
      <w:r w:rsidRPr="00BA409D">
        <w:rPr>
          <w:i/>
          <w:color w:val="000000"/>
        </w:rPr>
        <w:t xml:space="preserve">Changes in seagrass abundance (% cover ±Standard Error) at </w:t>
      </w:r>
      <w:r w:rsidR="006341F9" w:rsidRPr="00BA409D">
        <w:rPr>
          <w:i/>
          <w:color w:val="000000"/>
        </w:rPr>
        <w:t xml:space="preserve">inshore intertidal habitats </w:t>
      </w:r>
      <w:r w:rsidR="006341F9" w:rsidRPr="004F39E2">
        <w:rPr>
          <w:i/>
          <w:color w:val="000000"/>
        </w:rPr>
        <w:t xml:space="preserve">in the Mackay Whitsunday region, 1999 - </w:t>
      </w:r>
      <w:r w:rsidR="006341F9" w:rsidRPr="004F39E2">
        <w:rPr>
          <w:i/>
        </w:rPr>
        <w:t>201</w:t>
      </w:r>
      <w:r w:rsidR="00994153" w:rsidRPr="004F39E2">
        <w:rPr>
          <w:i/>
        </w:rPr>
        <w:t>5</w:t>
      </w:r>
      <w:bookmarkEnd w:id="433"/>
      <w:bookmarkEnd w:id="434"/>
    </w:p>
    <w:p w:rsidR="000377A0" w:rsidRPr="00BA409D" w:rsidRDefault="006341F9" w:rsidP="000377A0">
      <w:pPr>
        <w:rPr>
          <w:color w:val="000000"/>
        </w:rPr>
      </w:pPr>
      <w:r w:rsidRPr="004F39E2">
        <w:rPr>
          <w:i/>
        </w:rPr>
        <w:t xml:space="preserve">: </w:t>
      </w:r>
      <w:r w:rsidR="004B7588" w:rsidRPr="004F39E2">
        <w:rPr>
          <w:i/>
        </w:rPr>
        <w:t xml:space="preserve">a). </w:t>
      </w:r>
      <w:r w:rsidR="00BA409D" w:rsidRPr="004F39E2">
        <w:rPr>
          <w:i/>
        </w:rPr>
        <w:t>estuarine</w:t>
      </w:r>
      <w:r w:rsidR="004B7588" w:rsidRPr="004F39E2">
        <w:rPr>
          <w:i/>
        </w:rPr>
        <w:t>, b).</w:t>
      </w:r>
      <w:r w:rsidR="00BA409D" w:rsidRPr="004F39E2">
        <w:rPr>
          <w:i/>
        </w:rPr>
        <w:t xml:space="preserve"> coastal</w:t>
      </w:r>
      <w:r w:rsidR="004B7588" w:rsidRPr="004F39E2">
        <w:rPr>
          <w:i/>
        </w:rPr>
        <w:t>, and c). reef</w:t>
      </w:r>
      <w:r w:rsidR="001961E3" w:rsidRPr="004F39E2">
        <w:rPr>
          <w:i/>
        </w:rPr>
        <w:t xml:space="preserve">. </w:t>
      </w:r>
      <w:proofErr w:type="spellStart"/>
      <w:r w:rsidR="001961E3" w:rsidRPr="004F39E2">
        <w:rPr>
          <w:i/>
        </w:rPr>
        <w:t>Trendline</w:t>
      </w:r>
      <w:proofErr w:type="spellEnd"/>
      <w:r w:rsidR="001961E3" w:rsidRPr="004F39E2">
        <w:rPr>
          <w:i/>
        </w:rPr>
        <w:t xml:space="preserve"> is 3</w:t>
      </w:r>
      <w:r w:rsidR="001961E3" w:rsidRPr="004F39E2">
        <w:rPr>
          <w:i/>
          <w:vertAlign w:val="superscript"/>
        </w:rPr>
        <w:t>rd</w:t>
      </w:r>
      <w:r w:rsidR="001961E3" w:rsidRPr="004F39E2">
        <w:rPr>
          <w:i/>
        </w:rPr>
        <w:t xml:space="preserve"> order polynomial, 95% confidence intervals displayed</w:t>
      </w:r>
      <w:r w:rsidR="004B7588" w:rsidRPr="004F39E2">
        <w:rPr>
          <w:i/>
        </w:rPr>
        <w:t>:</w:t>
      </w:r>
      <w:r w:rsidR="001961E3" w:rsidRPr="004F39E2">
        <w:rPr>
          <w:i/>
        </w:rPr>
        <w:t xml:space="preserve"> </w:t>
      </w:r>
      <w:r w:rsidR="00BA409D" w:rsidRPr="004F39E2">
        <w:rPr>
          <w:i/>
        </w:rPr>
        <w:t>estuarine r</w:t>
      </w:r>
      <w:r w:rsidR="00BA409D" w:rsidRPr="004F39E2">
        <w:rPr>
          <w:i/>
          <w:vertAlign w:val="superscript"/>
        </w:rPr>
        <w:t>2</w:t>
      </w:r>
      <w:r w:rsidR="00BA409D" w:rsidRPr="004F39E2">
        <w:rPr>
          <w:i/>
        </w:rPr>
        <w:t xml:space="preserve"> = 0.15</w:t>
      </w:r>
      <w:r w:rsidR="004F39E2" w:rsidRPr="004F39E2">
        <w:rPr>
          <w:i/>
        </w:rPr>
        <w:t>;</w:t>
      </w:r>
      <w:r w:rsidR="00BA409D" w:rsidRPr="004F39E2">
        <w:rPr>
          <w:i/>
        </w:rPr>
        <w:t xml:space="preserve"> </w:t>
      </w:r>
      <w:r w:rsidR="004B7588" w:rsidRPr="004F39E2">
        <w:rPr>
          <w:i/>
          <w:color w:val="000000"/>
        </w:rPr>
        <w:t xml:space="preserve">coastal </w:t>
      </w:r>
      <w:r w:rsidR="001961E3" w:rsidRPr="004F39E2">
        <w:rPr>
          <w:i/>
          <w:color w:val="000000"/>
        </w:rPr>
        <w:t>r</w:t>
      </w:r>
      <w:r w:rsidR="001961E3" w:rsidRPr="004F39E2">
        <w:rPr>
          <w:i/>
          <w:color w:val="000000"/>
          <w:vertAlign w:val="superscript"/>
        </w:rPr>
        <w:t>2</w:t>
      </w:r>
      <w:r w:rsidR="001961E3" w:rsidRPr="004F39E2">
        <w:rPr>
          <w:i/>
          <w:color w:val="000000"/>
        </w:rPr>
        <w:t xml:space="preserve"> = 0.</w:t>
      </w:r>
      <w:r w:rsidR="00BA409D" w:rsidRPr="004F39E2">
        <w:rPr>
          <w:i/>
          <w:color w:val="000000"/>
        </w:rPr>
        <w:t>2</w:t>
      </w:r>
      <w:r w:rsidR="004F39E2" w:rsidRPr="004F39E2">
        <w:rPr>
          <w:i/>
          <w:color w:val="000000"/>
        </w:rPr>
        <w:t>3 (PI) and 0.07 (MP);</w:t>
      </w:r>
      <w:bookmarkEnd w:id="435"/>
      <w:bookmarkEnd w:id="436"/>
      <w:r w:rsidR="004B7588" w:rsidRPr="004F39E2">
        <w:rPr>
          <w:i/>
          <w:color w:val="000000"/>
        </w:rPr>
        <w:t xml:space="preserve"> reef r</w:t>
      </w:r>
      <w:r w:rsidR="004B7588" w:rsidRPr="004F39E2">
        <w:rPr>
          <w:i/>
          <w:color w:val="000000"/>
          <w:vertAlign w:val="superscript"/>
        </w:rPr>
        <w:t>2</w:t>
      </w:r>
      <w:r w:rsidR="004B7588" w:rsidRPr="004F39E2">
        <w:rPr>
          <w:i/>
          <w:color w:val="000000"/>
        </w:rPr>
        <w:t xml:space="preserve"> = 0.</w:t>
      </w:r>
      <w:r w:rsidR="004F39E2" w:rsidRPr="004F39E2">
        <w:rPr>
          <w:i/>
          <w:color w:val="000000"/>
        </w:rPr>
        <w:t>64 (HM) and 0.54 (HB)</w:t>
      </w:r>
      <w:r w:rsidR="004B7588" w:rsidRPr="004F39E2">
        <w:rPr>
          <w:i/>
          <w:color w:val="000000"/>
        </w:rPr>
        <w:t>.</w:t>
      </w:r>
      <w:r w:rsidR="000377A0" w:rsidRPr="00BA409D">
        <w:rPr>
          <w:color w:val="000000"/>
        </w:rPr>
        <w:t xml:space="preserve"> </w:t>
      </w:r>
    </w:p>
    <w:p w:rsidR="001264B9" w:rsidRDefault="008F1379" w:rsidP="00C31BE9">
      <w:pPr>
        <w:rPr>
          <w:color w:val="000000"/>
          <w:szCs w:val="22"/>
        </w:rPr>
      </w:pPr>
      <w:r w:rsidRPr="008F1379">
        <w:rPr>
          <w:color w:val="000000"/>
          <w:szCs w:val="22"/>
        </w:rPr>
        <w:t xml:space="preserve">An examination of the long term trends across the </w:t>
      </w:r>
      <w:r>
        <w:rPr>
          <w:color w:val="000000"/>
          <w:szCs w:val="22"/>
        </w:rPr>
        <w:t>Mackay Whitsunday</w:t>
      </w:r>
      <w:r w:rsidRPr="008F1379">
        <w:rPr>
          <w:color w:val="000000"/>
          <w:szCs w:val="22"/>
        </w:rPr>
        <w:t xml:space="preserve"> NRM region suggests seagrass abundance (% cover) </w:t>
      </w:r>
      <w:r w:rsidR="00630574">
        <w:rPr>
          <w:color w:val="000000"/>
          <w:szCs w:val="22"/>
        </w:rPr>
        <w:t xml:space="preserve">continued to improve in 2014 from losses experienced in 2011 but remains below the pre-2009 levels </w:t>
      </w:r>
      <w:r w:rsidR="00630574" w:rsidRPr="008F1379">
        <w:rPr>
          <w:color w:val="000000"/>
          <w:szCs w:val="22"/>
        </w:rPr>
        <w:t>(Figure 86)</w:t>
      </w:r>
      <w:r w:rsidR="00630574">
        <w:rPr>
          <w:color w:val="000000"/>
          <w:szCs w:val="22"/>
        </w:rPr>
        <w:t>. The slight decrease in early 2015 is most likely the natural seasonal decline</w:t>
      </w:r>
      <w:r w:rsidRPr="008F1379">
        <w:rPr>
          <w:color w:val="000000"/>
          <w:szCs w:val="22"/>
        </w:rPr>
        <w:t>.</w:t>
      </w:r>
    </w:p>
    <w:p w:rsidR="001264B9" w:rsidRDefault="008F1379" w:rsidP="00F4372B">
      <w:pPr>
        <w:keepNext/>
        <w:widowControl w:val="0"/>
        <w:spacing w:after="0"/>
        <w:jc w:val="center"/>
        <w:rPr>
          <w:color w:val="000000"/>
          <w:szCs w:val="22"/>
        </w:rPr>
      </w:pPr>
      <w:r>
        <w:rPr>
          <w:noProof/>
          <w:color w:val="000000"/>
          <w:szCs w:val="22"/>
          <w:lang w:eastAsia="en-AU"/>
        </w:rPr>
        <w:lastRenderedPageBreak/>
        <w:drawing>
          <wp:inline distT="0" distB="0" distL="0" distR="0" wp14:anchorId="13D357BF" wp14:editId="2DD9F8CE">
            <wp:extent cx="3960000" cy="2343600"/>
            <wp:effectExtent l="0" t="0" r="2540" b="0"/>
            <wp:docPr id="80" name="Picture 80" descr="GAM plot showing long-term temporal trends in seagrass abundance for each location in the Mackay Whitsunday NRM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MW_cvr_GAM_Jan16.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3960000" cy="2343600"/>
                    </a:xfrm>
                    <a:prstGeom prst="rect">
                      <a:avLst/>
                    </a:prstGeom>
                  </pic:spPr>
                </pic:pic>
              </a:graphicData>
            </a:graphic>
          </wp:inline>
        </w:drawing>
      </w:r>
    </w:p>
    <w:p w:rsidR="008F1379" w:rsidRPr="008F1379" w:rsidRDefault="00F4372B" w:rsidP="00F4372B">
      <w:pPr>
        <w:rPr>
          <w:i/>
          <w:vanish/>
          <w:specVanish/>
        </w:rPr>
      </w:pPr>
      <w:bookmarkStart w:id="437" w:name="_Toc462684914"/>
      <w:r>
        <w:t xml:space="preserve">Figure </w:t>
      </w:r>
      <w:fldSimple w:instr=" SEQ Figure \* ARABIC ">
        <w:r w:rsidR="009C068F">
          <w:rPr>
            <w:noProof/>
          </w:rPr>
          <w:t>74</w:t>
        </w:r>
      </w:fldSimple>
      <w:r>
        <w:t xml:space="preserve">. </w:t>
      </w:r>
      <w:r w:rsidR="008F1379" w:rsidRPr="008F1379">
        <w:rPr>
          <w:i/>
        </w:rPr>
        <w:t>Temporal trends in seagrass abundance for each location in the Mackay Whitsunday region represented by a GAM plot.</w:t>
      </w:r>
      <w:bookmarkEnd w:id="437"/>
    </w:p>
    <w:p w:rsidR="001264B9" w:rsidRDefault="008F1379" w:rsidP="00F4372B">
      <w:pPr>
        <w:rPr>
          <w:color w:val="000000"/>
          <w:szCs w:val="22"/>
        </w:rPr>
      </w:pPr>
      <w:r w:rsidRPr="008F1379">
        <w:rPr>
          <w:i/>
        </w:rPr>
        <w:t xml:space="preserve">  Regional trend (all habitats pooled) represented by black line with grey shaded areas defining 95% confidence intervals.</w:t>
      </w:r>
    </w:p>
    <w:p w:rsidR="00C31BE9" w:rsidRPr="00C31BE9" w:rsidRDefault="00C31BE9" w:rsidP="00C31BE9">
      <w:pPr>
        <w:rPr>
          <w:color w:val="000000"/>
          <w:szCs w:val="22"/>
        </w:rPr>
      </w:pPr>
      <w:r w:rsidRPr="00C31BE9">
        <w:rPr>
          <w:color w:val="000000"/>
          <w:szCs w:val="22"/>
        </w:rPr>
        <w:t xml:space="preserve">The most common seagrass species across all habitats in the Mackay Whitsunday NRM region were </w:t>
      </w:r>
      <w:proofErr w:type="spellStart"/>
      <w:r w:rsidRPr="00994153">
        <w:rPr>
          <w:i/>
          <w:color w:val="000000"/>
          <w:szCs w:val="22"/>
        </w:rPr>
        <w:t>Halodule</w:t>
      </w:r>
      <w:proofErr w:type="spellEnd"/>
      <w:r w:rsidRPr="00994153">
        <w:rPr>
          <w:i/>
          <w:color w:val="000000"/>
          <w:szCs w:val="22"/>
        </w:rPr>
        <w:t xml:space="preserve"> </w:t>
      </w:r>
      <w:proofErr w:type="spellStart"/>
      <w:r w:rsidRPr="00994153">
        <w:rPr>
          <w:i/>
          <w:color w:val="000000"/>
          <w:szCs w:val="22"/>
        </w:rPr>
        <w:t>uninervis</w:t>
      </w:r>
      <w:proofErr w:type="spellEnd"/>
      <w:r w:rsidRPr="00C31BE9">
        <w:rPr>
          <w:color w:val="000000"/>
          <w:szCs w:val="22"/>
        </w:rPr>
        <w:t xml:space="preserve"> and </w:t>
      </w:r>
      <w:proofErr w:type="spellStart"/>
      <w:r w:rsidRPr="00994153">
        <w:rPr>
          <w:i/>
          <w:color w:val="000000"/>
          <w:szCs w:val="22"/>
        </w:rPr>
        <w:t>Zostera</w:t>
      </w:r>
      <w:proofErr w:type="spellEnd"/>
      <w:r w:rsidRPr="00994153">
        <w:rPr>
          <w:i/>
          <w:color w:val="000000"/>
          <w:szCs w:val="22"/>
        </w:rPr>
        <w:t xml:space="preserve"> </w:t>
      </w:r>
      <w:proofErr w:type="spellStart"/>
      <w:r w:rsidRPr="00994153">
        <w:rPr>
          <w:i/>
          <w:color w:val="000000"/>
          <w:szCs w:val="22"/>
        </w:rPr>
        <w:t>muelleri</w:t>
      </w:r>
      <w:proofErr w:type="spellEnd"/>
      <w:r w:rsidRPr="00C31BE9">
        <w:rPr>
          <w:color w:val="000000"/>
          <w:szCs w:val="22"/>
        </w:rPr>
        <w:t xml:space="preserve">, mixed with the colonising species </w:t>
      </w:r>
      <w:proofErr w:type="spellStart"/>
      <w:r w:rsidRPr="00994153">
        <w:rPr>
          <w:i/>
          <w:color w:val="000000"/>
          <w:szCs w:val="22"/>
        </w:rPr>
        <w:t>Halophila</w:t>
      </w:r>
      <w:proofErr w:type="spellEnd"/>
      <w:r w:rsidRPr="00994153">
        <w:rPr>
          <w:i/>
          <w:color w:val="000000"/>
          <w:szCs w:val="22"/>
        </w:rPr>
        <w:t xml:space="preserve"> </w:t>
      </w:r>
      <w:proofErr w:type="spellStart"/>
      <w:r w:rsidRPr="00994153">
        <w:rPr>
          <w:i/>
          <w:color w:val="000000"/>
          <w:szCs w:val="22"/>
        </w:rPr>
        <w:t>ovalis</w:t>
      </w:r>
      <w:proofErr w:type="spellEnd"/>
      <w:r w:rsidRPr="00C31BE9">
        <w:rPr>
          <w:color w:val="000000"/>
          <w:szCs w:val="22"/>
        </w:rPr>
        <w:t xml:space="preserve">. </w:t>
      </w:r>
    </w:p>
    <w:p w:rsidR="00C31BE9" w:rsidRDefault="00C31BE9" w:rsidP="00C31BE9">
      <w:pPr>
        <w:rPr>
          <w:color w:val="000000"/>
          <w:szCs w:val="22"/>
          <w:lang w:val="en-GB"/>
        </w:rPr>
      </w:pPr>
      <w:r w:rsidRPr="00C31BE9">
        <w:rPr>
          <w:color w:val="000000"/>
          <w:szCs w:val="22"/>
        </w:rPr>
        <w:t xml:space="preserve">Colonising species have recently dominated in coastal meadows across the Mackay Whitsunday NRM following the extreme weather in 2011. As in other regions, during 2014-15 colonising species have been replaced by the opportunistic foundational species </w:t>
      </w:r>
      <w:r w:rsidRPr="00993358">
        <w:rPr>
          <w:i/>
          <w:color w:val="000000"/>
          <w:szCs w:val="22"/>
        </w:rPr>
        <w:t xml:space="preserve">H. </w:t>
      </w:r>
      <w:proofErr w:type="spellStart"/>
      <w:r w:rsidRPr="00993358">
        <w:rPr>
          <w:i/>
          <w:color w:val="000000"/>
          <w:szCs w:val="22"/>
        </w:rPr>
        <w:t>uninervis</w:t>
      </w:r>
      <w:proofErr w:type="spellEnd"/>
      <w:r w:rsidRPr="00C31BE9">
        <w:rPr>
          <w:color w:val="000000"/>
          <w:szCs w:val="22"/>
        </w:rPr>
        <w:t xml:space="preserve"> and </w:t>
      </w:r>
      <w:r w:rsidRPr="00993358">
        <w:rPr>
          <w:i/>
          <w:color w:val="000000"/>
          <w:szCs w:val="22"/>
        </w:rPr>
        <w:t xml:space="preserve">Z. </w:t>
      </w:r>
      <w:proofErr w:type="spellStart"/>
      <w:r w:rsidRPr="00993358">
        <w:rPr>
          <w:i/>
          <w:color w:val="000000"/>
          <w:szCs w:val="22"/>
        </w:rPr>
        <w:t>muelleri</w:t>
      </w:r>
      <w:proofErr w:type="spellEnd"/>
      <w:r w:rsidRPr="00C31BE9">
        <w:rPr>
          <w:color w:val="000000"/>
          <w:szCs w:val="22"/>
        </w:rPr>
        <w:t>, which now dominate (</w:t>
      </w:r>
      <w:r w:rsidR="00993358" w:rsidRPr="00C03C5F">
        <w:rPr>
          <w:color w:val="000000"/>
          <w:szCs w:val="22"/>
          <w:lang w:val="en-GB"/>
        </w:rPr>
        <w:fldChar w:fldCharType="begin"/>
      </w:r>
      <w:r w:rsidR="00993358" w:rsidRPr="00C03C5F">
        <w:rPr>
          <w:color w:val="000000"/>
          <w:szCs w:val="22"/>
          <w:lang w:val="en-GB"/>
        </w:rPr>
        <w:instrText xml:space="preserve"> REF _Ref382206677 \h  \* MERGEFORMAT </w:instrText>
      </w:r>
      <w:r w:rsidR="00993358" w:rsidRPr="00C03C5F">
        <w:rPr>
          <w:color w:val="000000"/>
          <w:szCs w:val="22"/>
          <w:lang w:val="en-GB"/>
        </w:rPr>
      </w:r>
      <w:r w:rsidR="00993358" w:rsidRPr="00C03C5F">
        <w:rPr>
          <w:color w:val="000000"/>
          <w:szCs w:val="22"/>
          <w:lang w:val="en-GB"/>
        </w:rPr>
        <w:fldChar w:fldCharType="separate"/>
      </w:r>
      <w:r w:rsidR="009C068F" w:rsidRPr="006B4212">
        <w:rPr>
          <w:color w:val="000000"/>
          <w:szCs w:val="22"/>
        </w:rPr>
        <w:t xml:space="preserve">Figure </w:t>
      </w:r>
      <w:r w:rsidR="009C068F">
        <w:rPr>
          <w:noProof/>
          <w:color w:val="000000"/>
          <w:szCs w:val="22"/>
        </w:rPr>
        <w:t>75</w:t>
      </w:r>
      <w:r w:rsidR="00993358" w:rsidRPr="00C03C5F">
        <w:rPr>
          <w:color w:val="000000"/>
          <w:szCs w:val="22"/>
          <w:lang w:val="en-GB"/>
        </w:rPr>
        <w:fldChar w:fldCharType="end"/>
      </w:r>
      <w:r w:rsidR="00993358">
        <w:rPr>
          <w:color w:val="000000"/>
          <w:szCs w:val="22"/>
          <w:lang w:val="en-GB"/>
        </w:rPr>
        <w:t>, Appendix 4</w:t>
      </w:r>
      <w:r w:rsidRPr="00C31BE9">
        <w:rPr>
          <w:color w:val="000000"/>
          <w:szCs w:val="22"/>
        </w:rPr>
        <w:t>). Estuarine habitats are typically dynamic and fluctuations in species composition are common, but a similar displacement of colonising species occurred in estuarine sites in 2014-15 in favour of other opportunistic foundational species. In contrast, in reef habitats (</w:t>
      </w:r>
      <w:r w:rsidR="00993358" w:rsidRPr="00C31BE9">
        <w:rPr>
          <w:color w:val="000000"/>
          <w:szCs w:val="22"/>
        </w:rPr>
        <w:t>H</w:t>
      </w:r>
      <w:r w:rsidR="00993358">
        <w:rPr>
          <w:color w:val="000000"/>
          <w:szCs w:val="22"/>
        </w:rPr>
        <w:t>amilton Island</w:t>
      </w:r>
      <w:r w:rsidRPr="00C31BE9">
        <w:rPr>
          <w:color w:val="000000"/>
          <w:szCs w:val="22"/>
        </w:rPr>
        <w:t>), colonising species have steadily increased.</w:t>
      </w:r>
      <w:r w:rsidR="004B23A1" w:rsidRPr="00C03C5F">
        <w:rPr>
          <w:color w:val="000000"/>
          <w:szCs w:val="22"/>
          <w:lang w:val="en-GB"/>
        </w:rPr>
        <w:t>The dominance of the foundational</w:t>
      </w:r>
      <w:r w:rsidR="00994153">
        <w:rPr>
          <w:color w:val="000000"/>
          <w:szCs w:val="22"/>
          <w:lang w:val="en-GB"/>
        </w:rPr>
        <w:t xml:space="preserve"> (opportunistic and persistent)</w:t>
      </w:r>
      <w:r w:rsidR="004B23A1" w:rsidRPr="00C03C5F">
        <w:rPr>
          <w:color w:val="000000"/>
          <w:szCs w:val="22"/>
          <w:lang w:val="en-GB"/>
        </w:rPr>
        <w:t xml:space="preserve"> species</w:t>
      </w:r>
      <w:r w:rsidR="009D511F" w:rsidRPr="00C03C5F">
        <w:rPr>
          <w:color w:val="000000"/>
          <w:szCs w:val="22"/>
          <w:lang w:val="en-GB"/>
        </w:rPr>
        <w:t xml:space="preserve"> in </w:t>
      </w:r>
      <w:r w:rsidR="00C03C5F" w:rsidRPr="00C03C5F">
        <w:rPr>
          <w:color w:val="000000"/>
          <w:szCs w:val="22"/>
          <w:lang w:val="en-GB"/>
        </w:rPr>
        <w:t xml:space="preserve">meadows across all habitats </w:t>
      </w:r>
      <w:r w:rsidR="009D511F" w:rsidRPr="00C03C5F">
        <w:rPr>
          <w:color w:val="000000"/>
          <w:szCs w:val="22"/>
          <w:lang w:val="en-GB"/>
        </w:rPr>
        <w:t>in the Mackay Whitsunday NRM region</w:t>
      </w:r>
      <w:r w:rsidR="00C03C5F" w:rsidRPr="00C03C5F">
        <w:rPr>
          <w:color w:val="000000"/>
          <w:szCs w:val="22"/>
          <w:lang w:val="en-GB"/>
        </w:rPr>
        <w:t xml:space="preserve"> continued to improve over the last 2 monitoring periods</w:t>
      </w:r>
      <w:r w:rsidR="004B23A1" w:rsidRPr="00C03C5F">
        <w:rPr>
          <w:color w:val="000000"/>
          <w:szCs w:val="22"/>
          <w:lang w:val="en-GB"/>
        </w:rPr>
        <w:t xml:space="preserve">, </w:t>
      </w:r>
      <w:r w:rsidR="004B23A1" w:rsidRPr="00C03C5F">
        <w:rPr>
          <w:rFonts w:cs="TimesNewRoman,Italic"/>
          <w:iCs/>
          <w:color w:val="000000"/>
          <w:szCs w:val="22"/>
        </w:rPr>
        <w:t>suggest</w:t>
      </w:r>
      <w:r w:rsidR="00C03C5F" w:rsidRPr="00C03C5F">
        <w:rPr>
          <w:rFonts w:cs="TimesNewRoman,Italic"/>
          <w:iCs/>
          <w:color w:val="000000"/>
          <w:szCs w:val="22"/>
        </w:rPr>
        <w:t>ing</w:t>
      </w:r>
      <w:r w:rsidR="00CD083E" w:rsidRPr="00C03C5F">
        <w:rPr>
          <w:rFonts w:cs="TimesNewRoman,Italic"/>
          <w:iCs/>
          <w:color w:val="000000"/>
          <w:szCs w:val="22"/>
        </w:rPr>
        <w:t xml:space="preserve"> meadows may have a</w:t>
      </w:r>
      <w:r w:rsidR="00C03C5F" w:rsidRPr="00C03C5F">
        <w:rPr>
          <w:rFonts w:cs="TimesNewRoman,Italic"/>
          <w:iCs/>
          <w:color w:val="000000"/>
          <w:szCs w:val="22"/>
        </w:rPr>
        <w:t>n improved</w:t>
      </w:r>
      <w:r w:rsidR="00CD083E" w:rsidRPr="00C03C5F">
        <w:rPr>
          <w:rFonts w:cs="TimesNewRoman,Italic"/>
          <w:iCs/>
          <w:color w:val="000000"/>
          <w:szCs w:val="22"/>
        </w:rPr>
        <w:t xml:space="preserve"> </w:t>
      </w:r>
      <w:r w:rsidR="004B23A1" w:rsidRPr="00C03C5F">
        <w:rPr>
          <w:rFonts w:cs="TimesNewRoman,Italic"/>
          <w:iCs/>
          <w:color w:val="000000"/>
          <w:szCs w:val="22"/>
        </w:rPr>
        <w:t>ecosystem resistance</w:t>
      </w:r>
      <w:r w:rsidR="00CD083E" w:rsidRPr="00C03C5F">
        <w:rPr>
          <w:rFonts w:cs="TimesNewRoman,Italic"/>
          <w:iCs/>
          <w:color w:val="000000"/>
          <w:szCs w:val="22"/>
        </w:rPr>
        <w:t xml:space="preserve"> to tolerate disturbances</w:t>
      </w:r>
      <w:r w:rsidR="004B23A1" w:rsidRPr="00C03C5F">
        <w:rPr>
          <w:color w:val="000000"/>
          <w:szCs w:val="22"/>
          <w:lang w:val="en-GB"/>
        </w:rPr>
        <w:t xml:space="preserve"> </w:t>
      </w:r>
      <w:r w:rsidR="00CD083E" w:rsidRPr="00C03C5F">
        <w:rPr>
          <w:color w:val="000000"/>
          <w:szCs w:val="22"/>
          <w:lang w:val="en-GB"/>
        </w:rPr>
        <w:t>(</w:t>
      </w:r>
      <w:r w:rsidR="00CD083E" w:rsidRPr="00C03C5F">
        <w:rPr>
          <w:color w:val="000000"/>
          <w:szCs w:val="22"/>
          <w:lang w:val="en-GB"/>
        </w:rPr>
        <w:fldChar w:fldCharType="begin"/>
      </w:r>
      <w:r w:rsidR="00CD083E" w:rsidRPr="00C03C5F">
        <w:rPr>
          <w:color w:val="000000"/>
          <w:szCs w:val="22"/>
          <w:lang w:val="en-GB"/>
        </w:rPr>
        <w:instrText xml:space="preserve"> REF _Ref382206677 \h  \* MERGEFORMAT </w:instrText>
      </w:r>
      <w:r w:rsidR="00CD083E" w:rsidRPr="00C03C5F">
        <w:rPr>
          <w:color w:val="000000"/>
          <w:szCs w:val="22"/>
          <w:lang w:val="en-GB"/>
        </w:rPr>
      </w:r>
      <w:r w:rsidR="00CD083E" w:rsidRPr="00C03C5F">
        <w:rPr>
          <w:color w:val="000000"/>
          <w:szCs w:val="22"/>
          <w:lang w:val="en-GB"/>
        </w:rPr>
        <w:fldChar w:fldCharType="separate"/>
      </w:r>
      <w:r w:rsidR="009C068F" w:rsidRPr="006B4212">
        <w:rPr>
          <w:color w:val="000000"/>
          <w:szCs w:val="22"/>
        </w:rPr>
        <w:t xml:space="preserve">Figure </w:t>
      </w:r>
      <w:r w:rsidR="009C068F">
        <w:rPr>
          <w:noProof/>
          <w:color w:val="000000"/>
          <w:szCs w:val="22"/>
        </w:rPr>
        <w:t>75</w:t>
      </w:r>
      <w:r w:rsidR="00CD083E" w:rsidRPr="00C03C5F">
        <w:rPr>
          <w:color w:val="000000"/>
          <w:szCs w:val="22"/>
          <w:lang w:val="en-GB"/>
        </w:rPr>
        <w:fldChar w:fldCharType="end"/>
      </w:r>
      <w:r w:rsidR="00CD083E" w:rsidRPr="00C03C5F">
        <w:rPr>
          <w:color w:val="000000"/>
          <w:szCs w:val="22"/>
          <w:lang w:val="en-GB"/>
        </w:rPr>
        <w:t>)</w:t>
      </w:r>
      <w:r w:rsidR="004B23A1" w:rsidRPr="00C03C5F">
        <w:rPr>
          <w:color w:val="000000"/>
          <w:szCs w:val="22"/>
          <w:lang w:val="en-GB"/>
        </w:rPr>
        <w:t xml:space="preserve">. </w:t>
      </w:r>
    </w:p>
    <w:p w:rsidR="00C31BE9" w:rsidRPr="00C03C5F" w:rsidRDefault="00C31BE9" w:rsidP="00630574">
      <w:pPr>
        <w:keepNext/>
        <w:widowControl w:val="0"/>
        <w:spacing w:after="0"/>
        <w:jc w:val="center"/>
        <w:rPr>
          <w:color w:val="000000"/>
          <w:szCs w:val="22"/>
        </w:rPr>
      </w:pPr>
      <w:r>
        <w:rPr>
          <w:noProof/>
          <w:color w:val="000000"/>
          <w:szCs w:val="22"/>
          <w:lang w:eastAsia="en-AU"/>
        </w:rPr>
        <w:drawing>
          <wp:inline distT="0" distB="0" distL="0" distR="0" wp14:anchorId="1E2AB614" wp14:editId="6797DC6E">
            <wp:extent cx="4320000" cy="1558800"/>
            <wp:effectExtent l="0" t="0" r="4445" b="3810"/>
            <wp:docPr id="521" name="Picture 521" descr="Panel of three area plots showing proportion of seagrass abundance composed of species displaying colonising traits at inshore habitats in the Mackay Whitsunday NRM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colonising_2015.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4320000" cy="1558800"/>
                    </a:xfrm>
                    <a:prstGeom prst="rect">
                      <a:avLst/>
                    </a:prstGeom>
                  </pic:spPr>
                </pic:pic>
              </a:graphicData>
            </a:graphic>
          </wp:inline>
        </w:drawing>
      </w:r>
    </w:p>
    <w:p w:rsidR="00C03C5F" w:rsidRPr="00C03C5F" w:rsidRDefault="008C4B1E" w:rsidP="00C03C5F">
      <w:pPr>
        <w:rPr>
          <w:vanish/>
          <w:color w:val="000000"/>
          <w:szCs w:val="22"/>
          <w:specVanish/>
        </w:rPr>
      </w:pPr>
      <w:bookmarkStart w:id="438" w:name="_Ref382206677"/>
      <w:bookmarkStart w:id="439" w:name="_Toc431493874"/>
      <w:bookmarkStart w:id="440" w:name="_Toc462684915"/>
      <w:r w:rsidRPr="006B421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75</w:t>
      </w:r>
      <w:r w:rsidR="0073595B">
        <w:rPr>
          <w:color w:val="000000"/>
          <w:szCs w:val="22"/>
        </w:rPr>
        <w:fldChar w:fldCharType="end"/>
      </w:r>
      <w:bookmarkEnd w:id="438"/>
      <w:r w:rsidRPr="006B4212">
        <w:rPr>
          <w:color w:val="000000"/>
          <w:szCs w:val="22"/>
        </w:rPr>
        <w:t xml:space="preserve">. </w:t>
      </w:r>
      <w:r w:rsidRPr="006B4212">
        <w:rPr>
          <w:i/>
          <w:color w:val="000000"/>
          <w:szCs w:val="22"/>
        </w:rPr>
        <w:t xml:space="preserve">Proportion of seagrass abundance composed of </w:t>
      </w:r>
      <w:r w:rsidR="00C31BE9">
        <w:rPr>
          <w:i/>
          <w:color w:val="000000"/>
          <w:szCs w:val="22"/>
        </w:rPr>
        <w:t>colonising</w:t>
      </w:r>
      <w:r w:rsidR="00A22D98" w:rsidRPr="006B4212">
        <w:rPr>
          <w:i/>
          <w:color w:val="000000"/>
          <w:szCs w:val="22"/>
        </w:rPr>
        <w:t xml:space="preserve"> species</w:t>
      </w:r>
      <w:r w:rsidR="006341F9" w:rsidRPr="006B4212">
        <w:rPr>
          <w:i/>
          <w:color w:val="000000"/>
          <w:szCs w:val="22"/>
        </w:rPr>
        <w:t xml:space="preserve"> at inshore intertidal habitats in the Mackay Whitsunday region, 1999 - 201</w:t>
      </w:r>
      <w:r w:rsidR="00C31BE9">
        <w:rPr>
          <w:i/>
          <w:color w:val="000000"/>
          <w:szCs w:val="22"/>
        </w:rPr>
        <w:t>5</w:t>
      </w:r>
      <w:r w:rsidRPr="006B4212">
        <w:rPr>
          <w:i/>
          <w:color w:val="000000"/>
          <w:szCs w:val="22"/>
        </w:rPr>
        <w:t>.</w:t>
      </w:r>
      <w:bookmarkEnd w:id="439"/>
      <w:bookmarkEnd w:id="440"/>
      <w:r w:rsidR="006341F9" w:rsidRPr="006B4212">
        <w:rPr>
          <w:vanish/>
          <w:color w:val="000000"/>
          <w:szCs w:val="22"/>
          <w:specVanish/>
        </w:rPr>
        <w:t xml:space="preserve"> </w:t>
      </w:r>
      <w:r w:rsidRPr="006B4212">
        <w:rPr>
          <w:i/>
          <w:color w:val="000000"/>
          <w:szCs w:val="22"/>
        </w:rPr>
        <w:t xml:space="preserve"> </w:t>
      </w:r>
    </w:p>
    <w:p w:rsidR="00C03C5F" w:rsidRPr="006B4212" w:rsidRDefault="008C4B1E" w:rsidP="006341F9">
      <w:pPr>
        <w:rPr>
          <w:color w:val="000000"/>
          <w:szCs w:val="22"/>
        </w:rPr>
      </w:pPr>
      <w:r w:rsidRPr="006B4212">
        <w:rPr>
          <w:i/>
          <w:color w:val="000000"/>
          <w:szCs w:val="22"/>
        </w:rPr>
        <w:t xml:space="preserve">Grey area represents GBR long-term average proportion of </w:t>
      </w:r>
      <w:r w:rsidR="00C31BE9">
        <w:rPr>
          <w:i/>
          <w:color w:val="000000"/>
          <w:szCs w:val="22"/>
        </w:rPr>
        <w:t>colonising</w:t>
      </w:r>
      <w:r w:rsidR="00C31BE9" w:rsidRPr="006B4212">
        <w:rPr>
          <w:i/>
          <w:color w:val="000000"/>
          <w:szCs w:val="22"/>
        </w:rPr>
        <w:t xml:space="preserve"> </w:t>
      </w:r>
      <w:r w:rsidR="00A22D98" w:rsidRPr="006B4212">
        <w:rPr>
          <w:i/>
          <w:color w:val="000000"/>
          <w:szCs w:val="22"/>
        </w:rPr>
        <w:t xml:space="preserve">species </w:t>
      </w:r>
      <w:r w:rsidRPr="006B4212">
        <w:rPr>
          <w:i/>
          <w:color w:val="000000"/>
          <w:szCs w:val="22"/>
        </w:rPr>
        <w:t>for each habitat type</w:t>
      </w:r>
      <w:r w:rsidRPr="006B4212">
        <w:rPr>
          <w:color w:val="000000"/>
          <w:szCs w:val="22"/>
        </w:rPr>
        <w:t>.</w:t>
      </w:r>
      <w:r w:rsidR="006341F9" w:rsidRPr="006B4212">
        <w:rPr>
          <w:color w:val="000000"/>
          <w:szCs w:val="22"/>
        </w:rPr>
        <w:t xml:space="preserve"> </w:t>
      </w:r>
    </w:p>
    <w:p w:rsidR="009D511F" w:rsidRPr="00353373" w:rsidRDefault="00F9462F" w:rsidP="00034AD4">
      <w:pPr>
        <w:spacing w:before="240"/>
        <w:rPr>
          <w:szCs w:val="22"/>
        </w:rPr>
      </w:pPr>
      <w:r w:rsidRPr="00F9462F">
        <w:rPr>
          <w:szCs w:val="22"/>
        </w:rPr>
        <w:t>Seagrass meadow edge mapping was conducted within a 100m radius of all monitoring sites in October 2014 and April 2015 to determine if changes in abundance were a consequence of the meadow edges changing and to indicate if plants were allocating resources to colonisation (asexual reproduction) (Appendix 4).</w:t>
      </w:r>
      <w:r w:rsidR="005132EF" w:rsidRPr="00353373">
        <w:rPr>
          <w:szCs w:val="22"/>
        </w:rPr>
        <w:t xml:space="preserve">  Over the past 12 months, </w:t>
      </w:r>
      <w:r w:rsidR="00353373" w:rsidRPr="00353373">
        <w:rPr>
          <w:szCs w:val="22"/>
        </w:rPr>
        <w:t xml:space="preserve">coastal and estuarine </w:t>
      </w:r>
      <w:r w:rsidR="009D511F" w:rsidRPr="00353373">
        <w:rPr>
          <w:szCs w:val="22"/>
        </w:rPr>
        <w:t xml:space="preserve">meadows </w:t>
      </w:r>
      <w:r w:rsidR="00C03C5F" w:rsidRPr="00353373">
        <w:rPr>
          <w:szCs w:val="22"/>
        </w:rPr>
        <w:t xml:space="preserve">have continued to expand across the region </w:t>
      </w:r>
      <w:r w:rsidR="00353373" w:rsidRPr="00353373">
        <w:rPr>
          <w:szCs w:val="22"/>
        </w:rPr>
        <w:t>however reef meadows have gradually declined since late 2014</w:t>
      </w:r>
      <w:r w:rsidR="005132EF" w:rsidRPr="00353373">
        <w:rPr>
          <w:szCs w:val="22"/>
        </w:rPr>
        <w:t xml:space="preserve"> (</w:t>
      </w:r>
      <w:r w:rsidR="00766670" w:rsidRPr="00353373">
        <w:rPr>
          <w:szCs w:val="22"/>
        </w:rPr>
        <w:fldChar w:fldCharType="begin"/>
      </w:r>
      <w:r w:rsidR="00766670" w:rsidRPr="00353373">
        <w:rPr>
          <w:szCs w:val="22"/>
        </w:rPr>
        <w:instrText xml:space="preserve"> REF _Ref348961776 \h </w:instrText>
      </w:r>
      <w:r w:rsidR="00015190" w:rsidRPr="00353373">
        <w:rPr>
          <w:szCs w:val="22"/>
        </w:rPr>
        <w:instrText xml:space="preserve"> \* MERGEFORMAT </w:instrText>
      </w:r>
      <w:r w:rsidR="00766670" w:rsidRPr="00353373">
        <w:rPr>
          <w:szCs w:val="22"/>
        </w:rPr>
      </w:r>
      <w:r w:rsidR="00766670" w:rsidRPr="00353373">
        <w:rPr>
          <w:szCs w:val="22"/>
        </w:rPr>
        <w:fldChar w:fldCharType="separate"/>
      </w:r>
      <w:r w:rsidR="009C068F" w:rsidRPr="009C068F">
        <w:rPr>
          <w:szCs w:val="22"/>
        </w:rPr>
        <w:t xml:space="preserve">Figure </w:t>
      </w:r>
      <w:r w:rsidR="009C068F" w:rsidRPr="009C068F">
        <w:rPr>
          <w:noProof/>
          <w:szCs w:val="22"/>
        </w:rPr>
        <w:t>76</w:t>
      </w:r>
      <w:r w:rsidR="00766670" w:rsidRPr="00353373">
        <w:rPr>
          <w:szCs w:val="22"/>
        </w:rPr>
        <w:fldChar w:fldCharType="end"/>
      </w:r>
      <w:r w:rsidR="005132EF" w:rsidRPr="00353373">
        <w:rPr>
          <w:szCs w:val="22"/>
        </w:rPr>
        <w:t xml:space="preserve">). </w:t>
      </w:r>
    </w:p>
    <w:p w:rsidR="00C31BE9" w:rsidRPr="00C31BE9" w:rsidRDefault="00C31BE9" w:rsidP="00C31BE9">
      <w:pPr>
        <w:spacing w:before="240"/>
        <w:jc w:val="center"/>
        <w:rPr>
          <w:szCs w:val="22"/>
        </w:rPr>
      </w:pPr>
      <w:r w:rsidRPr="00C31BE9">
        <w:rPr>
          <w:noProof/>
          <w:szCs w:val="22"/>
          <w:lang w:eastAsia="en-AU"/>
        </w:rPr>
        <w:lastRenderedPageBreak/>
        <w:drawing>
          <wp:inline distT="0" distB="0" distL="0" distR="0" wp14:anchorId="47F04685" wp14:editId="67CE3EFF">
            <wp:extent cx="4320000" cy="1864800"/>
            <wp:effectExtent l="0" t="0" r="4445" b="2540"/>
            <wp:docPr id="522" name="Picture 522" descr="Line graph showing spatial extent of seagrass meadows within a 100m radius of monitoring sites for each habitat and monitoring period across the Mackay Whitsunda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extent_avg_2015.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4320000" cy="1864800"/>
                    </a:xfrm>
                    <a:prstGeom prst="rect">
                      <a:avLst/>
                    </a:prstGeom>
                  </pic:spPr>
                </pic:pic>
              </a:graphicData>
            </a:graphic>
          </wp:inline>
        </w:drawing>
      </w:r>
    </w:p>
    <w:p w:rsidR="008C4B1E" w:rsidRDefault="005132EF" w:rsidP="008C4B1E">
      <w:pPr>
        <w:rPr>
          <w:i/>
          <w:color w:val="000000"/>
          <w:szCs w:val="22"/>
        </w:rPr>
      </w:pPr>
      <w:bookmarkStart w:id="441" w:name="_Ref348961776"/>
      <w:bookmarkStart w:id="442" w:name="_Toc431493875"/>
      <w:bookmarkStart w:id="443" w:name="_Toc462684916"/>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76</w:t>
      </w:r>
      <w:r w:rsidR="0073595B">
        <w:rPr>
          <w:color w:val="000000"/>
          <w:szCs w:val="22"/>
        </w:rPr>
        <w:fldChar w:fldCharType="end"/>
      </w:r>
      <w:bookmarkEnd w:id="441"/>
      <w:r w:rsidRPr="005373CC">
        <w:rPr>
          <w:color w:val="000000"/>
          <w:szCs w:val="22"/>
        </w:rPr>
        <w:t>.</w:t>
      </w:r>
      <w:r w:rsidRPr="005373CC">
        <w:rPr>
          <w:i/>
          <w:color w:val="000000"/>
          <w:szCs w:val="22"/>
        </w:rPr>
        <w:t xml:space="preserve"> </w:t>
      </w:r>
      <w:r w:rsidR="008C4B1E" w:rsidRPr="005373CC">
        <w:rPr>
          <w:i/>
          <w:color w:val="000000"/>
          <w:szCs w:val="22"/>
        </w:rPr>
        <w:t xml:space="preserve">Change in spatial extent of seagrass meadows within a 100m radius of monitoring sites for each </w:t>
      </w:r>
      <w:r w:rsidR="006341F9" w:rsidRPr="005373CC">
        <w:rPr>
          <w:i/>
          <w:color w:val="000000"/>
          <w:szCs w:val="22"/>
        </w:rPr>
        <w:t xml:space="preserve">inshore intertidal </w:t>
      </w:r>
      <w:r w:rsidR="008C4B1E" w:rsidRPr="005373CC">
        <w:rPr>
          <w:i/>
          <w:color w:val="000000"/>
          <w:szCs w:val="22"/>
        </w:rPr>
        <w:t>habitat and monitoring period across the Mackay Whitsunday NRM region.</w:t>
      </w:r>
      <w:bookmarkEnd w:id="442"/>
      <w:bookmarkEnd w:id="443"/>
    </w:p>
    <w:p w:rsidR="005C0B31" w:rsidRDefault="005C0B31" w:rsidP="005C0B31">
      <w:pPr>
        <w:spacing w:before="240"/>
      </w:pPr>
      <w:r>
        <w:t>Benthic surveys</w:t>
      </w:r>
      <w:r>
        <w:rPr>
          <w:szCs w:val="22"/>
        </w:rPr>
        <w:t xml:space="preserve"> for </w:t>
      </w:r>
      <w:r w:rsidRPr="00F9462F">
        <w:rPr>
          <w:szCs w:val="22"/>
        </w:rPr>
        <w:t>North Queensland Bulk Ports</w:t>
      </w:r>
      <w:r>
        <w:rPr>
          <w:szCs w:val="22"/>
        </w:rPr>
        <w:t xml:space="preserve"> at the Port of Hay Point </w:t>
      </w:r>
      <w:r>
        <w:t>and Keswick Island group mapped</w:t>
      </w:r>
      <w:r w:rsidRPr="00784152">
        <w:t xml:space="preserve"> </w:t>
      </w:r>
      <w:r>
        <w:t>8,937.7 ±5,433.6 ha of seagrass meadows in October/November 2014</w:t>
      </w:r>
      <w:r>
        <w:rPr>
          <w:szCs w:val="22"/>
        </w:rPr>
        <w:t xml:space="preserve"> (</w:t>
      </w:r>
      <w:hyperlink w:anchor="_ENREF_159" w:tooltip="McKenna, 2015 #10490" w:history="1">
        <w:r w:rsidR="00E6043D">
          <w:rPr>
            <w:szCs w:val="22"/>
          </w:rPr>
          <w:fldChar w:fldCharType="begin"/>
        </w:r>
        <w:r w:rsidR="00E6043D">
          <w:rPr>
            <w:szCs w:val="22"/>
          </w:rPr>
          <w:instrText xml:space="preserve"> ADDIN EN.CITE &lt;EndNote&gt;&lt;Cite&gt;&lt;Author&gt;McKenna&lt;/Author&gt;&lt;Year&gt;2015&lt;/Year&gt;&lt;RecNum&gt;10490&lt;/RecNum&gt;&lt;DisplayText&gt;McKenna and Rasheed 2015&lt;/DisplayText&gt;&lt;record&gt;&lt;rec-number&gt;10490&lt;/rec-number&gt;&lt;foreign-keys&gt;&lt;key app="EN" db-id="0eve55x9y5vfd6e9dacxtew4eatve2dzds9a"&gt;10490&lt;/key&gt;&lt;/foreign-keys&gt;&lt;ref-type name="Book"&gt;6&lt;/ref-type&gt;&lt;contributors&gt;&lt;authors&gt;&lt;author&gt;McKenna, SA&lt;/author&gt;&lt;author&gt;Rasheed, MA&lt;/author&gt;&lt;/authors&gt;&lt;/contributors&gt;&lt;titles&gt;&lt;title&gt;Port of Hay Point &amp;amp; Keswick Island Seagrass &amp;amp; Benthic Habitat: baseline survey – 2014&lt;/title&gt;&lt;/titles&gt;&lt;pages&gt;46&lt;/pages&gt;&lt;dates&gt;&lt;year&gt;2015&lt;/year&gt;&lt;/dates&gt;&lt;pub-location&gt;Cairns&lt;/pub-location&gt;&lt;publisher&gt;JCU Publication, Centre for Tropical Water &amp;amp; Aquatic Ecosystem Research Publication&lt;/publisher&gt;&lt;urls&gt;&lt;/urls&gt;&lt;/record&gt;&lt;/Cite&gt;&lt;/EndNote&gt;</w:instrText>
        </w:r>
        <w:r w:rsidR="00E6043D">
          <w:rPr>
            <w:szCs w:val="22"/>
          </w:rPr>
          <w:fldChar w:fldCharType="separate"/>
        </w:r>
        <w:r w:rsidR="00E6043D">
          <w:rPr>
            <w:noProof/>
            <w:szCs w:val="22"/>
          </w:rPr>
          <w:t>McKenna and Rasheed 2015</w:t>
        </w:r>
        <w:r w:rsidR="00E6043D">
          <w:rPr>
            <w:szCs w:val="22"/>
          </w:rPr>
          <w:fldChar w:fldCharType="end"/>
        </w:r>
      </w:hyperlink>
      <w:r>
        <w:rPr>
          <w:szCs w:val="22"/>
        </w:rPr>
        <w:t>)</w:t>
      </w:r>
      <w:r>
        <w:t xml:space="preserve">. There have been 5 surveys </w:t>
      </w:r>
      <w:r>
        <w:rPr>
          <w:rFonts w:cs="Calibri"/>
          <w:sz w:val="21"/>
          <w:szCs w:val="21"/>
        </w:rPr>
        <w:t>(2004, 2005, 2010, 2011, 2014) of the Port of Hay Point, and t</w:t>
      </w:r>
      <w:r>
        <w:t>his was the largest area of seagrass recorded</w:t>
      </w:r>
      <w:r w:rsidRPr="00784152">
        <w:t xml:space="preserve"> </w:t>
      </w:r>
      <w:r>
        <w:t xml:space="preserve">since the baseline assessments conducted in 2004, and a significant increase since the last survey in 2011 </w:t>
      </w:r>
      <w:r>
        <w:rPr>
          <w:szCs w:val="22"/>
        </w:rPr>
        <w:t>(</w:t>
      </w:r>
      <w:hyperlink w:anchor="_ENREF_159" w:tooltip="McKenna, 2015 #10490" w:history="1">
        <w:r w:rsidR="00E6043D">
          <w:rPr>
            <w:szCs w:val="22"/>
          </w:rPr>
          <w:fldChar w:fldCharType="begin"/>
        </w:r>
        <w:r w:rsidR="00E6043D">
          <w:rPr>
            <w:szCs w:val="22"/>
          </w:rPr>
          <w:instrText xml:space="preserve"> ADDIN EN.CITE &lt;EndNote&gt;&lt;Cite&gt;&lt;Author&gt;McKenna&lt;/Author&gt;&lt;Year&gt;2015&lt;/Year&gt;&lt;RecNum&gt;10490&lt;/RecNum&gt;&lt;DisplayText&gt;McKenna and Rasheed 2015&lt;/DisplayText&gt;&lt;record&gt;&lt;rec-number&gt;10490&lt;/rec-number&gt;&lt;foreign-keys&gt;&lt;key app="EN" db-id="0eve55x9y5vfd6e9dacxtew4eatve2dzds9a"&gt;10490&lt;/key&gt;&lt;/foreign-keys&gt;&lt;ref-type name="Book"&gt;6&lt;/ref-type&gt;&lt;contributors&gt;&lt;authors&gt;&lt;author&gt;McKenna, SA&lt;/author&gt;&lt;author&gt;Rasheed, MA&lt;/author&gt;&lt;/authors&gt;&lt;/contributors&gt;&lt;titles&gt;&lt;title&gt;Port of Hay Point &amp;amp; Keswick Island Seagrass &amp;amp; Benthic Habitat: baseline survey – 2014&lt;/title&gt;&lt;/titles&gt;&lt;pages&gt;46&lt;/pages&gt;&lt;dates&gt;&lt;year&gt;2015&lt;/year&gt;&lt;/dates&gt;&lt;pub-location&gt;Cairns&lt;/pub-location&gt;&lt;publisher&gt;JCU Publication, Centre for Tropical Water &amp;amp; Aquatic Ecosystem Research Publication&lt;/publisher&gt;&lt;urls&gt;&lt;/urls&gt;&lt;/record&gt;&lt;/Cite&gt;&lt;/EndNote&gt;</w:instrText>
        </w:r>
        <w:r w:rsidR="00E6043D">
          <w:rPr>
            <w:szCs w:val="22"/>
          </w:rPr>
          <w:fldChar w:fldCharType="separate"/>
        </w:r>
        <w:r w:rsidR="00E6043D">
          <w:rPr>
            <w:noProof/>
            <w:szCs w:val="22"/>
          </w:rPr>
          <w:t>McKenna and Rasheed 2015</w:t>
        </w:r>
        <w:r w:rsidR="00E6043D">
          <w:rPr>
            <w:szCs w:val="22"/>
          </w:rPr>
          <w:fldChar w:fldCharType="end"/>
        </w:r>
      </w:hyperlink>
      <w:r>
        <w:rPr>
          <w:szCs w:val="22"/>
        </w:rPr>
        <w:t>)</w:t>
      </w:r>
      <w:r>
        <w:t xml:space="preserve">. The meadow abundance in 2014 was, however, significantly lower than the 2004 baseline, but higher than the 2011 minima </w:t>
      </w:r>
      <w:r>
        <w:rPr>
          <w:szCs w:val="22"/>
        </w:rPr>
        <w:t>(</w:t>
      </w:r>
      <w:hyperlink w:anchor="_ENREF_159" w:tooltip="McKenna, 2015 #10490" w:history="1">
        <w:r w:rsidR="00E6043D">
          <w:rPr>
            <w:szCs w:val="22"/>
          </w:rPr>
          <w:fldChar w:fldCharType="begin"/>
        </w:r>
        <w:r w:rsidR="00E6043D">
          <w:rPr>
            <w:szCs w:val="22"/>
          </w:rPr>
          <w:instrText xml:space="preserve"> ADDIN EN.CITE &lt;EndNote&gt;&lt;Cite&gt;&lt;Author&gt;McKenna&lt;/Author&gt;&lt;Year&gt;2015&lt;/Year&gt;&lt;RecNum&gt;10490&lt;/RecNum&gt;&lt;DisplayText&gt;McKenna and Rasheed 2015&lt;/DisplayText&gt;&lt;record&gt;&lt;rec-number&gt;10490&lt;/rec-number&gt;&lt;foreign-keys&gt;&lt;key app="EN" db-id="0eve55x9y5vfd6e9dacxtew4eatve2dzds9a"&gt;10490&lt;/key&gt;&lt;/foreign-keys&gt;&lt;ref-type name="Book"&gt;6&lt;/ref-type&gt;&lt;contributors&gt;&lt;authors&gt;&lt;author&gt;McKenna, SA&lt;/author&gt;&lt;author&gt;Rasheed, MA&lt;/author&gt;&lt;/authors&gt;&lt;/contributors&gt;&lt;titles&gt;&lt;title&gt;Port of Hay Point &amp;amp; Keswick Island Seagrass &amp;amp; Benthic Habitat: baseline survey – 2014&lt;/title&gt;&lt;/titles&gt;&lt;pages&gt;46&lt;/pages&gt;&lt;dates&gt;&lt;year&gt;2015&lt;/year&gt;&lt;/dates&gt;&lt;pub-location&gt;Cairns&lt;/pub-location&gt;&lt;publisher&gt;JCU Publication, Centre for Tropical Water &amp;amp; Aquatic Ecosystem Research Publication&lt;/publisher&gt;&lt;urls&gt;&lt;/urls&gt;&lt;/record&gt;&lt;/Cite&gt;&lt;/EndNote&gt;</w:instrText>
        </w:r>
        <w:r w:rsidR="00E6043D">
          <w:rPr>
            <w:szCs w:val="22"/>
          </w:rPr>
          <w:fldChar w:fldCharType="separate"/>
        </w:r>
        <w:r w:rsidR="00E6043D">
          <w:rPr>
            <w:noProof/>
            <w:szCs w:val="22"/>
          </w:rPr>
          <w:t>McKenna and Rasheed 2015</w:t>
        </w:r>
        <w:r w:rsidR="00E6043D">
          <w:rPr>
            <w:szCs w:val="22"/>
          </w:rPr>
          <w:fldChar w:fldCharType="end"/>
        </w:r>
      </w:hyperlink>
      <w:r>
        <w:rPr>
          <w:szCs w:val="22"/>
        </w:rPr>
        <w:t>)</w:t>
      </w:r>
      <w:r>
        <w:t xml:space="preserve">. Seagrass was found to a depth of 19.9m in the open area off Hay Point and 29.7m in the lee of Keswick Island. The meadows consisted of aggregated to isolated patches dominated by the colonising species </w:t>
      </w:r>
      <w:proofErr w:type="spellStart"/>
      <w:r w:rsidRPr="00AA2D41">
        <w:rPr>
          <w:i/>
        </w:rPr>
        <w:t>Halophila</w:t>
      </w:r>
      <w:proofErr w:type="spellEnd"/>
      <w:r w:rsidRPr="00AA2D41">
        <w:rPr>
          <w:i/>
        </w:rPr>
        <w:t xml:space="preserve"> </w:t>
      </w:r>
      <w:proofErr w:type="spellStart"/>
      <w:r w:rsidRPr="00AA2D41">
        <w:rPr>
          <w:i/>
        </w:rPr>
        <w:t>decipiens</w:t>
      </w:r>
      <w:proofErr w:type="spellEnd"/>
      <w:r>
        <w:t xml:space="preserve"> (off Hay Point) and </w:t>
      </w:r>
      <w:proofErr w:type="spellStart"/>
      <w:r w:rsidRPr="00AA2D41">
        <w:rPr>
          <w:i/>
        </w:rPr>
        <w:t>Halophila</w:t>
      </w:r>
      <w:proofErr w:type="spellEnd"/>
      <w:r w:rsidRPr="00AA2D41">
        <w:rPr>
          <w:i/>
        </w:rPr>
        <w:t xml:space="preserve"> </w:t>
      </w:r>
      <w:proofErr w:type="spellStart"/>
      <w:r w:rsidRPr="00AA2D41">
        <w:rPr>
          <w:i/>
        </w:rPr>
        <w:t>tricostata</w:t>
      </w:r>
      <w:proofErr w:type="spellEnd"/>
      <w:r>
        <w:t xml:space="preserve"> (Keswick Island meadows). The 2014 survey also recorded isolated patches of opportunistic species such as a small (4.5ha) patch of </w:t>
      </w:r>
      <w:proofErr w:type="spellStart"/>
      <w:r w:rsidRPr="00AA2D41">
        <w:rPr>
          <w:i/>
        </w:rPr>
        <w:t>Zostera</w:t>
      </w:r>
      <w:proofErr w:type="spellEnd"/>
      <w:r w:rsidRPr="00AA2D41">
        <w:rPr>
          <w:i/>
        </w:rPr>
        <w:t xml:space="preserve"> </w:t>
      </w:r>
      <w:proofErr w:type="spellStart"/>
      <w:r w:rsidRPr="00AA2D41">
        <w:rPr>
          <w:i/>
        </w:rPr>
        <w:t>muelleri</w:t>
      </w:r>
      <w:proofErr w:type="spellEnd"/>
      <w:r>
        <w:t xml:space="preserve"> on the large intertidal banks in </w:t>
      </w:r>
      <w:r w:rsidRPr="00A66C75">
        <w:t>Sandringham Bay</w:t>
      </w:r>
      <w:r>
        <w:t>, not previously recorded (</w:t>
      </w:r>
      <w:hyperlink w:anchor="_ENREF_56" w:tooltip="Coles, 2001 #9761" w:history="1">
        <w:r w:rsidR="00E6043D">
          <w:fldChar w:fldCharType="begin"/>
        </w:r>
        <w:r w:rsidR="00E6043D">
          <w:instrText xml:space="preserve"> ADDIN EN.CITE &lt;EndNote&gt;&lt;Cite&gt;&lt;Author&gt;Coles&lt;/Author&gt;&lt;Year&gt;2001&lt;/Year&gt;&lt;RecNum&gt;9761&lt;/RecNum&gt;&lt;DisplayText&gt;Coles&lt;style face="italic"&gt;, et al.&lt;/style&gt; 2001b&lt;/DisplayText&gt;&lt;record&gt;&lt;rec-number&gt;9761&lt;/rec-number&gt;&lt;foreign-keys&gt;&lt;key app="EN" db-id="0eve55x9y5vfd6e9dacxtew4eatve2dzds9a"&gt;9761&lt;/key&gt;&lt;/foreign-keys&gt;&lt;ref-type name="Report"&gt;27&lt;/ref-type&gt;&lt;contributors&gt;&lt;authors&gt;&lt;author&gt;Coles, R G&lt;/author&gt;&lt;author&gt;McKenzie, Len J&lt;/author&gt;&lt;author&gt;Yoshida, Rudi L&lt;/author&gt;&lt;/authors&gt;&lt;/contributors&gt;&lt;titles&gt;&lt;title&gt;Validation and GIS of seagrass surveys between Bowen and Water Park Point– March/April 1987&lt;/title&gt;&lt;/titles&gt;&lt;pages&gt;CD Rom.&lt;/pages&gt;&lt;dates&gt;&lt;year&gt;2001&lt;/year&gt;&lt;/dates&gt;&lt;pub-location&gt;Cairns&lt;/pub-location&gt;&lt;publisher&gt;DPI, QFS&lt;/publisher&gt;&lt;urls&gt;&lt;/urls&gt;&lt;/record&gt;&lt;/Cite&gt;&lt;/EndNote&gt;</w:instrText>
        </w:r>
        <w:r w:rsidR="00E6043D">
          <w:fldChar w:fldCharType="separate"/>
        </w:r>
        <w:r w:rsidR="00E6043D">
          <w:rPr>
            <w:noProof/>
          </w:rPr>
          <w:t>Coles</w:t>
        </w:r>
        <w:r w:rsidR="00E6043D" w:rsidRPr="00644A84">
          <w:rPr>
            <w:i/>
            <w:noProof/>
          </w:rPr>
          <w:t>, et al.</w:t>
        </w:r>
        <w:r w:rsidR="00E6043D">
          <w:rPr>
            <w:noProof/>
          </w:rPr>
          <w:t xml:space="preserve"> 2001b</w:t>
        </w:r>
        <w:r w:rsidR="00E6043D">
          <w:fldChar w:fldCharType="end"/>
        </w:r>
      </w:hyperlink>
      <w:r>
        <w:t xml:space="preserve">). 99.5% of the seagrass mapped was </w:t>
      </w:r>
      <w:proofErr w:type="spellStart"/>
      <w:r w:rsidRPr="00AE03D4">
        <w:rPr>
          <w:i/>
        </w:rPr>
        <w:t>Halophila</w:t>
      </w:r>
      <w:proofErr w:type="spellEnd"/>
      <w:r w:rsidRPr="00AE03D4">
        <w:rPr>
          <w:i/>
        </w:rPr>
        <w:t xml:space="preserve"> </w:t>
      </w:r>
      <w:proofErr w:type="spellStart"/>
      <w:r w:rsidRPr="00AE03D4">
        <w:rPr>
          <w:i/>
        </w:rPr>
        <w:t>decipiens</w:t>
      </w:r>
      <w:proofErr w:type="spellEnd"/>
      <w:r>
        <w:t xml:space="preserve"> with a visually estimated above-ground biomass of 0.003 ±0.001g DW m</w:t>
      </w:r>
      <w:r w:rsidRPr="005C0B31">
        <w:rPr>
          <w:vertAlign w:val="superscript"/>
        </w:rPr>
        <w:t>-2</w:t>
      </w:r>
      <w:r>
        <w:t xml:space="preserve"> </w:t>
      </w:r>
      <w:r>
        <w:rPr>
          <w:szCs w:val="22"/>
        </w:rPr>
        <w:t>(</w:t>
      </w:r>
      <w:hyperlink w:anchor="_ENREF_159" w:tooltip="McKenna, 2015 #10490" w:history="1">
        <w:r w:rsidR="00E6043D">
          <w:rPr>
            <w:szCs w:val="22"/>
          </w:rPr>
          <w:fldChar w:fldCharType="begin"/>
        </w:r>
        <w:r w:rsidR="00E6043D">
          <w:rPr>
            <w:szCs w:val="22"/>
          </w:rPr>
          <w:instrText xml:space="preserve"> ADDIN EN.CITE &lt;EndNote&gt;&lt;Cite&gt;&lt;Author&gt;McKenna&lt;/Author&gt;&lt;Year&gt;2015&lt;/Year&gt;&lt;RecNum&gt;10490&lt;/RecNum&gt;&lt;DisplayText&gt;McKenna and Rasheed 2015&lt;/DisplayText&gt;&lt;record&gt;&lt;rec-number&gt;10490&lt;/rec-number&gt;&lt;foreign-keys&gt;&lt;key app="EN" db-id="0eve55x9y5vfd6e9dacxtew4eatve2dzds9a"&gt;10490&lt;/key&gt;&lt;/foreign-keys&gt;&lt;ref-type name="Book"&gt;6&lt;/ref-type&gt;&lt;contributors&gt;&lt;authors&gt;&lt;author&gt;McKenna, SA&lt;/author&gt;&lt;author&gt;Rasheed, MA&lt;/author&gt;&lt;/authors&gt;&lt;/contributors&gt;&lt;titles&gt;&lt;title&gt;Port of Hay Point &amp;amp; Keswick Island Seagrass &amp;amp; Benthic Habitat: baseline survey – 2014&lt;/title&gt;&lt;/titles&gt;&lt;pages&gt;46&lt;/pages&gt;&lt;dates&gt;&lt;year&gt;2015&lt;/year&gt;&lt;/dates&gt;&lt;pub-location&gt;Cairns&lt;/pub-location&gt;&lt;publisher&gt;JCU Publication, Centre for Tropical Water &amp;amp; Aquatic Ecosystem Research Publication&lt;/publisher&gt;&lt;urls&gt;&lt;/urls&gt;&lt;/record&gt;&lt;/Cite&gt;&lt;/EndNote&gt;</w:instrText>
        </w:r>
        <w:r w:rsidR="00E6043D">
          <w:rPr>
            <w:szCs w:val="22"/>
          </w:rPr>
          <w:fldChar w:fldCharType="separate"/>
        </w:r>
        <w:r w:rsidR="00E6043D">
          <w:rPr>
            <w:noProof/>
            <w:szCs w:val="22"/>
          </w:rPr>
          <w:t>McKenna and Rasheed 2015</w:t>
        </w:r>
        <w:r w:rsidR="00E6043D">
          <w:rPr>
            <w:szCs w:val="22"/>
          </w:rPr>
          <w:fldChar w:fldCharType="end"/>
        </w:r>
      </w:hyperlink>
      <w:r>
        <w:rPr>
          <w:szCs w:val="22"/>
        </w:rPr>
        <w:t>)</w:t>
      </w:r>
      <w:r>
        <w:t xml:space="preserve">; which equates to approximately 3-4 pairs of leaves per square metre, based on </w:t>
      </w:r>
      <w:proofErr w:type="spellStart"/>
      <w:r>
        <w:t>Mellors</w:t>
      </w:r>
      <w:proofErr w:type="spellEnd"/>
      <w:r>
        <w:t xml:space="preserve"> (</w:t>
      </w:r>
      <w:hyperlink w:anchor="_ENREF_186" w:tooltip="Mellors, 1991 #418" w:history="1">
        <w:r w:rsidR="00E6043D">
          <w:fldChar w:fldCharType="begin"/>
        </w:r>
        <w:r w:rsidR="00E6043D">
          <w:instrText xml:space="preserve"> ADDIN EN.CITE &lt;EndNote&gt;&lt;Cite ExcludeAuth="1"&gt;&lt;Year&gt;1991&lt;/Year&gt;&lt;RecNum&gt;418&lt;/RecNum&gt;&lt;DisplayText&gt;1991&lt;/DisplayText&gt;&lt;record&gt;&lt;rec-number&gt;418&lt;/rec-number&gt;&lt;foreign-keys&gt;&lt;key app="EN" db-id="0eve55x9y5vfd6e9dacxtew4eatve2dzds9a"&gt;418&lt;/key&gt;&lt;/foreign-keys&gt;&lt;ref-type name="Journal Article"&gt;17&lt;/ref-type&gt;&lt;contributors&gt;&lt;authors&gt;&lt;author&gt;Mellors, Jane E.&lt;/author&gt;&lt;/authors&gt;&lt;/contributors&gt;&lt;titles&gt;&lt;title&gt;An evaluation of a rapid visual technique for estimating seagrass biomass&lt;/title&gt;&lt;secondary-title&gt;Aquatic Botany&lt;/secondary-title&gt;&lt;/titles&gt;&lt;periodical&gt;&lt;full-title&gt;Aquatic Botany&lt;/full-title&gt;&lt;/periodical&gt;&lt;pages&gt;67-73&lt;/pages&gt;&lt;volume&gt;42&lt;/volume&gt;&lt;dates&gt;&lt;year&gt;1991&lt;/year&gt;&lt;/dates&gt;&lt;urls&gt;&lt;/urls&gt;&lt;custom1&gt;Annex&lt;/custom1&gt;&lt;/record&gt;&lt;/Cite&gt;&lt;/EndNote&gt;</w:instrText>
        </w:r>
        <w:r w:rsidR="00E6043D">
          <w:fldChar w:fldCharType="separate"/>
        </w:r>
        <w:r w:rsidR="00E6043D">
          <w:rPr>
            <w:noProof/>
          </w:rPr>
          <w:t>1991</w:t>
        </w:r>
        <w:r w:rsidR="00E6043D">
          <w:fldChar w:fldCharType="end"/>
        </w:r>
      </w:hyperlink>
      <w:r>
        <w:t>) that the lowest rank is determined by the accuracy of the scientific scales used for calibration (i.e. 0.01g). Five offshore open seabed and two coastal areas in the Hay Point/Mackay region have been identified for long-term seagrass monitoring. An additional two reference areas in the Keswick Island group have also been identified, however, as these are within 2 n miles of a reef</w:t>
      </w:r>
      <w:r w:rsidR="00993358">
        <w:t>/</w:t>
      </w:r>
      <w:r>
        <w:t>island</w:t>
      </w:r>
      <w:r w:rsidR="00993358">
        <w:t>,</w:t>
      </w:r>
      <w:r>
        <w:t xml:space="preserve"> </w:t>
      </w:r>
      <w:r w:rsidR="00993358">
        <w:t>judgements regarding the state of the broader region will need to be interpreted with caution</w:t>
      </w:r>
      <w:r>
        <w:t xml:space="preserve"> due to effects of proximity or shelter from waves (see </w:t>
      </w:r>
      <w:hyperlink w:anchor="_ENREF_49" w:tooltip="Coles, 2009 #9367" w:history="1">
        <w:r w:rsidR="00E6043D">
          <w:fldChar w:fldCharType="begin"/>
        </w:r>
        <w:r w:rsidR="00E6043D">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E6043D">
          <w:fldChar w:fldCharType="separate"/>
        </w:r>
        <w:r w:rsidR="00E6043D">
          <w:rPr>
            <w:noProof/>
          </w:rPr>
          <w:t>Coles</w:t>
        </w:r>
        <w:r w:rsidR="00E6043D" w:rsidRPr="00644A84">
          <w:rPr>
            <w:i/>
            <w:noProof/>
          </w:rPr>
          <w:t>, et al.</w:t>
        </w:r>
        <w:r w:rsidR="00E6043D">
          <w:rPr>
            <w:noProof/>
          </w:rPr>
          <w:t xml:space="preserve"> 2009</w:t>
        </w:r>
        <w:r w:rsidR="00E6043D">
          <w:fldChar w:fldCharType="end"/>
        </w:r>
      </w:hyperlink>
      <w:r>
        <w:t>).</w:t>
      </w:r>
    </w:p>
    <w:p w:rsidR="00F9462F" w:rsidRPr="00F9462F" w:rsidRDefault="00F9462F" w:rsidP="00F9462F">
      <w:pPr>
        <w:spacing w:before="240"/>
        <w:rPr>
          <w:szCs w:val="22"/>
        </w:rPr>
      </w:pPr>
    </w:p>
    <w:p w:rsidR="005132EF" w:rsidRPr="004F2236" w:rsidRDefault="005132EF" w:rsidP="004F2236">
      <w:pPr>
        <w:pStyle w:val="Heading4"/>
        <w:numPr>
          <w:ilvl w:val="0"/>
          <w:numId w:val="0"/>
        </w:numPr>
        <w:rPr>
          <w:rFonts w:ascii="Arial" w:hAnsi="Arial" w:cs="Arial"/>
          <w:sz w:val="24"/>
          <w:szCs w:val="24"/>
        </w:rPr>
      </w:pPr>
      <w:bookmarkStart w:id="444" w:name="_Toc184102014"/>
      <w:r w:rsidRPr="004F2236">
        <w:rPr>
          <w:rFonts w:ascii="Arial" w:hAnsi="Arial" w:cs="Arial"/>
          <w:sz w:val="24"/>
          <w:szCs w:val="24"/>
        </w:rPr>
        <w:t>Seagrass reproductive status</w:t>
      </w:r>
      <w:bookmarkEnd w:id="444"/>
    </w:p>
    <w:p w:rsidR="00C31BE9" w:rsidRDefault="00C31BE9" w:rsidP="009D7E19">
      <w:pPr>
        <w:rPr>
          <w:color w:val="000000"/>
          <w:szCs w:val="22"/>
          <w:lang w:val="en-GB"/>
        </w:rPr>
      </w:pPr>
      <w:r w:rsidRPr="00C31BE9">
        <w:rPr>
          <w:color w:val="000000"/>
          <w:szCs w:val="22"/>
          <w:lang w:val="en-GB"/>
        </w:rPr>
        <w:t xml:space="preserve">Reproductive effort was highly variable in the Mackay Whitsunday region, but increased in 2014-15 at coastal and estuarine </w:t>
      </w:r>
      <w:r w:rsidR="008F1379">
        <w:rPr>
          <w:color w:val="000000"/>
          <w:szCs w:val="22"/>
          <w:lang w:val="en-GB"/>
        </w:rPr>
        <w:t>habitats</w:t>
      </w:r>
      <w:r w:rsidRPr="00C31BE9">
        <w:rPr>
          <w:color w:val="000000"/>
          <w:szCs w:val="22"/>
          <w:lang w:val="en-GB"/>
        </w:rPr>
        <w:t xml:space="preserve"> compared to 2013-14</w:t>
      </w:r>
      <w:r w:rsidR="008F1379">
        <w:rPr>
          <w:color w:val="000000"/>
          <w:szCs w:val="22"/>
          <w:lang w:val="en-GB"/>
        </w:rPr>
        <w:t xml:space="preserve"> (</w:t>
      </w:r>
      <w:r w:rsidR="008F1379">
        <w:rPr>
          <w:color w:val="000000"/>
          <w:szCs w:val="22"/>
          <w:lang w:val="en-GB"/>
        </w:rPr>
        <w:fldChar w:fldCharType="begin"/>
      </w:r>
      <w:r w:rsidR="008F1379">
        <w:rPr>
          <w:color w:val="000000"/>
          <w:szCs w:val="22"/>
          <w:lang w:val="en-GB"/>
        </w:rPr>
        <w:instrText xml:space="preserve"> REF _Ref271532047 \h </w:instrText>
      </w:r>
      <w:r w:rsidR="008F1379">
        <w:rPr>
          <w:color w:val="000000"/>
          <w:szCs w:val="22"/>
          <w:lang w:val="en-GB"/>
        </w:rPr>
      </w:r>
      <w:r w:rsidR="008F1379">
        <w:rPr>
          <w:color w:val="000000"/>
          <w:szCs w:val="22"/>
          <w:lang w:val="en-GB"/>
        </w:rPr>
        <w:fldChar w:fldCharType="separate"/>
      </w:r>
      <w:r w:rsidR="009C068F" w:rsidRPr="00CA2B35">
        <w:rPr>
          <w:color w:val="000000"/>
        </w:rPr>
        <w:t xml:space="preserve">Figure </w:t>
      </w:r>
      <w:r w:rsidR="009C068F">
        <w:rPr>
          <w:noProof/>
          <w:color w:val="000000"/>
        </w:rPr>
        <w:t>77</w:t>
      </w:r>
      <w:r w:rsidR="008F1379">
        <w:rPr>
          <w:color w:val="000000"/>
          <w:szCs w:val="22"/>
          <w:lang w:val="en-GB"/>
        </w:rPr>
        <w:fldChar w:fldCharType="end"/>
      </w:r>
      <w:r w:rsidR="008F1379">
        <w:rPr>
          <w:color w:val="000000"/>
          <w:szCs w:val="22"/>
          <w:lang w:val="en-GB"/>
        </w:rPr>
        <w:t>)</w:t>
      </w:r>
      <w:r w:rsidRPr="00C31BE9">
        <w:rPr>
          <w:color w:val="000000"/>
          <w:szCs w:val="22"/>
          <w:lang w:val="en-GB"/>
        </w:rPr>
        <w:t xml:space="preserve">. In contrast, at the reef sites, there was a large peak in 2013-14, which subsequently declined in 2014-15.  Banks of predominately </w:t>
      </w:r>
      <w:proofErr w:type="spellStart"/>
      <w:r w:rsidRPr="008F1379">
        <w:rPr>
          <w:i/>
          <w:color w:val="000000"/>
          <w:szCs w:val="22"/>
          <w:lang w:val="en-GB"/>
        </w:rPr>
        <w:t>Halodule</w:t>
      </w:r>
      <w:proofErr w:type="spellEnd"/>
      <w:r w:rsidRPr="008F1379">
        <w:rPr>
          <w:i/>
          <w:color w:val="000000"/>
          <w:szCs w:val="22"/>
          <w:lang w:val="en-GB"/>
        </w:rPr>
        <w:t xml:space="preserve"> </w:t>
      </w:r>
      <w:proofErr w:type="spellStart"/>
      <w:r w:rsidRPr="008F1379">
        <w:rPr>
          <w:i/>
          <w:color w:val="000000"/>
          <w:szCs w:val="22"/>
          <w:lang w:val="en-GB"/>
        </w:rPr>
        <w:t>uninervis</w:t>
      </w:r>
      <w:proofErr w:type="spellEnd"/>
      <w:r w:rsidRPr="00C31BE9">
        <w:rPr>
          <w:color w:val="000000"/>
          <w:szCs w:val="22"/>
          <w:lang w:val="en-GB"/>
        </w:rPr>
        <w:t xml:space="preserve"> and some </w:t>
      </w:r>
      <w:proofErr w:type="spellStart"/>
      <w:r w:rsidRPr="008F1379">
        <w:rPr>
          <w:i/>
          <w:color w:val="000000"/>
          <w:szCs w:val="22"/>
          <w:lang w:val="en-GB"/>
        </w:rPr>
        <w:t>Zostera</w:t>
      </w:r>
      <w:proofErr w:type="spellEnd"/>
      <w:r w:rsidRPr="008F1379">
        <w:rPr>
          <w:i/>
          <w:color w:val="000000"/>
          <w:szCs w:val="22"/>
          <w:lang w:val="en-GB"/>
        </w:rPr>
        <w:t xml:space="preserve"> </w:t>
      </w:r>
      <w:proofErr w:type="spellStart"/>
      <w:r w:rsidRPr="008F1379">
        <w:rPr>
          <w:i/>
          <w:color w:val="000000"/>
          <w:szCs w:val="22"/>
          <w:lang w:val="en-GB"/>
        </w:rPr>
        <w:t>muelleri</w:t>
      </w:r>
      <w:proofErr w:type="spellEnd"/>
      <w:r w:rsidRPr="00C31BE9">
        <w:rPr>
          <w:color w:val="000000"/>
          <w:szCs w:val="22"/>
          <w:lang w:val="en-GB"/>
        </w:rPr>
        <w:t xml:space="preserve"> seeds have varied greatly over the past decade, however, very few seeds have been found in reef habitat meadows</w:t>
      </w:r>
      <w:r w:rsidR="008F1379">
        <w:rPr>
          <w:color w:val="000000"/>
          <w:szCs w:val="22"/>
          <w:lang w:val="en-GB"/>
        </w:rPr>
        <w:t xml:space="preserve"> (</w:t>
      </w:r>
      <w:r w:rsidR="008F1379">
        <w:rPr>
          <w:color w:val="000000"/>
          <w:szCs w:val="22"/>
          <w:lang w:val="en-GB"/>
        </w:rPr>
        <w:fldChar w:fldCharType="begin"/>
      </w:r>
      <w:r w:rsidR="008F1379">
        <w:rPr>
          <w:color w:val="000000"/>
          <w:szCs w:val="22"/>
          <w:lang w:val="en-GB"/>
        </w:rPr>
        <w:instrText xml:space="preserve"> REF _Ref271532047 \h </w:instrText>
      </w:r>
      <w:r w:rsidR="008F1379">
        <w:rPr>
          <w:color w:val="000000"/>
          <w:szCs w:val="22"/>
          <w:lang w:val="en-GB"/>
        </w:rPr>
      </w:r>
      <w:r w:rsidR="008F1379">
        <w:rPr>
          <w:color w:val="000000"/>
          <w:szCs w:val="22"/>
          <w:lang w:val="en-GB"/>
        </w:rPr>
        <w:fldChar w:fldCharType="separate"/>
      </w:r>
      <w:r w:rsidR="009C068F" w:rsidRPr="00CA2B35">
        <w:rPr>
          <w:color w:val="000000"/>
        </w:rPr>
        <w:t xml:space="preserve">Figure </w:t>
      </w:r>
      <w:r w:rsidR="009C068F">
        <w:rPr>
          <w:noProof/>
          <w:color w:val="000000"/>
        </w:rPr>
        <w:t>77</w:t>
      </w:r>
      <w:r w:rsidR="008F1379">
        <w:rPr>
          <w:color w:val="000000"/>
          <w:szCs w:val="22"/>
          <w:lang w:val="en-GB"/>
        </w:rPr>
        <w:fldChar w:fldCharType="end"/>
      </w:r>
      <w:r w:rsidR="008F1379">
        <w:rPr>
          <w:color w:val="000000"/>
          <w:szCs w:val="22"/>
          <w:lang w:val="en-GB"/>
        </w:rPr>
        <w:t>)</w:t>
      </w:r>
      <w:r w:rsidRPr="00C31BE9">
        <w:rPr>
          <w:color w:val="000000"/>
          <w:szCs w:val="22"/>
          <w:lang w:val="en-GB"/>
        </w:rPr>
        <w:t>. Seed banks increased slightly at coastal sites and were similar to the previous year at estuarine sites</w:t>
      </w:r>
      <w:r w:rsidR="008F1379">
        <w:rPr>
          <w:color w:val="000000"/>
          <w:szCs w:val="22"/>
          <w:lang w:val="en-GB"/>
        </w:rPr>
        <w:t xml:space="preserve"> (</w:t>
      </w:r>
      <w:r w:rsidR="008F1379">
        <w:rPr>
          <w:color w:val="000000"/>
          <w:szCs w:val="22"/>
          <w:lang w:val="en-GB"/>
        </w:rPr>
        <w:fldChar w:fldCharType="begin"/>
      </w:r>
      <w:r w:rsidR="008F1379">
        <w:rPr>
          <w:color w:val="000000"/>
          <w:szCs w:val="22"/>
          <w:lang w:val="en-GB"/>
        </w:rPr>
        <w:instrText xml:space="preserve"> REF _Ref271532047 \h </w:instrText>
      </w:r>
      <w:r w:rsidR="008F1379">
        <w:rPr>
          <w:color w:val="000000"/>
          <w:szCs w:val="22"/>
          <w:lang w:val="en-GB"/>
        </w:rPr>
      </w:r>
      <w:r w:rsidR="008F1379">
        <w:rPr>
          <w:color w:val="000000"/>
          <w:szCs w:val="22"/>
          <w:lang w:val="en-GB"/>
        </w:rPr>
        <w:fldChar w:fldCharType="separate"/>
      </w:r>
      <w:r w:rsidR="009C068F" w:rsidRPr="00CA2B35">
        <w:rPr>
          <w:color w:val="000000"/>
        </w:rPr>
        <w:t xml:space="preserve">Figure </w:t>
      </w:r>
      <w:r w:rsidR="009C068F">
        <w:rPr>
          <w:noProof/>
          <w:color w:val="000000"/>
        </w:rPr>
        <w:t>77</w:t>
      </w:r>
      <w:r w:rsidR="008F1379">
        <w:rPr>
          <w:color w:val="000000"/>
          <w:szCs w:val="22"/>
          <w:lang w:val="en-GB"/>
        </w:rPr>
        <w:fldChar w:fldCharType="end"/>
      </w:r>
      <w:r w:rsidR="008F1379">
        <w:rPr>
          <w:color w:val="000000"/>
          <w:szCs w:val="22"/>
          <w:lang w:val="en-GB"/>
        </w:rPr>
        <w:t>)</w:t>
      </w:r>
      <w:r w:rsidRPr="00C31BE9">
        <w:rPr>
          <w:color w:val="000000"/>
          <w:szCs w:val="22"/>
          <w:lang w:val="en-GB"/>
        </w:rPr>
        <w:t>. The overall score for reproductive effort has increased but remains poor.</w:t>
      </w:r>
    </w:p>
    <w:p w:rsidR="00C31BE9" w:rsidRDefault="00C31BE9" w:rsidP="009D7E19">
      <w:pPr>
        <w:rPr>
          <w:color w:val="000000"/>
          <w:szCs w:val="22"/>
          <w:lang w:val="en-GB"/>
        </w:rPr>
      </w:pPr>
    </w:p>
    <w:p w:rsidR="00C31BE9" w:rsidRPr="001F05B0" w:rsidRDefault="00C31BE9" w:rsidP="009D7E19">
      <w:pPr>
        <w:rPr>
          <w:color w:val="000000"/>
          <w:szCs w:val="22"/>
          <w:lang w:val="en-GB"/>
        </w:rPr>
      </w:pPr>
      <w:r>
        <w:rPr>
          <w:noProof/>
          <w:color w:val="000000"/>
          <w:szCs w:val="22"/>
          <w:lang w:eastAsia="en-AU"/>
        </w:rPr>
        <w:lastRenderedPageBreak/>
        <w:drawing>
          <wp:inline distT="0" distB="0" distL="0" distR="0" wp14:anchorId="6E539EF1" wp14:editId="19056962">
            <wp:extent cx="5759450" cy="1392555"/>
            <wp:effectExtent l="0" t="0" r="0" b="0"/>
            <wp:docPr id="525" name="Picture 525" descr="Panel of three composite bar and scatter plot graphs showing seed banks (bars) and reproductive effort (dots) at inshore seagrass habitats in the Mackay Whitsunday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repro15.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5759450" cy="1392555"/>
                    </a:xfrm>
                    <a:prstGeom prst="rect">
                      <a:avLst/>
                    </a:prstGeom>
                  </pic:spPr>
                </pic:pic>
              </a:graphicData>
            </a:graphic>
          </wp:inline>
        </w:drawing>
      </w:r>
    </w:p>
    <w:p w:rsidR="006341F9" w:rsidRPr="00CA2B35" w:rsidRDefault="005132EF" w:rsidP="006341F9">
      <w:pPr>
        <w:rPr>
          <w:i/>
          <w:vanish/>
          <w:color w:val="000000"/>
          <w:szCs w:val="22"/>
          <w:specVanish/>
        </w:rPr>
      </w:pPr>
      <w:bookmarkStart w:id="445" w:name="_Ref271532047"/>
      <w:bookmarkStart w:id="446" w:name="_Toc431493876"/>
      <w:bookmarkStart w:id="447" w:name="_Toc462684917"/>
      <w:r w:rsidRPr="00CA2B35">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77</w:t>
      </w:r>
      <w:r w:rsidR="0073595B">
        <w:rPr>
          <w:color w:val="000000"/>
        </w:rPr>
        <w:fldChar w:fldCharType="end"/>
      </w:r>
      <w:bookmarkEnd w:id="445"/>
      <w:r w:rsidRPr="00CA2B35">
        <w:rPr>
          <w:color w:val="000000"/>
        </w:rPr>
        <w:t xml:space="preserve">. </w:t>
      </w:r>
      <w:r w:rsidR="006341F9" w:rsidRPr="00CA2B35">
        <w:rPr>
          <w:i/>
          <w:color w:val="000000"/>
        </w:rPr>
        <w:t xml:space="preserve">Seed bank and late dry season reproductive effort at inshore intertidal coast, estuary, and reef habitats in the </w:t>
      </w:r>
      <w:r w:rsidR="00E249FC" w:rsidRPr="00CA2B35">
        <w:rPr>
          <w:i/>
          <w:color w:val="000000"/>
        </w:rPr>
        <w:t xml:space="preserve">Mackay Whitsunday </w:t>
      </w:r>
      <w:r w:rsidR="006341F9" w:rsidRPr="00CA2B35">
        <w:rPr>
          <w:i/>
          <w:color w:val="000000"/>
        </w:rPr>
        <w:t>region, 2001 - 201</w:t>
      </w:r>
      <w:r w:rsidR="00C31BE9">
        <w:rPr>
          <w:i/>
          <w:color w:val="000000"/>
        </w:rPr>
        <w:t>5</w:t>
      </w:r>
      <w:r w:rsidR="00E249FC" w:rsidRPr="00CA2B35">
        <w:rPr>
          <w:i/>
          <w:color w:val="000000"/>
        </w:rPr>
        <w:t>.</w:t>
      </w:r>
      <w:bookmarkEnd w:id="446"/>
      <w:bookmarkEnd w:id="447"/>
      <w:r w:rsidR="00E249FC" w:rsidRPr="00CA2B35">
        <w:rPr>
          <w:i/>
          <w:color w:val="000000"/>
        </w:rPr>
        <w:t xml:space="preserve"> </w:t>
      </w:r>
    </w:p>
    <w:p w:rsidR="006341F9" w:rsidRDefault="006341F9" w:rsidP="006341F9">
      <w:pPr>
        <w:rPr>
          <w:color w:val="000000"/>
        </w:rPr>
      </w:pPr>
      <w:r w:rsidRPr="00CA2B35">
        <w:rPr>
          <w:i/>
          <w:color w:val="000000"/>
        </w:rPr>
        <w:t>Seed bank presented as the total number of seeds per m</w:t>
      </w:r>
      <w:r w:rsidRPr="00CA2B35">
        <w:rPr>
          <w:i/>
          <w:color w:val="000000"/>
          <w:vertAlign w:val="superscript"/>
        </w:rPr>
        <w:t>2</w:t>
      </w:r>
      <w:r w:rsidRPr="00CA2B35">
        <w:rPr>
          <w:i/>
          <w:color w:val="000000"/>
        </w:rPr>
        <w:t xml:space="preserve"> sediment surface and late dry season reproductive effort presented as the average number of reproductive structures per core (species and sites pooled). </w:t>
      </w:r>
      <w:r w:rsidR="00E249FC" w:rsidRPr="00CA2B35">
        <w:rPr>
          <w:i/>
          <w:color w:val="000000"/>
        </w:rPr>
        <w:t>NB: Y-axis scale for seed banks differs between habitats.</w:t>
      </w:r>
      <w:r w:rsidRPr="00CA2B35">
        <w:rPr>
          <w:color w:val="000000"/>
        </w:rPr>
        <w:t xml:space="preserve"> </w:t>
      </w:r>
    </w:p>
    <w:p w:rsidR="001F05B0" w:rsidRDefault="001F05B0" w:rsidP="001F05B0">
      <w:pPr>
        <w:rPr>
          <w:lang w:val="en-GB"/>
        </w:rPr>
      </w:pPr>
    </w:p>
    <w:p w:rsidR="00BC4EC5" w:rsidRPr="00BD0604" w:rsidRDefault="00FF0A86" w:rsidP="00926892">
      <w:pPr>
        <w:pStyle w:val="Heading3"/>
        <w:numPr>
          <w:ilvl w:val="2"/>
          <w:numId w:val="9"/>
        </w:numPr>
        <w:rPr>
          <w:rFonts w:ascii="Arial" w:hAnsi="Arial" w:cs="Arial"/>
          <w:color w:val="000000"/>
        </w:rPr>
      </w:pPr>
      <w:bookmarkStart w:id="448" w:name="_Toc462047358"/>
      <w:r>
        <w:rPr>
          <w:rFonts w:ascii="Arial" w:hAnsi="Arial" w:cs="Arial"/>
          <w:color w:val="000000"/>
        </w:rPr>
        <w:t>Indicators of environmental condition</w:t>
      </w:r>
      <w:bookmarkEnd w:id="448"/>
    </w:p>
    <w:p w:rsidR="005132EF" w:rsidRPr="004F2236" w:rsidRDefault="005132EF" w:rsidP="004F2236">
      <w:pPr>
        <w:pStyle w:val="Heading4"/>
        <w:numPr>
          <w:ilvl w:val="0"/>
          <w:numId w:val="0"/>
        </w:numPr>
        <w:rPr>
          <w:rFonts w:ascii="Arial" w:hAnsi="Arial" w:cs="Arial"/>
          <w:sz w:val="24"/>
          <w:szCs w:val="24"/>
        </w:rPr>
      </w:pPr>
      <w:bookmarkStart w:id="449" w:name="_Toc184102016"/>
      <w:r w:rsidRPr="004F2236">
        <w:rPr>
          <w:rFonts w:ascii="Arial" w:hAnsi="Arial" w:cs="Arial"/>
          <w:sz w:val="24"/>
          <w:szCs w:val="24"/>
        </w:rPr>
        <w:t>Seagrass tissue nutrients</w:t>
      </w:r>
      <w:bookmarkEnd w:id="449"/>
    </w:p>
    <w:p w:rsidR="00C31BE9" w:rsidRDefault="00C31BE9" w:rsidP="00034AD4">
      <w:pPr>
        <w:rPr>
          <w:rFonts w:cs="TimesNewRoman,Italic"/>
          <w:iCs/>
          <w:color w:val="000000"/>
          <w:szCs w:val="22"/>
        </w:rPr>
      </w:pPr>
      <w:r w:rsidRPr="00C31BE9">
        <w:rPr>
          <w:rFonts w:cs="TimesNewRoman,Italic"/>
          <w:iCs/>
          <w:color w:val="000000"/>
          <w:szCs w:val="22"/>
        </w:rPr>
        <w:t xml:space="preserve">Seagrass leaf molar C:N ratios were similar to the previous year but slightly </w:t>
      </w:r>
      <w:r w:rsidR="007C6C8F">
        <w:rPr>
          <w:rFonts w:cs="TimesNewRoman,Italic"/>
          <w:iCs/>
          <w:color w:val="000000"/>
          <w:szCs w:val="22"/>
        </w:rPr>
        <w:t>increased</w:t>
      </w:r>
      <w:r w:rsidRPr="00C31BE9">
        <w:rPr>
          <w:rFonts w:cs="TimesNewRoman,Italic"/>
          <w:iCs/>
          <w:color w:val="000000"/>
          <w:szCs w:val="22"/>
        </w:rPr>
        <w:t xml:space="preserve"> at coastal sites, and reduced at other habitats. C</w:t>
      </w:r>
      <w:proofErr w:type="gramStart"/>
      <w:r w:rsidRPr="00C31BE9">
        <w:rPr>
          <w:rFonts w:cs="TimesNewRoman,Italic"/>
          <w:iCs/>
          <w:color w:val="000000"/>
          <w:szCs w:val="22"/>
        </w:rPr>
        <w:t>:N</w:t>
      </w:r>
      <w:proofErr w:type="gramEnd"/>
      <w:r w:rsidRPr="00C31BE9">
        <w:rPr>
          <w:rFonts w:cs="TimesNewRoman,Italic"/>
          <w:iCs/>
          <w:color w:val="000000"/>
          <w:szCs w:val="22"/>
        </w:rPr>
        <w:t xml:space="preserve"> remains below 20 (</w:t>
      </w:r>
      <w:r w:rsidR="007C6C8F">
        <w:rPr>
          <w:rFonts w:cs="TimesNewRoman,Italic"/>
          <w:iCs/>
          <w:color w:val="000000"/>
          <w:szCs w:val="22"/>
        </w:rPr>
        <w:fldChar w:fldCharType="begin"/>
      </w:r>
      <w:r w:rsidR="007C6C8F">
        <w:rPr>
          <w:rFonts w:cs="TimesNewRoman,Italic"/>
          <w:iCs/>
          <w:color w:val="000000"/>
          <w:szCs w:val="22"/>
        </w:rPr>
        <w:instrText xml:space="preserve"> REF _Ref271130459 \h </w:instrText>
      </w:r>
      <w:r w:rsidR="007C6C8F">
        <w:rPr>
          <w:rFonts w:cs="TimesNewRoman,Italic"/>
          <w:iCs/>
          <w:color w:val="000000"/>
          <w:szCs w:val="22"/>
        </w:rPr>
      </w:r>
      <w:r w:rsidR="007C6C8F">
        <w:rPr>
          <w:rFonts w:cs="TimesNewRoman,Italic"/>
          <w:iCs/>
          <w:color w:val="000000"/>
          <w:szCs w:val="22"/>
        </w:rPr>
        <w:fldChar w:fldCharType="separate"/>
      </w:r>
      <w:r w:rsidR="009C068F" w:rsidRPr="00372A66">
        <w:rPr>
          <w:color w:val="000000"/>
        </w:rPr>
        <w:t xml:space="preserve">Figure </w:t>
      </w:r>
      <w:r w:rsidR="009C068F">
        <w:rPr>
          <w:noProof/>
          <w:color w:val="000000"/>
        </w:rPr>
        <w:t>78</w:t>
      </w:r>
      <w:r w:rsidR="007C6C8F">
        <w:rPr>
          <w:rFonts w:cs="TimesNewRoman,Italic"/>
          <w:iCs/>
          <w:color w:val="000000"/>
          <w:szCs w:val="22"/>
        </w:rPr>
        <w:fldChar w:fldCharType="end"/>
      </w:r>
      <w:r w:rsidRPr="00C31BE9">
        <w:rPr>
          <w:rFonts w:cs="TimesNewRoman,Italic"/>
          <w:iCs/>
          <w:color w:val="000000"/>
          <w:szCs w:val="22"/>
        </w:rPr>
        <w:t>) indicating a surplus of N relative to photosynthetic C incorporation. N:P ratios increased to at or near 30, which when coupled with the large P pool, (C:P &lt;500), indicates surplus availability of N driving C:N (</w:t>
      </w:r>
      <w:r w:rsidR="007C6C8F">
        <w:rPr>
          <w:rFonts w:cs="TimesNewRoman,Italic"/>
          <w:iCs/>
          <w:color w:val="000000"/>
          <w:szCs w:val="22"/>
        </w:rPr>
        <w:fldChar w:fldCharType="begin"/>
      </w:r>
      <w:r w:rsidR="007C6C8F">
        <w:rPr>
          <w:rFonts w:cs="TimesNewRoman,Italic"/>
          <w:iCs/>
          <w:color w:val="000000"/>
          <w:szCs w:val="22"/>
        </w:rPr>
        <w:instrText xml:space="preserve"> REF _Ref236801440 \h </w:instrText>
      </w:r>
      <w:r w:rsidR="007C6C8F">
        <w:rPr>
          <w:rFonts w:cs="TimesNewRoman,Italic"/>
          <w:iCs/>
          <w:color w:val="000000"/>
          <w:szCs w:val="22"/>
        </w:rPr>
      </w:r>
      <w:r w:rsidR="007C6C8F">
        <w:rPr>
          <w:rFonts w:cs="TimesNewRoman,Italic"/>
          <w:iCs/>
          <w:color w:val="000000"/>
          <w:szCs w:val="22"/>
        </w:rPr>
        <w:fldChar w:fldCharType="separate"/>
      </w:r>
      <w:r w:rsidR="009C068F" w:rsidRPr="00372A66">
        <w:rPr>
          <w:color w:val="000000"/>
          <w:szCs w:val="22"/>
        </w:rPr>
        <w:t xml:space="preserve">Figure </w:t>
      </w:r>
      <w:r w:rsidR="009C068F">
        <w:rPr>
          <w:noProof/>
          <w:color w:val="000000"/>
          <w:szCs w:val="22"/>
        </w:rPr>
        <w:t>79</w:t>
      </w:r>
      <w:r w:rsidR="007C6C8F">
        <w:rPr>
          <w:rFonts w:cs="TimesNewRoman,Italic"/>
          <w:iCs/>
          <w:color w:val="000000"/>
          <w:szCs w:val="22"/>
        </w:rPr>
        <w:fldChar w:fldCharType="end"/>
      </w:r>
      <w:r w:rsidRPr="00C31BE9">
        <w:rPr>
          <w:rFonts w:cs="TimesNewRoman,Italic"/>
          <w:iCs/>
          <w:color w:val="000000"/>
          <w:szCs w:val="22"/>
        </w:rPr>
        <w:t>).Across all habitats, the δ15N values for the dominant species (</w:t>
      </w:r>
      <w:proofErr w:type="spellStart"/>
      <w:r w:rsidRPr="00C31BE9">
        <w:rPr>
          <w:rFonts w:cs="TimesNewRoman,Italic"/>
          <w:iCs/>
          <w:color w:val="000000"/>
          <w:szCs w:val="22"/>
        </w:rPr>
        <w:t>Zostera</w:t>
      </w:r>
      <w:proofErr w:type="spellEnd"/>
      <w:r w:rsidRPr="00C31BE9">
        <w:rPr>
          <w:rFonts w:cs="TimesNewRoman,Italic"/>
          <w:iCs/>
          <w:color w:val="000000"/>
          <w:szCs w:val="22"/>
        </w:rPr>
        <w:t xml:space="preserve"> </w:t>
      </w:r>
      <w:proofErr w:type="spellStart"/>
      <w:r w:rsidRPr="00C31BE9">
        <w:rPr>
          <w:rFonts w:cs="TimesNewRoman,Italic"/>
          <w:iCs/>
          <w:color w:val="000000"/>
          <w:szCs w:val="22"/>
        </w:rPr>
        <w:t>muelleri</w:t>
      </w:r>
      <w:proofErr w:type="spellEnd"/>
      <w:r w:rsidRPr="00C31BE9">
        <w:rPr>
          <w:rFonts w:cs="TimesNewRoman,Italic"/>
          <w:iCs/>
          <w:color w:val="000000"/>
          <w:szCs w:val="22"/>
        </w:rPr>
        <w:t>) were above 2‰, suggesting the primary source of the elevated N was fertiliser or sewage.</w:t>
      </w:r>
    </w:p>
    <w:p w:rsidR="00C31BE9" w:rsidRDefault="00C31BE9" w:rsidP="00034AD4">
      <w:pPr>
        <w:rPr>
          <w:rFonts w:cs="TimesNewRoman,Italic"/>
          <w:iCs/>
          <w:color w:val="000000"/>
          <w:szCs w:val="22"/>
        </w:rPr>
      </w:pPr>
    </w:p>
    <w:p w:rsidR="00C31BE9" w:rsidRPr="001C638D" w:rsidRDefault="00C31BE9" w:rsidP="00353373">
      <w:pPr>
        <w:keepNext/>
        <w:widowControl w:val="0"/>
        <w:spacing w:after="0"/>
        <w:jc w:val="center"/>
        <w:rPr>
          <w:color w:val="000000"/>
          <w:szCs w:val="22"/>
        </w:rPr>
      </w:pPr>
      <w:r>
        <w:rPr>
          <w:noProof/>
          <w:color w:val="000000"/>
          <w:szCs w:val="22"/>
          <w:lang w:eastAsia="en-AU"/>
        </w:rPr>
        <w:drawing>
          <wp:inline distT="0" distB="0" distL="0" distR="0" wp14:anchorId="7FA88261" wp14:editId="7E9EC2C3">
            <wp:extent cx="5040000" cy="1551600"/>
            <wp:effectExtent l="0" t="0" r="8255" b="0"/>
            <wp:docPr id="526" name="Picture 526" descr="Panel of three scatter plots with straight lines and markers showing elemental ratios (atomic) of seagrass leaf tissue C:N for the foundation species in inshore seagrass habitats in the Mackay Whitsunday NRM region from 2005 to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CN_yr_Dec15.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5040000" cy="1551600"/>
                    </a:xfrm>
                    <a:prstGeom prst="rect">
                      <a:avLst/>
                    </a:prstGeom>
                  </pic:spPr>
                </pic:pic>
              </a:graphicData>
            </a:graphic>
          </wp:inline>
        </w:drawing>
      </w:r>
    </w:p>
    <w:p w:rsidR="006341F9" w:rsidRPr="00372A66" w:rsidRDefault="005132EF" w:rsidP="006341F9">
      <w:pPr>
        <w:rPr>
          <w:i/>
          <w:vanish/>
          <w:color w:val="000000"/>
          <w:szCs w:val="22"/>
          <w:specVanish/>
        </w:rPr>
      </w:pPr>
      <w:bookmarkStart w:id="450" w:name="_Ref271130459"/>
      <w:bookmarkStart w:id="451" w:name="_Ref410295244"/>
      <w:bookmarkStart w:id="452" w:name="_Toc431493878"/>
      <w:bookmarkStart w:id="453" w:name="_Toc462684918"/>
      <w:r w:rsidRPr="00372A66">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78</w:t>
      </w:r>
      <w:r w:rsidR="0073595B">
        <w:rPr>
          <w:color w:val="000000"/>
        </w:rPr>
        <w:fldChar w:fldCharType="end"/>
      </w:r>
      <w:bookmarkEnd w:id="450"/>
      <w:bookmarkEnd w:id="451"/>
      <w:r w:rsidRPr="00372A66">
        <w:rPr>
          <w:color w:val="000000"/>
        </w:rPr>
        <w:t xml:space="preserve">. </w:t>
      </w:r>
      <w:r w:rsidRPr="00372A66">
        <w:rPr>
          <w:i/>
          <w:color w:val="000000"/>
          <w:lang w:eastAsia="en-AU"/>
        </w:rPr>
        <w:t xml:space="preserve">Elemental ratios (atomic) of seagrass leaf tissue C:N for </w:t>
      </w:r>
      <w:r w:rsidRPr="00372A66">
        <w:rPr>
          <w:i/>
          <w:color w:val="000000"/>
        </w:rPr>
        <w:t xml:space="preserve">the foundation seagrass species examined at </w:t>
      </w:r>
      <w:r w:rsidR="006341F9" w:rsidRPr="00372A66">
        <w:rPr>
          <w:i/>
          <w:color w:val="000000"/>
        </w:rPr>
        <w:t>inshore intertidal</w:t>
      </w:r>
      <w:r w:rsidRPr="00372A66">
        <w:rPr>
          <w:i/>
          <w:color w:val="000000"/>
        </w:rPr>
        <w:t xml:space="preserve"> habitat</w:t>
      </w:r>
      <w:r w:rsidR="006341F9" w:rsidRPr="00372A66">
        <w:rPr>
          <w:i/>
          <w:color w:val="000000"/>
        </w:rPr>
        <w:t>s</w:t>
      </w:r>
      <w:r w:rsidRPr="00372A66">
        <w:rPr>
          <w:i/>
          <w:color w:val="000000"/>
        </w:rPr>
        <w:t xml:space="preserve"> in </w:t>
      </w:r>
      <w:r w:rsidR="006341F9" w:rsidRPr="00372A66">
        <w:rPr>
          <w:i/>
          <w:color w:val="000000"/>
        </w:rPr>
        <w:t xml:space="preserve">the </w:t>
      </w:r>
      <w:r w:rsidRPr="00372A66">
        <w:rPr>
          <w:i/>
          <w:color w:val="000000"/>
        </w:rPr>
        <w:t>Mackay Whitsunday</w:t>
      </w:r>
      <w:r w:rsidRPr="00372A66">
        <w:rPr>
          <w:i/>
          <w:color w:val="000000"/>
          <w:lang w:eastAsia="en-AU"/>
        </w:rPr>
        <w:t xml:space="preserve"> region</w:t>
      </w:r>
      <w:r w:rsidR="006341F9" w:rsidRPr="00372A66">
        <w:rPr>
          <w:i/>
          <w:color w:val="000000"/>
          <w:lang w:eastAsia="en-AU"/>
        </w:rPr>
        <w:t>, 2006 - 201</w:t>
      </w:r>
      <w:r w:rsidR="00C31BE9">
        <w:rPr>
          <w:i/>
          <w:color w:val="000000"/>
          <w:lang w:eastAsia="en-AU"/>
        </w:rPr>
        <w:t>4</w:t>
      </w:r>
      <w:bookmarkEnd w:id="452"/>
      <w:bookmarkEnd w:id="453"/>
      <w:r w:rsidRPr="00372A66">
        <w:rPr>
          <w:i/>
          <w:color w:val="000000"/>
          <w:lang w:eastAsia="en-AU"/>
        </w:rPr>
        <w:t xml:space="preserve"> </w:t>
      </w:r>
    </w:p>
    <w:p w:rsidR="006341F9" w:rsidRDefault="006341F9" w:rsidP="006341F9">
      <w:pPr>
        <w:rPr>
          <w:color w:val="000000"/>
        </w:rPr>
      </w:pPr>
      <w:r w:rsidRPr="00372A66">
        <w:rPr>
          <w:i/>
          <w:color w:val="000000"/>
          <w:lang w:eastAsia="en-AU"/>
        </w:rPr>
        <w:t xml:space="preserve"> </w:t>
      </w:r>
      <w:r w:rsidR="005132EF" w:rsidRPr="00372A66">
        <w:rPr>
          <w:i/>
          <w:color w:val="000000"/>
          <w:lang w:eastAsia="en-AU"/>
        </w:rPr>
        <w:t xml:space="preserve">(species pooled) </w:t>
      </w:r>
      <w:r w:rsidR="005132EF" w:rsidRPr="00372A66">
        <w:rPr>
          <w:i/>
          <w:color w:val="000000"/>
        </w:rPr>
        <w:t>(mean</w:t>
      </w:r>
      <w:r w:rsidR="005132EF" w:rsidRPr="00372A66">
        <w:rPr>
          <w:i/>
          <w:color w:val="000000"/>
          <w:lang w:eastAsia="en-AU"/>
        </w:rPr>
        <w:t xml:space="preserve"> ± Standard Error</w:t>
      </w:r>
      <w:r w:rsidR="005132EF" w:rsidRPr="00372A66">
        <w:rPr>
          <w:i/>
          <w:color w:val="000000"/>
        </w:rPr>
        <w:t>)</w:t>
      </w:r>
      <w:r w:rsidR="005132EF" w:rsidRPr="00372A66">
        <w:rPr>
          <w:i/>
          <w:color w:val="000000"/>
          <w:lang w:eastAsia="en-AU"/>
        </w:rPr>
        <w:t xml:space="preserve">. Horizontal shaded band on the C:N ratio panel represents the accepted </w:t>
      </w:r>
      <w:r w:rsidR="005132EF" w:rsidRPr="00372A66">
        <w:rPr>
          <w:i/>
          <w:color w:val="000000"/>
        </w:rPr>
        <w:t xml:space="preserve">guideline </w:t>
      </w:r>
      <w:r w:rsidR="005132EF" w:rsidRPr="00372A66">
        <w:rPr>
          <w:i/>
          <w:color w:val="000000"/>
          <w:lang w:eastAsia="en-AU"/>
        </w:rPr>
        <w:t xml:space="preserve">seagrass “Redfield” ratio </w:t>
      </w:r>
      <w:r w:rsidR="005132EF" w:rsidRPr="00372A66">
        <w:rPr>
          <w:i/>
          <w:color w:val="000000"/>
        </w:rPr>
        <w:t xml:space="preserve">of 20:1 </w:t>
      </w:r>
      <w:r w:rsidR="00C63415" w:rsidRPr="00372A66">
        <w:rPr>
          <w:i/>
          <w:color w:val="000000"/>
        </w:rPr>
        <w:t>(</w: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rPr>
          <w:i/>
          <w:color w:val="000000"/>
        </w:rPr>
        <w:instrText xml:space="preserve"> ADDIN EN.CITE </w:instrTex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rPr>
          <w:i/>
          <w:color w:val="000000"/>
        </w:rPr>
        <w:instrText xml:space="preserve"> ADDIN EN.CITE.DATA </w:instrText>
      </w:r>
      <w:r w:rsidR="00644A84">
        <w:rPr>
          <w:i/>
          <w:color w:val="000000"/>
        </w:rPr>
      </w:r>
      <w:r w:rsidR="00644A84">
        <w:rPr>
          <w:i/>
          <w:color w:val="000000"/>
        </w:rPr>
        <w:fldChar w:fldCharType="end"/>
      </w:r>
      <w:r w:rsidR="00644A84">
        <w:rPr>
          <w:i/>
          <w:color w:val="000000"/>
        </w:rPr>
      </w:r>
      <w:r w:rsidR="00644A84">
        <w:rPr>
          <w:i/>
          <w:color w:val="000000"/>
        </w:rPr>
        <w:fldChar w:fldCharType="separate"/>
      </w:r>
      <w:hyperlink w:anchor="_ENREF_2" w:tooltip="Abal, 1994 #7405" w:history="1">
        <w:r w:rsidR="00E6043D">
          <w:rPr>
            <w:i/>
            <w:noProof/>
            <w:color w:val="000000"/>
          </w:rPr>
          <w:t>Abal, et al. 1994</w:t>
        </w:r>
      </w:hyperlink>
      <w:r w:rsidR="00644A84">
        <w:rPr>
          <w:i/>
          <w:noProof/>
          <w:color w:val="000000"/>
        </w:rPr>
        <w:t xml:space="preserve">; </w:t>
      </w:r>
      <w:hyperlink w:anchor="_ENREF_118" w:tooltip="Grice, 1996 #1346" w:history="1">
        <w:r w:rsidR="00E6043D">
          <w:rPr>
            <w:i/>
            <w:noProof/>
            <w:color w:val="000000"/>
          </w:rPr>
          <w:t>Grice, et al. 1996</w:t>
        </w:r>
      </w:hyperlink>
      <w:r w:rsidR="00644A84">
        <w:rPr>
          <w:i/>
          <w:color w:val="000000"/>
        </w:rPr>
        <w:fldChar w:fldCharType="end"/>
      </w:r>
      <w:r w:rsidR="00C63415" w:rsidRPr="00372A66">
        <w:rPr>
          <w:i/>
          <w:color w:val="000000"/>
        </w:rPr>
        <w:t>)</w:t>
      </w:r>
      <w:r w:rsidR="005132EF" w:rsidRPr="00372A66">
        <w:rPr>
          <w:i/>
          <w:color w:val="000000"/>
          <w:lang w:eastAsia="en-AU"/>
        </w:rPr>
        <w:t xml:space="preserve">. C:N ratios below this line may </w:t>
      </w:r>
      <w:r w:rsidR="005132EF" w:rsidRPr="00372A66">
        <w:rPr>
          <w:i/>
          <w:color w:val="000000"/>
        </w:rPr>
        <w:t>indicate reduced light availability</w:t>
      </w:r>
      <w:r w:rsidR="0065267C" w:rsidRPr="00372A66">
        <w:rPr>
          <w:i/>
          <w:color w:val="000000"/>
        </w:rPr>
        <w:t xml:space="preserve"> and/or </w:t>
      </w:r>
      <w:r w:rsidR="00A22D98" w:rsidRPr="00372A66">
        <w:rPr>
          <w:i/>
          <w:color w:val="000000"/>
        </w:rPr>
        <w:t>N enrichment</w:t>
      </w:r>
      <w:r w:rsidR="005132EF" w:rsidRPr="00372A66">
        <w:rPr>
          <w:i/>
          <w:color w:val="000000"/>
        </w:rPr>
        <w:t>.</w:t>
      </w:r>
      <w:r w:rsidRPr="00372A66">
        <w:rPr>
          <w:color w:val="000000"/>
        </w:rPr>
        <w:t xml:space="preserve"> </w:t>
      </w:r>
    </w:p>
    <w:p w:rsidR="00C31BE9" w:rsidRDefault="00C31BE9" w:rsidP="00C31BE9">
      <w:pPr>
        <w:rPr>
          <w:lang w:val="en-GB"/>
        </w:rPr>
      </w:pPr>
    </w:p>
    <w:p w:rsidR="00C31BE9" w:rsidRPr="00C31BE9" w:rsidRDefault="00C31BE9" w:rsidP="00353373">
      <w:pPr>
        <w:keepNext/>
        <w:widowControl w:val="0"/>
        <w:spacing w:after="0"/>
        <w:jc w:val="center"/>
        <w:rPr>
          <w:lang w:val="en-GB"/>
        </w:rPr>
      </w:pPr>
      <w:r>
        <w:rPr>
          <w:noProof/>
          <w:lang w:eastAsia="en-AU"/>
        </w:rPr>
        <w:lastRenderedPageBreak/>
        <w:drawing>
          <wp:inline distT="0" distB="0" distL="0" distR="0" wp14:anchorId="2BA2B90A" wp14:editId="1CA17466">
            <wp:extent cx="5040000" cy="2977200"/>
            <wp:effectExtent l="0" t="0" r="8255" b="0"/>
            <wp:docPr id="527" name="Picture 527" descr="Set of four scatter plots with straight lines and markers showing elemental ratios (atomic) of seagrass leaf tissue N:P and C:P for the foundation species in inshore seagrass habitats in the Mackay Whitsunday NRM region from 2005 to 20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CNP_yr_Dec15.pn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5040000" cy="2977200"/>
                    </a:xfrm>
                    <a:prstGeom prst="rect">
                      <a:avLst/>
                    </a:prstGeom>
                  </pic:spPr>
                </pic:pic>
              </a:graphicData>
            </a:graphic>
          </wp:inline>
        </w:drawing>
      </w:r>
    </w:p>
    <w:p w:rsidR="006341F9" w:rsidRPr="00372A66" w:rsidRDefault="005132EF" w:rsidP="00353373">
      <w:pPr>
        <w:rPr>
          <w:i/>
          <w:iCs/>
          <w:vanish/>
          <w:color w:val="000000"/>
          <w:szCs w:val="22"/>
          <w:lang w:eastAsia="en-AU"/>
          <w:specVanish/>
        </w:rPr>
      </w:pPr>
      <w:bookmarkStart w:id="454" w:name="_Ref236801440"/>
      <w:bookmarkStart w:id="455" w:name="_Toc431493879"/>
      <w:bookmarkStart w:id="456" w:name="_Toc462684919"/>
      <w:r w:rsidRPr="00372A6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79</w:t>
      </w:r>
      <w:r w:rsidR="0073595B">
        <w:rPr>
          <w:color w:val="000000"/>
          <w:szCs w:val="22"/>
        </w:rPr>
        <w:fldChar w:fldCharType="end"/>
      </w:r>
      <w:bookmarkEnd w:id="454"/>
      <w:r w:rsidRPr="00372A66">
        <w:rPr>
          <w:color w:val="000000"/>
          <w:szCs w:val="22"/>
        </w:rPr>
        <w:t xml:space="preserve">. </w:t>
      </w:r>
      <w:r w:rsidRPr="00372A66">
        <w:rPr>
          <w:i/>
          <w:iCs/>
          <w:color w:val="000000"/>
          <w:szCs w:val="22"/>
          <w:lang w:eastAsia="en-AU"/>
        </w:rPr>
        <w:t xml:space="preserve">Elemental ratios (atomic) of seagrass leaf tissue N:P and C:P </w:t>
      </w:r>
      <w:r w:rsidRPr="00372A66">
        <w:rPr>
          <w:i/>
          <w:iCs/>
          <w:color w:val="000000"/>
          <w:szCs w:val="22"/>
        </w:rPr>
        <w:t xml:space="preserve">for the foundation seagrass species examined at </w:t>
      </w:r>
      <w:r w:rsidR="006341F9" w:rsidRPr="00372A66">
        <w:rPr>
          <w:i/>
          <w:color w:val="000000"/>
        </w:rPr>
        <w:t>inshore intertidal habitats in the Mackay Whitsunday</w:t>
      </w:r>
      <w:r w:rsidR="006341F9" w:rsidRPr="00372A66">
        <w:rPr>
          <w:i/>
          <w:color w:val="000000"/>
          <w:lang w:eastAsia="en-AU"/>
        </w:rPr>
        <w:t xml:space="preserve"> region, 2006 - 201</w:t>
      </w:r>
      <w:r w:rsidR="00994153">
        <w:rPr>
          <w:i/>
          <w:color w:val="000000"/>
          <w:lang w:eastAsia="en-AU"/>
        </w:rPr>
        <w:t>4</w:t>
      </w:r>
      <w:bookmarkEnd w:id="455"/>
      <w:bookmarkEnd w:id="456"/>
    </w:p>
    <w:p w:rsidR="006341F9" w:rsidRDefault="006341F9" w:rsidP="00353373">
      <w:pPr>
        <w:rPr>
          <w:i/>
          <w:iCs/>
          <w:color w:val="000000"/>
          <w:szCs w:val="22"/>
          <w:lang w:eastAsia="en-AU"/>
        </w:rPr>
      </w:pPr>
      <w:r w:rsidRPr="00372A66">
        <w:rPr>
          <w:i/>
          <w:iCs/>
          <w:color w:val="000000"/>
          <w:szCs w:val="22"/>
          <w:lang w:eastAsia="en-AU"/>
        </w:rPr>
        <w:t xml:space="preserve"> </w:t>
      </w:r>
      <w:r w:rsidR="005132EF" w:rsidRPr="00372A66">
        <w:rPr>
          <w:i/>
          <w:iCs/>
          <w:color w:val="000000"/>
          <w:szCs w:val="22"/>
          <w:lang w:eastAsia="en-AU"/>
        </w:rPr>
        <w:t>(species pooled) (</w:t>
      </w:r>
      <w:r w:rsidR="005132EF" w:rsidRPr="00372A66">
        <w:rPr>
          <w:i/>
          <w:iCs/>
          <w:color w:val="000000"/>
          <w:szCs w:val="22"/>
        </w:rPr>
        <w:t>mean</w:t>
      </w:r>
      <w:r w:rsidR="005132EF" w:rsidRPr="00372A66">
        <w:rPr>
          <w:i/>
          <w:iCs/>
          <w:color w:val="000000"/>
          <w:szCs w:val="22"/>
          <w:lang w:eastAsia="en-AU"/>
        </w:rPr>
        <w:t xml:space="preserve"> ± Standard Error). Horizontal shaded band on the N:P ratio panel represents the range of value associated with N:P balance ratio in the plant tissues, i.e. a seagrass “Redfield” ratio </w:t>
      </w:r>
      <w:r w:rsidR="00CA555B" w:rsidRPr="00372A66">
        <w:rPr>
          <w:i/>
          <w:iCs/>
          <w:color w:val="000000"/>
          <w:szCs w:val="22"/>
          <w:lang w:eastAsia="en-AU"/>
        </w:rPr>
        <w:t>(</w:t>
      </w:r>
      <w:r w:rsidR="00644A84">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
          <w:iCs/>
          <w:color w:val="000000"/>
          <w:szCs w:val="22"/>
          <w:lang w:eastAsia="en-AU"/>
        </w:rPr>
        <w:instrText xml:space="preserve"> ADDIN EN.CITE </w:instrText>
      </w:r>
      <w:r w:rsidR="00644A84">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
          <w:iCs/>
          <w:color w:val="000000"/>
          <w:szCs w:val="22"/>
          <w:lang w:eastAsia="en-AU"/>
        </w:rPr>
        <w:instrText xml:space="preserve"> ADDIN EN.CITE.DATA </w:instrText>
      </w:r>
      <w:r w:rsidR="00644A84">
        <w:rPr>
          <w:i/>
          <w:iCs/>
          <w:color w:val="000000"/>
          <w:szCs w:val="22"/>
          <w:lang w:eastAsia="en-AU"/>
        </w:rPr>
      </w:r>
      <w:r w:rsidR="00644A84">
        <w:rPr>
          <w:i/>
          <w:iCs/>
          <w:color w:val="000000"/>
          <w:szCs w:val="22"/>
          <w:lang w:eastAsia="en-AU"/>
        </w:rPr>
        <w:fldChar w:fldCharType="end"/>
      </w:r>
      <w:r w:rsidR="00644A84">
        <w:rPr>
          <w:i/>
          <w:iCs/>
          <w:color w:val="000000"/>
          <w:szCs w:val="22"/>
          <w:lang w:eastAsia="en-AU"/>
        </w:rPr>
      </w:r>
      <w:r w:rsidR="00644A84">
        <w:rPr>
          <w:i/>
          <w:iCs/>
          <w:color w:val="000000"/>
          <w:szCs w:val="22"/>
          <w:lang w:eastAsia="en-AU"/>
        </w:rPr>
        <w:fldChar w:fldCharType="separate"/>
      </w:r>
      <w:hyperlink w:anchor="_ENREF_9" w:tooltip="Atkinson, 1983 #6292" w:history="1">
        <w:r w:rsidR="00E6043D">
          <w:rPr>
            <w:i/>
            <w:iCs/>
            <w:noProof/>
            <w:color w:val="000000"/>
            <w:szCs w:val="22"/>
            <w:lang w:eastAsia="en-AU"/>
          </w:rPr>
          <w:t>Atkinson and Smith 1983</w:t>
        </w:r>
      </w:hyperlink>
      <w:r w:rsidR="00644A84">
        <w:rPr>
          <w:i/>
          <w:iCs/>
          <w:noProof/>
          <w:color w:val="000000"/>
          <w:szCs w:val="22"/>
          <w:lang w:eastAsia="en-AU"/>
        </w:rPr>
        <w:t xml:space="preserve">; </w:t>
      </w:r>
      <w:hyperlink w:anchor="_ENREF_96" w:tooltip="Duarte, 1990 #1954" w:history="1">
        <w:r w:rsidR="00E6043D">
          <w:rPr>
            <w:i/>
            <w:iCs/>
            <w:noProof/>
            <w:color w:val="000000"/>
            <w:szCs w:val="22"/>
            <w:lang w:eastAsia="en-AU"/>
          </w:rPr>
          <w:t>Duarte 1990</w:t>
        </w:r>
      </w:hyperlink>
      <w:r w:rsidR="00644A84">
        <w:rPr>
          <w:i/>
          <w:iCs/>
          <w:noProof/>
          <w:color w:val="000000"/>
          <w:szCs w:val="22"/>
          <w:lang w:eastAsia="en-AU"/>
        </w:rPr>
        <w:t xml:space="preserve">; </w:t>
      </w:r>
      <w:hyperlink w:anchor="_ENREF_112" w:tooltip="Fourqurean, 1992 #9493" w:history="1">
        <w:r w:rsidR="00E6043D">
          <w:rPr>
            <w:i/>
            <w:iCs/>
            <w:noProof/>
            <w:color w:val="000000"/>
            <w:szCs w:val="22"/>
            <w:lang w:eastAsia="en-AU"/>
          </w:rPr>
          <w:t>Fourqurean, et al. 1992b</w:t>
        </w:r>
      </w:hyperlink>
      <w:r w:rsidR="00644A84">
        <w:rPr>
          <w:i/>
          <w:iCs/>
          <w:color w:val="000000"/>
          <w:szCs w:val="22"/>
          <w:lang w:eastAsia="en-AU"/>
        </w:rPr>
        <w:fldChar w:fldCharType="end"/>
      </w:r>
      <w:r w:rsidR="00CA555B" w:rsidRPr="00372A66">
        <w:rPr>
          <w:i/>
          <w:iCs/>
          <w:color w:val="000000"/>
          <w:szCs w:val="22"/>
          <w:lang w:eastAsia="en-AU"/>
        </w:rPr>
        <w:t xml:space="preserve">; </w:t>
      </w:r>
      <w:hyperlink w:anchor="_ENREF_106" w:tooltip="Fourqurean, 2001 #9492" w:history="1">
        <w:r w:rsidR="00E6043D">
          <w:rPr>
            <w:i/>
            <w:iCs/>
            <w:color w:val="000000"/>
            <w:szCs w:val="22"/>
            <w:lang w:eastAsia="en-AU"/>
          </w:rPr>
          <w:fldChar w:fldCharType="begin"/>
        </w:r>
        <w:r w:rsidR="00E6043D">
          <w:rPr>
            <w:i/>
            <w:iCs/>
            <w:color w:val="000000"/>
            <w:szCs w:val="22"/>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E6043D">
          <w:rPr>
            <w:i/>
            <w:iCs/>
            <w:color w:val="000000"/>
            <w:szCs w:val="22"/>
            <w:lang w:eastAsia="en-AU"/>
          </w:rPr>
          <w:fldChar w:fldCharType="separate"/>
        </w:r>
        <w:r w:rsidR="00E6043D">
          <w:rPr>
            <w:i/>
            <w:iCs/>
            <w:noProof/>
            <w:color w:val="000000"/>
            <w:szCs w:val="22"/>
            <w:lang w:eastAsia="en-AU"/>
          </w:rPr>
          <w:t>Fourqurean and Cai 2001</w:t>
        </w:r>
        <w:r w:rsidR="00E6043D">
          <w:rPr>
            <w:i/>
            <w:iCs/>
            <w:color w:val="000000"/>
            <w:szCs w:val="22"/>
            <w:lang w:eastAsia="en-AU"/>
          </w:rPr>
          <w:fldChar w:fldCharType="end"/>
        </w:r>
      </w:hyperlink>
      <w:r w:rsidR="00CA555B" w:rsidRPr="00372A66">
        <w:rPr>
          <w:i/>
          <w:iCs/>
          <w:color w:val="000000"/>
          <w:szCs w:val="22"/>
          <w:lang w:eastAsia="en-AU"/>
        </w:rPr>
        <w:t>)</w:t>
      </w:r>
      <w:r w:rsidR="005132EF" w:rsidRPr="00372A66">
        <w:rPr>
          <w:i/>
          <w:iCs/>
          <w:color w:val="000000"/>
          <w:szCs w:val="22"/>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372A66">
        <w:rPr>
          <w:i/>
          <w:iCs/>
          <w:color w:val="000000"/>
          <w:szCs w:val="22"/>
          <w:lang w:eastAsia="en-AU"/>
        </w:rPr>
        <w:t xml:space="preserve"> </w:t>
      </w:r>
    </w:p>
    <w:p w:rsidR="00BC4EC5" w:rsidRDefault="00BC4EC5" w:rsidP="00BC4EC5">
      <w:pPr>
        <w:rPr>
          <w:color w:val="000000"/>
          <w:szCs w:val="22"/>
          <w:lang w:val="en-GB"/>
        </w:rPr>
      </w:pPr>
      <w:bookmarkStart w:id="457" w:name="_Toc232845926"/>
      <w:bookmarkStart w:id="458" w:name="_Toc184102017"/>
    </w:p>
    <w:p w:rsidR="00BC4EC5" w:rsidRPr="001D05D4" w:rsidRDefault="00BC4EC5" w:rsidP="00BC4EC5">
      <w:pPr>
        <w:pStyle w:val="Heading4"/>
        <w:numPr>
          <w:ilvl w:val="0"/>
          <w:numId w:val="0"/>
        </w:numPr>
        <w:rPr>
          <w:rFonts w:ascii="Arial" w:hAnsi="Arial" w:cs="Arial"/>
          <w:sz w:val="24"/>
          <w:szCs w:val="24"/>
        </w:rPr>
      </w:pPr>
      <w:r>
        <w:rPr>
          <w:rFonts w:ascii="Arial" w:hAnsi="Arial" w:cs="Arial"/>
          <w:sz w:val="24"/>
          <w:szCs w:val="24"/>
        </w:rPr>
        <w:t>Seagrass meadow sediments</w:t>
      </w:r>
    </w:p>
    <w:p w:rsidR="00353373" w:rsidRDefault="00811DA8" w:rsidP="00BC4EC5">
      <w:pPr>
        <w:rPr>
          <w:color w:val="000000"/>
          <w:szCs w:val="22"/>
          <w:lang w:val="en-GB"/>
        </w:rPr>
      </w:pPr>
      <w:r>
        <w:rPr>
          <w:color w:val="000000"/>
          <w:szCs w:val="22"/>
          <w:lang w:val="en-GB"/>
        </w:rPr>
        <w:t>The proportion of fine grain sizes decreases in the sediments of the seagrass monitoring sites/meadows with distance from the coast/river mouths in the Mackay Whitsunday region. Estuarine</w:t>
      </w:r>
      <w:r w:rsidR="00353373">
        <w:rPr>
          <w:color w:val="000000"/>
          <w:szCs w:val="22"/>
          <w:lang w:val="en-GB"/>
        </w:rPr>
        <w:t xml:space="preserve"> sediments </w:t>
      </w:r>
      <w:r>
        <w:rPr>
          <w:color w:val="000000"/>
          <w:szCs w:val="22"/>
          <w:lang w:val="en-GB"/>
        </w:rPr>
        <w:t xml:space="preserve">were </w:t>
      </w:r>
      <w:r w:rsidR="00353373">
        <w:rPr>
          <w:color w:val="000000"/>
          <w:szCs w:val="22"/>
          <w:lang w:val="en-GB"/>
        </w:rPr>
        <w:t xml:space="preserve">composed of greater proportion of finer sediments, and in 2014-15 the proportion </w:t>
      </w:r>
      <w:r>
        <w:rPr>
          <w:color w:val="000000"/>
          <w:szCs w:val="22"/>
          <w:lang w:val="en-GB"/>
        </w:rPr>
        <w:t xml:space="preserve">of </w:t>
      </w:r>
      <w:r w:rsidR="00353373">
        <w:rPr>
          <w:color w:val="000000"/>
          <w:szCs w:val="22"/>
          <w:lang w:val="en-GB"/>
        </w:rPr>
        <w:t>mud was similar to the GBR long-term average</w:t>
      </w:r>
      <w:r>
        <w:rPr>
          <w:color w:val="000000"/>
          <w:szCs w:val="22"/>
          <w:lang w:val="en-GB"/>
        </w:rPr>
        <w:t xml:space="preserve"> with </w:t>
      </w:r>
      <w:r w:rsidR="00353373">
        <w:rPr>
          <w:color w:val="000000"/>
          <w:szCs w:val="22"/>
          <w:lang w:val="en-GB"/>
        </w:rPr>
        <w:t>little change over the last 6 years.</w:t>
      </w:r>
      <w:r>
        <w:rPr>
          <w:color w:val="000000"/>
          <w:szCs w:val="22"/>
          <w:lang w:val="en-GB"/>
        </w:rPr>
        <w:t xml:space="preserve"> Coastal habitat meadows had less mud than estuarine habitats, and the</w:t>
      </w:r>
      <w:r w:rsidR="00353373">
        <w:rPr>
          <w:color w:val="000000"/>
          <w:szCs w:val="22"/>
          <w:lang w:val="en-GB"/>
        </w:rPr>
        <w:t xml:space="preserve"> </w:t>
      </w:r>
      <w:r>
        <w:rPr>
          <w:color w:val="000000"/>
          <w:szCs w:val="22"/>
          <w:lang w:val="en-GB"/>
        </w:rPr>
        <w:t xml:space="preserve">meadows </w:t>
      </w:r>
      <w:r w:rsidR="00353373">
        <w:rPr>
          <w:color w:val="000000"/>
          <w:szCs w:val="22"/>
          <w:lang w:val="en-GB"/>
        </w:rPr>
        <w:t>at M</w:t>
      </w:r>
      <w:r>
        <w:rPr>
          <w:color w:val="000000"/>
          <w:szCs w:val="22"/>
          <w:lang w:val="en-GB"/>
        </w:rPr>
        <w:t>idge Point</w:t>
      </w:r>
      <w:r w:rsidR="00353373">
        <w:rPr>
          <w:color w:val="000000"/>
          <w:szCs w:val="22"/>
          <w:lang w:val="en-GB"/>
        </w:rPr>
        <w:t xml:space="preserve"> ha</w:t>
      </w:r>
      <w:r>
        <w:rPr>
          <w:color w:val="000000"/>
          <w:szCs w:val="22"/>
          <w:lang w:val="en-GB"/>
        </w:rPr>
        <w:t>d a</w:t>
      </w:r>
      <w:r w:rsidR="00353373">
        <w:rPr>
          <w:color w:val="000000"/>
          <w:szCs w:val="22"/>
          <w:lang w:val="en-GB"/>
        </w:rPr>
        <w:t xml:space="preserve"> higher proportion of mud than </w:t>
      </w:r>
      <w:r>
        <w:rPr>
          <w:color w:val="000000"/>
          <w:szCs w:val="22"/>
          <w:lang w:val="en-GB"/>
        </w:rPr>
        <w:t xml:space="preserve">those in Pioneer Bay. Sediments at Midge Point </w:t>
      </w:r>
      <w:r w:rsidR="00353373">
        <w:rPr>
          <w:color w:val="000000"/>
          <w:szCs w:val="22"/>
          <w:lang w:val="en-GB"/>
        </w:rPr>
        <w:t>ha</w:t>
      </w:r>
      <w:r>
        <w:rPr>
          <w:color w:val="000000"/>
          <w:szCs w:val="22"/>
          <w:lang w:val="en-GB"/>
        </w:rPr>
        <w:t>ve</w:t>
      </w:r>
      <w:r w:rsidR="00353373">
        <w:rPr>
          <w:color w:val="000000"/>
          <w:szCs w:val="22"/>
          <w:lang w:val="en-GB"/>
        </w:rPr>
        <w:t xml:space="preserve"> remained stable </w:t>
      </w:r>
      <w:r>
        <w:rPr>
          <w:color w:val="000000"/>
          <w:szCs w:val="22"/>
          <w:lang w:val="en-GB"/>
        </w:rPr>
        <w:t>relative</w:t>
      </w:r>
      <w:r w:rsidR="00353373">
        <w:rPr>
          <w:color w:val="000000"/>
          <w:szCs w:val="22"/>
          <w:lang w:val="en-GB"/>
        </w:rPr>
        <w:t xml:space="preserve"> to the GBR long-term average since 2007</w:t>
      </w:r>
      <w:r>
        <w:rPr>
          <w:color w:val="000000"/>
          <w:szCs w:val="22"/>
          <w:lang w:val="en-GB"/>
        </w:rPr>
        <w:t xml:space="preserve">, </w:t>
      </w:r>
      <w:r w:rsidR="00353373">
        <w:rPr>
          <w:color w:val="000000"/>
          <w:szCs w:val="22"/>
          <w:lang w:val="en-GB"/>
        </w:rPr>
        <w:t xml:space="preserve">however, </w:t>
      </w:r>
      <w:r>
        <w:rPr>
          <w:color w:val="000000"/>
          <w:szCs w:val="22"/>
          <w:lang w:val="en-GB"/>
        </w:rPr>
        <w:t>at Pioneer Bay they have</w:t>
      </w:r>
      <w:r w:rsidR="00353373">
        <w:rPr>
          <w:color w:val="000000"/>
          <w:szCs w:val="22"/>
          <w:lang w:val="en-GB"/>
        </w:rPr>
        <w:t xml:space="preserve"> fluctuated greatly between sites and between years</w:t>
      </w:r>
      <w:r>
        <w:rPr>
          <w:color w:val="000000"/>
          <w:szCs w:val="22"/>
          <w:lang w:val="en-GB"/>
        </w:rPr>
        <w:t>; i</w:t>
      </w:r>
      <w:r w:rsidR="00353373">
        <w:rPr>
          <w:color w:val="000000"/>
          <w:szCs w:val="22"/>
          <w:lang w:val="en-GB"/>
        </w:rPr>
        <w:t xml:space="preserve">n 2014-15, the </w:t>
      </w:r>
      <w:r>
        <w:rPr>
          <w:color w:val="000000"/>
          <w:szCs w:val="22"/>
          <w:lang w:val="en-GB"/>
        </w:rPr>
        <w:t>proportion</w:t>
      </w:r>
      <w:r w:rsidR="00353373">
        <w:rPr>
          <w:color w:val="000000"/>
          <w:szCs w:val="22"/>
          <w:lang w:val="en-GB"/>
        </w:rPr>
        <w:t xml:space="preserve"> mud </w:t>
      </w:r>
      <w:r>
        <w:rPr>
          <w:color w:val="000000"/>
          <w:szCs w:val="22"/>
          <w:lang w:val="en-GB"/>
        </w:rPr>
        <w:t>increased</w:t>
      </w:r>
      <w:r w:rsidR="00353373">
        <w:rPr>
          <w:color w:val="000000"/>
          <w:szCs w:val="22"/>
          <w:lang w:val="en-GB"/>
        </w:rPr>
        <w:t xml:space="preserve"> at PI2 but decreased at PI3.</w:t>
      </w:r>
      <w:r>
        <w:rPr>
          <w:color w:val="000000"/>
          <w:szCs w:val="22"/>
          <w:lang w:val="en-GB"/>
        </w:rPr>
        <w:t xml:space="preserve"> </w:t>
      </w:r>
      <w:r w:rsidR="00353373">
        <w:rPr>
          <w:color w:val="000000"/>
          <w:szCs w:val="22"/>
          <w:lang w:val="en-GB"/>
        </w:rPr>
        <w:t xml:space="preserve">Reef habitats </w:t>
      </w:r>
      <w:r>
        <w:rPr>
          <w:color w:val="000000"/>
          <w:szCs w:val="22"/>
          <w:lang w:val="en-GB"/>
        </w:rPr>
        <w:t xml:space="preserve">were </w:t>
      </w:r>
      <w:r w:rsidR="00353373">
        <w:rPr>
          <w:color w:val="000000"/>
          <w:szCs w:val="22"/>
          <w:lang w:val="en-GB"/>
        </w:rPr>
        <w:t xml:space="preserve">composed </w:t>
      </w:r>
      <w:r>
        <w:rPr>
          <w:color w:val="000000"/>
          <w:szCs w:val="22"/>
          <w:lang w:val="en-GB"/>
        </w:rPr>
        <w:t>predominately</w:t>
      </w:r>
      <w:r w:rsidR="00353373">
        <w:rPr>
          <w:color w:val="000000"/>
          <w:szCs w:val="22"/>
          <w:lang w:val="en-GB"/>
        </w:rPr>
        <w:t xml:space="preserve"> of fine to medium sand</w:t>
      </w:r>
      <w:r>
        <w:rPr>
          <w:color w:val="000000"/>
          <w:szCs w:val="22"/>
          <w:lang w:val="en-GB"/>
        </w:rPr>
        <w:t>, h</w:t>
      </w:r>
      <w:r w:rsidR="00353373">
        <w:rPr>
          <w:color w:val="000000"/>
          <w:szCs w:val="22"/>
          <w:lang w:val="en-GB"/>
        </w:rPr>
        <w:t xml:space="preserve">owever, </w:t>
      </w:r>
      <w:r>
        <w:rPr>
          <w:color w:val="000000"/>
          <w:szCs w:val="22"/>
          <w:lang w:val="en-GB"/>
        </w:rPr>
        <w:t>in 2014 the</w:t>
      </w:r>
      <w:r w:rsidR="00AC01D5">
        <w:rPr>
          <w:color w:val="000000"/>
          <w:szCs w:val="22"/>
          <w:lang w:val="en-GB"/>
        </w:rPr>
        <w:t>y contained a</w:t>
      </w:r>
      <w:r w:rsidR="00353373">
        <w:rPr>
          <w:color w:val="000000"/>
          <w:szCs w:val="22"/>
          <w:lang w:val="en-GB"/>
        </w:rPr>
        <w:t xml:space="preserve"> proportion of mud</w:t>
      </w:r>
      <w:r w:rsidR="00AC01D5">
        <w:rPr>
          <w:color w:val="000000"/>
          <w:szCs w:val="22"/>
          <w:lang w:val="en-GB"/>
        </w:rPr>
        <w:t>, not observed since early 2012.</w:t>
      </w:r>
    </w:p>
    <w:p w:rsidR="00BC4EC5" w:rsidRPr="00372A66" w:rsidRDefault="00BC4EC5" w:rsidP="00BC4EC5">
      <w:pPr>
        <w:rPr>
          <w:color w:val="000000"/>
          <w:szCs w:val="22"/>
          <w:lang w:val="en-GB"/>
        </w:rPr>
      </w:pPr>
    </w:p>
    <w:p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 xml:space="preserve">Epiphytes and </w:t>
      </w:r>
      <w:proofErr w:type="spellStart"/>
      <w:r w:rsidRPr="004F2236">
        <w:rPr>
          <w:rFonts w:ascii="Arial" w:hAnsi="Arial" w:cs="Arial"/>
          <w:sz w:val="24"/>
          <w:szCs w:val="24"/>
        </w:rPr>
        <w:t>macroalgae</w:t>
      </w:r>
      <w:bookmarkEnd w:id="457"/>
      <w:bookmarkEnd w:id="458"/>
      <w:proofErr w:type="spellEnd"/>
    </w:p>
    <w:p w:rsidR="008A1426" w:rsidRPr="00B9236B" w:rsidRDefault="004B656A" w:rsidP="004B656A">
      <w:pPr>
        <w:rPr>
          <w:szCs w:val="22"/>
          <w:lang w:val="en-US"/>
        </w:rPr>
      </w:pPr>
      <w:r w:rsidRPr="008A1426">
        <w:rPr>
          <w:szCs w:val="22"/>
          <w:lang w:val="en-US"/>
        </w:rPr>
        <w:t>Epiphyte</w:t>
      </w:r>
      <w:r w:rsidR="008A1426" w:rsidRPr="008A1426">
        <w:rPr>
          <w:szCs w:val="22"/>
          <w:lang w:val="en-US"/>
        </w:rPr>
        <w:t xml:space="preserve"> cover on seagrass leaf blades wa</w:t>
      </w:r>
      <w:r w:rsidRPr="008A1426">
        <w:rPr>
          <w:szCs w:val="22"/>
          <w:lang w:val="en-US"/>
        </w:rPr>
        <w:t xml:space="preserve">s </w:t>
      </w:r>
      <w:r w:rsidR="008A1426" w:rsidRPr="008A1426">
        <w:rPr>
          <w:szCs w:val="22"/>
          <w:lang w:val="en-US"/>
        </w:rPr>
        <w:t xml:space="preserve">consistent </w:t>
      </w:r>
      <w:r w:rsidR="008A1426">
        <w:rPr>
          <w:szCs w:val="22"/>
          <w:lang w:val="en-US"/>
        </w:rPr>
        <w:t xml:space="preserve">with the long-term trend </w:t>
      </w:r>
      <w:r w:rsidR="008A1426" w:rsidRPr="008A1426">
        <w:rPr>
          <w:szCs w:val="22"/>
          <w:lang w:val="en-US"/>
        </w:rPr>
        <w:t xml:space="preserve">during 2014-15 with no seasonal difference apparent, except at reef habitats where it was higher in </w:t>
      </w:r>
      <w:r w:rsidR="00CA7F98" w:rsidRPr="008A1426">
        <w:rPr>
          <w:szCs w:val="22"/>
          <w:lang w:val="en-US"/>
        </w:rPr>
        <w:t>the dry season</w:t>
      </w:r>
      <w:r w:rsidR="00766670" w:rsidRPr="008A1426">
        <w:rPr>
          <w:szCs w:val="22"/>
          <w:lang w:val="en-US"/>
        </w:rPr>
        <w:t xml:space="preserve"> (</w:t>
      </w:r>
      <w:r w:rsidR="00766670" w:rsidRPr="008A1426">
        <w:rPr>
          <w:szCs w:val="22"/>
          <w:lang w:val="en-US"/>
        </w:rPr>
        <w:fldChar w:fldCharType="begin"/>
      </w:r>
      <w:r w:rsidR="00766670" w:rsidRPr="008A1426">
        <w:rPr>
          <w:szCs w:val="22"/>
          <w:lang w:val="en-US"/>
        </w:rPr>
        <w:instrText xml:space="preserve"> REF _Ref211931338 \h  \* MERGEFORMAT </w:instrText>
      </w:r>
      <w:r w:rsidR="00766670" w:rsidRPr="008A1426">
        <w:rPr>
          <w:szCs w:val="22"/>
          <w:lang w:val="en-US"/>
        </w:rPr>
      </w:r>
      <w:r w:rsidR="00766670" w:rsidRPr="008A1426">
        <w:rPr>
          <w:szCs w:val="22"/>
          <w:lang w:val="en-US"/>
        </w:rPr>
        <w:fldChar w:fldCharType="separate"/>
      </w:r>
      <w:r w:rsidR="009C068F" w:rsidRPr="009C068F">
        <w:rPr>
          <w:szCs w:val="22"/>
        </w:rPr>
        <w:t xml:space="preserve">Figure </w:t>
      </w:r>
      <w:r w:rsidR="009C068F" w:rsidRPr="009C068F">
        <w:rPr>
          <w:noProof/>
          <w:szCs w:val="22"/>
        </w:rPr>
        <w:t>80</w:t>
      </w:r>
      <w:r w:rsidR="00766670" w:rsidRPr="008A1426">
        <w:rPr>
          <w:szCs w:val="22"/>
          <w:lang w:val="en-US"/>
        </w:rPr>
        <w:fldChar w:fldCharType="end"/>
      </w:r>
      <w:r w:rsidR="00766670" w:rsidRPr="008A1426">
        <w:rPr>
          <w:szCs w:val="22"/>
          <w:lang w:val="en-US"/>
        </w:rPr>
        <w:t>)</w:t>
      </w:r>
      <w:r w:rsidRPr="008A1426">
        <w:rPr>
          <w:szCs w:val="22"/>
          <w:lang w:val="en-US"/>
        </w:rPr>
        <w:t xml:space="preserve">. </w:t>
      </w:r>
      <w:r w:rsidR="00CA7F98" w:rsidRPr="008A1426">
        <w:rPr>
          <w:szCs w:val="22"/>
          <w:lang w:val="en-US"/>
        </w:rPr>
        <w:t xml:space="preserve">At </w:t>
      </w:r>
      <w:r w:rsidR="00E43097" w:rsidRPr="008A1426">
        <w:rPr>
          <w:szCs w:val="22"/>
          <w:lang w:val="en-US"/>
        </w:rPr>
        <w:t xml:space="preserve">estuarine and </w:t>
      </w:r>
      <w:r w:rsidR="008A1426" w:rsidRPr="008A1426">
        <w:rPr>
          <w:szCs w:val="22"/>
          <w:lang w:val="en-US"/>
        </w:rPr>
        <w:t>reef</w:t>
      </w:r>
      <w:r w:rsidR="00CA7F98" w:rsidRPr="008A1426">
        <w:rPr>
          <w:szCs w:val="22"/>
          <w:lang w:val="en-US"/>
        </w:rPr>
        <w:t xml:space="preserve"> h</w:t>
      </w:r>
      <w:r w:rsidR="008A1426" w:rsidRPr="008A1426">
        <w:rPr>
          <w:szCs w:val="22"/>
          <w:lang w:val="en-US"/>
        </w:rPr>
        <w:t>abitats, epiphyte cover de</w:t>
      </w:r>
      <w:r w:rsidR="00CA7F98" w:rsidRPr="008A1426">
        <w:rPr>
          <w:szCs w:val="22"/>
          <w:lang w:val="en-US"/>
        </w:rPr>
        <w:t xml:space="preserve">creased </w:t>
      </w:r>
      <w:r w:rsidR="008A1426" w:rsidRPr="008A1426">
        <w:rPr>
          <w:szCs w:val="22"/>
          <w:lang w:val="en-US"/>
        </w:rPr>
        <w:t>below</w:t>
      </w:r>
      <w:r w:rsidR="00CA7F98" w:rsidRPr="008A1426">
        <w:rPr>
          <w:szCs w:val="22"/>
          <w:lang w:val="en-US"/>
        </w:rPr>
        <w:t xml:space="preserve"> the GBR long-term average</w:t>
      </w:r>
      <w:r w:rsidR="00E43097" w:rsidRPr="008A1426">
        <w:rPr>
          <w:szCs w:val="22"/>
          <w:lang w:val="en-US"/>
        </w:rPr>
        <w:t xml:space="preserve"> in </w:t>
      </w:r>
      <w:r w:rsidR="00E43097" w:rsidRPr="00B9236B">
        <w:rPr>
          <w:szCs w:val="22"/>
          <w:lang w:val="en-US"/>
        </w:rPr>
        <w:t>201</w:t>
      </w:r>
      <w:r w:rsidR="008A1426" w:rsidRPr="00B9236B">
        <w:rPr>
          <w:szCs w:val="22"/>
          <w:lang w:val="en-US"/>
        </w:rPr>
        <w:t>4</w:t>
      </w:r>
      <w:r w:rsidR="00E43097" w:rsidRPr="00B9236B">
        <w:rPr>
          <w:szCs w:val="22"/>
          <w:lang w:val="en-US"/>
        </w:rPr>
        <w:t>-1</w:t>
      </w:r>
      <w:r w:rsidR="008A1426" w:rsidRPr="00B9236B">
        <w:rPr>
          <w:szCs w:val="22"/>
          <w:lang w:val="en-US"/>
        </w:rPr>
        <w:t>5</w:t>
      </w:r>
      <w:r w:rsidR="00E43097" w:rsidRPr="00B9236B">
        <w:rPr>
          <w:szCs w:val="22"/>
          <w:lang w:val="en-US"/>
        </w:rPr>
        <w:t xml:space="preserve"> (Appendix 2, </w:t>
      </w:r>
      <w:r w:rsidR="00E43097" w:rsidRPr="00B9236B">
        <w:rPr>
          <w:szCs w:val="22"/>
          <w:lang w:val="en-US"/>
        </w:rPr>
        <w:fldChar w:fldCharType="begin"/>
      </w:r>
      <w:r w:rsidR="00E43097" w:rsidRPr="00B9236B">
        <w:rPr>
          <w:szCs w:val="22"/>
          <w:lang w:val="en-US"/>
        </w:rPr>
        <w:instrText xml:space="preserve"> REF _Ref382206987 \h  \* MERGEFORMAT </w:instrText>
      </w:r>
      <w:r w:rsidR="00E43097" w:rsidRPr="00B9236B">
        <w:rPr>
          <w:szCs w:val="22"/>
          <w:lang w:val="en-US"/>
        </w:rPr>
      </w:r>
      <w:r w:rsidR="00E43097" w:rsidRPr="00B9236B">
        <w:rPr>
          <w:szCs w:val="22"/>
          <w:lang w:val="en-US"/>
        </w:rPr>
        <w:fldChar w:fldCharType="separate"/>
      </w:r>
      <w:r w:rsidR="009C068F" w:rsidRPr="009C068F">
        <w:rPr>
          <w:szCs w:val="22"/>
        </w:rPr>
        <w:t xml:space="preserve">Figure </w:t>
      </w:r>
      <w:r w:rsidR="009C068F" w:rsidRPr="009C068F">
        <w:rPr>
          <w:noProof/>
          <w:szCs w:val="22"/>
        </w:rPr>
        <w:t>208</w:t>
      </w:r>
      <w:r w:rsidR="00E43097" w:rsidRPr="00B9236B">
        <w:rPr>
          <w:szCs w:val="22"/>
          <w:lang w:val="en-US"/>
        </w:rPr>
        <w:fldChar w:fldCharType="end"/>
      </w:r>
      <w:r w:rsidR="00E43097" w:rsidRPr="00B9236B">
        <w:rPr>
          <w:szCs w:val="22"/>
          <w:lang w:val="en-US"/>
        </w:rPr>
        <w:t xml:space="preserve">, </w:t>
      </w:r>
      <w:r w:rsidR="00E43097" w:rsidRPr="00B9236B">
        <w:rPr>
          <w:szCs w:val="22"/>
          <w:lang w:val="en-US"/>
        </w:rPr>
        <w:fldChar w:fldCharType="begin"/>
      </w:r>
      <w:r w:rsidR="00E43097" w:rsidRPr="00B9236B">
        <w:rPr>
          <w:szCs w:val="22"/>
          <w:lang w:val="en-US"/>
        </w:rPr>
        <w:instrText xml:space="preserve"> REF _Ref382207016 \h </w:instrText>
      </w:r>
      <w:r w:rsidR="00E43097" w:rsidRPr="00B9236B">
        <w:rPr>
          <w:szCs w:val="22"/>
          <w:lang w:val="en-US"/>
        </w:rPr>
      </w:r>
      <w:r w:rsidR="00E43097" w:rsidRPr="00B9236B">
        <w:rPr>
          <w:szCs w:val="22"/>
          <w:lang w:val="en-US"/>
        </w:rPr>
        <w:fldChar w:fldCharType="separate"/>
      </w:r>
      <w:r w:rsidR="009C068F" w:rsidRPr="00234B94">
        <w:t xml:space="preserve">Figure </w:t>
      </w:r>
      <w:r w:rsidR="009C068F">
        <w:rPr>
          <w:noProof/>
        </w:rPr>
        <w:t>209</w:t>
      </w:r>
      <w:r w:rsidR="00E43097" w:rsidRPr="00B9236B">
        <w:rPr>
          <w:szCs w:val="22"/>
          <w:lang w:val="en-US"/>
        </w:rPr>
        <w:fldChar w:fldCharType="end"/>
      </w:r>
      <w:r w:rsidR="00E43097" w:rsidRPr="00B9236B">
        <w:rPr>
          <w:szCs w:val="22"/>
          <w:lang w:val="en-US"/>
        </w:rPr>
        <w:t xml:space="preserve">), but </w:t>
      </w:r>
      <w:r w:rsidR="008A1426" w:rsidRPr="00B9236B">
        <w:rPr>
          <w:szCs w:val="22"/>
          <w:lang w:val="en-US"/>
        </w:rPr>
        <w:t xml:space="preserve">remained above </w:t>
      </w:r>
      <w:r w:rsidR="00E43097" w:rsidRPr="00B9236B">
        <w:rPr>
          <w:szCs w:val="22"/>
          <w:lang w:val="en-US"/>
        </w:rPr>
        <w:t xml:space="preserve">at </w:t>
      </w:r>
      <w:r w:rsidR="008A1426" w:rsidRPr="00B9236B">
        <w:rPr>
          <w:szCs w:val="22"/>
          <w:lang w:val="en-US"/>
        </w:rPr>
        <w:t>the coastal habi</w:t>
      </w:r>
      <w:r w:rsidR="007C6C8F">
        <w:rPr>
          <w:szCs w:val="22"/>
          <w:lang w:val="en-US"/>
        </w:rPr>
        <w:t>t</w:t>
      </w:r>
      <w:r w:rsidR="008A1426" w:rsidRPr="00B9236B">
        <w:rPr>
          <w:szCs w:val="22"/>
          <w:lang w:val="en-US"/>
        </w:rPr>
        <w:t>at of Pioneer Bay</w:t>
      </w:r>
      <w:r w:rsidR="00CA7F98" w:rsidRPr="00B9236B">
        <w:rPr>
          <w:szCs w:val="22"/>
          <w:lang w:val="en-US"/>
        </w:rPr>
        <w:t xml:space="preserve"> </w:t>
      </w:r>
      <w:r w:rsidR="00766670" w:rsidRPr="00B9236B">
        <w:rPr>
          <w:szCs w:val="22"/>
          <w:lang w:val="en-US"/>
        </w:rPr>
        <w:t xml:space="preserve">(Appendix </w:t>
      </w:r>
      <w:r w:rsidR="00E43097" w:rsidRPr="00630574">
        <w:rPr>
          <w:szCs w:val="22"/>
          <w:lang w:val="en-US"/>
        </w:rPr>
        <w:t>2</w:t>
      </w:r>
      <w:r w:rsidR="00766670" w:rsidRPr="00630574">
        <w:rPr>
          <w:szCs w:val="22"/>
          <w:lang w:val="en-US"/>
        </w:rPr>
        <w:t xml:space="preserve">, </w:t>
      </w:r>
      <w:r w:rsidR="00766670" w:rsidRPr="00630574">
        <w:rPr>
          <w:szCs w:val="22"/>
          <w:lang w:val="en-US"/>
        </w:rPr>
        <w:fldChar w:fldCharType="begin"/>
      </w:r>
      <w:r w:rsidR="00766670" w:rsidRPr="00630574">
        <w:rPr>
          <w:szCs w:val="22"/>
          <w:lang w:val="en-US"/>
        </w:rPr>
        <w:instrText xml:space="preserve"> REF _Ref382207017 \h  \* MERGEFORMAT </w:instrText>
      </w:r>
      <w:r w:rsidR="00766670" w:rsidRPr="00630574">
        <w:rPr>
          <w:szCs w:val="22"/>
          <w:lang w:val="en-US"/>
        </w:rPr>
      </w:r>
      <w:r w:rsidR="00766670" w:rsidRPr="00630574">
        <w:rPr>
          <w:szCs w:val="22"/>
          <w:lang w:val="en-US"/>
        </w:rPr>
        <w:fldChar w:fldCharType="separate"/>
      </w:r>
      <w:r w:rsidR="009C068F" w:rsidRPr="009C068F">
        <w:rPr>
          <w:szCs w:val="22"/>
        </w:rPr>
        <w:t xml:space="preserve">Figure </w:t>
      </w:r>
      <w:r w:rsidR="009C068F" w:rsidRPr="009C068F">
        <w:rPr>
          <w:noProof/>
          <w:szCs w:val="22"/>
        </w:rPr>
        <w:t>210</w:t>
      </w:r>
      <w:r w:rsidR="00766670" w:rsidRPr="00630574">
        <w:rPr>
          <w:szCs w:val="22"/>
          <w:lang w:val="en-US"/>
        </w:rPr>
        <w:fldChar w:fldCharType="end"/>
      </w:r>
      <w:r w:rsidR="00766670" w:rsidRPr="00630574">
        <w:rPr>
          <w:szCs w:val="22"/>
          <w:lang w:val="en-US"/>
        </w:rPr>
        <w:t>)</w:t>
      </w:r>
      <w:r w:rsidR="007C6C8F">
        <w:rPr>
          <w:szCs w:val="22"/>
          <w:lang w:val="en-US"/>
        </w:rPr>
        <w:t xml:space="preserve">. </w:t>
      </w:r>
      <w:r w:rsidR="008A1426" w:rsidRPr="00630574">
        <w:rPr>
          <w:szCs w:val="22"/>
          <w:lang w:val="en-US"/>
        </w:rPr>
        <w:t>In coastal habitats, e</w:t>
      </w:r>
      <w:r w:rsidR="00E43097" w:rsidRPr="00630574">
        <w:rPr>
          <w:szCs w:val="22"/>
          <w:lang w:val="en-US"/>
        </w:rPr>
        <w:t>piphyte a</w:t>
      </w:r>
      <w:r w:rsidRPr="00630574">
        <w:rPr>
          <w:szCs w:val="22"/>
          <w:lang w:val="en-US"/>
        </w:rPr>
        <w:t xml:space="preserve">bundances </w:t>
      </w:r>
      <w:r w:rsidR="008A1426" w:rsidRPr="00630574">
        <w:rPr>
          <w:szCs w:val="22"/>
          <w:lang w:val="en-US"/>
        </w:rPr>
        <w:t>were higher at Pioneer Bay than Midge Point both in 2014-15 and in the long-term</w:t>
      </w:r>
      <w:r w:rsidRPr="00630574">
        <w:rPr>
          <w:szCs w:val="22"/>
          <w:lang w:val="en-US"/>
        </w:rPr>
        <w:t xml:space="preserve"> </w:t>
      </w:r>
      <w:r w:rsidR="00766670" w:rsidRPr="00630574">
        <w:rPr>
          <w:szCs w:val="22"/>
          <w:lang w:val="en-US"/>
        </w:rPr>
        <w:t>(</w:t>
      </w:r>
      <w:r w:rsidR="00766670" w:rsidRPr="00630574">
        <w:rPr>
          <w:szCs w:val="22"/>
          <w:lang w:val="en-US"/>
        </w:rPr>
        <w:fldChar w:fldCharType="begin"/>
      </w:r>
      <w:r w:rsidR="00766670" w:rsidRPr="00630574">
        <w:rPr>
          <w:szCs w:val="22"/>
          <w:lang w:val="en-US"/>
        </w:rPr>
        <w:instrText xml:space="preserve"> REF _Ref211931338 \h  \* MERGEFORMAT </w:instrText>
      </w:r>
      <w:r w:rsidR="00766670" w:rsidRPr="00630574">
        <w:rPr>
          <w:szCs w:val="22"/>
          <w:lang w:val="en-US"/>
        </w:rPr>
      </w:r>
      <w:r w:rsidR="00766670" w:rsidRPr="00630574">
        <w:rPr>
          <w:szCs w:val="22"/>
          <w:lang w:val="en-US"/>
        </w:rPr>
        <w:fldChar w:fldCharType="separate"/>
      </w:r>
      <w:r w:rsidR="009C068F" w:rsidRPr="009C068F">
        <w:rPr>
          <w:szCs w:val="22"/>
        </w:rPr>
        <w:t xml:space="preserve">Figure </w:t>
      </w:r>
      <w:r w:rsidR="009C068F" w:rsidRPr="009C068F">
        <w:rPr>
          <w:noProof/>
          <w:szCs w:val="22"/>
        </w:rPr>
        <w:t>80</w:t>
      </w:r>
      <w:r w:rsidR="00766670" w:rsidRPr="00630574">
        <w:rPr>
          <w:szCs w:val="22"/>
          <w:lang w:val="en-US"/>
        </w:rPr>
        <w:fldChar w:fldCharType="end"/>
      </w:r>
      <w:r w:rsidR="00E43097" w:rsidRPr="00630574">
        <w:rPr>
          <w:szCs w:val="22"/>
          <w:lang w:val="en-US"/>
        </w:rPr>
        <w:t>; Appendix 2</w:t>
      </w:r>
      <w:r w:rsidR="00766670" w:rsidRPr="00630574">
        <w:rPr>
          <w:szCs w:val="22"/>
          <w:lang w:val="en-US"/>
        </w:rPr>
        <w:t xml:space="preserve">, </w:t>
      </w:r>
      <w:r w:rsidR="00766670" w:rsidRPr="00630574">
        <w:rPr>
          <w:szCs w:val="22"/>
          <w:lang w:val="en-US"/>
        </w:rPr>
        <w:fldChar w:fldCharType="begin"/>
      </w:r>
      <w:r w:rsidR="00766670" w:rsidRPr="00630574">
        <w:rPr>
          <w:szCs w:val="22"/>
          <w:lang w:val="en-US"/>
        </w:rPr>
        <w:instrText xml:space="preserve"> REF _Ref382206987 \h  \* MERGEFORMAT </w:instrText>
      </w:r>
      <w:r w:rsidR="00766670" w:rsidRPr="00630574">
        <w:rPr>
          <w:szCs w:val="22"/>
          <w:lang w:val="en-US"/>
        </w:rPr>
      </w:r>
      <w:r w:rsidR="00766670" w:rsidRPr="00630574">
        <w:rPr>
          <w:szCs w:val="22"/>
          <w:lang w:val="en-US"/>
        </w:rPr>
        <w:fldChar w:fldCharType="separate"/>
      </w:r>
      <w:r w:rsidR="009C068F" w:rsidRPr="009C068F">
        <w:rPr>
          <w:szCs w:val="22"/>
        </w:rPr>
        <w:t xml:space="preserve">Figure </w:t>
      </w:r>
      <w:r w:rsidR="009C068F" w:rsidRPr="009C068F">
        <w:rPr>
          <w:noProof/>
          <w:szCs w:val="22"/>
        </w:rPr>
        <w:t>208</w:t>
      </w:r>
      <w:r w:rsidR="00766670" w:rsidRPr="00630574">
        <w:rPr>
          <w:szCs w:val="22"/>
          <w:lang w:val="en-US"/>
        </w:rPr>
        <w:fldChar w:fldCharType="end"/>
      </w:r>
      <w:r w:rsidR="00766670" w:rsidRPr="00630574">
        <w:rPr>
          <w:szCs w:val="22"/>
          <w:lang w:val="en-US"/>
        </w:rPr>
        <w:t>)</w:t>
      </w:r>
      <w:r w:rsidRPr="00630574">
        <w:rPr>
          <w:szCs w:val="22"/>
          <w:lang w:val="en-US"/>
        </w:rPr>
        <w:t xml:space="preserve">. </w:t>
      </w:r>
      <w:proofErr w:type="gramStart"/>
      <w:r w:rsidRPr="00630574">
        <w:rPr>
          <w:szCs w:val="22"/>
          <w:lang w:val="en-US"/>
        </w:rPr>
        <w:t>Percentage cover</w:t>
      </w:r>
      <w:proofErr w:type="gramEnd"/>
      <w:r w:rsidRPr="00630574">
        <w:rPr>
          <w:szCs w:val="22"/>
          <w:lang w:val="en-US"/>
        </w:rPr>
        <w:t xml:space="preserve"> of </w:t>
      </w:r>
      <w:proofErr w:type="spellStart"/>
      <w:r w:rsidRPr="00630574">
        <w:rPr>
          <w:szCs w:val="22"/>
          <w:lang w:val="en-US"/>
        </w:rPr>
        <w:t>macroalgae</w:t>
      </w:r>
      <w:proofErr w:type="spellEnd"/>
      <w:r w:rsidRPr="00630574">
        <w:rPr>
          <w:szCs w:val="22"/>
          <w:lang w:val="en-US"/>
        </w:rPr>
        <w:t xml:space="preserve"> remained unchanged and below the GBR long-term average for </w:t>
      </w:r>
      <w:r w:rsidR="00B9236B" w:rsidRPr="00630574">
        <w:rPr>
          <w:szCs w:val="22"/>
          <w:lang w:val="en-US"/>
        </w:rPr>
        <w:t xml:space="preserve">all habitats </w:t>
      </w:r>
      <w:r w:rsidRPr="00630574">
        <w:rPr>
          <w:szCs w:val="22"/>
          <w:lang w:val="en-US"/>
        </w:rPr>
        <w:t xml:space="preserve">throughout </w:t>
      </w:r>
      <w:r w:rsidR="00EC364C" w:rsidRPr="00630574">
        <w:rPr>
          <w:szCs w:val="22"/>
          <w:lang w:val="en-US"/>
        </w:rPr>
        <w:t>201</w:t>
      </w:r>
      <w:r w:rsidR="00B9236B" w:rsidRPr="00630574">
        <w:rPr>
          <w:szCs w:val="22"/>
          <w:lang w:val="en-US"/>
        </w:rPr>
        <w:t>4</w:t>
      </w:r>
      <w:r w:rsidR="00EC364C" w:rsidRPr="00630574">
        <w:rPr>
          <w:szCs w:val="22"/>
          <w:lang w:val="en-US"/>
        </w:rPr>
        <w:t>-1</w:t>
      </w:r>
      <w:r w:rsidR="00B9236B" w:rsidRPr="00630574">
        <w:rPr>
          <w:szCs w:val="22"/>
          <w:lang w:val="en-US"/>
        </w:rPr>
        <w:t>5</w:t>
      </w:r>
      <w:r w:rsidRPr="00630574">
        <w:rPr>
          <w:szCs w:val="22"/>
          <w:lang w:val="en-US"/>
        </w:rPr>
        <w:t xml:space="preserve"> </w:t>
      </w:r>
      <w:r w:rsidR="00766670" w:rsidRPr="00630574">
        <w:rPr>
          <w:szCs w:val="22"/>
          <w:lang w:val="en-US"/>
        </w:rPr>
        <w:t xml:space="preserve">(Appendix </w:t>
      </w:r>
      <w:r w:rsidR="00B9236B" w:rsidRPr="00630574">
        <w:rPr>
          <w:szCs w:val="22"/>
          <w:lang w:val="en-US"/>
        </w:rPr>
        <w:t>4</w:t>
      </w:r>
      <w:r w:rsidR="00766670" w:rsidRPr="00630574">
        <w:rPr>
          <w:szCs w:val="22"/>
          <w:lang w:val="en-US"/>
        </w:rPr>
        <w:t xml:space="preserve">, </w:t>
      </w:r>
      <w:r w:rsidR="00766670" w:rsidRPr="00630574">
        <w:rPr>
          <w:szCs w:val="22"/>
          <w:lang w:val="en-US"/>
        </w:rPr>
        <w:fldChar w:fldCharType="begin"/>
      </w:r>
      <w:r w:rsidR="00766670" w:rsidRPr="00630574">
        <w:rPr>
          <w:szCs w:val="22"/>
          <w:lang w:val="en-US"/>
        </w:rPr>
        <w:instrText xml:space="preserve"> REF _Ref382206987 \h  \* MERGEFORMAT </w:instrText>
      </w:r>
      <w:r w:rsidR="00766670" w:rsidRPr="00630574">
        <w:rPr>
          <w:szCs w:val="22"/>
          <w:lang w:val="en-US"/>
        </w:rPr>
      </w:r>
      <w:r w:rsidR="00766670" w:rsidRPr="00630574">
        <w:rPr>
          <w:szCs w:val="22"/>
          <w:lang w:val="en-US"/>
        </w:rPr>
        <w:fldChar w:fldCharType="separate"/>
      </w:r>
      <w:r w:rsidR="009C068F" w:rsidRPr="009C068F">
        <w:rPr>
          <w:szCs w:val="22"/>
        </w:rPr>
        <w:t xml:space="preserve">Figure </w:t>
      </w:r>
      <w:r w:rsidR="009C068F" w:rsidRPr="009C068F">
        <w:rPr>
          <w:noProof/>
          <w:szCs w:val="22"/>
        </w:rPr>
        <w:t>208</w:t>
      </w:r>
      <w:r w:rsidR="00766670" w:rsidRPr="00630574">
        <w:rPr>
          <w:szCs w:val="22"/>
          <w:lang w:val="en-US"/>
        </w:rPr>
        <w:fldChar w:fldCharType="end"/>
      </w:r>
      <w:r w:rsidR="00766670" w:rsidRPr="00630574">
        <w:rPr>
          <w:szCs w:val="22"/>
          <w:lang w:val="en-US"/>
        </w:rPr>
        <w:t xml:space="preserve">, </w:t>
      </w:r>
      <w:r w:rsidR="00766670" w:rsidRPr="00630574">
        <w:rPr>
          <w:szCs w:val="22"/>
          <w:lang w:val="en-US"/>
        </w:rPr>
        <w:fldChar w:fldCharType="begin"/>
      </w:r>
      <w:r w:rsidR="00766670" w:rsidRPr="00630574">
        <w:rPr>
          <w:szCs w:val="22"/>
          <w:lang w:val="en-US"/>
        </w:rPr>
        <w:instrText xml:space="preserve"> REF _Ref382207016 \h  \* MERGEFORMAT </w:instrText>
      </w:r>
      <w:r w:rsidR="00766670" w:rsidRPr="00630574">
        <w:rPr>
          <w:szCs w:val="22"/>
          <w:lang w:val="en-US"/>
        </w:rPr>
      </w:r>
      <w:r w:rsidR="00766670" w:rsidRPr="00630574">
        <w:rPr>
          <w:szCs w:val="22"/>
          <w:lang w:val="en-US"/>
        </w:rPr>
        <w:fldChar w:fldCharType="separate"/>
      </w:r>
      <w:r w:rsidR="009C068F" w:rsidRPr="009C068F">
        <w:rPr>
          <w:szCs w:val="22"/>
        </w:rPr>
        <w:t xml:space="preserve">Figure </w:t>
      </w:r>
      <w:r w:rsidR="009C068F" w:rsidRPr="009C068F">
        <w:rPr>
          <w:noProof/>
          <w:szCs w:val="22"/>
        </w:rPr>
        <w:t>209</w:t>
      </w:r>
      <w:r w:rsidR="00766670" w:rsidRPr="00630574">
        <w:rPr>
          <w:szCs w:val="22"/>
          <w:lang w:val="en-US"/>
        </w:rPr>
        <w:fldChar w:fldCharType="end"/>
      </w:r>
      <w:r w:rsidR="00766670" w:rsidRPr="00630574">
        <w:rPr>
          <w:szCs w:val="22"/>
          <w:lang w:val="en-US"/>
        </w:rPr>
        <w:t xml:space="preserve">, </w:t>
      </w:r>
      <w:r w:rsidR="00766670" w:rsidRPr="00630574">
        <w:rPr>
          <w:szCs w:val="22"/>
          <w:lang w:val="en-US"/>
        </w:rPr>
        <w:fldChar w:fldCharType="begin"/>
      </w:r>
      <w:r w:rsidR="00766670" w:rsidRPr="00630574">
        <w:rPr>
          <w:szCs w:val="22"/>
          <w:lang w:val="en-US"/>
        </w:rPr>
        <w:instrText xml:space="preserve"> REF _Ref382207017 \h  \* MERGEFORMAT </w:instrText>
      </w:r>
      <w:r w:rsidR="00766670" w:rsidRPr="00630574">
        <w:rPr>
          <w:szCs w:val="22"/>
          <w:lang w:val="en-US"/>
        </w:rPr>
      </w:r>
      <w:r w:rsidR="00766670" w:rsidRPr="00630574">
        <w:rPr>
          <w:szCs w:val="22"/>
          <w:lang w:val="en-US"/>
        </w:rPr>
        <w:fldChar w:fldCharType="separate"/>
      </w:r>
      <w:r w:rsidR="009C068F" w:rsidRPr="009C068F">
        <w:rPr>
          <w:szCs w:val="22"/>
        </w:rPr>
        <w:t xml:space="preserve">Figure </w:t>
      </w:r>
      <w:r w:rsidR="009C068F" w:rsidRPr="009C068F">
        <w:rPr>
          <w:noProof/>
          <w:szCs w:val="22"/>
        </w:rPr>
        <w:t>210</w:t>
      </w:r>
      <w:r w:rsidR="00766670" w:rsidRPr="00630574">
        <w:rPr>
          <w:szCs w:val="22"/>
          <w:lang w:val="en-US"/>
        </w:rPr>
        <w:fldChar w:fldCharType="end"/>
      </w:r>
      <w:r w:rsidR="00766670" w:rsidRPr="00630574">
        <w:rPr>
          <w:szCs w:val="22"/>
          <w:lang w:val="en-US"/>
        </w:rPr>
        <w:t>)</w:t>
      </w:r>
      <w:r w:rsidRPr="00630574">
        <w:rPr>
          <w:szCs w:val="22"/>
          <w:lang w:val="en-US"/>
        </w:rPr>
        <w:t xml:space="preserve">. </w:t>
      </w:r>
    </w:p>
    <w:p w:rsidR="008A1426" w:rsidRPr="00B9236B" w:rsidRDefault="007C6C8F" w:rsidP="00B9236B">
      <w:pPr>
        <w:keepNext/>
        <w:widowControl w:val="0"/>
        <w:spacing w:after="0"/>
        <w:jc w:val="center"/>
        <w:rPr>
          <w:szCs w:val="22"/>
          <w:lang w:val="en-US"/>
        </w:rPr>
      </w:pPr>
      <w:r>
        <w:rPr>
          <w:noProof/>
          <w:szCs w:val="22"/>
          <w:lang w:eastAsia="en-AU"/>
        </w:rPr>
        <w:lastRenderedPageBreak/>
        <w:drawing>
          <wp:inline distT="0" distB="0" distL="0" distR="0" wp14:anchorId="78FB36A2" wp14:editId="586BCCED">
            <wp:extent cx="5759450" cy="3098800"/>
            <wp:effectExtent l="0" t="0" r="0" b="6350"/>
            <wp:docPr id="146" name="Picture 146" descr="Set of six scatter plots with straight lines and markers showing long-term trend in mean epiphyte and macroalgae abundance (% cover) at each inshore seagrass habitats in the Mackay Whitsunday NRM region, relative to the long-term average for each inshore GBR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MW_epi_algae_change_2015.pn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5759450" cy="3098800"/>
                    </a:xfrm>
                    <a:prstGeom prst="rect">
                      <a:avLst/>
                    </a:prstGeom>
                  </pic:spPr>
                </pic:pic>
              </a:graphicData>
            </a:graphic>
          </wp:inline>
        </w:drawing>
      </w:r>
    </w:p>
    <w:p w:rsidR="006341F9" w:rsidRPr="0095207B" w:rsidRDefault="005132EF" w:rsidP="006341F9">
      <w:pPr>
        <w:rPr>
          <w:i/>
          <w:vanish/>
          <w:color w:val="000000"/>
          <w:szCs w:val="22"/>
          <w:specVanish/>
        </w:rPr>
      </w:pPr>
      <w:bookmarkStart w:id="459" w:name="_Ref211931338"/>
      <w:bookmarkStart w:id="460" w:name="_Toc232846003"/>
      <w:bookmarkStart w:id="461" w:name="_Toc431493880"/>
      <w:bookmarkStart w:id="462" w:name="_Toc462684920"/>
      <w:r w:rsidRPr="0095207B">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80</w:t>
      </w:r>
      <w:r w:rsidR="0073595B">
        <w:rPr>
          <w:color w:val="000000"/>
        </w:rPr>
        <w:fldChar w:fldCharType="end"/>
      </w:r>
      <w:bookmarkEnd w:id="459"/>
      <w:r w:rsidRPr="0095207B">
        <w:rPr>
          <w:color w:val="000000"/>
        </w:rPr>
        <w:t xml:space="preserve">. </w:t>
      </w:r>
      <w:bookmarkEnd w:id="460"/>
      <w:r w:rsidR="008C4B1E" w:rsidRPr="0095207B">
        <w:rPr>
          <w:i/>
          <w:color w:val="000000"/>
        </w:rPr>
        <w:t xml:space="preserve">Long-term trend in mean epiphyte and </w:t>
      </w:r>
      <w:proofErr w:type="spellStart"/>
      <w:r w:rsidR="008C4B1E" w:rsidRPr="0095207B">
        <w:rPr>
          <w:i/>
          <w:color w:val="000000"/>
        </w:rPr>
        <w:t>macroalgae</w:t>
      </w:r>
      <w:proofErr w:type="spellEnd"/>
      <w:r w:rsidR="008C4B1E" w:rsidRPr="0095207B">
        <w:rPr>
          <w:i/>
          <w:color w:val="000000"/>
        </w:rPr>
        <w:t xml:space="preserve"> abundance (% cover) relative to the long-term average for each </w:t>
      </w:r>
      <w:r w:rsidR="006341F9" w:rsidRPr="0095207B">
        <w:rPr>
          <w:i/>
          <w:color w:val="000000"/>
        </w:rPr>
        <w:t>inshore intertidal habitat in the Mackay Whitsunday region, 1999 - 201</w:t>
      </w:r>
      <w:r w:rsidR="00C31BE9">
        <w:rPr>
          <w:i/>
          <w:color w:val="000000"/>
        </w:rPr>
        <w:t>5</w:t>
      </w:r>
      <w:bookmarkEnd w:id="461"/>
      <w:bookmarkEnd w:id="462"/>
      <w:r w:rsidR="008C4B1E" w:rsidRPr="0095207B">
        <w:rPr>
          <w:i/>
          <w:color w:val="000000"/>
        </w:rPr>
        <w:t xml:space="preserve"> </w:t>
      </w:r>
    </w:p>
    <w:p w:rsidR="006341F9" w:rsidRPr="0095207B" w:rsidRDefault="006341F9" w:rsidP="006341F9">
      <w:pPr>
        <w:rPr>
          <w:color w:val="000000"/>
        </w:rPr>
      </w:pPr>
      <w:r w:rsidRPr="0095207B">
        <w:rPr>
          <w:i/>
          <w:color w:val="000000"/>
        </w:rPr>
        <w:t xml:space="preserve"> </w:t>
      </w:r>
      <w:r w:rsidR="008C4B1E" w:rsidRPr="0095207B">
        <w:rPr>
          <w:i/>
          <w:color w:val="000000"/>
        </w:rPr>
        <w:t xml:space="preserve">(sites pooled, ±SE). </w:t>
      </w:r>
    </w:p>
    <w:p w:rsidR="00BC6384" w:rsidRDefault="00BC6384" w:rsidP="00BC6384">
      <w:pPr>
        <w:rPr>
          <w:color w:val="000000"/>
          <w:lang w:val="en-GB"/>
        </w:rPr>
      </w:pPr>
    </w:p>
    <w:p w:rsidR="00BC6384" w:rsidRPr="00BD0604" w:rsidRDefault="00BC6384" w:rsidP="00926892">
      <w:pPr>
        <w:pStyle w:val="Heading3"/>
        <w:numPr>
          <w:ilvl w:val="2"/>
          <w:numId w:val="9"/>
        </w:numPr>
        <w:rPr>
          <w:rFonts w:ascii="Arial" w:hAnsi="Arial" w:cs="Arial"/>
          <w:color w:val="000000"/>
        </w:rPr>
      </w:pPr>
      <w:bookmarkStart w:id="463" w:name="_Toc462047359"/>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463"/>
      <w:r w:rsidRPr="000C1668">
        <w:rPr>
          <w:rFonts w:ascii="Arial" w:hAnsi="Arial" w:cs="Arial"/>
          <w:color w:val="000000"/>
        </w:rPr>
        <w:t xml:space="preserve"> </w:t>
      </w:r>
    </w:p>
    <w:p w:rsidR="00BC6384" w:rsidRDefault="00BC6384" w:rsidP="00BC6384">
      <w:pPr>
        <w:rPr>
          <w:color w:val="000000"/>
          <w:lang w:val="en-GB"/>
        </w:rPr>
      </w:pPr>
      <w:r>
        <w:rPr>
          <w:color w:val="000000"/>
          <w:lang w:val="en-GB"/>
        </w:rPr>
        <w:t xml:space="preserve">In the 2014-15 monitoring period, the seagrass index for </w:t>
      </w:r>
      <w:r w:rsidR="00F520E9">
        <w:rPr>
          <w:color w:val="000000"/>
          <w:lang w:val="en-GB"/>
        </w:rPr>
        <w:t>the Mackay Whitsunday</w:t>
      </w:r>
      <w:r>
        <w:rPr>
          <w:color w:val="000000"/>
          <w:lang w:val="en-GB"/>
        </w:rPr>
        <w:t xml:space="preserve"> region </w:t>
      </w:r>
      <w:r w:rsidR="00F520E9">
        <w:rPr>
          <w:color w:val="000000"/>
          <w:lang w:val="en-GB"/>
        </w:rPr>
        <w:t xml:space="preserve">improved above the previous period and was the highest since 2006-07. </w:t>
      </w:r>
      <w:r>
        <w:rPr>
          <w:color w:val="000000"/>
          <w:lang w:val="en-GB"/>
        </w:rPr>
        <w:t xml:space="preserve">The improvement appears a consequence of improved abundance </w:t>
      </w:r>
      <w:r w:rsidR="00F520E9">
        <w:rPr>
          <w:color w:val="000000"/>
          <w:lang w:val="en-GB"/>
        </w:rPr>
        <w:t xml:space="preserve">and reproductive effort </w:t>
      </w:r>
      <w:r>
        <w:rPr>
          <w:color w:val="000000"/>
          <w:lang w:val="en-GB"/>
        </w:rPr>
        <w:t xml:space="preserve">in coastal habitats. Overall, the </w:t>
      </w:r>
      <w:r w:rsidR="00F520E9">
        <w:rPr>
          <w:color w:val="000000"/>
          <w:lang w:val="en-GB"/>
        </w:rPr>
        <w:t>Mackay Whitsunday seagrass index has continued to improve since 2010-11 when it reached its lowest level since monitoring commenced. In 2014-15 it wa</w:t>
      </w:r>
      <w:r>
        <w:rPr>
          <w:color w:val="000000"/>
          <w:lang w:val="en-GB"/>
        </w:rPr>
        <w:t>s the highest since 20</w:t>
      </w:r>
      <w:r w:rsidR="00F520E9">
        <w:rPr>
          <w:color w:val="000000"/>
          <w:lang w:val="en-GB"/>
        </w:rPr>
        <w:t>06-07</w:t>
      </w:r>
      <w:r>
        <w:rPr>
          <w:color w:val="000000"/>
          <w:lang w:val="en-GB"/>
        </w:rPr>
        <w:t>.</w:t>
      </w:r>
    </w:p>
    <w:p w:rsidR="00F4372B" w:rsidRPr="00A80225" w:rsidRDefault="00F4372B" w:rsidP="00F4372B">
      <w:pPr>
        <w:rPr>
          <w:color w:val="000000"/>
          <w:lang w:val="en-GB"/>
        </w:rPr>
      </w:pPr>
    </w:p>
    <w:p w:rsidR="00F4372B" w:rsidRPr="000F1DF9" w:rsidRDefault="00F4372B" w:rsidP="00F4372B">
      <w:pPr>
        <w:jc w:val="center"/>
        <w:rPr>
          <w:i/>
          <w:vanish/>
          <w:color w:val="000000"/>
          <w:szCs w:val="22"/>
          <w:specVanish/>
        </w:rPr>
      </w:pPr>
      <w:bookmarkStart w:id="464" w:name="_Toc462685092"/>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9C068F">
        <w:rPr>
          <w:noProof/>
          <w:color w:val="000000"/>
        </w:rPr>
        <w:t>23</w:t>
      </w:r>
      <w:r w:rsidRPr="000F1DF9">
        <w:rPr>
          <w:color w:val="000000"/>
        </w:rPr>
        <w:fldChar w:fldCharType="end"/>
      </w:r>
      <w:r w:rsidRPr="000F1DF9">
        <w:rPr>
          <w:color w:val="000000"/>
        </w:rP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Mackay Whitsunday </w:t>
      </w:r>
      <w:r w:rsidRPr="000F1DF9">
        <w:rPr>
          <w:i/>
          <w:color w:val="000000"/>
        </w:rPr>
        <w:t>region: Ju</w:t>
      </w:r>
      <w:r>
        <w:rPr>
          <w:i/>
          <w:color w:val="000000"/>
        </w:rPr>
        <w:t>ne</w:t>
      </w:r>
      <w:r w:rsidRPr="000F1DF9">
        <w:rPr>
          <w:i/>
          <w:color w:val="000000"/>
        </w:rPr>
        <w:t xml:space="preserve"> 2005 – May 201</w:t>
      </w:r>
      <w:r>
        <w:rPr>
          <w:i/>
          <w:color w:val="000000"/>
        </w:rPr>
        <w:t>5</w:t>
      </w:r>
      <w:r w:rsidRPr="000F1DF9">
        <w:rPr>
          <w:i/>
          <w:color w:val="000000"/>
        </w:rPr>
        <w:t>.</w:t>
      </w:r>
      <w:bookmarkEnd w:id="464"/>
      <w:r w:rsidRPr="000F1DF9">
        <w:rPr>
          <w:i/>
          <w:color w:val="000000"/>
        </w:rPr>
        <w:t xml:space="preserve"> </w:t>
      </w:r>
    </w:p>
    <w:p w:rsidR="00F4372B" w:rsidRPr="00B00E71" w:rsidRDefault="00F4372B" w:rsidP="00F4372B">
      <w:pPr>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E237C6">
        <w:rPr>
          <w:rFonts w:ascii="Arial" w:hAnsi="Arial" w:cs="Arial"/>
          <w:i/>
          <w:color w:val="FF0000"/>
          <w:szCs w:val="22"/>
        </w:rPr>
        <w:t>■</w:t>
      </w:r>
      <w:r w:rsidR="001E70A1">
        <w:rPr>
          <w:i/>
          <w:szCs w:val="22"/>
        </w:rPr>
        <w:t> = very poor (0 - 20)</w:t>
      </w:r>
      <w:r w:rsidRPr="00E237C6">
        <w:rPr>
          <w:i/>
          <w:szCs w:val="22"/>
        </w:rPr>
        <w:t>.</w:t>
      </w:r>
      <w:r>
        <w:rPr>
          <w:i/>
          <w:color w:val="000000"/>
        </w:rPr>
        <w:t xml:space="preserve"> </w:t>
      </w:r>
      <w:r>
        <w:rPr>
          <w:i/>
          <w:szCs w:val="22"/>
        </w:rPr>
        <w:t xml:space="preserve">NB: Scores are </w:t>
      </w:r>
      <w:proofErr w:type="spellStart"/>
      <w:r>
        <w:rPr>
          <w:i/>
          <w:szCs w:val="22"/>
        </w:rPr>
        <w:t>unitless</w:t>
      </w:r>
      <w:proofErr w:type="spellEnd"/>
      <w:r>
        <w:rPr>
          <w:i/>
          <w:szCs w:val="22"/>
        </w:rPr>
        <w:t>.</w:t>
      </w:r>
    </w:p>
    <w:tbl>
      <w:tblPr>
        <w:tblW w:w="10731"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2"/>
        <w:gridCol w:w="1840"/>
        <w:gridCol w:w="761"/>
        <w:gridCol w:w="761"/>
        <w:gridCol w:w="761"/>
        <w:gridCol w:w="761"/>
        <w:gridCol w:w="761"/>
        <w:gridCol w:w="761"/>
        <w:gridCol w:w="761"/>
        <w:gridCol w:w="754"/>
        <w:gridCol w:w="754"/>
        <w:gridCol w:w="754"/>
      </w:tblGrid>
      <w:tr w:rsidR="00F4372B" w:rsidRPr="00EC364C" w:rsidTr="00F4372B">
        <w:trPr>
          <w:trHeight w:val="276"/>
          <w:jc w:val="center"/>
        </w:trPr>
        <w:tc>
          <w:tcPr>
            <w:tcW w:w="1281" w:type="dxa"/>
            <w:tcBorders>
              <w:top w:val="single" w:sz="4" w:space="0" w:color="000000"/>
              <w:bottom w:val="single" w:sz="4" w:space="0" w:color="000000"/>
            </w:tcBorders>
            <w:shd w:val="clear" w:color="auto" w:fill="auto"/>
            <w:vAlign w:val="center"/>
          </w:tcPr>
          <w:p w:rsidR="00F4372B" w:rsidRPr="00EC364C" w:rsidRDefault="00F4372B" w:rsidP="00F520E9">
            <w:pPr>
              <w:spacing w:before="0" w:after="0"/>
              <w:jc w:val="center"/>
              <w:rPr>
                <w:b/>
                <w:color w:val="000000"/>
                <w:sz w:val="20"/>
                <w:szCs w:val="20"/>
                <w:lang w:eastAsia="en-AU"/>
              </w:rPr>
            </w:pPr>
            <w:r w:rsidRPr="00EC364C">
              <w:rPr>
                <w:b/>
                <w:color w:val="000000"/>
                <w:sz w:val="20"/>
                <w:szCs w:val="20"/>
                <w:lang w:eastAsia="en-AU"/>
              </w:rPr>
              <w:t>NRM region</w:t>
            </w:r>
          </w:p>
        </w:tc>
        <w:tc>
          <w:tcPr>
            <w:tcW w:w="1840" w:type="dxa"/>
            <w:tcBorders>
              <w:top w:val="single" w:sz="4" w:space="0" w:color="000000"/>
              <w:bottom w:val="single" w:sz="4" w:space="0" w:color="000000"/>
            </w:tcBorders>
            <w:shd w:val="clear" w:color="auto" w:fill="auto"/>
            <w:noWrap/>
            <w:vAlign w:val="center"/>
          </w:tcPr>
          <w:p w:rsidR="00F4372B" w:rsidRPr="00EC364C" w:rsidRDefault="00F4372B" w:rsidP="00F520E9">
            <w:pPr>
              <w:spacing w:before="0" w:after="0"/>
              <w:jc w:val="center"/>
              <w:rPr>
                <w:b/>
                <w:color w:val="000000"/>
                <w:sz w:val="20"/>
                <w:szCs w:val="20"/>
                <w:lang w:eastAsia="en-AU"/>
              </w:rPr>
            </w:pPr>
            <w:r w:rsidRPr="00EC364C">
              <w:rPr>
                <w:b/>
                <w:color w:val="000000"/>
                <w:sz w:val="20"/>
                <w:szCs w:val="20"/>
                <w:lang w:eastAsia="en-AU"/>
              </w:rPr>
              <w:t>Habitat</w:t>
            </w:r>
          </w:p>
        </w:tc>
        <w:tc>
          <w:tcPr>
            <w:tcW w:w="761" w:type="dxa"/>
            <w:tcBorders>
              <w:top w:val="single" w:sz="4" w:space="0" w:color="000000"/>
              <w:bottom w:val="single" w:sz="4" w:space="0" w:color="000000"/>
            </w:tcBorders>
            <w:shd w:val="clear" w:color="auto" w:fill="auto"/>
            <w:vAlign w:val="center"/>
          </w:tcPr>
          <w:p w:rsidR="00F4372B" w:rsidRPr="00EC364C" w:rsidRDefault="00F4372B" w:rsidP="00F520E9">
            <w:pPr>
              <w:spacing w:before="0" w:after="0"/>
              <w:jc w:val="center"/>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761" w:type="dxa"/>
            <w:tcBorders>
              <w:top w:val="single" w:sz="4" w:space="0" w:color="000000"/>
              <w:bottom w:val="single" w:sz="4" w:space="0" w:color="000000"/>
            </w:tcBorders>
            <w:shd w:val="clear" w:color="auto" w:fill="auto"/>
            <w:vAlign w:val="center"/>
          </w:tcPr>
          <w:p w:rsidR="00F4372B" w:rsidRPr="00EC364C" w:rsidRDefault="00F4372B" w:rsidP="00F520E9">
            <w:pPr>
              <w:spacing w:before="0" w:after="0"/>
              <w:jc w:val="center"/>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761" w:type="dxa"/>
            <w:tcBorders>
              <w:top w:val="single" w:sz="4" w:space="0" w:color="000000"/>
              <w:bottom w:val="single" w:sz="4" w:space="0" w:color="000000"/>
            </w:tcBorders>
            <w:shd w:val="clear" w:color="auto" w:fill="auto"/>
            <w:vAlign w:val="center"/>
          </w:tcPr>
          <w:p w:rsidR="00F4372B" w:rsidRPr="00EC364C" w:rsidRDefault="00F4372B" w:rsidP="00F520E9">
            <w:pPr>
              <w:spacing w:before="0" w:after="0"/>
              <w:jc w:val="center"/>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761" w:type="dxa"/>
            <w:tcBorders>
              <w:top w:val="single" w:sz="4" w:space="0" w:color="000000"/>
              <w:bottom w:val="single" w:sz="4" w:space="0" w:color="000000"/>
            </w:tcBorders>
            <w:shd w:val="clear" w:color="auto" w:fill="auto"/>
            <w:vAlign w:val="center"/>
          </w:tcPr>
          <w:p w:rsidR="00F4372B" w:rsidRPr="00EC364C" w:rsidRDefault="00F4372B" w:rsidP="00F520E9">
            <w:pPr>
              <w:spacing w:before="0" w:after="0"/>
              <w:jc w:val="center"/>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761" w:type="dxa"/>
            <w:tcBorders>
              <w:top w:val="single" w:sz="4" w:space="0" w:color="000000"/>
              <w:bottom w:val="single" w:sz="4" w:space="0" w:color="000000"/>
            </w:tcBorders>
            <w:shd w:val="clear" w:color="auto" w:fill="auto"/>
            <w:vAlign w:val="center"/>
          </w:tcPr>
          <w:p w:rsidR="00F4372B" w:rsidRPr="00EC364C" w:rsidRDefault="00F4372B" w:rsidP="00F520E9">
            <w:pPr>
              <w:spacing w:before="0" w:after="0"/>
              <w:jc w:val="center"/>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761" w:type="dxa"/>
            <w:tcBorders>
              <w:top w:val="single" w:sz="4" w:space="0" w:color="000000"/>
              <w:bottom w:val="single" w:sz="4" w:space="0" w:color="000000"/>
            </w:tcBorders>
            <w:shd w:val="clear" w:color="auto" w:fill="auto"/>
            <w:vAlign w:val="center"/>
          </w:tcPr>
          <w:p w:rsidR="00F4372B" w:rsidRPr="00EC364C" w:rsidRDefault="00F4372B" w:rsidP="00F520E9">
            <w:pPr>
              <w:spacing w:before="0" w:after="0"/>
              <w:jc w:val="center"/>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761" w:type="dxa"/>
            <w:tcBorders>
              <w:top w:val="single" w:sz="4" w:space="0" w:color="000000"/>
              <w:bottom w:val="single" w:sz="4" w:space="0" w:color="000000"/>
            </w:tcBorders>
            <w:shd w:val="clear" w:color="auto" w:fill="auto"/>
            <w:vAlign w:val="center"/>
          </w:tcPr>
          <w:p w:rsidR="00F4372B" w:rsidRPr="00EC364C" w:rsidRDefault="00F4372B" w:rsidP="00F520E9">
            <w:pPr>
              <w:spacing w:before="0" w:after="0"/>
              <w:jc w:val="center"/>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761" w:type="dxa"/>
            <w:tcBorders>
              <w:top w:val="single" w:sz="4" w:space="0" w:color="000000"/>
              <w:bottom w:val="single" w:sz="4" w:space="0" w:color="000000"/>
            </w:tcBorders>
            <w:vAlign w:val="center"/>
          </w:tcPr>
          <w:p w:rsidR="00F4372B" w:rsidRPr="00EC364C" w:rsidRDefault="00F4372B" w:rsidP="00F520E9">
            <w:pPr>
              <w:spacing w:before="0" w:after="0"/>
              <w:jc w:val="center"/>
              <w:rPr>
                <w:b/>
                <w:color w:val="000000"/>
                <w:sz w:val="16"/>
                <w:szCs w:val="16"/>
                <w:lang w:eastAsia="en-AU"/>
              </w:rPr>
            </w:pPr>
            <w:r w:rsidRPr="00EC364C">
              <w:rPr>
                <w:b/>
                <w:color w:val="000000"/>
                <w:sz w:val="16"/>
                <w:szCs w:val="16"/>
                <w:lang w:eastAsia="en-AU"/>
              </w:rPr>
              <w:t>2012-13</w:t>
            </w:r>
          </w:p>
        </w:tc>
        <w:tc>
          <w:tcPr>
            <w:tcW w:w="761" w:type="dxa"/>
            <w:tcBorders>
              <w:top w:val="single" w:sz="4" w:space="0" w:color="000000"/>
              <w:bottom w:val="single" w:sz="4" w:space="0" w:color="000000"/>
            </w:tcBorders>
            <w:vAlign w:val="center"/>
          </w:tcPr>
          <w:p w:rsidR="00F4372B" w:rsidRPr="00EC364C" w:rsidRDefault="00F4372B" w:rsidP="00F520E9">
            <w:pPr>
              <w:spacing w:before="0" w:after="0"/>
              <w:jc w:val="center"/>
              <w:rPr>
                <w:b/>
                <w:color w:val="000000"/>
                <w:sz w:val="16"/>
                <w:szCs w:val="16"/>
                <w:lang w:eastAsia="en-AU"/>
              </w:rPr>
            </w:pPr>
            <w:r w:rsidRPr="00EC364C">
              <w:rPr>
                <w:b/>
                <w:color w:val="000000"/>
                <w:sz w:val="16"/>
                <w:szCs w:val="16"/>
                <w:lang w:eastAsia="en-AU"/>
              </w:rPr>
              <w:t>2013-14</w:t>
            </w:r>
          </w:p>
        </w:tc>
        <w:tc>
          <w:tcPr>
            <w:tcW w:w="761" w:type="dxa"/>
            <w:tcBorders>
              <w:top w:val="single" w:sz="4" w:space="0" w:color="000000"/>
              <w:bottom w:val="single" w:sz="4" w:space="0" w:color="000000"/>
            </w:tcBorders>
            <w:vAlign w:val="center"/>
          </w:tcPr>
          <w:p w:rsidR="00F4372B" w:rsidRPr="00EC364C" w:rsidRDefault="00F4372B" w:rsidP="00F520E9">
            <w:pPr>
              <w:spacing w:before="0" w:after="0"/>
              <w:jc w:val="center"/>
              <w:rPr>
                <w:b/>
                <w:color w:val="000000"/>
                <w:sz w:val="16"/>
                <w:szCs w:val="16"/>
                <w:lang w:eastAsia="en-AU"/>
              </w:rPr>
            </w:pPr>
            <w:r>
              <w:rPr>
                <w:b/>
                <w:color w:val="000000"/>
                <w:sz w:val="16"/>
                <w:szCs w:val="16"/>
                <w:lang w:eastAsia="en-AU"/>
              </w:rPr>
              <w:t>2014-15</w:t>
            </w:r>
          </w:p>
        </w:tc>
      </w:tr>
      <w:tr w:rsidR="00F4372B" w:rsidRPr="00EC364C" w:rsidTr="001E70A1">
        <w:trPr>
          <w:trHeight w:val="312"/>
          <w:jc w:val="center"/>
        </w:trPr>
        <w:tc>
          <w:tcPr>
            <w:tcW w:w="1281" w:type="dxa"/>
            <w:vMerge w:val="restart"/>
            <w:tcBorders>
              <w:top w:val="single" w:sz="4" w:space="0" w:color="000000"/>
            </w:tcBorders>
            <w:shd w:val="clear" w:color="auto" w:fill="auto"/>
            <w:noWrap/>
            <w:vAlign w:val="center"/>
          </w:tcPr>
          <w:p w:rsidR="00F4372B" w:rsidRPr="00EC364C" w:rsidRDefault="00F4372B" w:rsidP="00F520E9">
            <w:pPr>
              <w:spacing w:before="0" w:after="0"/>
              <w:rPr>
                <w:color w:val="000000"/>
                <w:sz w:val="20"/>
                <w:szCs w:val="20"/>
                <w:lang w:eastAsia="en-AU"/>
              </w:rPr>
            </w:pPr>
            <w:r>
              <w:rPr>
                <w:color w:val="000000"/>
                <w:sz w:val="20"/>
                <w:szCs w:val="20"/>
                <w:lang w:eastAsia="en-AU"/>
              </w:rPr>
              <w:t>Abundance</w:t>
            </w:r>
          </w:p>
        </w:tc>
        <w:tc>
          <w:tcPr>
            <w:tcW w:w="1840" w:type="dxa"/>
            <w:tcBorders>
              <w:top w:val="single" w:sz="4" w:space="0" w:color="000000"/>
              <w:bottom w:val="single" w:sz="4" w:space="0" w:color="FFFFFF"/>
            </w:tcBorders>
            <w:shd w:val="clear" w:color="auto" w:fill="auto"/>
            <w:noWrap/>
            <w:vAlign w:val="center"/>
          </w:tcPr>
          <w:p w:rsidR="00F4372B" w:rsidRPr="00EC364C" w:rsidRDefault="00F4372B" w:rsidP="00F520E9">
            <w:pPr>
              <w:spacing w:before="0" w:after="0"/>
              <w:rPr>
                <w:color w:val="000000"/>
                <w:sz w:val="20"/>
                <w:szCs w:val="20"/>
                <w:lang w:eastAsia="en-AU"/>
              </w:rPr>
            </w:pPr>
            <w:r w:rsidRPr="00EC364C">
              <w:rPr>
                <w:color w:val="000000"/>
                <w:sz w:val="20"/>
                <w:szCs w:val="20"/>
                <w:lang w:eastAsia="en-AU"/>
              </w:rPr>
              <w:t>estuarine intertidal</w:t>
            </w:r>
          </w:p>
        </w:tc>
        <w:tc>
          <w:tcPr>
            <w:tcW w:w="761" w:type="dxa"/>
            <w:tcBorders>
              <w:bottom w:val="single" w:sz="4" w:space="0" w:color="FFFFFF"/>
            </w:tcBorders>
            <w:shd w:val="clear" w:color="auto" w:fill="FFCC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40</w:t>
            </w:r>
          </w:p>
        </w:tc>
        <w:tc>
          <w:tcPr>
            <w:tcW w:w="761" w:type="dxa"/>
            <w:tcBorders>
              <w:bottom w:val="single" w:sz="4" w:space="0" w:color="FFFFFF"/>
            </w:tcBorders>
            <w:shd w:val="clear" w:color="auto" w:fill="FFCC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25</w:t>
            </w:r>
          </w:p>
        </w:tc>
        <w:tc>
          <w:tcPr>
            <w:tcW w:w="761" w:type="dxa"/>
            <w:tcBorders>
              <w:bottom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20</w:t>
            </w:r>
          </w:p>
        </w:tc>
        <w:tc>
          <w:tcPr>
            <w:tcW w:w="761" w:type="dxa"/>
            <w:tcBorders>
              <w:bottom w:val="single" w:sz="4" w:space="0" w:color="FFFFFF"/>
            </w:tcBorders>
            <w:shd w:val="clear" w:color="auto" w:fill="FFCC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25</w:t>
            </w:r>
          </w:p>
        </w:tc>
        <w:tc>
          <w:tcPr>
            <w:tcW w:w="761" w:type="dxa"/>
            <w:tcBorders>
              <w:bottom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6</w:t>
            </w:r>
          </w:p>
        </w:tc>
        <w:tc>
          <w:tcPr>
            <w:tcW w:w="761" w:type="dxa"/>
            <w:tcBorders>
              <w:bottom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0</w:t>
            </w:r>
          </w:p>
        </w:tc>
        <w:tc>
          <w:tcPr>
            <w:tcW w:w="761" w:type="dxa"/>
            <w:tcBorders>
              <w:bottom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13</w:t>
            </w:r>
          </w:p>
        </w:tc>
        <w:tc>
          <w:tcPr>
            <w:tcW w:w="761" w:type="dxa"/>
            <w:tcBorders>
              <w:bottom w:val="single" w:sz="4" w:space="0" w:color="FFFFFF"/>
            </w:tcBorders>
            <w:shd w:val="clear" w:color="auto" w:fill="FFCC00"/>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25</w:t>
            </w:r>
          </w:p>
        </w:tc>
        <w:tc>
          <w:tcPr>
            <w:tcW w:w="761" w:type="dxa"/>
            <w:tcBorders>
              <w:bottom w:val="single" w:sz="4" w:space="0" w:color="FFFFFF"/>
            </w:tcBorders>
            <w:shd w:val="clear" w:color="auto" w:fill="FF0000"/>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13</w:t>
            </w:r>
          </w:p>
        </w:tc>
        <w:tc>
          <w:tcPr>
            <w:tcW w:w="761" w:type="dxa"/>
            <w:tcBorders>
              <w:bottom w:val="single" w:sz="4" w:space="0" w:color="FFFFFF"/>
            </w:tcBorders>
            <w:shd w:val="clear" w:color="auto" w:fill="FF0000"/>
            <w:vAlign w:val="center"/>
          </w:tcPr>
          <w:p w:rsidR="00F4372B" w:rsidRPr="00056DBB" w:rsidRDefault="00F4372B" w:rsidP="00F520E9">
            <w:pPr>
              <w:spacing w:before="0" w:after="0"/>
              <w:jc w:val="center"/>
              <w:rPr>
                <w:b/>
                <w:color w:val="000000"/>
                <w:sz w:val="20"/>
                <w:szCs w:val="20"/>
                <w:lang w:eastAsia="en-AU"/>
              </w:rPr>
            </w:pPr>
            <w:r w:rsidRPr="00056DBB">
              <w:rPr>
                <w:sz w:val="20"/>
                <w:szCs w:val="20"/>
              </w:rPr>
              <w:t>13</w:t>
            </w:r>
          </w:p>
        </w:tc>
      </w:tr>
      <w:tr w:rsidR="00F4372B" w:rsidRPr="00EC364C" w:rsidTr="00F4372B">
        <w:trPr>
          <w:trHeight w:val="312"/>
          <w:jc w:val="center"/>
        </w:trPr>
        <w:tc>
          <w:tcPr>
            <w:tcW w:w="1281" w:type="dxa"/>
            <w:vMerge/>
            <w:shd w:val="clear" w:color="auto" w:fill="auto"/>
            <w:noWrap/>
            <w:vAlign w:val="center"/>
          </w:tcPr>
          <w:p w:rsidR="00F4372B" w:rsidRPr="00EC364C" w:rsidRDefault="00F4372B" w:rsidP="00F520E9">
            <w:pPr>
              <w:spacing w:before="0" w:after="0"/>
              <w:rPr>
                <w:color w:val="000000"/>
                <w:sz w:val="20"/>
                <w:szCs w:val="20"/>
                <w:lang w:eastAsia="en-AU"/>
              </w:rPr>
            </w:pPr>
          </w:p>
        </w:tc>
        <w:tc>
          <w:tcPr>
            <w:tcW w:w="1840" w:type="dxa"/>
            <w:tcBorders>
              <w:top w:val="single" w:sz="4" w:space="0" w:color="FFFFFF"/>
              <w:bottom w:val="single" w:sz="4" w:space="0" w:color="FFFFFF"/>
              <w:right w:val="single" w:sz="4" w:space="0" w:color="FFFFFF"/>
            </w:tcBorders>
            <w:shd w:val="clear" w:color="auto" w:fill="auto"/>
            <w:noWrap/>
            <w:vAlign w:val="center"/>
          </w:tcPr>
          <w:p w:rsidR="00F4372B" w:rsidRPr="00EC364C" w:rsidRDefault="00F4372B" w:rsidP="00F520E9">
            <w:pPr>
              <w:spacing w:before="0" w:after="0"/>
              <w:rPr>
                <w:color w:val="000000"/>
                <w:sz w:val="20"/>
                <w:szCs w:val="20"/>
                <w:lang w:eastAsia="en-AU"/>
              </w:rPr>
            </w:pPr>
            <w:r w:rsidRPr="00EC364C">
              <w:rPr>
                <w:color w:val="000000"/>
                <w:sz w:val="20"/>
                <w:szCs w:val="20"/>
                <w:lang w:eastAsia="en-AU"/>
              </w:rPr>
              <w:t>coastal intertidal</w:t>
            </w:r>
          </w:p>
        </w:tc>
        <w:tc>
          <w:tcPr>
            <w:tcW w:w="761" w:type="dxa"/>
            <w:tcBorders>
              <w:top w:val="single" w:sz="4" w:space="0" w:color="FFFFFF"/>
              <w:left w:val="single" w:sz="4" w:space="0" w:color="FFFFFF"/>
              <w:bottom w:val="single" w:sz="4" w:space="0" w:color="FFFFFF"/>
              <w:right w:val="single" w:sz="4" w:space="0" w:color="FFFFFF"/>
            </w:tcBorders>
            <w:shd w:val="clear" w:color="auto" w:fill="92D05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63</w:t>
            </w:r>
          </w:p>
        </w:tc>
        <w:tc>
          <w:tcPr>
            <w:tcW w:w="761" w:type="dxa"/>
            <w:tcBorders>
              <w:top w:val="single" w:sz="4" w:space="0" w:color="FFFFFF"/>
              <w:left w:val="single" w:sz="4" w:space="0" w:color="FFFFFF"/>
              <w:bottom w:val="single" w:sz="4" w:space="0" w:color="FFFFFF"/>
              <w:right w:val="single" w:sz="4" w:space="0" w:color="FFFFFF"/>
            </w:tcBorders>
            <w:shd w:val="clear" w:color="auto" w:fill="008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88</w:t>
            </w:r>
          </w:p>
        </w:tc>
        <w:tc>
          <w:tcPr>
            <w:tcW w:w="761"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54</w:t>
            </w:r>
          </w:p>
        </w:tc>
        <w:tc>
          <w:tcPr>
            <w:tcW w:w="761" w:type="dxa"/>
            <w:tcBorders>
              <w:top w:val="single" w:sz="4" w:space="0" w:color="FFFFFF"/>
              <w:left w:val="single" w:sz="4" w:space="0" w:color="FFFFFF"/>
              <w:bottom w:val="single" w:sz="4" w:space="0" w:color="FFFFFF"/>
              <w:right w:val="single" w:sz="4" w:space="0" w:color="FFFFFF"/>
            </w:tcBorders>
            <w:shd w:val="clear" w:color="auto" w:fill="92D05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63</w:t>
            </w:r>
          </w:p>
        </w:tc>
        <w:tc>
          <w:tcPr>
            <w:tcW w:w="761" w:type="dxa"/>
            <w:tcBorders>
              <w:top w:val="single" w:sz="4" w:space="0" w:color="FFFFFF"/>
              <w:left w:val="single" w:sz="4" w:space="0" w:color="FFFFFF"/>
              <w:bottom w:val="single" w:sz="4" w:space="0" w:color="FFFFFF"/>
              <w:right w:val="single" w:sz="4" w:space="0" w:color="FFFFFF"/>
            </w:tcBorders>
            <w:shd w:val="clear" w:color="auto" w:fill="92D05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63</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8</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13</w:t>
            </w:r>
          </w:p>
        </w:tc>
        <w:tc>
          <w:tcPr>
            <w:tcW w:w="761" w:type="dxa"/>
            <w:tcBorders>
              <w:top w:val="single" w:sz="4" w:space="0" w:color="FFFFFF"/>
              <w:left w:val="single" w:sz="4" w:space="0" w:color="FFFFFF"/>
              <w:bottom w:val="single" w:sz="4" w:space="0" w:color="FFFFFF"/>
              <w:right w:val="single" w:sz="4" w:space="0" w:color="FFFFFF"/>
            </w:tcBorders>
            <w:shd w:val="clear" w:color="auto" w:fill="FF0000"/>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13</w:t>
            </w:r>
          </w:p>
        </w:tc>
        <w:tc>
          <w:tcPr>
            <w:tcW w:w="761" w:type="dxa"/>
            <w:tcBorders>
              <w:top w:val="single" w:sz="4" w:space="0" w:color="FFFFFF"/>
              <w:left w:val="single" w:sz="4" w:space="0" w:color="FFFFFF"/>
              <w:bottom w:val="single" w:sz="4" w:space="0" w:color="FFFFFF"/>
            </w:tcBorders>
            <w:shd w:val="clear" w:color="auto" w:fill="FFCC00"/>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33</w:t>
            </w:r>
          </w:p>
        </w:tc>
        <w:tc>
          <w:tcPr>
            <w:tcW w:w="761" w:type="dxa"/>
            <w:tcBorders>
              <w:top w:val="single" w:sz="4" w:space="0" w:color="FFFFFF"/>
              <w:left w:val="single" w:sz="4" w:space="0" w:color="FFFFFF"/>
              <w:bottom w:val="single" w:sz="4" w:space="0" w:color="FFFFFF"/>
            </w:tcBorders>
            <w:shd w:val="clear" w:color="auto" w:fill="92D050"/>
            <w:vAlign w:val="center"/>
          </w:tcPr>
          <w:p w:rsidR="00F4372B" w:rsidRPr="00056DBB" w:rsidRDefault="00F4372B" w:rsidP="00F520E9">
            <w:pPr>
              <w:spacing w:before="0" w:after="0"/>
              <w:jc w:val="center"/>
              <w:rPr>
                <w:b/>
                <w:color w:val="000000"/>
                <w:sz w:val="20"/>
                <w:szCs w:val="20"/>
                <w:lang w:eastAsia="en-AU"/>
              </w:rPr>
            </w:pPr>
            <w:r w:rsidRPr="00056DBB">
              <w:rPr>
                <w:sz w:val="20"/>
                <w:szCs w:val="20"/>
              </w:rPr>
              <w:t>67</w:t>
            </w:r>
          </w:p>
        </w:tc>
      </w:tr>
      <w:tr w:rsidR="00F4372B" w:rsidRPr="00EC364C" w:rsidTr="00F4372B">
        <w:trPr>
          <w:trHeight w:val="312"/>
          <w:jc w:val="center"/>
        </w:trPr>
        <w:tc>
          <w:tcPr>
            <w:tcW w:w="1281" w:type="dxa"/>
            <w:vMerge/>
            <w:tcBorders>
              <w:bottom w:val="single" w:sz="4" w:space="0" w:color="000000"/>
            </w:tcBorders>
            <w:shd w:val="clear" w:color="auto" w:fill="auto"/>
            <w:noWrap/>
            <w:vAlign w:val="center"/>
          </w:tcPr>
          <w:p w:rsidR="00F4372B" w:rsidRPr="00EC364C" w:rsidRDefault="00F4372B" w:rsidP="00F520E9">
            <w:pPr>
              <w:spacing w:before="0" w:after="0"/>
              <w:rPr>
                <w:color w:val="000000"/>
                <w:sz w:val="20"/>
                <w:szCs w:val="20"/>
                <w:lang w:eastAsia="en-AU"/>
              </w:rPr>
            </w:pPr>
          </w:p>
        </w:tc>
        <w:tc>
          <w:tcPr>
            <w:tcW w:w="1840" w:type="dxa"/>
            <w:tcBorders>
              <w:top w:val="single" w:sz="4" w:space="0" w:color="FFFFFF"/>
              <w:bottom w:val="single" w:sz="4" w:space="0" w:color="000000"/>
              <w:right w:val="single" w:sz="4" w:space="0" w:color="FFFFFF"/>
            </w:tcBorders>
            <w:shd w:val="clear" w:color="auto" w:fill="auto"/>
            <w:noWrap/>
            <w:vAlign w:val="center"/>
          </w:tcPr>
          <w:p w:rsidR="00F4372B" w:rsidRPr="00EC364C" w:rsidRDefault="00F4372B" w:rsidP="00F520E9">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left w:val="single" w:sz="4" w:space="0" w:color="FFFFFF"/>
              <w:bottom w:val="single" w:sz="4" w:space="0" w:color="FFFFFF"/>
              <w:right w:val="single" w:sz="4" w:space="0" w:color="FFFFFF"/>
            </w:tcBorders>
            <w:shd w:val="clear" w:color="auto" w:fill="auto"/>
            <w:noWrap/>
            <w:vAlign w:val="center"/>
          </w:tcPr>
          <w:p w:rsidR="00F4372B" w:rsidRPr="00EC364C" w:rsidRDefault="00F4372B" w:rsidP="00F520E9">
            <w:pPr>
              <w:spacing w:before="0" w:after="0"/>
              <w:jc w:val="center"/>
              <w:rPr>
                <w:color w:val="000000"/>
                <w:sz w:val="20"/>
                <w:szCs w:val="20"/>
                <w:lang w:eastAsia="en-AU"/>
              </w:rPr>
            </w:pPr>
          </w:p>
        </w:tc>
        <w:tc>
          <w:tcPr>
            <w:tcW w:w="761"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25</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6</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13</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6</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6</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13</w:t>
            </w:r>
          </w:p>
        </w:tc>
        <w:tc>
          <w:tcPr>
            <w:tcW w:w="761" w:type="dxa"/>
            <w:tcBorders>
              <w:top w:val="single" w:sz="4" w:space="0" w:color="FFFFFF"/>
              <w:left w:val="single" w:sz="4" w:space="0" w:color="FFFFFF"/>
              <w:bottom w:val="single" w:sz="4" w:space="0" w:color="FFFFFF"/>
              <w:right w:val="single" w:sz="4" w:space="0" w:color="FFFFFF"/>
            </w:tcBorders>
            <w:shd w:val="clear" w:color="auto" w:fill="FF0000"/>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0</w:t>
            </w:r>
          </w:p>
        </w:tc>
        <w:tc>
          <w:tcPr>
            <w:tcW w:w="761" w:type="dxa"/>
            <w:tcBorders>
              <w:top w:val="single" w:sz="4" w:space="0" w:color="FFFFFF"/>
              <w:left w:val="single" w:sz="4" w:space="0" w:color="FFFFFF"/>
              <w:bottom w:val="single" w:sz="4" w:space="0" w:color="FFFFFF"/>
            </w:tcBorders>
            <w:shd w:val="clear" w:color="auto" w:fill="FF0000"/>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0</w:t>
            </w:r>
          </w:p>
        </w:tc>
        <w:tc>
          <w:tcPr>
            <w:tcW w:w="761" w:type="dxa"/>
            <w:tcBorders>
              <w:top w:val="single" w:sz="4" w:space="0" w:color="FFFFFF"/>
              <w:left w:val="single" w:sz="4" w:space="0" w:color="FFFFFF"/>
              <w:bottom w:val="single" w:sz="4" w:space="0" w:color="FFFFFF"/>
            </w:tcBorders>
            <w:shd w:val="clear" w:color="auto" w:fill="FF0000"/>
            <w:vAlign w:val="center"/>
          </w:tcPr>
          <w:p w:rsidR="00F4372B" w:rsidRPr="00056DBB" w:rsidRDefault="00F4372B" w:rsidP="00F520E9">
            <w:pPr>
              <w:spacing w:before="0" w:after="0"/>
              <w:jc w:val="center"/>
              <w:rPr>
                <w:b/>
                <w:color w:val="000000"/>
                <w:sz w:val="20"/>
                <w:szCs w:val="20"/>
                <w:lang w:eastAsia="en-AU"/>
              </w:rPr>
            </w:pPr>
            <w:r w:rsidRPr="00056DBB">
              <w:rPr>
                <w:sz w:val="20"/>
                <w:szCs w:val="20"/>
              </w:rPr>
              <w:t>3</w:t>
            </w:r>
          </w:p>
        </w:tc>
      </w:tr>
      <w:tr w:rsidR="00F4372B" w:rsidRPr="00EC364C" w:rsidTr="00F4372B">
        <w:trPr>
          <w:trHeight w:val="312"/>
          <w:jc w:val="center"/>
        </w:trPr>
        <w:tc>
          <w:tcPr>
            <w:tcW w:w="1281" w:type="dxa"/>
            <w:vMerge w:val="restart"/>
            <w:tcBorders>
              <w:top w:val="single" w:sz="4" w:space="0" w:color="000000"/>
            </w:tcBorders>
            <w:shd w:val="clear" w:color="auto" w:fill="auto"/>
            <w:noWrap/>
            <w:vAlign w:val="center"/>
          </w:tcPr>
          <w:p w:rsidR="00F4372B" w:rsidRDefault="00F4372B" w:rsidP="00F520E9">
            <w:pPr>
              <w:spacing w:before="0" w:after="0"/>
              <w:rPr>
                <w:color w:val="000000"/>
                <w:sz w:val="20"/>
                <w:szCs w:val="20"/>
                <w:lang w:eastAsia="en-AU"/>
              </w:rPr>
            </w:pPr>
            <w:r>
              <w:rPr>
                <w:color w:val="000000"/>
                <w:sz w:val="20"/>
                <w:szCs w:val="20"/>
                <w:lang w:eastAsia="en-AU"/>
              </w:rPr>
              <w:t>Reproductive</w:t>
            </w:r>
          </w:p>
          <w:p w:rsidR="00F4372B" w:rsidRPr="00EC364C" w:rsidRDefault="00F4372B" w:rsidP="00F520E9">
            <w:pPr>
              <w:spacing w:before="0" w:after="0"/>
              <w:rPr>
                <w:color w:val="000000"/>
                <w:sz w:val="20"/>
                <w:szCs w:val="20"/>
                <w:lang w:eastAsia="en-AU"/>
              </w:rPr>
            </w:pPr>
            <w:r>
              <w:rPr>
                <w:color w:val="000000"/>
                <w:sz w:val="20"/>
                <w:szCs w:val="20"/>
                <w:lang w:eastAsia="en-AU"/>
              </w:rPr>
              <w:t>effort</w:t>
            </w:r>
          </w:p>
        </w:tc>
        <w:tc>
          <w:tcPr>
            <w:tcW w:w="1840" w:type="dxa"/>
            <w:tcBorders>
              <w:top w:val="single" w:sz="4" w:space="0" w:color="000000"/>
              <w:bottom w:val="single" w:sz="4" w:space="0" w:color="FFFFFF"/>
            </w:tcBorders>
            <w:shd w:val="clear" w:color="auto" w:fill="auto"/>
            <w:noWrap/>
            <w:vAlign w:val="center"/>
          </w:tcPr>
          <w:p w:rsidR="00F4372B" w:rsidRPr="00EC364C" w:rsidRDefault="00F4372B" w:rsidP="00F520E9">
            <w:pPr>
              <w:spacing w:before="0" w:after="0"/>
              <w:rPr>
                <w:color w:val="000000"/>
                <w:sz w:val="20"/>
                <w:szCs w:val="20"/>
                <w:lang w:eastAsia="en-AU"/>
              </w:rPr>
            </w:pPr>
            <w:r w:rsidRPr="00EC364C">
              <w:rPr>
                <w:color w:val="000000"/>
                <w:sz w:val="20"/>
                <w:szCs w:val="20"/>
                <w:lang w:eastAsia="en-AU"/>
              </w:rPr>
              <w:t>estuarine intertidal</w:t>
            </w:r>
          </w:p>
        </w:tc>
        <w:tc>
          <w:tcPr>
            <w:tcW w:w="761" w:type="dxa"/>
            <w:tcBorders>
              <w:bottom w:val="single" w:sz="4" w:space="0" w:color="FFFFFF"/>
            </w:tcBorders>
            <w:shd w:val="clear" w:color="auto" w:fill="FFFF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50</w:t>
            </w:r>
          </w:p>
        </w:tc>
        <w:tc>
          <w:tcPr>
            <w:tcW w:w="761" w:type="dxa"/>
            <w:tcBorders>
              <w:bottom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13</w:t>
            </w:r>
          </w:p>
        </w:tc>
        <w:tc>
          <w:tcPr>
            <w:tcW w:w="761" w:type="dxa"/>
            <w:tcBorders>
              <w:bottom w:val="single" w:sz="4" w:space="0" w:color="FFFFFF"/>
            </w:tcBorders>
            <w:shd w:val="clear" w:color="auto" w:fill="FFCC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25</w:t>
            </w:r>
          </w:p>
        </w:tc>
        <w:tc>
          <w:tcPr>
            <w:tcW w:w="761" w:type="dxa"/>
            <w:tcBorders>
              <w:bottom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bottom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bottom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bottom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bottom w:val="single" w:sz="4" w:space="0" w:color="FFFFFF"/>
            </w:tcBorders>
            <w:shd w:val="clear" w:color="auto" w:fill="FF0000"/>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bottom w:val="single" w:sz="4" w:space="0" w:color="FFFFFF"/>
            </w:tcBorders>
            <w:shd w:val="clear" w:color="auto" w:fill="FFCC00"/>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25</w:t>
            </w:r>
          </w:p>
        </w:tc>
        <w:tc>
          <w:tcPr>
            <w:tcW w:w="761" w:type="dxa"/>
            <w:tcBorders>
              <w:bottom w:val="single" w:sz="4" w:space="0" w:color="FFFFFF"/>
            </w:tcBorders>
            <w:shd w:val="clear" w:color="auto" w:fill="FFFF00"/>
            <w:vAlign w:val="bottom"/>
          </w:tcPr>
          <w:p w:rsidR="00F4372B" w:rsidRPr="005556A8" w:rsidRDefault="00F4372B" w:rsidP="00F520E9">
            <w:pPr>
              <w:spacing w:before="0" w:after="0"/>
              <w:jc w:val="center"/>
              <w:rPr>
                <w:color w:val="000000"/>
                <w:sz w:val="20"/>
                <w:szCs w:val="20"/>
                <w:lang w:eastAsia="en-AU"/>
              </w:rPr>
            </w:pPr>
            <w:r>
              <w:rPr>
                <w:color w:val="000000"/>
                <w:sz w:val="20"/>
                <w:szCs w:val="20"/>
              </w:rPr>
              <w:t>50</w:t>
            </w:r>
          </w:p>
        </w:tc>
      </w:tr>
      <w:tr w:rsidR="00F4372B" w:rsidRPr="00EC364C" w:rsidTr="00F4372B">
        <w:trPr>
          <w:trHeight w:val="312"/>
          <w:jc w:val="center"/>
        </w:trPr>
        <w:tc>
          <w:tcPr>
            <w:tcW w:w="1281" w:type="dxa"/>
            <w:vMerge/>
            <w:shd w:val="clear" w:color="auto" w:fill="auto"/>
            <w:noWrap/>
            <w:vAlign w:val="center"/>
          </w:tcPr>
          <w:p w:rsidR="00F4372B" w:rsidRPr="00EC364C" w:rsidRDefault="00F4372B" w:rsidP="00F520E9">
            <w:pPr>
              <w:spacing w:before="0" w:after="0"/>
              <w:rPr>
                <w:color w:val="000000"/>
                <w:sz w:val="20"/>
                <w:szCs w:val="20"/>
                <w:lang w:eastAsia="en-AU"/>
              </w:rPr>
            </w:pPr>
          </w:p>
        </w:tc>
        <w:tc>
          <w:tcPr>
            <w:tcW w:w="1840" w:type="dxa"/>
            <w:tcBorders>
              <w:top w:val="single" w:sz="4" w:space="0" w:color="FFFFFF"/>
              <w:bottom w:val="single" w:sz="4" w:space="0" w:color="FFFFFF"/>
              <w:right w:val="single" w:sz="4" w:space="0" w:color="FFFFFF"/>
            </w:tcBorders>
            <w:shd w:val="clear" w:color="auto" w:fill="auto"/>
            <w:noWrap/>
            <w:vAlign w:val="center"/>
          </w:tcPr>
          <w:p w:rsidR="00F4372B" w:rsidRPr="00EC364C" w:rsidRDefault="00F4372B" w:rsidP="00F520E9">
            <w:pPr>
              <w:spacing w:before="0" w:after="0"/>
              <w:rPr>
                <w:color w:val="000000"/>
                <w:sz w:val="20"/>
                <w:szCs w:val="20"/>
                <w:lang w:eastAsia="en-AU"/>
              </w:rPr>
            </w:pPr>
            <w:r w:rsidRPr="00EC364C">
              <w:rPr>
                <w:color w:val="000000"/>
                <w:sz w:val="20"/>
                <w:szCs w:val="20"/>
                <w:lang w:eastAsia="en-AU"/>
              </w:rPr>
              <w:t>coastal intertidal</w:t>
            </w:r>
          </w:p>
        </w:tc>
        <w:tc>
          <w:tcPr>
            <w:tcW w:w="761"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13</w:t>
            </w:r>
          </w:p>
        </w:tc>
        <w:tc>
          <w:tcPr>
            <w:tcW w:w="761"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38</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13</w:t>
            </w:r>
          </w:p>
        </w:tc>
        <w:tc>
          <w:tcPr>
            <w:tcW w:w="761"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38</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left w:val="single" w:sz="4" w:space="0" w:color="FFFFFF"/>
              <w:bottom w:val="single" w:sz="4" w:space="0" w:color="FFFFFF"/>
              <w:right w:val="single" w:sz="4" w:space="0" w:color="FFFFFF"/>
            </w:tcBorders>
            <w:shd w:val="clear" w:color="auto" w:fill="FF0000"/>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left w:val="single" w:sz="4" w:space="0" w:color="FFFFFF"/>
              <w:bottom w:val="single" w:sz="4" w:space="0" w:color="FFFFFF"/>
            </w:tcBorders>
            <w:shd w:val="clear" w:color="auto" w:fill="FF0000"/>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left w:val="single" w:sz="4" w:space="0" w:color="FFFFFF"/>
              <w:bottom w:val="single" w:sz="4" w:space="0" w:color="FFFFFF"/>
              <w:right w:val="single" w:sz="4" w:space="0" w:color="FFFFFF"/>
            </w:tcBorders>
            <w:shd w:val="clear" w:color="auto" w:fill="FFCC00"/>
            <w:vAlign w:val="bottom"/>
          </w:tcPr>
          <w:p w:rsidR="00F4372B" w:rsidRPr="005556A8" w:rsidRDefault="00F4372B" w:rsidP="00F520E9">
            <w:pPr>
              <w:spacing w:before="0" w:after="0"/>
              <w:jc w:val="center"/>
              <w:rPr>
                <w:color w:val="000000"/>
                <w:sz w:val="20"/>
                <w:szCs w:val="20"/>
                <w:lang w:eastAsia="en-AU"/>
              </w:rPr>
            </w:pPr>
            <w:r>
              <w:rPr>
                <w:color w:val="000000"/>
                <w:sz w:val="20"/>
                <w:szCs w:val="20"/>
              </w:rPr>
              <w:t>25</w:t>
            </w:r>
          </w:p>
        </w:tc>
      </w:tr>
      <w:tr w:rsidR="00F4372B" w:rsidRPr="00EC364C" w:rsidTr="00F4372B">
        <w:trPr>
          <w:trHeight w:val="312"/>
          <w:jc w:val="center"/>
        </w:trPr>
        <w:tc>
          <w:tcPr>
            <w:tcW w:w="1281" w:type="dxa"/>
            <w:vMerge/>
            <w:tcBorders>
              <w:bottom w:val="single" w:sz="4" w:space="0" w:color="000000"/>
            </w:tcBorders>
            <w:shd w:val="clear" w:color="auto" w:fill="auto"/>
            <w:noWrap/>
            <w:vAlign w:val="center"/>
          </w:tcPr>
          <w:p w:rsidR="00F4372B" w:rsidRPr="00EC364C" w:rsidRDefault="00F4372B" w:rsidP="00F520E9">
            <w:pPr>
              <w:spacing w:before="0" w:after="0"/>
              <w:rPr>
                <w:color w:val="000000"/>
                <w:sz w:val="20"/>
                <w:szCs w:val="20"/>
                <w:lang w:eastAsia="en-AU"/>
              </w:rPr>
            </w:pPr>
          </w:p>
        </w:tc>
        <w:tc>
          <w:tcPr>
            <w:tcW w:w="1840" w:type="dxa"/>
            <w:tcBorders>
              <w:top w:val="single" w:sz="4" w:space="0" w:color="FFFFFF"/>
              <w:bottom w:val="single" w:sz="4" w:space="0" w:color="000000"/>
              <w:right w:val="single" w:sz="4" w:space="0" w:color="FFFFFF"/>
            </w:tcBorders>
            <w:shd w:val="clear" w:color="auto" w:fill="auto"/>
            <w:noWrap/>
            <w:vAlign w:val="center"/>
          </w:tcPr>
          <w:p w:rsidR="00F4372B" w:rsidRPr="00EC364C" w:rsidRDefault="00F4372B" w:rsidP="00F520E9">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F4372B" w:rsidRPr="005556A8" w:rsidRDefault="00F4372B" w:rsidP="00F520E9">
            <w:pPr>
              <w:spacing w:before="0" w:after="0"/>
              <w:jc w:val="center"/>
              <w:rPr>
                <w:color w:val="000000"/>
                <w:sz w:val="20"/>
                <w:szCs w:val="20"/>
                <w:lang w:eastAsia="en-AU"/>
              </w:rPr>
            </w:pPr>
          </w:p>
        </w:tc>
        <w:tc>
          <w:tcPr>
            <w:tcW w:w="761"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F4372B" w:rsidRPr="005556A8" w:rsidRDefault="00F4372B" w:rsidP="00F520E9">
            <w:pPr>
              <w:spacing w:before="0" w:after="0"/>
              <w:jc w:val="center"/>
              <w:rPr>
                <w:color w:val="000000"/>
                <w:sz w:val="20"/>
                <w:szCs w:val="20"/>
                <w:lang w:eastAsia="en-AU"/>
              </w:rPr>
            </w:pPr>
          </w:p>
        </w:tc>
        <w:tc>
          <w:tcPr>
            <w:tcW w:w="761"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25</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13</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left w:val="single" w:sz="4" w:space="0" w:color="FFFFFF"/>
              <w:bottom w:val="single" w:sz="4" w:space="0" w:color="FFFFFF"/>
              <w:right w:val="single" w:sz="4" w:space="0" w:color="FFFFFF"/>
            </w:tcBorders>
            <w:shd w:val="clear" w:color="auto" w:fill="FFFF00"/>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50</w:t>
            </w:r>
          </w:p>
        </w:tc>
        <w:tc>
          <w:tcPr>
            <w:tcW w:w="761" w:type="dxa"/>
            <w:tcBorders>
              <w:top w:val="single" w:sz="4" w:space="0" w:color="FFFFFF"/>
              <w:left w:val="single" w:sz="4" w:space="0" w:color="FFFFFF"/>
              <w:bottom w:val="single" w:sz="4" w:space="0" w:color="FFFFFF"/>
            </w:tcBorders>
            <w:shd w:val="clear" w:color="auto" w:fill="FFFF00"/>
            <w:vAlign w:val="bottom"/>
          </w:tcPr>
          <w:p w:rsidR="00F4372B" w:rsidRPr="005556A8" w:rsidRDefault="00F4372B" w:rsidP="00F520E9">
            <w:pPr>
              <w:spacing w:before="0" w:after="0"/>
              <w:jc w:val="center"/>
              <w:rPr>
                <w:color w:val="000000"/>
                <w:sz w:val="20"/>
                <w:szCs w:val="20"/>
                <w:lang w:eastAsia="en-AU"/>
              </w:rPr>
            </w:pPr>
            <w:r w:rsidRPr="005556A8">
              <w:rPr>
                <w:color w:val="000000"/>
                <w:sz w:val="20"/>
                <w:szCs w:val="20"/>
                <w:lang w:eastAsia="en-AU"/>
              </w:rPr>
              <w:t>50</w:t>
            </w:r>
          </w:p>
        </w:tc>
        <w:tc>
          <w:tcPr>
            <w:tcW w:w="761" w:type="dxa"/>
            <w:tcBorders>
              <w:top w:val="single" w:sz="4" w:space="0" w:color="FFFFFF"/>
              <w:left w:val="single" w:sz="4" w:space="0" w:color="FFFFFF"/>
              <w:bottom w:val="single" w:sz="4" w:space="0" w:color="FFFFFF"/>
              <w:right w:val="single" w:sz="4" w:space="0" w:color="FFFFFF"/>
            </w:tcBorders>
            <w:shd w:val="clear" w:color="auto" w:fill="FFCC00"/>
            <w:vAlign w:val="bottom"/>
          </w:tcPr>
          <w:p w:rsidR="00F4372B" w:rsidRPr="005556A8" w:rsidRDefault="00F4372B" w:rsidP="00F520E9">
            <w:pPr>
              <w:spacing w:before="0" w:after="0"/>
              <w:jc w:val="center"/>
              <w:rPr>
                <w:color w:val="000000"/>
                <w:sz w:val="20"/>
                <w:szCs w:val="20"/>
                <w:lang w:eastAsia="en-AU"/>
              </w:rPr>
            </w:pPr>
            <w:r>
              <w:rPr>
                <w:color w:val="000000"/>
                <w:sz w:val="20"/>
                <w:szCs w:val="20"/>
              </w:rPr>
              <w:t>25</w:t>
            </w:r>
          </w:p>
        </w:tc>
      </w:tr>
      <w:tr w:rsidR="00F4372B" w:rsidRPr="00EC364C" w:rsidTr="00F4372B">
        <w:trPr>
          <w:trHeight w:val="312"/>
          <w:jc w:val="center"/>
        </w:trPr>
        <w:tc>
          <w:tcPr>
            <w:tcW w:w="1281" w:type="dxa"/>
            <w:vMerge w:val="restart"/>
            <w:tcBorders>
              <w:top w:val="single" w:sz="4" w:space="0" w:color="000000"/>
            </w:tcBorders>
            <w:shd w:val="clear" w:color="auto" w:fill="auto"/>
            <w:noWrap/>
            <w:vAlign w:val="center"/>
          </w:tcPr>
          <w:p w:rsidR="00F4372B" w:rsidRDefault="00F4372B" w:rsidP="00F520E9">
            <w:pPr>
              <w:spacing w:before="0" w:after="0"/>
              <w:rPr>
                <w:color w:val="000000"/>
                <w:sz w:val="20"/>
                <w:szCs w:val="20"/>
                <w:lang w:eastAsia="en-AU"/>
              </w:rPr>
            </w:pPr>
            <w:r>
              <w:rPr>
                <w:color w:val="000000"/>
                <w:sz w:val="20"/>
                <w:szCs w:val="20"/>
                <w:lang w:eastAsia="en-AU"/>
              </w:rPr>
              <w:t>Leaf tissue</w:t>
            </w:r>
          </w:p>
          <w:p w:rsidR="00F4372B" w:rsidRPr="00EC364C" w:rsidRDefault="00F4372B" w:rsidP="00F520E9">
            <w:pPr>
              <w:spacing w:before="0" w:after="0"/>
              <w:rPr>
                <w:color w:val="000000"/>
                <w:sz w:val="20"/>
                <w:szCs w:val="20"/>
                <w:lang w:eastAsia="en-AU"/>
              </w:rPr>
            </w:pPr>
            <w:r>
              <w:rPr>
                <w:color w:val="000000"/>
                <w:sz w:val="20"/>
                <w:szCs w:val="20"/>
                <w:lang w:eastAsia="en-AU"/>
              </w:rPr>
              <w:t>nutrients</w:t>
            </w:r>
          </w:p>
        </w:tc>
        <w:tc>
          <w:tcPr>
            <w:tcW w:w="1840" w:type="dxa"/>
            <w:tcBorders>
              <w:top w:val="single" w:sz="4" w:space="0" w:color="000000"/>
              <w:bottom w:val="single" w:sz="4" w:space="0" w:color="FFFFFF"/>
            </w:tcBorders>
            <w:shd w:val="clear" w:color="auto" w:fill="auto"/>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estuarine intertidal</w:t>
            </w:r>
          </w:p>
        </w:tc>
        <w:tc>
          <w:tcPr>
            <w:tcW w:w="761" w:type="dxa"/>
            <w:tcBorders>
              <w:bottom w:val="single" w:sz="4" w:space="0" w:color="FFFFFF"/>
            </w:tcBorders>
            <w:shd w:val="clear" w:color="auto" w:fill="auto"/>
            <w:noWrap/>
            <w:vAlign w:val="center"/>
          </w:tcPr>
          <w:p w:rsidR="00F4372B" w:rsidRPr="002D209A" w:rsidRDefault="00F4372B" w:rsidP="00F520E9">
            <w:pPr>
              <w:spacing w:before="0" w:after="0"/>
              <w:jc w:val="center"/>
              <w:rPr>
                <w:color w:val="000000"/>
                <w:sz w:val="20"/>
                <w:szCs w:val="20"/>
                <w:lang w:eastAsia="en-AU"/>
              </w:rPr>
            </w:pPr>
          </w:p>
        </w:tc>
        <w:tc>
          <w:tcPr>
            <w:tcW w:w="761" w:type="dxa"/>
            <w:tcBorders>
              <w:bottom w:val="single" w:sz="4" w:space="0" w:color="FFFFFF"/>
            </w:tcBorders>
            <w:shd w:val="clear" w:color="auto" w:fill="FFCC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23</w:t>
            </w:r>
          </w:p>
        </w:tc>
        <w:tc>
          <w:tcPr>
            <w:tcW w:w="761" w:type="dxa"/>
            <w:tcBorders>
              <w:bottom w:val="single" w:sz="4" w:space="0" w:color="FFFFFF"/>
            </w:tcBorders>
            <w:shd w:val="clear" w:color="auto" w:fill="FFCC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30</w:t>
            </w:r>
          </w:p>
        </w:tc>
        <w:tc>
          <w:tcPr>
            <w:tcW w:w="761" w:type="dxa"/>
            <w:tcBorders>
              <w:bottom w:val="single" w:sz="4" w:space="0" w:color="FFFFFF"/>
            </w:tcBorders>
            <w:shd w:val="clear" w:color="auto" w:fill="FFCC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26</w:t>
            </w:r>
          </w:p>
        </w:tc>
        <w:tc>
          <w:tcPr>
            <w:tcW w:w="761" w:type="dxa"/>
            <w:tcBorders>
              <w:bottom w:val="single" w:sz="4" w:space="0" w:color="FFFFFF"/>
            </w:tcBorders>
            <w:shd w:val="clear" w:color="auto" w:fill="FFFF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43</w:t>
            </w:r>
          </w:p>
        </w:tc>
        <w:tc>
          <w:tcPr>
            <w:tcW w:w="761" w:type="dxa"/>
            <w:tcBorders>
              <w:bottom w:val="single" w:sz="4" w:space="0" w:color="FFFFFF"/>
            </w:tcBorders>
            <w:shd w:val="clear" w:color="auto" w:fill="FF00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9</w:t>
            </w:r>
          </w:p>
        </w:tc>
        <w:tc>
          <w:tcPr>
            <w:tcW w:w="761" w:type="dxa"/>
            <w:tcBorders>
              <w:bottom w:val="single" w:sz="4" w:space="0" w:color="FFFFFF"/>
            </w:tcBorders>
            <w:shd w:val="clear" w:color="auto" w:fill="FF00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12</w:t>
            </w:r>
          </w:p>
        </w:tc>
        <w:tc>
          <w:tcPr>
            <w:tcW w:w="761" w:type="dxa"/>
            <w:tcBorders>
              <w:bottom w:val="single" w:sz="4" w:space="0" w:color="FFFFFF"/>
            </w:tcBorders>
            <w:shd w:val="clear" w:color="auto" w:fill="FF0000"/>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19</w:t>
            </w:r>
          </w:p>
        </w:tc>
        <w:tc>
          <w:tcPr>
            <w:tcW w:w="761" w:type="dxa"/>
            <w:tcBorders>
              <w:bottom w:val="single" w:sz="4" w:space="0" w:color="FFFFFF"/>
            </w:tcBorders>
            <w:shd w:val="clear" w:color="auto" w:fill="FFCC00"/>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39</w:t>
            </w:r>
          </w:p>
        </w:tc>
        <w:tc>
          <w:tcPr>
            <w:tcW w:w="761" w:type="dxa"/>
            <w:tcBorders>
              <w:bottom w:val="single" w:sz="4" w:space="0" w:color="FFFFFF"/>
            </w:tcBorders>
            <w:shd w:val="clear" w:color="auto" w:fill="FFCC00"/>
            <w:vAlign w:val="center"/>
          </w:tcPr>
          <w:p w:rsidR="00F4372B" w:rsidRPr="002D209A" w:rsidRDefault="00F4372B" w:rsidP="00F520E9">
            <w:pPr>
              <w:spacing w:before="0" w:after="0"/>
              <w:jc w:val="center"/>
              <w:rPr>
                <w:color w:val="000000"/>
                <w:sz w:val="20"/>
                <w:szCs w:val="20"/>
                <w:lang w:eastAsia="en-AU"/>
              </w:rPr>
            </w:pPr>
            <w:r>
              <w:rPr>
                <w:color w:val="000000"/>
                <w:sz w:val="20"/>
                <w:szCs w:val="20"/>
              </w:rPr>
              <w:t>30</w:t>
            </w:r>
          </w:p>
        </w:tc>
      </w:tr>
      <w:tr w:rsidR="00F4372B" w:rsidRPr="00EC364C" w:rsidTr="00F4372B">
        <w:trPr>
          <w:trHeight w:val="312"/>
          <w:jc w:val="center"/>
        </w:trPr>
        <w:tc>
          <w:tcPr>
            <w:tcW w:w="1281" w:type="dxa"/>
            <w:vMerge/>
            <w:shd w:val="clear" w:color="auto" w:fill="auto"/>
            <w:noWrap/>
            <w:vAlign w:val="center"/>
          </w:tcPr>
          <w:p w:rsidR="00F4372B" w:rsidRPr="00EC364C" w:rsidRDefault="00F4372B" w:rsidP="00F520E9">
            <w:pPr>
              <w:spacing w:before="0" w:after="0"/>
              <w:rPr>
                <w:color w:val="000000"/>
                <w:sz w:val="20"/>
                <w:szCs w:val="20"/>
                <w:lang w:eastAsia="en-AU"/>
              </w:rPr>
            </w:pPr>
          </w:p>
        </w:tc>
        <w:tc>
          <w:tcPr>
            <w:tcW w:w="1840" w:type="dxa"/>
            <w:tcBorders>
              <w:top w:val="single" w:sz="4" w:space="0" w:color="FFFFFF"/>
              <w:bottom w:val="single" w:sz="4" w:space="0" w:color="FFFFFF"/>
              <w:right w:val="single" w:sz="4" w:space="0" w:color="FFFFFF"/>
            </w:tcBorders>
            <w:shd w:val="clear" w:color="auto" w:fill="auto"/>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coastal intertidal</w:t>
            </w:r>
          </w:p>
        </w:tc>
        <w:tc>
          <w:tcPr>
            <w:tcW w:w="761" w:type="dxa"/>
            <w:tcBorders>
              <w:top w:val="single" w:sz="4" w:space="0" w:color="FFFFFF"/>
              <w:left w:val="single" w:sz="4" w:space="0" w:color="FFFFFF"/>
              <w:bottom w:val="single" w:sz="4" w:space="0" w:color="FFFFFF"/>
              <w:right w:val="single" w:sz="4" w:space="0" w:color="FFFFFF"/>
            </w:tcBorders>
            <w:shd w:val="clear" w:color="auto" w:fill="auto"/>
            <w:noWrap/>
            <w:vAlign w:val="center"/>
          </w:tcPr>
          <w:p w:rsidR="00F4372B" w:rsidRPr="002D209A" w:rsidRDefault="00F4372B" w:rsidP="00F520E9">
            <w:pPr>
              <w:spacing w:before="0" w:after="0"/>
              <w:jc w:val="center"/>
              <w:rPr>
                <w:color w:val="000000"/>
                <w:sz w:val="20"/>
                <w:szCs w:val="20"/>
                <w:lang w:eastAsia="en-AU"/>
              </w:rPr>
            </w:pPr>
          </w:p>
        </w:tc>
        <w:tc>
          <w:tcPr>
            <w:tcW w:w="761"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39</w:t>
            </w:r>
          </w:p>
        </w:tc>
        <w:tc>
          <w:tcPr>
            <w:tcW w:w="761"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38</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18</w:t>
            </w:r>
          </w:p>
        </w:tc>
        <w:tc>
          <w:tcPr>
            <w:tcW w:w="761"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41</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12</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14</w:t>
            </w:r>
          </w:p>
        </w:tc>
        <w:tc>
          <w:tcPr>
            <w:tcW w:w="761" w:type="dxa"/>
            <w:tcBorders>
              <w:top w:val="single" w:sz="4" w:space="0" w:color="FFFFFF"/>
              <w:left w:val="single" w:sz="4" w:space="0" w:color="FFFFFF"/>
              <w:bottom w:val="single" w:sz="4" w:space="0" w:color="FFFFFF"/>
              <w:right w:val="single" w:sz="4" w:space="0" w:color="FFFFFF"/>
            </w:tcBorders>
            <w:shd w:val="clear" w:color="auto" w:fill="FF0000"/>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14</w:t>
            </w:r>
          </w:p>
        </w:tc>
        <w:tc>
          <w:tcPr>
            <w:tcW w:w="761" w:type="dxa"/>
            <w:tcBorders>
              <w:top w:val="single" w:sz="4" w:space="0" w:color="FFFFFF"/>
              <w:left w:val="single" w:sz="4" w:space="0" w:color="FFFFFF"/>
              <w:bottom w:val="single" w:sz="4" w:space="0" w:color="FFFFFF"/>
              <w:right w:val="single" w:sz="4" w:space="0" w:color="FFFFFF"/>
            </w:tcBorders>
            <w:shd w:val="clear" w:color="auto" w:fill="FFCC00"/>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23</w:t>
            </w:r>
          </w:p>
        </w:tc>
        <w:tc>
          <w:tcPr>
            <w:tcW w:w="761" w:type="dxa"/>
            <w:tcBorders>
              <w:top w:val="single" w:sz="4" w:space="0" w:color="FFFFFF"/>
              <w:left w:val="single" w:sz="4" w:space="0" w:color="FFFFFF"/>
              <w:bottom w:val="single" w:sz="4" w:space="0" w:color="FFFFFF"/>
            </w:tcBorders>
            <w:shd w:val="clear" w:color="auto" w:fill="FFCC00"/>
            <w:vAlign w:val="center"/>
          </w:tcPr>
          <w:p w:rsidR="00F4372B" w:rsidRPr="002D209A" w:rsidRDefault="00F4372B" w:rsidP="00F520E9">
            <w:pPr>
              <w:spacing w:before="0" w:after="0"/>
              <w:jc w:val="center"/>
              <w:rPr>
                <w:color w:val="000000"/>
                <w:sz w:val="20"/>
                <w:szCs w:val="20"/>
                <w:lang w:eastAsia="en-AU"/>
              </w:rPr>
            </w:pPr>
            <w:r>
              <w:rPr>
                <w:color w:val="000000"/>
                <w:sz w:val="20"/>
                <w:szCs w:val="20"/>
              </w:rPr>
              <w:t>37</w:t>
            </w:r>
          </w:p>
        </w:tc>
      </w:tr>
      <w:tr w:rsidR="00F4372B" w:rsidRPr="00EC364C" w:rsidTr="00F4372B">
        <w:trPr>
          <w:trHeight w:val="312"/>
          <w:jc w:val="center"/>
        </w:trPr>
        <w:tc>
          <w:tcPr>
            <w:tcW w:w="1281" w:type="dxa"/>
            <w:vMerge/>
            <w:tcBorders>
              <w:bottom w:val="single" w:sz="4" w:space="0" w:color="000000"/>
            </w:tcBorders>
            <w:shd w:val="clear" w:color="auto" w:fill="auto"/>
            <w:noWrap/>
            <w:vAlign w:val="center"/>
          </w:tcPr>
          <w:p w:rsidR="00F4372B" w:rsidRPr="00EC364C" w:rsidRDefault="00F4372B" w:rsidP="00F520E9">
            <w:pPr>
              <w:spacing w:before="0" w:after="0"/>
              <w:rPr>
                <w:color w:val="000000"/>
                <w:sz w:val="20"/>
                <w:szCs w:val="20"/>
                <w:lang w:eastAsia="en-AU"/>
              </w:rPr>
            </w:pPr>
          </w:p>
        </w:tc>
        <w:tc>
          <w:tcPr>
            <w:tcW w:w="1840" w:type="dxa"/>
            <w:tcBorders>
              <w:top w:val="single" w:sz="4" w:space="0" w:color="FFFFFF"/>
              <w:bottom w:val="single" w:sz="4" w:space="0" w:color="000000"/>
              <w:right w:val="single" w:sz="4" w:space="0" w:color="FFFFFF"/>
            </w:tcBorders>
            <w:shd w:val="clear" w:color="auto" w:fill="auto"/>
            <w:noWrap/>
            <w:vAlign w:val="center"/>
          </w:tcPr>
          <w:p w:rsidR="00F4372B" w:rsidRPr="00EC364C" w:rsidRDefault="00F4372B" w:rsidP="00F520E9">
            <w:pPr>
              <w:spacing w:before="0" w:after="0"/>
              <w:jc w:val="center"/>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left w:val="single" w:sz="4" w:space="0" w:color="FFFFFF"/>
              <w:bottom w:val="single" w:sz="4" w:space="0" w:color="FFFFFF"/>
              <w:right w:val="single" w:sz="4" w:space="0" w:color="FFFFFF"/>
            </w:tcBorders>
            <w:shd w:val="clear" w:color="auto" w:fill="auto"/>
            <w:noWrap/>
            <w:vAlign w:val="center"/>
          </w:tcPr>
          <w:p w:rsidR="00F4372B" w:rsidRPr="002D209A" w:rsidRDefault="00F4372B" w:rsidP="00F520E9">
            <w:pPr>
              <w:spacing w:before="0" w:after="0"/>
              <w:jc w:val="center"/>
              <w:rPr>
                <w:color w:val="000000"/>
                <w:sz w:val="20"/>
                <w:szCs w:val="20"/>
                <w:lang w:eastAsia="en-AU"/>
              </w:rPr>
            </w:pPr>
          </w:p>
        </w:tc>
        <w:tc>
          <w:tcPr>
            <w:tcW w:w="761" w:type="dxa"/>
            <w:tcBorders>
              <w:top w:val="single" w:sz="4" w:space="0" w:color="FFFFFF"/>
              <w:left w:val="single" w:sz="4" w:space="0" w:color="FFFFFF"/>
              <w:bottom w:val="single" w:sz="4" w:space="0" w:color="FFFFFF"/>
              <w:right w:val="single" w:sz="4" w:space="0" w:color="FFFFFF"/>
            </w:tcBorders>
            <w:shd w:val="clear" w:color="auto" w:fill="auto"/>
            <w:noWrap/>
            <w:vAlign w:val="center"/>
          </w:tcPr>
          <w:p w:rsidR="00F4372B" w:rsidRPr="002D209A" w:rsidRDefault="00F4372B" w:rsidP="00F520E9">
            <w:pPr>
              <w:spacing w:before="0" w:after="0"/>
              <w:jc w:val="center"/>
              <w:rPr>
                <w:color w:val="000000"/>
                <w:sz w:val="20"/>
                <w:szCs w:val="20"/>
                <w:lang w:eastAsia="en-AU"/>
              </w:rPr>
            </w:pPr>
          </w:p>
        </w:tc>
        <w:tc>
          <w:tcPr>
            <w:tcW w:w="761"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27</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7</w:t>
            </w:r>
          </w:p>
        </w:tc>
        <w:tc>
          <w:tcPr>
            <w:tcW w:w="761"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30</w:t>
            </w:r>
          </w:p>
        </w:tc>
        <w:tc>
          <w:tcPr>
            <w:tcW w:w="761"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20</w:t>
            </w:r>
          </w:p>
        </w:tc>
        <w:tc>
          <w:tcPr>
            <w:tcW w:w="76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11</w:t>
            </w:r>
          </w:p>
        </w:tc>
        <w:tc>
          <w:tcPr>
            <w:tcW w:w="761" w:type="dxa"/>
            <w:tcBorders>
              <w:top w:val="single" w:sz="4" w:space="0" w:color="FFFFFF"/>
              <w:left w:val="single" w:sz="4" w:space="0" w:color="FFFFFF"/>
              <w:bottom w:val="single" w:sz="4" w:space="0" w:color="FFFFFF"/>
              <w:right w:val="single" w:sz="4" w:space="0" w:color="FFFFFF"/>
            </w:tcBorders>
            <w:shd w:val="clear" w:color="auto" w:fill="FF0000"/>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14</w:t>
            </w:r>
          </w:p>
        </w:tc>
        <w:tc>
          <w:tcPr>
            <w:tcW w:w="761" w:type="dxa"/>
            <w:tcBorders>
              <w:top w:val="single" w:sz="4" w:space="0" w:color="FFFFFF"/>
              <w:left w:val="single" w:sz="4" w:space="0" w:color="FFFFFF"/>
              <w:bottom w:val="single" w:sz="4" w:space="0" w:color="FFFFFF"/>
              <w:right w:val="single" w:sz="4" w:space="0" w:color="FFFFFF"/>
            </w:tcBorders>
            <w:shd w:val="clear" w:color="auto" w:fill="FFCC00"/>
            <w:vAlign w:val="center"/>
          </w:tcPr>
          <w:p w:rsidR="00F4372B" w:rsidRPr="002D209A" w:rsidRDefault="00F4372B" w:rsidP="00F520E9">
            <w:pPr>
              <w:spacing w:before="0" w:after="0"/>
              <w:jc w:val="center"/>
              <w:rPr>
                <w:color w:val="000000"/>
                <w:sz w:val="20"/>
                <w:szCs w:val="20"/>
                <w:lang w:eastAsia="en-AU"/>
              </w:rPr>
            </w:pPr>
            <w:r w:rsidRPr="002D209A">
              <w:rPr>
                <w:color w:val="000000"/>
                <w:sz w:val="20"/>
                <w:szCs w:val="20"/>
                <w:lang w:eastAsia="en-AU"/>
              </w:rPr>
              <w:t>31</w:t>
            </w:r>
          </w:p>
        </w:tc>
        <w:tc>
          <w:tcPr>
            <w:tcW w:w="761" w:type="dxa"/>
            <w:tcBorders>
              <w:top w:val="single" w:sz="4" w:space="0" w:color="FFFFFF"/>
              <w:left w:val="single" w:sz="4" w:space="0" w:color="FFFFFF"/>
              <w:bottom w:val="single" w:sz="4" w:space="0" w:color="FFFFFF"/>
            </w:tcBorders>
            <w:shd w:val="clear" w:color="auto" w:fill="FFCC00"/>
            <w:vAlign w:val="center"/>
          </w:tcPr>
          <w:p w:rsidR="00F4372B" w:rsidRPr="002D209A" w:rsidRDefault="00F4372B" w:rsidP="00F520E9">
            <w:pPr>
              <w:spacing w:before="0" w:after="0"/>
              <w:jc w:val="center"/>
              <w:rPr>
                <w:color w:val="000000"/>
                <w:sz w:val="20"/>
                <w:szCs w:val="20"/>
                <w:lang w:eastAsia="en-AU"/>
              </w:rPr>
            </w:pPr>
            <w:r>
              <w:rPr>
                <w:color w:val="000000"/>
                <w:sz w:val="20"/>
                <w:szCs w:val="20"/>
              </w:rPr>
              <w:t>26</w:t>
            </w:r>
          </w:p>
        </w:tc>
      </w:tr>
      <w:tr w:rsidR="00F4372B" w:rsidRPr="002D209A" w:rsidTr="00F4372B">
        <w:trPr>
          <w:trHeight w:val="312"/>
          <w:jc w:val="center"/>
        </w:trPr>
        <w:tc>
          <w:tcPr>
            <w:tcW w:w="3121" w:type="dxa"/>
            <w:gridSpan w:val="2"/>
            <w:tcBorders>
              <w:top w:val="single" w:sz="4" w:space="0" w:color="000000"/>
              <w:bottom w:val="single" w:sz="4" w:space="0" w:color="000000"/>
            </w:tcBorders>
            <w:shd w:val="clear" w:color="auto" w:fill="auto"/>
            <w:noWrap/>
            <w:vAlign w:val="center"/>
          </w:tcPr>
          <w:p w:rsidR="00F4372B" w:rsidRPr="002D209A" w:rsidRDefault="00F4372B" w:rsidP="00C60158">
            <w:pPr>
              <w:spacing w:before="0" w:after="0"/>
              <w:rPr>
                <w:b/>
                <w:color w:val="000000"/>
                <w:sz w:val="20"/>
                <w:szCs w:val="20"/>
                <w:lang w:eastAsia="en-AU"/>
              </w:rPr>
            </w:pPr>
            <w:r>
              <w:rPr>
                <w:b/>
                <w:color w:val="000000"/>
                <w:sz w:val="20"/>
                <w:szCs w:val="20"/>
                <w:lang w:eastAsia="en-AU"/>
              </w:rPr>
              <w:t>Seagrass Index</w:t>
            </w:r>
          </w:p>
        </w:tc>
        <w:tc>
          <w:tcPr>
            <w:tcW w:w="761" w:type="dxa"/>
            <w:tcBorders>
              <w:top w:val="single" w:sz="4" w:space="0" w:color="000000"/>
              <w:bottom w:val="single" w:sz="4" w:space="0" w:color="000000"/>
            </w:tcBorders>
            <w:shd w:val="clear" w:color="auto" w:fill="FFCC00"/>
            <w:noWrap/>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39</w:t>
            </w:r>
          </w:p>
        </w:tc>
        <w:tc>
          <w:tcPr>
            <w:tcW w:w="761" w:type="dxa"/>
            <w:tcBorders>
              <w:top w:val="single" w:sz="4" w:space="0" w:color="000000"/>
              <w:bottom w:val="single" w:sz="4" w:space="0" w:color="000000"/>
            </w:tcBorders>
            <w:shd w:val="clear" w:color="auto" w:fill="FFCC00"/>
            <w:noWrap/>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31</w:t>
            </w:r>
          </w:p>
        </w:tc>
        <w:tc>
          <w:tcPr>
            <w:tcW w:w="761" w:type="dxa"/>
            <w:tcBorders>
              <w:top w:val="single" w:sz="4" w:space="0" w:color="000000"/>
              <w:bottom w:val="single" w:sz="4" w:space="0" w:color="000000"/>
            </w:tcBorders>
            <w:shd w:val="clear" w:color="auto" w:fill="FFCC00"/>
            <w:noWrap/>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30</w:t>
            </w:r>
          </w:p>
        </w:tc>
        <w:tc>
          <w:tcPr>
            <w:tcW w:w="761" w:type="dxa"/>
            <w:tcBorders>
              <w:top w:val="single" w:sz="4" w:space="0" w:color="000000"/>
              <w:bottom w:val="single" w:sz="4" w:space="0" w:color="000000"/>
            </w:tcBorders>
            <w:shd w:val="clear" w:color="auto" w:fill="FFCC00"/>
            <w:noWrap/>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21</w:t>
            </w:r>
          </w:p>
        </w:tc>
        <w:tc>
          <w:tcPr>
            <w:tcW w:w="761" w:type="dxa"/>
            <w:tcBorders>
              <w:top w:val="single" w:sz="4" w:space="0" w:color="000000"/>
              <w:bottom w:val="single" w:sz="4" w:space="0" w:color="000000"/>
            </w:tcBorders>
            <w:shd w:val="clear" w:color="auto" w:fill="FFCC00"/>
            <w:noWrap/>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25</w:t>
            </w:r>
          </w:p>
        </w:tc>
        <w:tc>
          <w:tcPr>
            <w:tcW w:w="761" w:type="dxa"/>
            <w:tcBorders>
              <w:top w:val="single" w:sz="4" w:space="0" w:color="000000"/>
              <w:bottom w:val="single" w:sz="4" w:space="0" w:color="000000"/>
            </w:tcBorders>
            <w:shd w:val="clear" w:color="auto" w:fill="FF0000"/>
            <w:noWrap/>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6</w:t>
            </w:r>
          </w:p>
        </w:tc>
        <w:tc>
          <w:tcPr>
            <w:tcW w:w="761" w:type="dxa"/>
            <w:tcBorders>
              <w:top w:val="single" w:sz="4" w:space="0" w:color="000000"/>
              <w:bottom w:val="single" w:sz="4" w:space="0" w:color="000000"/>
            </w:tcBorders>
            <w:shd w:val="clear" w:color="auto" w:fill="FF0000"/>
            <w:noWrap/>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8</w:t>
            </w:r>
          </w:p>
        </w:tc>
        <w:tc>
          <w:tcPr>
            <w:tcW w:w="761" w:type="dxa"/>
            <w:tcBorders>
              <w:top w:val="single" w:sz="4" w:space="0" w:color="000000"/>
              <w:bottom w:val="single" w:sz="4" w:space="0" w:color="000000"/>
            </w:tcBorders>
            <w:shd w:val="clear" w:color="auto" w:fill="FF0000"/>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15</w:t>
            </w:r>
          </w:p>
        </w:tc>
        <w:tc>
          <w:tcPr>
            <w:tcW w:w="761" w:type="dxa"/>
            <w:tcBorders>
              <w:top w:val="single" w:sz="4" w:space="0" w:color="000000"/>
              <w:bottom w:val="single" w:sz="4" w:space="0" w:color="000000"/>
            </w:tcBorders>
            <w:shd w:val="clear" w:color="auto" w:fill="FFCC00"/>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25</w:t>
            </w:r>
          </w:p>
        </w:tc>
        <w:tc>
          <w:tcPr>
            <w:tcW w:w="761" w:type="dxa"/>
            <w:tcBorders>
              <w:top w:val="single" w:sz="4" w:space="0" w:color="000000"/>
              <w:bottom w:val="single" w:sz="4" w:space="0" w:color="000000"/>
            </w:tcBorders>
            <w:shd w:val="clear" w:color="auto" w:fill="FFCC00"/>
            <w:vAlign w:val="center"/>
          </w:tcPr>
          <w:p w:rsidR="00F4372B" w:rsidRPr="00423BA4" w:rsidRDefault="00F4372B" w:rsidP="00F520E9">
            <w:pPr>
              <w:spacing w:before="0" w:after="0"/>
              <w:jc w:val="center"/>
              <w:rPr>
                <w:b/>
                <w:color w:val="000000"/>
                <w:sz w:val="20"/>
                <w:szCs w:val="20"/>
                <w:lang w:eastAsia="en-AU"/>
              </w:rPr>
            </w:pPr>
            <w:r w:rsidRPr="006834BF">
              <w:rPr>
                <w:b/>
                <w:color w:val="000000"/>
                <w:sz w:val="20"/>
                <w:szCs w:val="20"/>
                <w:lang w:eastAsia="en-AU"/>
              </w:rPr>
              <w:t>32</w:t>
            </w:r>
          </w:p>
        </w:tc>
      </w:tr>
    </w:tbl>
    <w:p w:rsidR="00FA4C72" w:rsidRPr="0067051E" w:rsidRDefault="00FA4C72" w:rsidP="00BA10B6">
      <w:pPr>
        <w:autoSpaceDE w:val="0"/>
        <w:autoSpaceDN w:val="0"/>
        <w:adjustRightInd w:val="0"/>
        <w:rPr>
          <w:color w:val="000000"/>
          <w:szCs w:val="22"/>
        </w:rPr>
      </w:pPr>
    </w:p>
    <w:p w:rsidR="00BA409D" w:rsidRPr="006E0687" w:rsidRDefault="005132EF" w:rsidP="00926892">
      <w:pPr>
        <w:pStyle w:val="Heading2"/>
        <w:numPr>
          <w:ilvl w:val="1"/>
          <w:numId w:val="9"/>
        </w:numPr>
        <w:rPr>
          <w:rFonts w:ascii="Century Gothic" w:hAnsi="Century Gothic"/>
          <w:color w:val="000000"/>
        </w:rPr>
      </w:pPr>
      <w:r w:rsidRPr="00015190">
        <w:rPr>
          <w:color w:val="0000FF"/>
          <w:szCs w:val="22"/>
        </w:rPr>
        <w:br w:type="page"/>
      </w:r>
      <w:bookmarkStart w:id="465" w:name="_Toc175991085"/>
      <w:bookmarkStart w:id="466" w:name="_Toc232845930"/>
      <w:bookmarkStart w:id="467" w:name="_Toc184102023"/>
      <w:bookmarkStart w:id="468" w:name="_Toc431493778"/>
      <w:bookmarkStart w:id="469" w:name="_Toc462047360"/>
      <w:bookmarkStart w:id="470" w:name="_Toc170191647"/>
      <w:r w:rsidR="00BA409D" w:rsidRPr="006E0687">
        <w:rPr>
          <w:rFonts w:ascii="Century Gothic" w:hAnsi="Century Gothic"/>
          <w:color w:val="000000"/>
        </w:rPr>
        <w:lastRenderedPageBreak/>
        <w:t>Fitzroy</w:t>
      </w:r>
      <w:bookmarkEnd w:id="465"/>
      <w:bookmarkEnd w:id="466"/>
      <w:bookmarkEnd w:id="467"/>
      <w:bookmarkEnd w:id="468"/>
      <w:bookmarkEnd w:id="469"/>
    </w:p>
    <w:p w:rsidR="005132EF" w:rsidRPr="00712221" w:rsidRDefault="005515AE" w:rsidP="00926892">
      <w:pPr>
        <w:pStyle w:val="Heading3"/>
        <w:numPr>
          <w:ilvl w:val="2"/>
          <w:numId w:val="9"/>
        </w:numPr>
        <w:rPr>
          <w:rFonts w:ascii="Arial" w:hAnsi="Arial" w:cs="Arial"/>
          <w:color w:val="000000"/>
        </w:rPr>
      </w:pPr>
      <w:bookmarkStart w:id="471" w:name="_Toc184102024"/>
      <w:bookmarkStart w:id="472" w:name="_Toc431493779"/>
      <w:bookmarkStart w:id="473" w:name="_Toc462047361"/>
      <w:bookmarkEnd w:id="470"/>
      <w:r>
        <w:rPr>
          <w:rFonts w:ascii="Arial" w:hAnsi="Arial" w:cs="Arial"/>
          <w:color w:val="000000"/>
        </w:rPr>
        <w:t>2014-15</w:t>
      </w:r>
      <w:r w:rsidR="005132EF" w:rsidRPr="00712221">
        <w:rPr>
          <w:rFonts w:ascii="Arial" w:hAnsi="Arial" w:cs="Arial"/>
          <w:color w:val="000000"/>
        </w:rPr>
        <w:t xml:space="preserve"> Summary</w:t>
      </w:r>
      <w:bookmarkEnd w:id="471"/>
      <w:bookmarkEnd w:id="472"/>
      <w:bookmarkEnd w:id="473"/>
    </w:p>
    <w:p w:rsidR="002A6F1A" w:rsidRDefault="00496AF3" w:rsidP="00034AD4">
      <w:pPr>
        <w:rPr>
          <w:szCs w:val="22"/>
        </w:rPr>
      </w:pPr>
      <w:r w:rsidRPr="00DF43AB">
        <w:rPr>
          <w:szCs w:val="22"/>
        </w:rPr>
        <w:t xml:space="preserve">The Fitzroy region has the largest </w:t>
      </w:r>
      <w:r w:rsidR="00DF43AB" w:rsidRPr="00DF43AB">
        <w:rPr>
          <w:szCs w:val="22"/>
        </w:rPr>
        <w:t>catchment</w:t>
      </w:r>
      <w:r w:rsidRPr="00DF43AB">
        <w:rPr>
          <w:szCs w:val="22"/>
        </w:rPr>
        <w:t xml:space="preserve"> area draining </w:t>
      </w:r>
      <w:r w:rsidR="00DF43AB" w:rsidRPr="00DF43AB">
        <w:rPr>
          <w:szCs w:val="22"/>
        </w:rPr>
        <w:t xml:space="preserve">into the GBR, and the inshore seagrass meadows </w:t>
      </w:r>
      <w:r w:rsidR="00C1776D" w:rsidRPr="00DF43AB">
        <w:rPr>
          <w:szCs w:val="22"/>
        </w:rPr>
        <w:t>are mainly located on the large shallow sand/mud banks in sheltered areas of the region’s estuaries and coasts, or on the fringing reef flat habitats of offshore islands.</w:t>
      </w:r>
      <w:r w:rsidR="00C1776D">
        <w:rPr>
          <w:szCs w:val="22"/>
        </w:rPr>
        <w:t xml:space="preserve"> The seagrass meadows </w:t>
      </w:r>
      <w:r w:rsidR="00DF43AB" w:rsidRPr="00DF43AB">
        <w:rPr>
          <w:szCs w:val="22"/>
        </w:rPr>
        <w:t>are primarily structured by infrequent plumes of sediment-laden floodwaters, high turbidity, desiccation and elevated temperatures</w:t>
      </w:r>
      <w:r w:rsidR="00C1776D">
        <w:rPr>
          <w:szCs w:val="22"/>
        </w:rPr>
        <w:t>.</w:t>
      </w:r>
    </w:p>
    <w:p w:rsidR="00045D87" w:rsidRPr="00045D87" w:rsidRDefault="00045D87" w:rsidP="00045D87">
      <w:pPr>
        <w:rPr>
          <w:szCs w:val="22"/>
        </w:rPr>
      </w:pPr>
      <w:r w:rsidRPr="00BA4F78">
        <w:rPr>
          <w:szCs w:val="22"/>
        </w:rPr>
        <w:t>In 2014-15 c</w:t>
      </w:r>
      <w:proofErr w:type="spellStart"/>
      <w:r w:rsidRPr="00BA4F78">
        <w:rPr>
          <w:szCs w:val="22"/>
          <w:lang w:val="en-GB"/>
        </w:rPr>
        <w:t>limatic</w:t>
      </w:r>
      <w:proofErr w:type="spellEnd"/>
      <w:r w:rsidRPr="00BA4F78">
        <w:rPr>
          <w:szCs w:val="22"/>
          <w:lang w:val="en-GB"/>
        </w:rPr>
        <w:t xml:space="preserve"> conditions in the region were less conducive to seagrass growth than the previous year, and the impacts of TC Marcia </w:t>
      </w:r>
      <w:r w:rsidR="00285310" w:rsidRPr="00BA4F78">
        <w:rPr>
          <w:szCs w:val="22"/>
          <w:lang w:val="en-GB"/>
        </w:rPr>
        <w:t xml:space="preserve">possibly </w:t>
      </w:r>
      <w:r w:rsidRPr="00BA4F78">
        <w:rPr>
          <w:szCs w:val="22"/>
          <w:lang w:val="en-GB"/>
        </w:rPr>
        <w:t xml:space="preserve">exposed seagrass to a range of acute stressors, which </w:t>
      </w:r>
      <w:r w:rsidR="00285310" w:rsidRPr="00BA4F78">
        <w:rPr>
          <w:szCs w:val="22"/>
          <w:lang w:val="en-GB"/>
        </w:rPr>
        <w:t>may</w:t>
      </w:r>
      <w:r w:rsidRPr="00BA4F78">
        <w:rPr>
          <w:szCs w:val="22"/>
          <w:lang w:val="en-GB"/>
        </w:rPr>
        <w:t xml:space="preserve"> have a cumulative impact of meadow condition and resilience. </w:t>
      </w:r>
      <w:r w:rsidR="00285310" w:rsidRPr="00BA4F78">
        <w:rPr>
          <w:szCs w:val="22"/>
        </w:rPr>
        <w:t xml:space="preserve">2014-15 was slightly wetter than the </w:t>
      </w:r>
      <w:r w:rsidR="00285310" w:rsidRPr="00045D87">
        <w:rPr>
          <w:szCs w:val="22"/>
        </w:rPr>
        <w:t xml:space="preserve">long </w:t>
      </w:r>
      <w:r w:rsidR="00285310" w:rsidRPr="00BA4F78">
        <w:rPr>
          <w:szCs w:val="22"/>
        </w:rPr>
        <w:t xml:space="preserve">term average, and higher than the previous year. Despite the high river flow which exposed seagrass meadows </w:t>
      </w:r>
      <w:r w:rsidR="00285310" w:rsidRPr="00BA4F78">
        <w:t>to primary or secondary plume waters for the entire 2014-15 wet season</w:t>
      </w:r>
      <w:r w:rsidR="00285310" w:rsidRPr="00BA4F78">
        <w:rPr>
          <w:szCs w:val="22"/>
        </w:rPr>
        <w:t xml:space="preserve">, daily light was similar to the long-term average; except at the reef habitat. </w:t>
      </w:r>
      <w:r w:rsidR="00285310" w:rsidRPr="00BA4F78">
        <w:rPr>
          <w:szCs w:val="22"/>
          <w:lang w:val="en-GB"/>
        </w:rPr>
        <w:t>S</w:t>
      </w:r>
      <w:proofErr w:type="spellStart"/>
      <w:r w:rsidRPr="00BA4F78">
        <w:rPr>
          <w:szCs w:val="22"/>
        </w:rPr>
        <w:t>eagrass</w:t>
      </w:r>
      <w:proofErr w:type="spellEnd"/>
      <w:r w:rsidRPr="00BA4F78">
        <w:rPr>
          <w:szCs w:val="22"/>
        </w:rPr>
        <w:t xml:space="preserve"> </w:t>
      </w:r>
      <w:r w:rsidR="00285310" w:rsidRPr="00BA4F78">
        <w:rPr>
          <w:szCs w:val="22"/>
        </w:rPr>
        <w:t xml:space="preserve">also </w:t>
      </w:r>
      <w:r w:rsidRPr="00BA4F78">
        <w:rPr>
          <w:szCs w:val="22"/>
        </w:rPr>
        <w:t>experienced above average seawater temperatures for the third consecutive year, with more days above 35</w:t>
      </w:r>
      <w:r w:rsidRPr="00BA4F78">
        <w:rPr>
          <w:szCs w:val="22"/>
        </w:rPr>
        <w:sym w:font="Symbol" w:char="F0B0"/>
      </w:r>
      <w:r w:rsidRPr="00BA4F78">
        <w:rPr>
          <w:szCs w:val="22"/>
        </w:rPr>
        <w:t xml:space="preserve">C (including extreme </w:t>
      </w:r>
      <w:r w:rsidRPr="00045D87">
        <w:rPr>
          <w:szCs w:val="22"/>
        </w:rPr>
        <w:t>temperatures (&gt;40</w:t>
      </w:r>
      <w:r w:rsidRPr="00045D87">
        <w:rPr>
          <w:szCs w:val="22"/>
        </w:rPr>
        <w:sym w:font="Symbol" w:char="F0B0"/>
      </w:r>
      <w:r w:rsidRPr="00045D87">
        <w:rPr>
          <w:szCs w:val="22"/>
        </w:rPr>
        <w:t>C</w:t>
      </w:r>
      <w:r w:rsidRPr="00045D87">
        <w:rPr>
          <w:rFonts w:cs="Calibri"/>
          <w:szCs w:val="22"/>
        </w:rPr>
        <w:t>))</w:t>
      </w:r>
      <w:r w:rsidRPr="00045D87">
        <w:rPr>
          <w:szCs w:val="22"/>
        </w:rPr>
        <w:t xml:space="preserve"> </w:t>
      </w:r>
      <w:r w:rsidR="00285310" w:rsidRPr="007E2E4F">
        <w:t>which may have reduce</w:t>
      </w:r>
      <w:r w:rsidR="00C1776D">
        <w:t>d</w:t>
      </w:r>
      <w:r w:rsidR="00285310" w:rsidRPr="007E2E4F">
        <w:t xml:space="preserve"> growth in some species (e.g. </w:t>
      </w:r>
      <w:r w:rsidR="00285310" w:rsidRPr="007E2E4F">
        <w:rPr>
          <w:i/>
        </w:rPr>
        <w:t xml:space="preserve">Z. </w:t>
      </w:r>
      <w:proofErr w:type="spellStart"/>
      <w:r w:rsidR="00285310" w:rsidRPr="007E2E4F">
        <w:rPr>
          <w:i/>
        </w:rPr>
        <w:t>muelleri</w:t>
      </w:r>
      <w:proofErr w:type="spellEnd"/>
      <w:r w:rsidR="00285310" w:rsidRPr="007E2E4F">
        <w:t>)</w:t>
      </w:r>
      <w:r w:rsidRPr="00045D87">
        <w:rPr>
          <w:szCs w:val="22"/>
        </w:rPr>
        <w:t xml:space="preserve">. However, below median annual </w:t>
      </w:r>
      <w:r w:rsidRPr="00045D87">
        <w:rPr>
          <w:szCs w:val="22"/>
          <w:lang w:val="en-GB"/>
        </w:rPr>
        <w:t xml:space="preserve">daytime </w:t>
      </w:r>
      <w:r w:rsidRPr="00045D87">
        <w:rPr>
          <w:szCs w:val="22"/>
        </w:rPr>
        <w:t xml:space="preserve">tidal exposure and </w:t>
      </w:r>
      <w:r w:rsidRPr="00045D87">
        <w:rPr>
          <w:rFonts w:cs="TimesNewRoman"/>
          <w:szCs w:val="22"/>
        </w:rPr>
        <w:t>l</w:t>
      </w:r>
      <w:r w:rsidR="00C1776D">
        <w:rPr>
          <w:rFonts w:cs="TimesNewRoman"/>
          <w:szCs w:val="22"/>
        </w:rPr>
        <w:t>ess</w:t>
      </w:r>
      <w:r w:rsidRPr="00045D87">
        <w:rPr>
          <w:rFonts w:cs="TimesNewRoman"/>
          <w:szCs w:val="22"/>
        </w:rPr>
        <w:t xml:space="preserve"> days of strong wind </w:t>
      </w:r>
      <w:r w:rsidRPr="00045D87">
        <w:rPr>
          <w:szCs w:val="22"/>
          <w:lang w:val="en-GB"/>
        </w:rPr>
        <w:t>would have limited heat and desiccation stress</w:t>
      </w:r>
      <w:r w:rsidRPr="00045D87">
        <w:rPr>
          <w:szCs w:val="22"/>
        </w:rPr>
        <w:t xml:space="preserve"> at estuarine and coastal habitats. </w:t>
      </w:r>
    </w:p>
    <w:p w:rsidR="006443C0" w:rsidRDefault="00BA4F78" w:rsidP="006443C0">
      <w:pPr>
        <w:rPr>
          <w:color w:val="000000"/>
          <w:szCs w:val="22"/>
          <w:lang w:eastAsia="en-AU"/>
        </w:rPr>
      </w:pPr>
      <w:r w:rsidRPr="00443D1C">
        <w:rPr>
          <w:szCs w:val="22"/>
        </w:rPr>
        <w:t xml:space="preserve">Seagrass abundance varied across sites and habitats, with an overall decrease at estuarine habitats and a slight increased at both coastal and reef habitats. </w:t>
      </w:r>
      <w:r w:rsidR="002D7219" w:rsidRPr="00443D1C">
        <w:rPr>
          <w:szCs w:val="22"/>
        </w:rPr>
        <w:t xml:space="preserve">The regional seagrass abundance score increased </w:t>
      </w:r>
      <w:r w:rsidR="0079015E" w:rsidRPr="00443D1C">
        <w:rPr>
          <w:szCs w:val="22"/>
        </w:rPr>
        <w:t xml:space="preserve">only </w:t>
      </w:r>
      <w:r w:rsidR="002D7219" w:rsidRPr="00443D1C">
        <w:rPr>
          <w:szCs w:val="22"/>
        </w:rPr>
        <w:t xml:space="preserve">slightly in 2014-15. </w:t>
      </w:r>
      <w:r w:rsidR="003A7ED7" w:rsidRPr="00443D1C">
        <w:rPr>
          <w:szCs w:val="22"/>
        </w:rPr>
        <w:t xml:space="preserve">Seagrass extent remained stable at both coastal and estuarine meadows, but </w:t>
      </w:r>
      <w:r w:rsidR="00C1776D" w:rsidRPr="00443D1C">
        <w:rPr>
          <w:szCs w:val="22"/>
        </w:rPr>
        <w:t xml:space="preserve">increased to the greatest in 4 years </w:t>
      </w:r>
      <w:r w:rsidR="003A7ED7" w:rsidRPr="00443D1C">
        <w:rPr>
          <w:szCs w:val="22"/>
        </w:rPr>
        <w:t xml:space="preserve">at the reef habitat. </w:t>
      </w:r>
      <w:r w:rsidR="00C1776D">
        <w:rPr>
          <w:szCs w:val="22"/>
        </w:rPr>
        <w:t>With the exception of reef habitats</w:t>
      </w:r>
      <w:r w:rsidR="002D7219" w:rsidRPr="00443D1C">
        <w:rPr>
          <w:szCs w:val="22"/>
        </w:rPr>
        <w:t>, the proportion of colonising species declined</w:t>
      </w:r>
      <w:r w:rsidR="002D7219" w:rsidRPr="00647DEC">
        <w:rPr>
          <w:szCs w:val="22"/>
        </w:rPr>
        <w:t xml:space="preserve"> across the meadows in </w:t>
      </w:r>
      <w:r w:rsidR="00C1776D" w:rsidRPr="00443D1C">
        <w:rPr>
          <w:szCs w:val="22"/>
        </w:rPr>
        <w:t>2014-15</w:t>
      </w:r>
      <w:r w:rsidR="002E32A7">
        <w:rPr>
          <w:szCs w:val="22"/>
        </w:rPr>
        <w:t xml:space="preserve"> </w:t>
      </w:r>
      <w:r w:rsidR="002D7219" w:rsidRPr="00647DEC">
        <w:rPr>
          <w:szCs w:val="22"/>
        </w:rPr>
        <w:t>in favour of opportunistic species</w:t>
      </w:r>
      <w:r w:rsidR="002D7219" w:rsidRPr="00647DEC">
        <w:rPr>
          <w:i/>
          <w:szCs w:val="22"/>
        </w:rPr>
        <w:t>.</w:t>
      </w:r>
      <w:r w:rsidR="002D7219">
        <w:rPr>
          <w:i/>
          <w:szCs w:val="22"/>
        </w:rPr>
        <w:t xml:space="preserve"> </w:t>
      </w:r>
      <w:r>
        <w:rPr>
          <w:szCs w:val="22"/>
          <w:lang w:eastAsia="en-AU"/>
        </w:rPr>
        <w:t>S</w:t>
      </w:r>
      <w:r w:rsidR="006443C0" w:rsidRPr="00647DEC">
        <w:rPr>
          <w:szCs w:val="22"/>
          <w:lang w:eastAsia="en-AU"/>
        </w:rPr>
        <w:t>eed banks persist</w:t>
      </w:r>
      <w:r w:rsidR="00C1776D">
        <w:rPr>
          <w:szCs w:val="22"/>
          <w:lang w:eastAsia="en-AU"/>
        </w:rPr>
        <w:t>ed</w:t>
      </w:r>
      <w:r w:rsidR="006443C0" w:rsidRPr="00647DEC">
        <w:rPr>
          <w:szCs w:val="22"/>
          <w:lang w:eastAsia="en-AU"/>
        </w:rPr>
        <w:t xml:space="preserve"> in estuary and coast habitats</w:t>
      </w:r>
      <w:r>
        <w:rPr>
          <w:szCs w:val="22"/>
          <w:lang w:eastAsia="en-AU"/>
        </w:rPr>
        <w:t>, indicating</w:t>
      </w:r>
      <w:r w:rsidR="006443C0" w:rsidRPr="00647DEC">
        <w:rPr>
          <w:szCs w:val="22"/>
          <w:lang w:eastAsia="en-AU"/>
        </w:rPr>
        <w:t xml:space="preserve"> a</w:t>
      </w:r>
      <w:r>
        <w:rPr>
          <w:szCs w:val="22"/>
          <w:lang w:eastAsia="en-AU"/>
        </w:rPr>
        <w:t xml:space="preserve"> </w:t>
      </w:r>
      <w:r w:rsidR="006443C0" w:rsidRPr="00647DEC">
        <w:rPr>
          <w:szCs w:val="22"/>
          <w:lang w:eastAsia="en-AU"/>
        </w:rPr>
        <w:t xml:space="preserve">capacity to recover following disturbance, although poor reproductive effort may be a precursor to seed bank limitation in the near future. </w:t>
      </w:r>
      <w:r w:rsidR="006443C0" w:rsidRPr="007E1DF9">
        <w:rPr>
          <w:color w:val="000000"/>
          <w:szCs w:val="22"/>
          <w:lang w:eastAsia="en-AU"/>
        </w:rPr>
        <w:t>Seed banks remain absent from reef habitats and limits the capacity of opportunistic species to expand, as well as the meadow capacity to recover following further disturbance.</w:t>
      </w:r>
    </w:p>
    <w:p w:rsidR="008470F8" w:rsidRDefault="00271910" w:rsidP="00034AD4">
      <w:pPr>
        <w:rPr>
          <w:rFonts w:cs="TimesNewRoman,Italic"/>
          <w:iCs/>
          <w:color w:val="000000"/>
          <w:szCs w:val="22"/>
        </w:rPr>
      </w:pPr>
      <w:r>
        <w:rPr>
          <w:rFonts w:cs="TimesNewRoman,Italic"/>
          <w:iCs/>
          <w:color w:val="000000"/>
          <w:szCs w:val="22"/>
        </w:rPr>
        <w:t>Seagrass</w:t>
      </w:r>
      <w:r w:rsidR="006443C0" w:rsidRPr="00BA4F78">
        <w:rPr>
          <w:rFonts w:cs="TimesNewRoman,Italic"/>
          <w:iCs/>
          <w:color w:val="000000"/>
          <w:szCs w:val="22"/>
        </w:rPr>
        <w:t xml:space="preserve"> </w:t>
      </w:r>
      <w:r w:rsidR="00BA4F78" w:rsidRPr="00BA4F78">
        <w:rPr>
          <w:rFonts w:cs="TimesNewRoman,Italic"/>
          <w:iCs/>
          <w:color w:val="000000"/>
          <w:szCs w:val="22"/>
        </w:rPr>
        <w:t xml:space="preserve">leaf tissue nutrient concentrations </w:t>
      </w:r>
      <w:r>
        <w:rPr>
          <w:rFonts w:cs="TimesNewRoman,Italic"/>
          <w:iCs/>
          <w:color w:val="000000"/>
          <w:szCs w:val="22"/>
        </w:rPr>
        <w:t xml:space="preserve">and </w:t>
      </w:r>
      <w:r w:rsidRPr="00BA4F78">
        <w:rPr>
          <w:rFonts w:cs="TimesNewRoman,Italic"/>
          <w:iCs/>
          <w:color w:val="000000"/>
          <w:szCs w:val="22"/>
        </w:rPr>
        <w:t xml:space="preserve">isotopic signatures </w:t>
      </w:r>
      <w:r>
        <w:rPr>
          <w:rFonts w:cs="TimesNewRoman,Italic"/>
          <w:iCs/>
          <w:color w:val="000000"/>
          <w:szCs w:val="22"/>
        </w:rPr>
        <w:t>across</w:t>
      </w:r>
      <w:r w:rsidRPr="00BA4F78">
        <w:rPr>
          <w:rFonts w:cs="TimesNewRoman,Italic"/>
          <w:iCs/>
          <w:color w:val="000000"/>
          <w:szCs w:val="22"/>
        </w:rPr>
        <w:t xml:space="preserve"> all habitats </w:t>
      </w:r>
      <w:r w:rsidR="006443C0" w:rsidRPr="00BA4F78">
        <w:rPr>
          <w:rFonts w:cs="TimesNewRoman,Italic"/>
          <w:iCs/>
          <w:color w:val="000000"/>
          <w:szCs w:val="22"/>
        </w:rPr>
        <w:t>indicat</w:t>
      </w:r>
      <w:r w:rsidR="00BA4F78" w:rsidRPr="00BA4F78">
        <w:rPr>
          <w:rFonts w:cs="TimesNewRoman,Italic"/>
          <w:iCs/>
          <w:color w:val="000000"/>
          <w:szCs w:val="22"/>
        </w:rPr>
        <w:t>ed</w:t>
      </w:r>
      <w:r w:rsidR="006443C0" w:rsidRPr="00BA4F78">
        <w:rPr>
          <w:rFonts w:cs="TimesNewRoman,Italic"/>
          <w:iCs/>
          <w:color w:val="000000"/>
          <w:szCs w:val="22"/>
        </w:rPr>
        <w:t xml:space="preserve"> a surplus in the uptake of N relative to the uptake and incorporation of carbon</w:t>
      </w:r>
      <w:r>
        <w:rPr>
          <w:rFonts w:cs="TimesNewRoman,Italic"/>
          <w:iCs/>
          <w:color w:val="000000"/>
          <w:szCs w:val="22"/>
        </w:rPr>
        <w:t>;</w:t>
      </w:r>
      <w:r w:rsidR="00BA4F78" w:rsidRPr="00BA4F78">
        <w:rPr>
          <w:rFonts w:cs="TimesNewRoman,Italic"/>
          <w:iCs/>
          <w:color w:val="000000"/>
          <w:szCs w:val="22"/>
        </w:rPr>
        <w:t xml:space="preserve"> </w:t>
      </w:r>
      <w:r>
        <w:rPr>
          <w:rFonts w:cs="TimesNewRoman,Italic"/>
          <w:iCs/>
          <w:color w:val="000000"/>
          <w:szCs w:val="22"/>
        </w:rPr>
        <w:t>suggesting</w:t>
      </w:r>
      <w:r w:rsidR="006443C0" w:rsidRPr="00BA4F78">
        <w:rPr>
          <w:rFonts w:cs="TimesNewRoman,Italic"/>
          <w:iCs/>
          <w:color w:val="000000"/>
          <w:szCs w:val="22"/>
        </w:rPr>
        <w:t xml:space="preserve"> either reduced light availability or elevated N. </w:t>
      </w:r>
      <w:r>
        <w:rPr>
          <w:rFonts w:cs="TimesNewRoman,Italic"/>
          <w:iCs/>
          <w:color w:val="000000"/>
          <w:szCs w:val="22"/>
        </w:rPr>
        <w:t>D</w:t>
      </w:r>
      <w:r w:rsidR="006443C0" w:rsidRPr="00BA4F78">
        <w:rPr>
          <w:rFonts w:cs="TimesNewRoman,Italic"/>
          <w:iCs/>
          <w:color w:val="000000"/>
          <w:szCs w:val="22"/>
        </w:rPr>
        <w:t xml:space="preserve">eclining light levels at </w:t>
      </w:r>
      <w:r w:rsidR="00BA4F78" w:rsidRPr="00BA4F78">
        <w:rPr>
          <w:rFonts w:cs="TimesNewRoman,Italic"/>
          <w:iCs/>
          <w:color w:val="000000"/>
          <w:szCs w:val="22"/>
        </w:rPr>
        <w:t>reef habitats</w:t>
      </w:r>
      <w:r w:rsidR="006443C0" w:rsidRPr="00BA4F78">
        <w:rPr>
          <w:rFonts w:cs="TimesNewRoman,Italic"/>
          <w:iCs/>
          <w:color w:val="000000"/>
          <w:szCs w:val="22"/>
        </w:rPr>
        <w:t xml:space="preserve"> </w:t>
      </w:r>
      <w:r>
        <w:rPr>
          <w:rFonts w:cs="TimesNewRoman,Italic"/>
          <w:iCs/>
          <w:color w:val="000000"/>
          <w:szCs w:val="22"/>
        </w:rPr>
        <w:t>were</w:t>
      </w:r>
      <w:r w:rsidR="006443C0" w:rsidRPr="00BA4F78">
        <w:rPr>
          <w:rFonts w:cs="TimesNewRoman,Italic"/>
          <w:iCs/>
          <w:color w:val="000000"/>
          <w:szCs w:val="22"/>
        </w:rPr>
        <w:t xml:space="preserve"> likely to have affected carbon uptake</w:t>
      </w:r>
      <w:r>
        <w:rPr>
          <w:rFonts w:cs="TimesNewRoman,Italic"/>
          <w:iCs/>
          <w:color w:val="000000"/>
          <w:szCs w:val="22"/>
        </w:rPr>
        <w:t>, while i</w:t>
      </w:r>
      <w:r w:rsidRPr="00BA4F78">
        <w:rPr>
          <w:rFonts w:cs="TimesNewRoman,Italic"/>
          <w:iCs/>
          <w:color w:val="000000"/>
          <w:szCs w:val="22"/>
        </w:rPr>
        <w:t>ncreasing N:P at coast and reef sites indicate</w:t>
      </w:r>
      <w:r>
        <w:rPr>
          <w:rFonts w:cs="TimesNewRoman,Italic"/>
          <w:iCs/>
          <w:color w:val="000000"/>
          <w:szCs w:val="22"/>
        </w:rPr>
        <w:t xml:space="preserve">d </w:t>
      </w:r>
      <w:r w:rsidR="007B4164">
        <w:rPr>
          <w:rFonts w:cs="TimesNewRoman,Italic"/>
          <w:iCs/>
          <w:color w:val="000000"/>
          <w:szCs w:val="22"/>
        </w:rPr>
        <w:t>nitrogen</w:t>
      </w:r>
      <w:r>
        <w:rPr>
          <w:rFonts w:cs="TimesNewRoman,Italic"/>
          <w:iCs/>
          <w:color w:val="000000"/>
          <w:szCs w:val="22"/>
        </w:rPr>
        <w:t xml:space="preserve"> enrichment. </w:t>
      </w:r>
      <w:r w:rsidR="006443C0" w:rsidRPr="00BA4F78">
        <w:rPr>
          <w:rFonts w:cs="TimesNewRoman,Italic"/>
          <w:iCs/>
          <w:color w:val="000000"/>
          <w:szCs w:val="22"/>
        </w:rPr>
        <w:t xml:space="preserve">Leaf tissue </w:t>
      </w:r>
      <w:r w:rsidR="00BA4F78" w:rsidRPr="00BA4F78">
        <w:rPr>
          <w:rFonts w:cs="TimesNewRoman,Italic"/>
          <w:iCs/>
          <w:color w:val="000000"/>
          <w:szCs w:val="22"/>
        </w:rPr>
        <w:t>δ</w:t>
      </w:r>
      <w:r w:rsidR="006443C0" w:rsidRPr="00BA4F78">
        <w:rPr>
          <w:rFonts w:cs="TimesNewRoman,Italic"/>
          <w:iCs/>
          <w:color w:val="000000"/>
          <w:szCs w:val="22"/>
          <w:vertAlign w:val="superscript"/>
        </w:rPr>
        <w:t>15</w:t>
      </w:r>
      <w:r w:rsidR="006443C0" w:rsidRPr="00BA4F78">
        <w:rPr>
          <w:rFonts w:cs="TimesNewRoman,Italic"/>
          <w:iCs/>
          <w:color w:val="000000"/>
          <w:szCs w:val="22"/>
        </w:rPr>
        <w:t xml:space="preserve">N values </w:t>
      </w:r>
      <w:r>
        <w:rPr>
          <w:rFonts w:cs="TimesNewRoman,Italic"/>
          <w:iCs/>
          <w:color w:val="000000"/>
          <w:szCs w:val="22"/>
        </w:rPr>
        <w:t xml:space="preserve">at </w:t>
      </w:r>
      <w:r w:rsidR="006443C0" w:rsidRPr="00BA4F78">
        <w:rPr>
          <w:rFonts w:cs="TimesNewRoman,Italic"/>
          <w:iCs/>
          <w:color w:val="000000"/>
          <w:szCs w:val="22"/>
        </w:rPr>
        <w:t>coastal and estuarine habitats suggests either fertiliser and/or sewage influence in the primary source of N</w:t>
      </w:r>
      <w:r>
        <w:rPr>
          <w:rFonts w:cs="TimesNewRoman,Italic"/>
          <w:iCs/>
          <w:color w:val="000000"/>
          <w:szCs w:val="22"/>
        </w:rPr>
        <w:t xml:space="preserve">: possibly </w:t>
      </w:r>
      <w:r w:rsidR="00BA4F78" w:rsidRPr="00BA4F78">
        <w:rPr>
          <w:rFonts w:cs="TimesNewRoman,Italic"/>
          <w:iCs/>
          <w:color w:val="000000"/>
          <w:szCs w:val="22"/>
        </w:rPr>
        <w:t>explain</w:t>
      </w:r>
      <w:r>
        <w:rPr>
          <w:rFonts w:cs="TimesNewRoman,Italic"/>
          <w:iCs/>
          <w:color w:val="000000"/>
          <w:szCs w:val="22"/>
        </w:rPr>
        <w:t>ing</w:t>
      </w:r>
      <w:r w:rsidR="00BA4F78" w:rsidRPr="00BA4F78">
        <w:rPr>
          <w:rFonts w:cs="TimesNewRoman,Italic"/>
          <w:iCs/>
          <w:color w:val="000000"/>
          <w:szCs w:val="22"/>
        </w:rPr>
        <w:t xml:space="preserve"> the slight increase in epiphyte loads </w:t>
      </w:r>
      <w:r w:rsidR="00BA4F78" w:rsidRPr="00BA4F78">
        <w:rPr>
          <w:szCs w:val="22"/>
          <w:lang w:val="en-US"/>
        </w:rPr>
        <w:t>in estuary habitats.</w:t>
      </w:r>
    </w:p>
    <w:p w:rsidR="00583F77" w:rsidRPr="00BA4F78" w:rsidRDefault="00BA4F78" w:rsidP="00583F77">
      <w:pPr>
        <w:rPr>
          <w:szCs w:val="22"/>
        </w:rPr>
      </w:pPr>
      <w:r w:rsidRPr="00BA4F78">
        <w:rPr>
          <w:rFonts w:cs="TimesNewRoman"/>
          <w:szCs w:val="22"/>
        </w:rPr>
        <w:t>S</w:t>
      </w:r>
      <w:r w:rsidR="00337E89" w:rsidRPr="00BA4F78">
        <w:rPr>
          <w:rFonts w:cs="TimesNewRoman"/>
          <w:szCs w:val="22"/>
        </w:rPr>
        <w:t xml:space="preserve">eagrass across the region </w:t>
      </w:r>
      <w:r w:rsidRPr="00BA4F78">
        <w:rPr>
          <w:rFonts w:cs="TimesNewRoman"/>
          <w:szCs w:val="22"/>
        </w:rPr>
        <w:t>remain</w:t>
      </w:r>
      <w:r w:rsidR="00337E89" w:rsidRPr="00BA4F78">
        <w:rPr>
          <w:rFonts w:cs="TimesNewRoman"/>
          <w:szCs w:val="22"/>
        </w:rPr>
        <w:t xml:space="preserve"> in the early stages of recovering from </w:t>
      </w:r>
      <w:r w:rsidR="00337E89" w:rsidRPr="00BA4F78">
        <w:rPr>
          <w:rFonts w:cs="Calibri"/>
          <w:szCs w:val="22"/>
          <w:lang w:eastAsia="en-AU"/>
        </w:rPr>
        <w:t xml:space="preserve">multiple years of climate related impacts which has likely left a legacy of reduced resilience to impacts until they have further recovered. </w:t>
      </w:r>
      <w:r w:rsidR="005C15E5" w:rsidRPr="00BA4F78">
        <w:rPr>
          <w:rFonts w:cs="TimesNewRoman"/>
          <w:szCs w:val="22"/>
        </w:rPr>
        <w:t xml:space="preserve">Overall, </w:t>
      </w:r>
      <w:r w:rsidR="00B43114" w:rsidRPr="00BA4F78">
        <w:rPr>
          <w:szCs w:val="22"/>
        </w:rPr>
        <w:t xml:space="preserve">the </w:t>
      </w:r>
      <w:r w:rsidR="005C15E5" w:rsidRPr="00BA4F78">
        <w:rPr>
          <w:szCs w:val="22"/>
        </w:rPr>
        <w:t xml:space="preserve">Fitzroy </w:t>
      </w:r>
      <w:r w:rsidR="00B43114" w:rsidRPr="00BA4F78">
        <w:rPr>
          <w:szCs w:val="22"/>
        </w:rPr>
        <w:t xml:space="preserve">regional seagrass state </w:t>
      </w:r>
      <w:r w:rsidR="00337E89" w:rsidRPr="00BA4F78">
        <w:rPr>
          <w:szCs w:val="22"/>
        </w:rPr>
        <w:t xml:space="preserve">declined </w:t>
      </w:r>
      <w:r w:rsidR="00C60158">
        <w:rPr>
          <w:szCs w:val="22"/>
        </w:rPr>
        <w:t xml:space="preserve">slightly </w:t>
      </w:r>
      <w:r w:rsidR="00337E89" w:rsidRPr="00BA4F78">
        <w:rPr>
          <w:szCs w:val="22"/>
        </w:rPr>
        <w:t>in 201</w:t>
      </w:r>
      <w:r w:rsidRPr="00BA4F78">
        <w:rPr>
          <w:szCs w:val="22"/>
        </w:rPr>
        <w:t>4</w:t>
      </w:r>
      <w:r w:rsidR="00337E89" w:rsidRPr="00BA4F78">
        <w:rPr>
          <w:szCs w:val="22"/>
        </w:rPr>
        <w:t>-1</w:t>
      </w:r>
      <w:r w:rsidRPr="00BA4F78">
        <w:rPr>
          <w:szCs w:val="22"/>
        </w:rPr>
        <w:t>5</w:t>
      </w:r>
      <w:r w:rsidR="001E70A1">
        <w:rPr>
          <w:szCs w:val="22"/>
        </w:rPr>
        <w:t xml:space="preserve"> to</w:t>
      </w:r>
      <w:r w:rsidR="00B43114" w:rsidRPr="00BA4F78">
        <w:rPr>
          <w:szCs w:val="22"/>
        </w:rPr>
        <w:t xml:space="preserve"> </w:t>
      </w:r>
      <w:r w:rsidR="001E70A1" w:rsidRPr="001E70A1">
        <w:rPr>
          <w:b/>
          <w:szCs w:val="22"/>
        </w:rPr>
        <w:t>very</w:t>
      </w:r>
      <w:r w:rsidR="001E70A1">
        <w:rPr>
          <w:szCs w:val="22"/>
        </w:rPr>
        <w:t xml:space="preserve"> </w:t>
      </w:r>
      <w:r w:rsidR="00B43114" w:rsidRPr="00BA4F78">
        <w:rPr>
          <w:b/>
          <w:szCs w:val="22"/>
        </w:rPr>
        <w:t>poor</w:t>
      </w:r>
      <w:r w:rsidR="00D844A1" w:rsidRPr="00D844A1">
        <w:rPr>
          <w:szCs w:val="22"/>
        </w:rPr>
        <w:t xml:space="preserve"> </w:t>
      </w:r>
      <w:r w:rsidR="00D844A1" w:rsidRPr="00BA4F78">
        <w:rPr>
          <w:szCs w:val="22"/>
        </w:rPr>
        <w:t>(</w:t>
      </w:r>
      <w:r w:rsidR="00F7114B">
        <w:rPr>
          <w:szCs w:val="22"/>
        </w:rPr>
        <w:fldChar w:fldCharType="begin"/>
      </w:r>
      <w:r w:rsidR="00F7114B">
        <w:rPr>
          <w:szCs w:val="22"/>
        </w:rPr>
        <w:instrText xml:space="preserve"> REF _Ref442349493 \h </w:instrText>
      </w:r>
      <w:r w:rsidR="00F7114B">
        <w:rPr>
          <w:szCs w:val="22"/>
        </w:rPr>
      </w:r>
      <w:r w:rsidR="00F7114B">
        <w:rPr>
          <w:szCs w:val="22"/>
        </w:rPr>
        <w:fldChar w:fldCharType="separate"/>
      </w:r>
      <w:r w:rsidR="009C068F" w:rsidRPr="005C796F">
        <w:rPr>
          <w:color w:val="000000"/>
        </w:rPr>
        <w:t xml:space="preserve">Figure </w:t>
      </w:r>
      <w:r w:rsidR="009C068F">
        <w:rPr>
          <w:noProof/>
          <w:color w:val="000000"/>
        </w:rPr>
        <w:t>81</w:t>
      </w:r>
      <w:r w:rsidR="00F7114B">
        <w:rPr>
          <w:szCs w:val="22"/>
        </w:rPr>
        <w:fldChar w:fldCharType="end"/>
      </w:r>
      <w:r w:rsidR="00D844A1" w:rsidRPr="00BA4F78">
        <w:rPr>
          <w:szCs w:val="22"/>
        </w:rPr>
        <w:t>)</w:t>
      </w:r>
      <w:r w:rsidR="00D844A1" w:rsidRPr="00D844A1">
        <w:rPr>
          <w:szCs w:val="22"/>
        </w:rPr>
        <w:t>, the lowest since monitoring commenced</w:t>
      </w:r>
      <w:r w:rsidR="00353AF2" w:rsidRPr="00BA4F78">
        <w:rPr>
          <w:szCs w:val="22"/>
        </w:rPr>
        <w:t xml:space="preserve">. </w:t>
      </w:r>
    </w:p>
    <w:p w:rsidR="00F7114B" w:rsidRDefault="00F7114B" w:rsidP="00F7114B">
      <w:pPr>
        <w:keepNext/>
        <w:widowControl w:val="0"/>
        <w:spacing w:after="0"/>
        <w:jc w:val="center"/>
        <w:rPr>
          <w:color w:val="000000"/>
          <w:szCs w:val="22"/>
        </w:rPr>
      </w:pPr>
      <w:r>
        <w:rPr>
          <w:noProof/>
          <w:color w:val="000000"/>
          <w:szCs w:val="22"/>
          <w:lang w:eastAsia="en-AU"/>
        </w:rPr>
        <w:lastRenderedPageBreak/>
        <w:drawing>
          <wp:inline distT="0" distB="0" distL="0" distR="0" wp14:anchorId="3AA1857A" wp14:editId="618A69F1">
            <wp:extent cx="5040000" cy="2721600"/>
            <wp:effectExtent l="0" t="0" r="8255" b="3175"/>
            <wp:docPr id="142" name="Picture 142" descr="Panel of four scatter plots with straight lines and markers showing report card of seagrass condition (indicators and index) for the Fitzro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NDEX_F_2015.pn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5040000" cy="2721600"/>
                    </a:xfrm>
                    <a:prstGeom prst="rect">
                      <a:avLst/>
                    </a:prstGeom>
                  </pic:spPr>
                </pic:pic>
              </a:graphicData>
            </a:graphic>
          </wp:inline>
        </w:drawing>
      </w:r>
    </w:p>
    <w:p w:rsidR="00F7114B" w:rsidRPr="005C796F" w:rsidRDefault="00F7114B" w:rsidP="00F7114B">
      <w:pPr>
        <w:rPr>
          <w:i/>
          <w:vanish/>
          <w:color w:val="000000"/>
          <w:specVanish/>
        </w:rPr>
      </w:pPr>
      <w:bookmarkStart w:id="474" w:name="_Ref442349493"/>
      <w:bookmarkStart w:id="475" w:name="_Toc431493886"/>
      <w:bookmarkStart w:id="476" w:name="_Toc462684921"/>
      <w:r w:rsidRPr="005C796F">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81</w:t>
      </w:r>
      <w:r>
        <w:rPr>
          <w:color w:val="000000"/>
        </w:rPr>
        <w:fldChar w:fldCharType="end"/>
      </w:r>
      <w:bookmarkEnd w:id="474"/>
      <w:r w:rsidRPr="005C796F">
        <w:rPr>
          <w:color w:val="000000"/>
        </w:rPr>
        <w:t xml:space="preserve">. </w:t>
      </w:r>
      <w:r w:rsidRPr="005C796F">
        <w:rPr>
          <w:i/>
          <w:color w:val="000000"/>
        </w:rPr>
        <w:t>Report card of seagrass status indicators and index for the Fitzroy NRM region</w:t>
      </w:r>
      <w:bookmarkEnd w:id="475"/>
      <w:bookmarkEnd w:id="476"/>
    </w:p>
    <w:p w:rsidR="00F7114B" w:rsidRPr="005C796F" w:rsidRDefault="00F7114B" w:rsidP="00F7114B">
      <w:pPr>
        <w:rPr>
          <w:i/>
          <w:color w:val="000000"/>
          <w:szCs w:val="22"/>
        </w:rPr>
      </w:pPr>
      <w:r w:rsidRPr="005C796F">
        <w:rPr>
          <w:i/>
          <w:color w:val="000000"/>
          <w:szCs w:val="22"/>
        </w:rPr>
        <w:t xml:space="preserve"> (averages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w:t>
      </w:r>
      <w:proofErr w:type="spellStart"/>
      <w:r>
        <w:rPr>
          <w:i/>
          <w:szCs w:val="22"/>
        </w:rPr>
        <w:t>unitless</w:t>
      </w:r>
      <w:proofErr w:type="spellEnd"/>
      <w:r w:rsidRPr="00E237C6">
        <w:rPr>
          <w:i/>
          <w:szCs w:val="22"/>
        </w:rPr>
        <w:t>.</w:t>
      </w:r>
    </w:p>
    <w:p w:rsidR="00994153" w:rsidRDefault="00994153">
      <w:pPr>
        <w:spacing w:before="0" w:after="0"/>
        <w:rPr>
          <w:color w:val="000000"/>
          <w:szCs w:val="22"/>
        </w:rPr>
      </w:pPr>
    </w:p>
    <w:p w:rsidR="00994153" w:rsidRPr="000C1040" w:rsidRDefault="00994153" w:rsidP="00926892">
      <w:pPr>
        <w:pStyle w:val="Heading3"/>
        <w:numPr>
          <w:ilvl w:val="2"/>
          <w:numId w:val="9"/>
        </w:numPr>
        <w:rPr>
          <w:rFonts w:ascii="Arial" w:hAnsi="Arial" w:cs="Arial"/>
          <w:color w:val="000000"/>
        </w:rPr>
      </w:pPr>
      <w:bookmarkStart w:id="477" w:name="_Toc462047362"/>
      <w:r w:rsidRPr="000C1040">
        <w:rPr>
          <w:rFonts w:ascii="Arial" w:hAnsi="Arial" w:cs="Arial"/>
          <w:color w:val="000000"/>
        </w:rPr>
        <w:t>Climate and environmental pressures</w:t>
      </w:r>
      <w:bookmarkEnd w:id="477"/>
    </w:p>
    <w:p w:rsidR="00583F77" w:rsidRDefault="00583F77" w:rsidP="00583F77">
      <w:pPr>
        <w:rPr>
          <w:color w:val="000000"/>
          <w:szCs w:val="22"/>
        </w:rPr>
      </w:pPr>
      <w:bookmarkStart w:id="478" w:name="_Toc431493781"/>
      <w:r>
        <w:t xml:space="preserve">In the Fitzroy </w:t>
      </w:r>
      <w:r w:rsidR="00FB58CF">
        <w:t>region</w:t>
      </w:r>
      <w:r w:rsidR="002868E0">
        <w:t>,</w:t>
      </w:r>
      <w:r>
        <w:t xml:space="preserve"> rainfall and river flow were similar to the long-term average</w:t>
      </w:r>
      <w:r w:rsidR="002868E0">
        <w:t xml:space="preserve"> (</w:t>
      </w:r>
      <w:r w:rsidR="002868E0">
        <w:fldChar w:fldCharType="begin"/>
      </w:r>
      <w:r w:rsidR="002868E0">
        <w:instrText xml:space="preserve"> REF _Ref442348145 \h </w:instrText>
      </w:r>
      <w:r w:rsidR="002868E0">
        <w:fldChar w:fldCharType="separate"/>
      </w:r>
      <w:r w:rsidR="009C068F">
        <w:t xml:space="preserve">Table </w:t>
      </w:r>
      <w:r w:rsidR="009C068F">
        <w:rPr>
          <w:noProof/>
        </w:rPr>
        <w:t>24</w:t>
      </w:r>
      <w:r w:rsidR="002868E0">
        <w:fldChar w:fldCharType="end"/>
      </w:r>
      <w:r w:rsidR="002868E0">
        <w:t>)</w:t>
      </w:r>
      <w:r>
        <w:t>, making it considerably wetter than other NRMs in the GBR in 201</w:t>
      </w:r>
      <w:r w:rsidR="002868E0">
        <w:t>4-15</w:t>
      </w:r>
      <w:r>
        <w:t>. This was due primarily to TC Marcia (a category 5 storm) in February 2015 that passed quickly but caused considerable damage from wind and tidal surge as well as elevated rainfall and river flow. Water quality effects, however, were not limited to this event, as seagrass sites in the Fitzroy region were exposed to primary or secondary water during 100% (</w:t>
      </w:r>
      <w:r w:rsidRPr="002868E0">
        <w:rPr>
          <w:i/>
        </w:rPr>
        <w:t>f</w:t>
      </w:r>
      <w:r w:rsidRPr="002868E0">
        <w:rPr>
          <w:vertAlign w:val="subscript"/>
        </w:rPr>
        <w:t>(P+S)</w:t>
      </w:r>
      <w:r>
        <w:t>=1.00) of the wet seas</w:t>
      </w:r>
      <w:r w:rsidR="00C8437B">
        <w:t>on (December 2014 – April 2015</w:t>
      </w:r>
      <w:r>
        <w:t>)</w:t>
      </w:r>
      <w:r w:rsidR="002868E0">
        <w:t xml:space="preserve"> (</w:t>
      </w:r>
      <w:r w:rsidR="002868E0">
        <w:fldChar w:fldCharType="begin"/>
      </w:r>
      <w:r w:rsidR="002868E0">
        <w:instrText xml:space="preserve"> REF _Ref442348188 \h </w:instrText>
      </w:r>
      <w:r w:rsidR="002868E0">
        <w:fldChar w:fldCharType="separate"/>
      </w:r>
      <w:r w:rsidR="009C068F">
        <w:t xml:space="preserve">Figure </w:t>
      </w:r>
      <w:r w:rsidR="009C068F">
        <w:rPr>
          <w:noProof/>
        </w:rPr>
        <w:t>82</w:t>
      </w:r>
      <w:r w:rsidR="002868E0">
        <w:fldChar w:fldCharType="end"/>
      </w:r>
      <w:r w:rsidR="002868E0">
        <w:t>)</w:t>
      </w:r>
      <w:r>
        <w:t>. Coastal and estuarine sites were exposed mostly to primary water including colour class 1 and 2, which is the most turbid primary water, and Great Keppel Island (reef habitat) was exposed to secondary water (</w:t>
      </w:r>
      <w:r>
        <w:rPr>
          <w:highlight w:val="yellow"/>
        </w:rPr>
        <w:fldChar w:fldCharType="begin"/>
      </w:r>
      <w:r>
        <w:instrText xml:space="preserve"> REF _Ref314326607 \h </w:instrText>
      </w:r>
      <w:r>
        <w:rPr>
          <w:highlight w:val="yellow"/>
        </w:rPr>
      </w:r>
      <w:r>
        <w:rPr>
          <w:highlight w:val="yellow"/>
        </w:rPr>
        <w:fldChar w:fldCharType="separate"/>
      </w:r>
      <w:r w:rsidR="009C068F">
        <w:t xml:space="preserve">Table </w:t>
      </w:r>
      <w:r w:rsidR="009C068F">
        <w:rPr>
          <w:noProof/>
        </w:rPr>
        <w:t>25</w:t>
      </w:r>
      <w:r>
        <w:rPr>
          <w:highlight w:val="yellow"/>
        </w:rPr>
        <w:fldChar w:fldCharType="end"/>
      </w:r>
      <w:r>
        <w:t xml:space="preserve">). </w:t>
      </w:r>
    </w:p>
    <w:p w:rsidR="00583F77" w:rsidRPr="00994153" w:rsidRDefault="00994153" w:rsidP="00F520E9">
      <w:pPr>
        <w:jc w:val="center"/>
        <w:rPr>
          <w:i/>
        </w:rPr>
      </w:pPr>
      <w:bookmarkStart w:id="479" w:name="_Ref442348145"/>
      <w:bookmarkStart w:id="480" w:name="_Toc462685093"/>
      <w:r>
        <w:t xml:space="preserve">Table </w:t>
      </w:r>
      <w:fldSimple w:instr=" SEQ Table \* ARABIC ">
        <w:r w:rsidR="009C068F">
          <w:rPr>
            <w:noProof/>
          </w:rPr>
          <w:t>24</w:t>
        </w:r>
      </w:fldSimple>
      <w:bookmarkEnd w:id="479"/>
      <w:r>
        <w:t xml:space="preserve">.  </w:t>
      </w:r>
      <w:r w:rsidR="00583F77" w:rsidRPr="00994153">
        <w:rPr>
          <w:i/>
        </w:rPr>
        <w:t xml:space="preserve">Summary of environmental conditions at monitoring sites in the Fitzroy </w:t>
      </w:r>
      <w:r>
        <w:rPr>
          <w:i/>
        </w:rPr>
        <w:t>region</w:t>
      </w:r>
      <w:r w:rsidR="00583F77" w:rsidRPr="00994153">
        <w:rPr>
          <w:i/>
        </w:rPr>
        <w:t xml:space="preserve"> in 2014-15 compared to the long-term average (long-term range indicated for each data set).</w:t>
      </w:r>
      <w:bookmarkEnd w:id="480"/>
    </w:p>
    <w:tbl>
      <w:tblPr>
        <w:tblW w:w="0" w:type="auto"/>
        <w:jc w:val="center"/>
        <w:tblBorders>
          <w:bottom w:val="single" w:sz="4" w:space="0" w:color="auto"/>
        </w:tblBorders>
        <w:tblLook w:val="04A0" w:firstRow="1" w:lastRow="0" w:firstColumn="1" w:lastColumn="0" w:noHBand="0" w:noVBand="1"/>
      </w:tblPr>
      <w:tblGrid>
        <w:gridCol w:w="3652"/>
        <w:gridCol w:w="2268"/>
        <w:gridCol w:w="1559"/>
      </w:tblGrid>
      <w:tr w:rsidR="00583F77" w:rsidRPr="00994153" w:rsidTr="00994153">
        <w:trPr>
          <w:trHeight w:val="227"/>
          <w:jc w:val="center"/>
        </w:trPr>
        <w:tc>
          <w:tcPr>
            <w:tcW w:w="3652" w:type="dxa"/>
            <w:tcBorders>
              <w:top w:val="single" w:sz="4" w:space="0" w:color="auto"/>
              <w:bottom w:val="single" w:sz="4" w:space="0" w:color="auto"/>
            </w:tcBorders>
            <w:shd w:val="clear" w:color="auto" w:fill="BBE0E3"/>
          </w:tcPr>
          <w:p w:rsidR="00583F77" w:rsidRPr="00994153" w:rsidRDefault="00583F77"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rsidR="00583F77" w:rsidRPr="00994153" w:rsidRDefault="00583F77" w:rsidP="0059610E">
            <w:pPr>
              <w:spacing w:before="0" w:after="0"/>
              <w:rPr>
                <w:b/>
                <w:sz w:val="18"/>
                <w:szCs w:val="18"/>
              </w:rPr>
            </w:pPr>
            <w:r w:rsidRPr="00994153">
              <w:rPr>
                <w:b/>
                <w:sz w:val="18"/>
                <w:szCs w:val="18"/>
              </w:rPr>
              <w:t>Long-term average</w:t>
            </w:r>
          </w:p>
        </w:tc>
        <w:tc>
          <w:tcPr>
            <w:tcW w:w="1559" w:type="dxa"/>
            <w:tcBorders>
              <w:top w:val="single" w:sz="4" w:space="0" w:color="auto"/>
              <w:bottom w:val="single" w:sz="4" w:space="0" w:color="auto"/>
            </w:tcBorders>
            <w:shd w:val="clear" w:color="auto" w:fill="BBE0E3"/>
          </w:tcPr>
          <w:p w:rsidR="00583F77" w:rsidRPr="00994153" w:rsidRDefault="00583F77" w:rsidP="0059610E">
            <w:pPr>
              <w:spacing w:before="0" w:after="0"/>
              <w:rPr>
                <w:b/>
                <w:sz w:val="18"/>
                <w:szCs w:val="18"/>
              </w:rPr>
            </w:pPr>
            <w:r w:rsidRPr="00994153">
              <w:rPr>
                <w:b/>
                <w:sz w:val="18"/>
                <w:szCs w:val="18"/>
              </w:rPr>
              <w:t>2014-15</w:t>
            </w:r>
          </w:p>
        </w:tc>
      </w:tr>
      <w:tr w:rsidR="00583F77" w:rsidTr="00994153">
        <w:trPr>
          <w:trHeight w:val="227"/>
          <w:jc w:val="center"/>
        </w:trPr>
        <w:tc>
          <w:tcPr>
            <w:tcW w:w="3652" w:type="dxa"/>
            <w:shd w:val="clear" w:color="auto" w:fill="E7F3F4"/>
          </w:tcPr>
          <w:p w:rsidR="00583F77" w:rsidRPr="008D1B84" w:rsidRDefault="00583F77" w:rsidP="0059610E">
            <w:pPr>
              <w:spacing w:before="0" w:after="0"/>
              <w:rPr>
                <w:sz w:val="18"/>
                <w:szCs w:val="18"/>
              </w:rPr>
            </w:pPr>
            <w:r w:rsidRPr="008D1B84">
              <w:rPr>
                <w:sz w:val="18"/>
                <w:szCs w:val="18"/>
              </w:rPr>
              <w:t>Rainfall</w:t>
            </w:r>
            <w:r>
              <w:rPr>
                <w:sz w:val="18"/>
                <w:szCs w:val="18"/>
              </w:rPr>
              <w:t xml:space="preserve"> (1957-2015)</w:t>
            </w:r>
          </w:p>
        </w:tc>
        <w:tc>
          <w:tcPr>
            <w:tcW w:w="2268" w:type="dxa"/>
            <w:shd w:val="clear" w:color="auto" w:fill="E7F3F4"/>
          </w:tcPr>
          <w:p w:rsidR="00583F77" w:rsidRPr="008D1B84" w:rsidRDefault="00583F77" w:rsidP="0059610E">
            <w:pPr>
              <w:spacing w:before="0" w:after="0"/>
              <w:rPr>
                <w:sz w:val="18"/>
                <w:szCs w:val="18"/>
              </w:rPr>
            </w:pPr>
            <w:r>
              <w:rPr>
                <w:sz w:val="18"/>
                <w:szCs w:val="18"/>
              </w:rPr>
              <w:t>942 mm</w:t>
            </w:r>
          </w:p>
        </w:tc>
        <w:tc>
          <w:tcPr>
            <w:tcW w:w="1559" w:type="dxa"/>
            <w:shd w:val="clear" w:color="auto" w:fill="E7F3F4"/>
          </w:tcPr>
          <w:p w:rsidR="00583F77" w:rsidRPr="008D1B84" w:rsidRDefault="00583F77" w:rsidP="0059610E">
            <w:pPr>
              <w:spacing w:before="0" w:after="0"/>
              <w:rPr>
                <w:sz w:val="18"/>
                <w:szCs w:val="18"/>
              </w:rPr>
            </w:pPr>
            <w:r>
              <w:rPr>
                <w:sz w:val="18"/>
                <w:szCs w:val="18"/>
              </w:rPr>
              <w:t>997 mm</w:t>
            </w:r>
          </w:p>
        </w:tc>
      </w:tr>
      <w:tr w:rsidR="00583F77" w:rsidTr="00994153">
        <w:trPr>
          <w:trHeight w:val="227"/>
          <w:jc w:val="center"/>
        </w:trPr>
        <w:tc>
          <w:tcPr>
            <w:tcW w:w="3652" w:type="dxa"/>
            <w:shd w:val="clear" w:color="auto" w:fill="E7F3F4"/>
          </w:tcPr>
          <w:p w:rsidR="00583F77" w:rsidRDefault="00583F77" w:rsidP="0059610E">
            <w:pPr>
              <w:spacing w:before="0" w:after="0"/>
              <w:rPr>
                <w:sz w:val="18"/>
                <w:szCs w:val="18"/>
              </w:rPr>
            </w:pPr>
            <w:r>
              <w:rPr>
                <w:sz w:val="18"/>
                <w:szCs w:val="18"/>
              </w:rPr>
              <w:t>River discharge (1970</w:t>
            </w:r>
            <w:r w:rsidRPr="008D1B84">
              <w:rPr>
                <w:sz w:val="18"/>
                <w:szCs w:val="18"/>
              </w:rPr>
              <w:t>-2015)</w:t>
            </w:r>
          </w:p>
        </w:tc>
        <w:tc>
          <w:tcPr>
            <w:tcW w:w="2268" w:type="dxa"/>
            <w:shd w:val="clear" w:color="auto" w:fill="E7F3F4"/>
          </w:tcPr>
          <w:p w:rsidR="00583F77" w:rsidRDefault="00583F77" w:rsidP="0059610E">
            <w:pPr>
              <w:spacing w:before="0" w:after="0"/>
              <w:rPr>
                <w:sz w:val="18"/>
                <w:szCs w:val="18"/>
              </w:rPr>
            </w:pPr>
            <w:r>
              <w:rPr>
                <w:sz w:val="18"/>
                <w:szCs w:val="18"/>
              </w:rPr>
              <w:t xml:space="preserve">2,691,509 </w:t>
            </w:r>
            <w:r w:rsidRPr="008D1B84">
              <w:rPr>
                <w:sz w:val="18"/>
                <w:szCs w:val="18"/>
              </w:rPr>
              <w:t>L</w:t>
            </w:r>
            <w:r>
              <w:rPr>
                <w:sz w:val="18"/>
                <w:szCs w:val="18"/>
              </w:rPr>
              <w:t xml:space="preserve"> yr</w:t>
            </w:r>
            <w:r w:rsidRPr="00233108">
              <w:rPr>
                <w:sz w:val="18"/>
                <w:szCs w:val="18"/>
                <w:vertAlign w:val="superscript"/>
              </w:rPr>
              <w:t>-1</w:t>
            </w:r>
          </w:p>
        </w:tc>
        <w:tc>
          <w:tcPr>
            <w:tcW w:w="1559" w:type="dxa"/>
            <w:shd w:val="clear" w:color="auto" w:fill="E7F3F4"/>
          </w:tcPr>
          <w:p w:rsidR="00583F77" w:rsidRDefault="00583F77" w:rsidP="0059610E">
            <w:pPr>
              <w:spacing w:before="0" w:after="0"/>
              <w:rPr>
                <w:sz w:val="18"/>
                <w:szCs w:val="18"/>
              </w:rPr>
            </w:pPr>
            <w:r>
              <w:rPr>
                <w:color w:val="000000"/>
                <w:sz w:val="18"/>
                <w:szCs w:val="18"/>
              </w:rPr>
              <w:t>2,667,055</w:t>
            </w:r>
            <w:r w:rsidRPr="002663DB">
              <w:rPr>
                <w:color w:val="000000"/>
                <w:sz w:val="18"/>
                <w:szCs w:val="18"/>
              </w:rPr>
              <w:t xml:space="preserve"> </w:t>
            </w:r>
            <w:r w:rsidRPr="008D1B84">
              <w:rPr>
                <w:sz w:val="18"/>
                <w:szCs w:val="18"/>
              </w:rPr>
              <w:t>L</w:t>
            </w:r>
            <w:r>
              <w:rPr>
                <w:sz w:val="18"/>
                <w:szCs w:val="18"/>
              </w:rPr>
              <w:t xml:space="preserve"> yr</w:t>
            </w:r>
            <w:r w:rsidRPr="00233108">
              <w:rPr>
                <w:sz w:val="18"/>
                <w:szCs w:val="18"/>
                <w:vertAlign w:val="superscript"/>
              </w:rPr>
              <w:t>-1</w:t>
            </w:r>
          </w:p>
        </w:tc>
      </w:tr>
      <w:tr w:rsidR="00583F77" w:rsidTr="00994153">
        <w:trPr>
          <w:trHeight w:val="227"/>
          <w:jc w:val="center"/>
        </w:trPr>
        <w:tc>
          <w:tcPr>
            <w:tcW w:w="3652" w:type="dxa"/>
            <w:shd w:val="clear" w:color="auto" w:fill="E7F3F4"/>
          </w:tcPr>
          <w:p w:rsidR="00583F77" w:rsidRDefault="00583F77" w:rsidP="0059610E">
            <w:pPr>
              <w:spacing w:before="0" w:after="0"/>
              <w:rPr>
                <w:sz w:val="18"/>
                <w:szCs w:val="18"/>
              </w:rPr>
            </w:pPr>
            <w:r>
              <w:rPr>
                <w:sz w:val="18"/>
                <w:szCs w:val="18"/>
              </w:rPr>
              <w:t>Flood p</w:t>
            </w:r>
            <w:r w:rsidRPr="008D1B84">
              <w:rPr>
                <w:sz w:val="18"/>
                <w:szCs w:val="18"/>
              </w:rPr>
              <w:t>lume exposure (2006-2015)</w:t>
            </w:r>
          </w:p>
        </w:tc>
        <w:tc>
          <w:tcPr>
            <w:tcW w:w="2268" w:type="dxa"/>
            <w:shd w:val="clear" w:color="auto" w:fill="E7F3F4"/>
          </w:tcPr>
          <w:p w:rsidR="00583F77" w:rsidRPr="004A0042" w:rsidRDefault="00583F77" w:rsidP="0059610E">
            <w:pPr>
              <w:spacing w:before="0" w:after="0"/>
              <w:rPr>
                <w:i/>
                <w:sz w:val="16"/>
                <w:szCs w:val="16"/>
              </w:rPr>
            </w:pPr>
            <w:r w:rsidRPr="004A0042">
              <w:rPr>
                <w:i/>
                <w:sz w:val="16"/>
                <w:szCs w:val="16"/>
              </w:rPr>
              <w:t>unavailable</w:t>
            </w:r>
          </w:p>
        </w:tc>
        <w:tc>
          <w:tcPr>
            <w:tcW w:w="1559" w:type="dxa"/>
            <w:shd w:val="clear" w:color="auto" w:fill="E7F3F4"/>
          </w:tcPr>
          <w:p w:rsidR="00583F77" w:rsidRDefault="00583F77" w:rsidP="0059610E">
            <w:pPr>
              <w:spacing w:before="0" w:after="0"/>
              <w:rPr>
                <w:sz w:val="18"/>
                <w:szCs w:val="18"/>
              </w:rPr>
            </w:pPr>
            <w:r>
              <w:rPr>
                <w:sz w:val="18"/>
                <w:szCs w:val="18"/>
              </w:rPr>
              <w:t>100%</w:t>
            </w:r>
          </w:p>
        </w:tc>
      </w:tr>
      <w:tr w:rsidR="00583F77" w:rsidTr="00994153">
        <w:trPr>
          <w:trHeight w:val="227"/>
          <w:jc w:val="center"/>
        </w:trPr>
        <w:tc>
          <w:tcPr>
            <w:tcW w:w="3652" w:type="dxa"/>
            <w:shd w:val="clear" w:color="auto" w:fill="E7F3F4"/>
          </w:tcPr>
          <w:p w:rsidR="00583F77" w:rsidRPr="008D1B84" w:rsidRDefault="00583F77" w:rsidP="0059610E">
            <w:pPr>
              <w:spacing w:before="0" w:after="0"/>
              <w:rPr>
                <w:sz w:val="18"/>
                <w:szCs w:val="18"/>
              </w:rPr>
            </w:pPr>
            <w:r>
              <w:rPr>
                <w:sz w:val="18"/>
                <w:szCs w:val="18"/>
              </w:rPr>
              <w:t>Daytime tidal exposure (2002-2015)</w:t>
            </w:r>
          </w:p>
        </w:tc>
        <w:tc>
          <w:tcPr>
            <w:tcW w:w="2268" w:type="dxa"/>
            <w:shd w:val="clear" w:color="auto" w:fill="E7F3F4"/>
          </w:tcPr>
          <w:p w:rsidR="00583F77" w:rsidRPr="008D1B84" w:rsidRDefault="00583F77" w:rsidP="0059610E">
            <w:pPr>
              <w:spacing w:before="0" w:after="0"/>
              <w:rPr>
                <w:sz w:val="18"/>
                <w:szCs w:val="18"/>
              </w:rPr>
            </w:pPr>
            <w:r>
              <w:rPr>
                <w:sz w:val="18"/>
                <w:szCs w:val="18"/>
              </w:rPr>
              <w:t>104.23 hrs yr</w:t>
            </w:r>
            <w:r w:rsidRPr="003E5A31">
              <w:rPr>
                <w:sz w:val="18"/>
                <w:szCs w:val="18"/>
                <w:vertAlign w:val="superscript"/>
              </w:rPr>
              <w:t>-1</w:t>
            </w:r>
          </w:p>
        </w:tc>
        <w:tc>
          <w:tcPr>
            <w:tcW w:w="1559" w:type="dxa"/>
            <w:shd w:val="clear" w:color="auto" w:fill="E7F3F4"/>
          </w:tcPr>
          <w:p w:rsidR="00583F77" w:rsidRPr="008D1B84" w:rsidRDefault="00583F77" w:rsidP="0059610E">
            <w:pPr>
              <w:spacing w:before="0" w:after="0"/>
              <w:rPr>
                <w:sz w:val="18"/>
                <w:szCs w:val="18"/>
              </w:rPr>
            </w:pPr>
            <w:r>
              <w:rPr>
                <w:sz w:val="18"/>
                <w:szCs w:val="18"/>
              </w:rPr>
              <w:t>104.81 hrs yr</w:t>
            </w:r>
            <w:r w:rsidRPr="003E5A31">
              <w:rPr>
                <w:sz w:val="18"/>
                <w:szCs w:val="18"/>
                <w:vertAlign w:val="superscript"/>
              </w:rPr>
              <w:t>-1</w:t>
            </w:r>
          </w:p>
        </w:tc>
      </w:tr>
      <w:tr w:rsidR="00583F77" w:rsidTr="00994153">
        <w:trPr>
          <w:trHeight w:val="227"/>
          <w:jc w:val="center"/>
        </w:trPr>
        <w:tc>
          <w:tcPr>
            <w:tcW w:w="3652" w:type="dxa"/>
            <w:tcBorders>
              <w:bottom w:val="single" w:sz="4" w:space="0" w:color="auto"/>
            </w:tcBorders>
            <w:shd w:val="clear" w:color="auto" w:fill="E7F3F4"/>
          </w:tcPr>
          <w:p w:rsidR="00583F77" w:rsidRPr="008D1B84" w:rsidRDefault="00583F77" w:rsidP="0059610E">
            <w:pPr>
              <w:spacing w:before="0" w:after="0"/>
              <w:rPr>
                <w:sz w:val="18"/>
                <w:szCs w:val="18"/>
              </w:rPr>
            </w:pPr>
            <w:r w:rsidRPr="008D1B84">
              <w:rPr>
                <w:sz w:val="18"/>
                <w:szCs w:val="18"/>
              </w:rPr>
              <w:t>Wind</w:t>
            </w:r>
            <w:r>
              <w:rPr>
                <w:sz w:val="18"/>
                <w:szCs w:val="18"/>
              </w:rPr>
              <w:t xml:space="preserve"> (1998-2015)</w:t>
            </w:r>
          </w:p>
        </w:tc>
        <w:tc>
          <w:tcPr>
            <w:tcW w:w="2268" w:type="dxa"/>
            <w:tcBorders>
              <w:bottom w:val="single" w:sz="4" w:space="0" w:color="auto"/>
            </w:tcBorders>
            <w:shd w:val="clear" w:color="auto" w:fill="E7F3F4"/>
          </w:tcPr>
          <w:p w:rsidR="00583F77" w:rsidRPr="008D1B84" w:rsidRDefault="00583F77" w:rsidP="0059610E">
            <w:pPr>
              <w:spacing w:before="0" w:after="0"/>
              <w:rPr>
                <w:sz w:val="18"/>
                <w:szCs w:val="18"/>
              </w:rPr>
            </w:pPr>
            <w:r>
              <w:rPr>
                <w:sz w:val="18"/>
                <w:szCs w:val="18"/>
              </w:rPr>
              <w:t>83 days yr</w:t>
            </w:r>
            <w:r w:rsidRPr="008D1B84">
              <w:rPr>
                <w:sz w:val="18"/>
                <w:szCs w:val="18"/>
                <w:vertAlign w:val="superscript"/>
              </w:rPr>
              <w:t>-1</w:t>
            </w:r>
          </w:p>
        </w:tc>
        <w:tc>
          <w:tcPr>
            <w:tcW w:w="1559" w:type="dxa"/>
            <w:tcBorders>
              <w:bottom w:val="single" w:sz="4" w:space="0" w:color="auto"/>
            </w:tcBorders>
            <w:shd w:val="clear" w:color="auto" w:fill="E7F3F4"/>
          </w:tcPr>
          <w:p w:rsidR="00583F77" w:rsidRPr="008D1B84" w:rsidRDefault="00583F77" w:rsidP="0059610E">
            <w:pPr>
              <w:spacing w:before="0" w:after="0"/>
              <w:rPr>
                <w:sz w:val="18"/>
                <w:szCs w:val="18"/>
              </w:rPr>
            </w:pPr>
            <w:r>
              <w:rPr>
                <w:sz w:val="18"/>
                <w:szCs w:val="18"/>
              </w:rPr>
              <w:t>51.7 days yr</w:t>
            </w:r>
            <w:r w:rsidRPr="008D1B84">
              <w:rPr>
                <w:sz w:val="18"/>
                <w:szCs w:val="18"/>
                <w:vertAlign w:val="superscript"/>
              </w:rPr>
              <w:t>-1</w:t>
            </w:r>
          </w:p>
        </w:tc>
      </w:tr>
      <w:tr w:rsidR="00583F77" w:rsidTr="00994153">
        <w:trPr>
          <w:trHeight w:val="227"/>
          <w:jc w:val="center"/>
        </w:trPr>
        <w:tc>
          <w:tcPr>
            <w:tcW w:w="3652" w:type="dxa"/>
            <w:shd w:val="clear" w:color="auto" w:fill="F3F9FA"/>
          </w:tcPr>
          <w:p w:rsidR="00583F77" w:rsidRPr="008D1B84" w:rsidRDefault="00583F77" w:rsidP="0059610E">
            <w:pPr>
              <w:spacing w:before="0" w:after="0"/>
              <w:rPr>
                <w:sz w:val="18"/>
                <w:szCs w:val="18"/>
              </w:rPr>
            </w:pPr>
            <w:r w:rsidRPr="008D1B84">
              <w:rPr>
                <w:sz w:val="18"/>
                <w:szCs w:val="18"/>
              </w:rPr>
              <w:t>Within canopy temperature (20</w:t>
            </w:r>
            <w:r>
              <w:rPr>
                <w:sz w:val="18"/>
                <w:szCs w:val="18"/>
              </w:rPr>
              <w:t>06</w:t>
            </w:r>
            <w:r w:rsidRPr="008D1B84">
              <w:rPr>
                <w:sz w:val="18"/>
                <w:szCs w:val="18"/>
              </w:rPr>
              <w:t>-2015)</w:t>
            </w:r>
          </w:p>
        </w:tc>
        <w:tc>
          <w:tcPr>
            <w:tcW w:w="2268" w:type="dxa"/>
            <w:shd w:val="clear" w:color="auto" w:fill="F3F9FA"/>
          </w:tcPr>
          <w:p w:rsidR="00583F77" w:rsidRPr="008D1B84" w:rsidRDefault="00583F77" w:rsidP="0059610E">
            <w:pPr>
              <w:spacing w:before="0" w:after="0"/>
              <w:rPr>
                <w:sz w:val="18"/>
                <w:szCs w:val="18"/>
              </w:rPr>
            </w:pPr>
            <w:r w:rsidRPr="00575F09">
              <w:rPr>
                <w:color w:val="000000"/>
                <w:sz w:val="18"/>
                <w:szCs w:val="18"/>
              </w:rPr>
              <w:t>23.8</w:t>
            </w:r>
            <w:r w:rsidRPr="003E5A31">
              <w:rPr>
                <w:sz w:val="18"/>
                <w:szCs w:val="18"/>
              </w:rPr>
              <w:t>°C</w:t>
            </w:r>
            <w:r>
              <w:rPr>
                <w:sz w:val="18"/>
                <w:szCs w:val="18"/>
              </w:rPr>
              <w:t xml:space="preserve"> </w:t>
            </w:r>
            <w:r w:rsidRPr="006577FA">
              <w:rPr>
                <w:i/>
                <w:sz w:val="18"/>
                <w:szCs w:val="18"/>
              </w:rPr>
              <w:t>(41°C)</w:t>
            </w:r>
          </w:p>
        </w:tc>
        <w:tc>
          <w:tcPr>
            <w:tcW w:w="1559" w:type="dxa"/>
            <w:shd w:val="clear" w:color="auto" w:fill="F3F9FA"/>
          </w:tcPr>
          <w:p w:rsidR="00583F77" w:rsidRPr="008D1B84" w:rsidRDefault="00583F77" w:rsidP="0059610E">
            <w:pPr>
              <w:spacing w:before="0" w:after="0"/>
              <w:rPr>
                <w:sz w:val="18"/>
                <w:szCs w:val="18"/>
              </w:rPr>
            </w:pPr>
            <w:r>
              <w:rPr>
                <w:sz w:val="18"/>
                <w:szCs w:val="18"/>
              </w:rPr>
              <w:t>24.3</w:t>
            </w:r>
            <w:r w:rsidRPr="003E5A31">
              <w:rPr>
                <w:sz w:val="18"/>
                <w:szCs w:val="18"/>
              </w:rPr>
              <w:t>°C</w:t>
            </w:r>
            <w:r>
              <w:rPr>
                <w:sz w:val="18"/>
                <w:szCs w:val="18"/>
              </w:rPr>
              <w:t xml:space="preserve"> </w:t>
            </w:r>
            <w:r w:rsidRPr="006577FA">
              <w:rPr>
                <w:i/>
                <w:sz w:val="18"/>
                <w:szCs w:val="18"/>
              </w:rPr>
              <w:t>(41°C)</w:t>
            </w:r>
          </w:p>
        </w:tc>
      </w:tr>
      <w:tr w:rsidR="00583F77" w:rsidTr="00994153">
        <w:trPr>
          <w:trHeight w:val="227"/>
          <w:jc w:val="center"/>
        </w:trPr>
        <w:tc>
          <w:tcPr>
            <w:tcW w:w="3652" w:type="dxa"/>
            <w:shd w:val="clear" w:color="auto" w:fill="F3F9FA"/>
          </w:tcPr>
          <w:p w:rsidR="00583F77" w:rsidRPr="008D1B84" w:rsidRDefault="00583F77" w:rsidP="0059610E">
            <w:pPr>
              <w:spacing w:before="0" w:after="0"/>
              <w:rPr>
                <w:sz w:val="18"/>
                <w:szCs w:val="18"/>
              </w:rPr>
            </w:pPr>
            <w:r w:rsidRPr="008D1B84">
              <w:rPr>
                <w:sz w:val="18"/>
                <w:szCs w:val="18"/>
              </w:rPr>
              <w:t>Within canopy light (2012-2015)</w:t>
            </w:r>
          </w:p>
        </w:tc>
        <w:tc>
          <w:tcPr>
            <w:tcW w:w="2268" w:type="dxa"/>
            <w:shd w:val="clear" w:color="auto" w:fill="F3F9FA"/>
          </w:tcPr>
          <w:p w:rsidR="00583F77" w:rsidRPr="008D1B84" w:rsidRDefault="00583F77" w:rsidP="0059610E">
            <w:pPr>
              <w:spacing w:before="0" w:after="0"/>
              <w:rPr>
                <w:sz w:val="18"/>
                <w:szCs w:val="18"/>
              </w:rPr>
            </w:pPr>
            <w:r>
              <w:rPr>
                <w:sz w:val="18"/>
                <w:szCs w:val="18"/>
              </w:rPr>
              <w:t>14.4</w:t>
            </w:r>
            <w:r w:rsidRPr="008D1B84">
              <w:rPr>
                <w:sz w:val="18"/>
                <w:szCs w:val="18"/>
              </w:rPr>
              <w:t xml:space="preserve">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c>
          <w:tcPr>
            <w:tcW w:w="1559" w:type="dxa"/>
            <w:shd w:val="clear" w:color="auto" w:fill="F3F9FA"/>
          </w:tcPr>
          <w:p w:rsidR="00583F77" w:rsidRPr="008D1B84" w:rsidRDefault="00583F77" w:rsidP="0059610E">
            <w:pPr>
              <w:spacing w:before="0" w:after="0"/>
              <w:rPr>
                <w:sz w:val="18"/>
                <w:szCs w:val="18"/>
              </w:rPr>
            </w:pPr>
            <w:r>
              <w:rPr>
                <w:sz w:val="18"/>
                <w:szCs w:val="18"/>
              </w:rPr>
              <w:t>14.4</w:t>
            </w:r>
            <w:r w:rsidRPr="008D1B84">
              <w:rPr>
                <w:sz w:val="18"/>
                <w:szCs w:val="18"/>
              </w:rPr>
              <w:t xml:space="preserve">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r>
    </w:tbl>
    <w:p w:rsidR="00994153" w:rsidRPr="005D293A" w:rsidRDefault="00F520E9" w:rsidP="00994153">
      <w:pPr>
        <w:spacing w:before="0" w:after="0"/>
        <w:jc w:val="both"/>
        <w:rPr>
          <w:sz w:val="16"/>
          <w:szCs w:val="16"/>
        </w:rPr>
      </w:pPr>
      <w:r>
        <w:rPr>
          <w:noProof/>
          <w:color w:val="000000"/>
          <w:szCs w:val="22"/>
          <w:lang w:eastAsia="en-AU"/>
        </w:rPr>
        <w:lastRenderedPageBreak/>
        <w:drawing>
          <wp:anchor distT="0" distB="0" distL="114300" distR="114300" simplePos="0" relativeHeight="251680768" behindDoc="0" locked="0" layoutInCell="1" allowOverlap="1" wp14:anchorId="60CC5DF6" wp14:editId="1B3D9DF5">
            <wp:simplePos x="0" y="0"/>
            <wp:positionH relativeFrom="column">
              <wp:posOffset>3810</wp:posOffset>
            </wp:positionH>
            <wp:positionV relativeFrom="paragraph">
              <wp:posOffset>124048</wp:posOffset>
            </wp:positionV>
            <wp:extent cx="2880000" cy="4125600"/>
            <wp:effectExtent l="0" t="0" r="0" b="8255"/>
            <wp:wrapSquare wrapText="right"/>
            <wp:docPr id="27" name="Picture 27" descr="Composite graph showing the location of each seagrass monitoring site and the frequency of exposure to plume water in the Fitzroy NRM, wet season (December 2014 – Apri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itzroy sites_legend.pn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2880000" cy="4125600"/>
                    </a:xfrm>
                    <a:prstGeom prst="rect">
                      <a:avLst/>
                    </a:prstGeom>
                  </pic:spPr>
                </pic:pic>
              </a:graphicData>
            </a:graphic>
            <wp14:sizeRelH relativeFrom="margin">
              <wp14:pctWidth>0</wp14:pctWidth>
            </wp14:sizeRelH>
            <wp14:sizeRelV relativeFrom="margin">
              <wp14:pctHeight>0</wp14:pctHeight>
            </wp14:sizeRelV>
          </wp:anchor>
        </w:drawing>
      </w:r>
    </w:p>
    <w:p w:rsidR="00F520E9" w:rsidRPr="00F520E9" w:rsidRDefault="00F520E9" w:rsidP="00F520E9">
      <w:pPr>
        <w:rPr>
          <w:i/>
          <w:vanish/>
          <w:specVanish/>
        </w:rPr>
      </w:pPr>
      <w:bookmarkStart w:id="481" w:name="_Ref442348188"/>
      <w:bookmarkStart w:id="482" w:name="_Toc462684922"/>
      <w:r>
        <w:t xml:space="preserve">Figure </w:t>
      </w:r>
      <w:fldSimple w:instr=" SEQ Figure \* ARABIC ">
        <w:r w:rsidR="009C068F">
          <w:rPr>
            <w:noProof/>
          </w:rPr>
          <w:t>82</w:t>
        </w:r>
      </w:fldSimple>
      <w:bookmarkEnd w:id="481"/>
      <w:r>
        <w:t xml:space="preserve">.  </w:t>
      </w:r>
      <w:r w:rsidR="00583F77" w:rsidRPr="00F520E9">
        <w:rPr>
          <w:i/>
        </w:rPr>
        <w:t>Frequency of exposure to plume water in the Fitzroy NRM, wet season (22 weeks from December 2014 – April 2015) composite.</w:t>
      </w:r>
      <w:bookmarkEnd w:id="482"/>
    </w:p>
    <w:p w:rsidR="00583F77" w:rsidRPr="00F520E9" w:rsidRDefault="00583F77" w:rsidP="00F520E9">
      <w:pPr>
        <w:rPr>
          <w:i/>
        </w:rPr>
      </w:pPr>
      <w:r w:rsidRPr="00F520E9">
        <w:rPr>
          <w:i/>
        </w:rPr>
        <w:t xml:space="preserve"> Frequency calculated as number of weeks in wet season exposed to primary or secondary water (colour classes 1 – 5). </w:t>
      </w:r>
      <w:r w:rsidR="00FF0A86" w:rsidRPr="008925B3">
        <w:rPr>
          <w:i/>
        </w:rPr>
        <w:t xml:space="preserve">Each colour class category is described by mean water quality values for TSS, CDOM, chlorophyll a and </w:t>
      </w:r>
      <w:proofErr w:type="spellStart"/>
      <w:r w:rsidR="00FF0A86" w:rsidRPr="008925B3">
        <w:rPr>
          <w:i/>
        </w:rPr>
        <w:t>K</w:t>
      </w:r>
      <w:r w:rsidR="00FF0A86" w:rsidRPr="007C3ABF">
        <w:rPr>
          <w:i/>
          <w:vertAlign w:val="subscript"/>
        </w:rPr>
        <w:t>d</w:t>
      </w:r>
      <w:proofErr w:type="spellEnd"/>
      <w:r w:rsidR="00FF0A86" w:rsidRPr="008925B3">
        <w:rPr>
          <w:i/>
        </w:rPr>
        <w:t xml:space="preserve"> (PAR) (</w:t>
      </w:r>
      <w:hyperlink w:anchor="_ENREF_94" w:tooltip="Devlin, 2015 #10405" w:history="1">
        <w:r w:rsidR="00E6043D">
          <w:rPr>
            <w:i/>
          </w:rPr>
          <w:fldChar w:fldCharType="begin"/>
        </w:r>
        <w:r w:rsidR="00E6043D">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043D">
          <w:rPr>
            <w:i/>
          </w:rPr>
          <w:fldChar w:fldCharType="separate"/>
        </w:r>
        <w:r w:rsidR="00E6043D">
          <w:rPr>
            <w:i/>
            <w:noProof/>
          </w:rPr>
          <w:t>Devlin, et al. 2015</w:t>
        </w:r>
        <w:r w:rsidR="00E6043D">
          <w:rPr>
            <w:i/>
          </w:rPr>
          <w:fldChar w:fldCharType="end"/>
        </w:r>
      </w:hyperlink>
      <w:r w:rsidR="00FF0A86" w:rsidRPr="008925B3">
        <w:rPr>
          <w:i/>
        </w:rPr>
        <w:t xml:space="preserve">; </w:t>
      </w:r>
      <w:hyperlink w:anchor="_ENREF_151" w:tooltip="Lønborg, 2015 #10475" w:history="1">
        <w:r w:rsidR="00E6043D">
          <w:rPr>
            <w:i/>
          </w:rPr>
          <w:fldChar w:fldCharType="begin"/>
        </w:r>
        <w:r w:rsidR="00E6043D">
          <w:rPr>
            <w:i/>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i/>
          </w:rPr>
          <w:fldChar w:fldCharType="separate"/>
        </w:r>
        <w:r w:rsidR="00E6043D">
          <w:rPr>
            <w:i/>
            <w:noProof/>
          </w:rPr>
          <w:t>Lønborg, et al. 2015</w:t>
        </w:r>
        <w:r w:rsidR="00E6043D">
          <w:rPr>
            <w:i/>
          </w:rPr>
          <w:fldChar w:fldCharType="end"/>
        </w:r>
      </w:hyperlink>
      <w:r w:rsidR="00FF0A86" w:rsidRPr="008925B3">
        <w:rPr>
          <w:i/>
        </w:rPr>
        <w:t>).</w:t>
      </w:r>
      <w:r w:rsidR="00FF0A86">
        <w:rPr>
          <w:i/>
        </w:rPr>
        <w:t xml:space="preserve"> For site details, see Tables 3 &amp; 4.</w:t>
      </w:r>
    </w:p>
    <w:p w:rsidR="00583F77" w:rsidRDefault="00583F77" w:rsidP="00583F77">
      <w:pPr>
        <w:rPr>
          <w:color w:val="000000"/>
          <w:szCs w:val="22"/>
        </w:rPr>
      </w:pPr>
    </w:p>
    <w:p w:rsidR="00F520E9" w:rsidRDefault="00F520E9" w:rsidP="00583F77">
      <w:pPr>
        <w:rPr>
          <w:color w:val="000000"/>
          <w:szCs w:val="22"/>
        </w:rPr>
      </w:pPr>
    </w:p>
    <w:p w:rsidR="00F520E9" w:rsidRDefault="00F520E9" w:rsidP="00583F77">
      <w:pPr>
        <w:rPr>
          <w:color w:val="000000"/>
          <w:szCs w:val="22"/>
        </w:rPr>
      </w:pPr>
    </w:p>
    <w:p w:rsidR="00F520E9" w:rsidRDefault="00F520E9" w:rsidP="00583F77">
      <w:pPr>
        <w:rPr>
          <w:color w:val="000000"/>
          <w:szCs w:val="22"/>
        </w:rPr>
      </w:pPr>
    </w:p>
    <w:p w:rsidR="00F520E9" w:rsidRDefault="00F520E9" w:rsidP="00583F77">
      <w:pPr>
        <w:rPr>
          <w:color w:val="000000"/>
          <w:szCs w:val="22"/>
        </w:rPr>
      </w:pPr>
    </w:p>
    <w:p w:rsidR="00AC7372" w:rsidRDefault="00AC7372" w:rsidP="00583F77">
      <w:pPr>
        <w:rPr>
          <w:color w:val="000000"/>
          <w:szCs w:val="22"/>
        </w:rPr>
      </w:pPr>
    </w:p>
    <w:p w:rsidR="00AC7372" w:rsidRDefault="00AC7372" w:rsidP="00583F77">
      <w:pPr>
        <w:rPr>
          <w:color w:val="000000"/>
          <w:szCs w:val="22"/>
        </w:rPr>
      </w:pPr>
    </w:p>
    <w:p w:rsidR="00AC7372" w:rsidRDefault="00AC7372" w:rsidP="00583F77">
      <w:pPr>
        <w:rPr>
          <w:color w:val="000000"/>
          <w:szCs w:val="22"/>
        </w:rPr>
      </w:pPr>
    </w:p>
    <w:p w:rsidR="00F520E9" w:rsidRDefault="00F520E9" w:rsidP="00583F77">
      <w:pPr>
        <w:rPr>
          <w:color w:val="000000"/>
          <w:szCs w:val="22"/>
        </w:rPr>
      </w:pPr>
    </w:p>
    <w:p w:rsidR="00F520E9" w:rsidRDefault="00F520E9" w:rsidP="00583F77">
      <w:pPr>
        <w:rPr>
          <w:color w:val="000000"/>
          <w:szCs w:val="22"/>
        </w:rPr>
      </w:pPr>
    </w:p>
    <w:p w:rsidR="00F520E9" w:rsidRPr="00F520E9" w:rsidRDefault="00583F77" w:rsidP="00F520E9">
      <w:pPr>
        <w:keepNext/>
        <w:jc w:val="center"/>
        <w:rPr>
          <w:i/>
          <w:vanish/>
          <w:specVanish/>
        </w:rPr>
      </w:pPr>
      <w:bookmarkStart w:id="483" w:name="_Ref314326607"/>
      <w:bookmarkStart w:id="484" w:name="_Toc462685094"/>
      <w:r>
        <w:t xml:space="preserve">Table </w:t>
      </w:r>
      <w:fldSimple w:instr=" SEQ Table \* ARABIC ">
        <w:r w:rsidR="009C068F">
          <w:rPr>
            <w:noProof/>
          </w:rPr>
          <w:t>25</w:t>
        </w:r>
      </w:fldSimple>
      <w:bookmarkEnd w:id="483"/>
      <w:r w:rsidRPr="00652F48">
        <w:rPr>
          <w:i/>
        </w:rPr>
        <w:t xml:space="preserve">. Water </w:t>
      </w:r>
      <w:r>
        <w:rPr>
          <w:i/>
        </w:rPr>
        <w:t xml:space="preserve">type at each </w:t>
      </w:r>
      <w:r w:rsidR="00F520E9">
        <w:rPr>
          <w:i/>
        </w:rPr>
        <w:t>site</w:t>
      </w:r>
      <w:r>
        <w:rPr>
          <w:i/>
        </w:rPr>
        <w:t xml:space="preserve"> (</w:t>
      </w:r>
      <w:proofErr w:type="spellStart"/>
      <w:r>
        <w:rPr>
          <w:i/>
        </w:rPr>
        <w:t>Loc</w:t>
      </w:r>
      <w:proofErr w:type="spellEnd"/>
      <w:r>
        <w:rPr>
          <w:i/>
        </w:rPr>
        <w:t xml:space="preserve">) in the Fitzroy </w:t>
      </w:r>
      <w:r w:rsidR="00F520E9">
        <w:rPr>
          <w:i/>
        </w:rPr>
        <w:t>region</w:t>
      </w:r>
      <w:r>
        <w:rPr>
          <w:i/>
        </w:rPr>
        <w:t xml:space="preserve"> derived from MODIS true colour </w:t>
      </w:r>
      <w:proofErr w:type="spellStart"/>
      <w:r>
        <w:rPr>
          <w:i/>
        </w:rPr>
        <w:t>images</w:t>
      </w:r>
      <w:bookmarkEnd w:id="484"/>
    </w:p>
    <w:p w:rsidR="00583F77" w:rsidRPr="00652F48" w:rsidRDefault="00583F77" w:rsidP="00F520E9">
      <w:pPr>
        <w:keepNext/>
        <w:jc w:val="center"/>
        <w:rPr>
          <w:i/>
        </w:rPr>
      </w:pPr>
      <w:r w:rsidRPr="00652F48">
        <w:rPr>
          <w:i/>
        </w:rPr>
        <w:t>as</w:t>
      </w:r>
      <w:proofErr w:type="spellEnd"/>
      <w:r w:rsidRPr="00652F48">
        <w:rPr>
          <w:i/>
        </w:rPr>
        <w:t xml:space="preserve"> colour classes of turbid primary water (class 1 – 4, </w:t>
      </w:r>
      <w:r>
        <w:rPr>
          <w:i/>
        </w:rPr>
        <w:t>red/</w:t>
      </w:r>
      <w:r w:rsidRPr="00652F48">
        <w:rPr>
          <w:i/>
        </w:rPr>
        <w:t>brown), nutrient/chlorophyll-enriched secondary water (class 5, green), and tertiary (some freshwater</w:t>
      </w:r>
      <w:r>
        <w:rPr>
          <w:i/>
        </w:rPr>
        <w:t>/CDOM</w:t>
      </w:r>
      <w:r w:rsidRPr="00652F48">
        <w:rPr>
          <w:i/>
        </w:rPr>
        <w:t xml:space="preserve"> influence) or no plume influence (class 6 and 7 respectively, blue), </w:t>
      </w:r>
      <w:r>
        <w:rPr>
          <w:i/>
        </w:rPr>
        <w:t xml:space="preserve">for 22 weeks from December 2014 – April 2015. Also shown, </w:t>
      </w:r>
      <w:r w:rsidRPr="00652F48">
        <w:rPr>
          <w:i/>
        </w:rPr>
        <w:t>median wet season colour class (Med), frequency of primary water as f</w:t>
      </w:r>
      <w:r w:rsidRPr="00F520E9">
        <w:rPr>
          <w:i/>
          <w:vertAlign w:val="subscript"/>
        </w:rPr>
        <w:t>(P)</w:t>
      </w:r>
      <w:r w:rsidRPr="00652F48">
        <w:rPr>
          <w:i/>
        </w:rPr>
        <w:t>, the frequency of secondary water as f</w:t>
      </w:r>
      <w:r w:rsidRPr="00F520E9">
        <w:rPr>
          <w:i/>
          <w:vertAlign w:val="subscript"/>
        </w:rPr>
        <w:t>(S</w:t>
      </w:r>
      <w:r w:rsidRPr="00652F48">
        <w:rPr>
          <w:i/>
        </w:rPr>
        <w:t>), and the frequency of primary or secondary as f</w:t>
      </w:r>
      <w:r w:rsidRPr="00F520E9">
        <w:rPr>
          <w:i/>
          <w:vertAlign w:val="subscript"/>
        </w:rPr>
        <w:t>(P+S)</w:t>
      </w:r>
      <w:r w:rsidRPr="00652F48">
        <w:rPr>
          <w:i/>
        </w:rPr>
        <w:t>.</w:t>
      </w:r>
    </w:p>
    <w:p w:rsidR="00583F77" w:rsidRDefault="00583F77" w:rsidP="00583F77">
      <w:pPr>
        <w:widowControl w:val="0"/>
        <w:jc w:val="center"/>
      </w:pPr>
      <w:r>
        <w:rPr>
          <w:noProof/>
          <w:lang w:eastAsia="en-AU"/>
        </w:rPr>
        <w:drawing>
          <wp:inline distT="0" distB="0" distL="0" distR="0" wp14:anchorId="28F9FA76" wp14:editId="190A57C9">
            <wp:extent cx="5759450" cy="649605"/>
            <wp:effectExtent l="0" t="0" r="0" b="0"/>
            <wp:docPr id="84" name="Picture 84" descr="Table of water type at each location in the Fitzroy region derived from MODIS true colour images as colour classes of turbid primary water, nutrient/chlorophyll-enriched secondary water, and tertiary or no plume influence for 22 weeks from December 2014 – April 2015"/>
            <wp:cNvGraphicFramePr/>
            <a:graphic xmlns:a="http://schemas.openxmlformats.org/drawingml/2006/main">
              <a:graphicData uri="http://schemas.openxmlformats.org/drawingml/2006/picture">
                <pic:pic xmlns:pic="http://schemas.openxmlformats.org/drawingml/2006/picture">
                  <pic:nvPicPr>
                    <pic:cNvPr id="528" name="Picture 528"/>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759450" cy="649605"/>
                    </a:xfrm>
                    <a:prstGeom prst="rect">
                      <a:avLst/>
                    </a:prstGeom>
                    <a:noFill/>
                    <a:ln>
                      <a:noFill/>
                    </a:ln>
                  </pic:spPr>
                </pic:pic>
              </a:graphicData>
            </a:graphic>
          </wp:inline>
        </w:drawing>
      </w:r>
    </w:p>
    <w:p w:rsidR="00AC7372" w:rsidRDefault="00AC7372" w:rsidP="00583F77"/>
    <w:p w:rsidR="00AC7372" w:rsidRDefault="00AC7372" w:rsidP="00583F77"/>
    <w:p w:rsidR="00583F77" w:rsidRPr="005830F8" w:rsidRDefault="00583F77" w:rsidP="00583F77">
      <w:r w:rsidRPr="005830F8">
        <w:t xml:space="preserve">Despite the </w:t>
      </w:r>
      <w:r>
        <w:t xml:space="preserve">high </w:t>
      </w:r>
      <w:r w:rsidRPr="005830F8">
        <w:t>river flow and water type exposure, within canopy daily light (I</w:t>
      </w:r>
      <w:r w:rsidRPr="005830F8">
        <w:rPr>
          <w:vertAlign w:val="subscript"/>
        </w:rPr>
        <w:t>d</w:t>
      </w:r>
      <w:proofErr w:type="gramStart"/>
      <w:r w:rsidRPr="005830F8">
        <w:t>),</w:t>
      </w:r>
      <w:proofErr w:type="gramEnd"/>
      <w:r w:rsidRPr="005830F8">
        <w:t xml:space="preserve"> was </w:t>
      </w:r>
      <w:r>
        <w:t>similar to the long-term average</w:t>
      </w:r>
      <w:r w:rsidRPr="005830F8">
        <w:t xml:space="preserve"> for the region, </w:t>
      </w:r>
      <w:r>
        <w:t>although</w:t>
      </w:r>
      <w:r w:rsidRPr="005830F8">
        <w:t xml:space="preserve"> highly variable among </w:t>
      </w:r>
      <w:r w:rsidR="000A7F3B">
        <w:t>habitats (</w:t>
      </w:r>
      <w:r w:rsidR="000A7F3B">
        <w:fldChar w:fldCharType="begin"/>
      </w:r>
      <w:r w:rsidR="000A7F3B">
        <w:instrText xml:space="preserve"> REF _Ref442348230 \h </w:instrText>
      </w:r>
      <w:r w:rsidR="000A7F3B">
        <w:fldChar w:fldCharType="separate"/>
      </w:r>
      <w:r w:rsidR="009C068F" w:rsidRPr="00F520E9">
        <w:t xml:space="preserve">Figure </w:t>
      </w:r>
      <w:r w:rsidR="009C068F">
        <w:rPr>
          <w:noProof/>
        </w:rPr>
        <w:t>83</w:t>
      </w:r>
      <w:r w:rsidR="000A7F3B">
        <w:fldChar w:fldCharType="end"/>
      </w:r>
      <w:r w:rsidR="000A7F3B">
        <w:t>)</w:t>
      </w:r>
      <w:r w:rsidRPr="005830F8">
        <w:t>.  Shoalwater Bay</w:t>
      </w:r>
      <w:r w:rsidR="000A7F3B">
        <w:t xml:space="preserve"> (SWB) </w:t>
      </w:r>
      <w:r w:rsidRPr="005830F8">
        <w:t>continued to have very high I</w:t>
      </w:r>
      <w:r w:rsidRPr="005830F8">
        <w:rPr>
          <w:vertAlign w:val="subscript"/>
        </w:rPr>
        <w:t xml:space="preserve">d </w:t>
      </w:r>
      <w:r w:rsidRPr="005830F8">
        <w:t>owing to the frequency of daytime low tide exposure (Appendix 4). I</w:t>
      </w:r>
      <w:r w:rsidRPr="005830F8">
        <w:rPr>
          <w:vertAlign w:val="subscript"/>
        </w:rPr>
        <w:t>d</w:t>
      </w:r>
      <w:r w:rsidRPr="005830F8">
        <w:t xml:space="preserve"> </w:t>
      </w:r>
      <w:r>
        <w:t xml:space="preserve">in Gladstone Harbour (GH) was similar to the long-term average. In contrast, </w:t>
      </w:r>
      <w:r w:rsidRPr="005830F8">
        <w:t>I</w:t>
      </w:r>
      <w:r w:rsidRPr="005830F8">
        <w:rPr>
          <w:vertAlign w:val="subscript"/>
        </w:rPr>
        <w:t>d</w:t>
      </w:r>
      <w:r>
        <w:t xml:space="preserve"> declined at Great Keppel Island (GK) through 2014-15 as this </w:t>
      </w:r>
      <w:r w:rsidR="000A7F3B">
        <w:t>location</w:t>
      </w:r>
      <w:r>
        <w:t xml:space="preserve"> has very infrequent daytime low tide exposure </w:t>
      </w:r>
      <w:r w:rsidRPr="005830F8">
        <w:t>(Appendix 4)</w:t>
      </w:r>
      <w:r>
        <w:t xml:space="preserve"> and therefore </w:t>
      </w:r>
      <w:r w:rsidRPr="005830F8">
        <w:t>I</w:t>
      </w:r>
      <w:r w:rsidRPr="005830F8">
        <w:rPr>
          <w:vertAlign w:val="subscript"/>
        </w:rPr>
        <w:t>d</w:t>
      </w:r>
      <w:r w:rsidRPr="005830F8">
        <w:t xml:space="preserve"> </w:t>
      </w:r>
      <w:r>
        <w:t xml:space="preserve">is highly sensitive to overlying water quality.  </w:t>
      </w:r>
    </w:p>
    <w:p w:rsidR="00583F77" w:rsidRDefault="00F520E9" w:rsidP="00F520E9">
      <w:pPr>
        <w:keepNext/>
        <w:widowControl w:val="0"/>
        <w:spacing w:after="0"/>
        <w:jc w:val="center"/>
        <w:rPr>
          <w:color w:val="000000"/>
          <w:szCs w:val="22"/>
        </w:rPr>
      </w:pPr>
      <w:r>
        <w:rPr>
          <w:noProof/>
          <w:color w:val="000000"/>
          <w:szCs w:val="22"/>
          <w:lang w:eastAsia="en-AU"/>
        </w:rPr>
        <w:lastRenderedPageBreak/>
        <w:drawing>
          <wp:inline distT="0" distB="0" distL="0" distR="0" wp14:anchorId="3CD68878" wp14:editId="0D3E4441">
            <wp:extent cx="5759450" cy="1960245"/>
            <wp:effectExtent l="0" t="0" r="0" b="1905"/>
            <wp:docPr id="138" name="Picture 138" descr="Panel of two line graphs showing daily light (mean) at each location with 28-d rolling average and GAM plots for each seagrass habitat in the Fitzroy NRM region from 2009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F_Avg_28d_avg_GAM_2015.pn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5759450" cy="1960245"/>
                    </a:xfrm>
                    <a:prstGeom prst="rect">
                      <a:avLst/>
                    </a:prstGeom>
                  </pic:spPr>
                </pic:pic>
              </a:graphicData>
            </a:graphic>
          </wp:inline>
        </w:drawing>
      </w:r>
    </w:p>
    <w:p w:rsidR="00F520E9" w:rsidRPr="00F520E9" w:rsidRDefault="00F520E9" w:rsidP="00F520E9">
      <w:pPr>
        <w:rPr>
          <w:i/>
          <w:vanish/>
          <w:specVanish/>
        </w:rPr>
      </w:pPr>
      <w:bookmarkStart w:id="485" w:name="_Ref442348230"/>
      <w:bookmarkStart w:id="486" w:name="_Toc462684923"/>
      <w:r w:rsidRPr="00F520E9">
        <w:t xml:space="preserve">Figure </w:t>
      </w:r>
      <w:fldSimple w:instr=" SEQ Figure \* ARABIC ">
        <w:r w:rsidR="009C068F">
          <w:rPr>
            <w:noProof/>
          </w:rPr>
          <w:t>83</w:t>
        </w:r>
      </w:fldSimple>
      <w:bookmarkEnd w:id="485"/>
      <w:r>
        <w:t xml:space="preserve">.  </w:t>
      </w:r>
      <w:r w:rsidR="00583F77" w:rsidRPr="00F520E9">
        <w:rPr>
          <w:i/>
        </w:rPr>
        <w:t xml:space="preserve">Mean daily light at Fitzroy sites with 28-d rolling average from 2012 to 2015 (left) and GAM plots </w:t>
      </w:r>
      <w:r>
        <w:rPr>
          <w:i/>
        </w:rPr>
        <w:t>(right)</w:t>
      </w:r>
      <w:bookmarkEnd w:id="486"/>
    </w:p>
    <w:p w:rsidR="00583F77" w:rsidRPr="00F520E9" w:rsidRDefault="00F520E9" w:rsidP="00F520E9">
      <w:pPr>
        <w:rPr>
          <w:i/>
        </w:rPr>
      </w:pPr>
      <w:r>
        <w:rPr>
          <w:i/>
        </w:rPr>
        <w:t xml:space="preserve"> </w:t>
      </w:r>
      <w:r w:rsidR="00583F77" w:rsidRPr="00F520E9">
        <w:rPr>
          <w:i/>
        </w:rPr>
        <w:t>with the black line showing mean trend for all sites (±95% confidence interval in grey shade) and coloured lines (with CI’s) showing the trend for each site. Results of statistical analysis (GAM) and site-specific graphs (site-level daily light data plus 28-d rolling average) are shown in Appendix 4.</w:t>
      </w:r>
    </w:p>
    <w:p w:rsidR="00583F77" w:rsidRPr="0071764B" w:rsidRDefault="00583F77" w:rsidP="00583F77">
      <w:pPr>
        <w:rPr>
          <w:rFonts w:ascii="Arial" w:hAnsi="Arial" w:cs="Arial"/>
        </w:rPr>
      </w:pPr>
      <w:r w:rsidRPr="0071764B">
        <w:t>Water temperature was slightly above the long-term average for this region</w:t>
      </w:r>
      <w:r w:rsidR="000A7F3B">
        <w:t xml:space="preserve"> (</w:t>
      </w:r>
      <w:r w:rsidR="000A7F3B">
        <w:fldChar w:fldCharType="begin"/>
      </w:r>
      <w:r w:rsidR="000A7F3B">
        <w:instrText xml:space="preserve"> REF _Ref442348310 \h </w:instrText>
      </w:r>
      <w:r w:rsidR="000A7F3B">
        <w:fldChar w:fldCharType="separate"/>
      </w:r>
      <w:r w:rsidR="009C068F" w:rsidRPr="00EA10D7">
        <w:rPr>
          <w:color w:val="000000"/>
        </w:rPr>
        <w:t xml:space="preserve">Figure </w:t>
      </w:r>
      <w:r w:rsidR="009C068F">
        <w:rPr>
          <w:noProof/>
          <w:color w:val="000000"/>
        </w:rPr>
        <w:t>84</w:t>
      </w:r>
      <w:r w:rsidR="000A7F3B">
        <w:fldChar w:fldCharType="end"/>
      </w:r>
      <w:r w:rsidR="000A7F3B">
        <w:t>)</w:t>
      </w:r>
      <w:r w:rsidRPr="0071764B">
        <w:t xml:space="preserve">. There were a large number of days (33) exceeding 35°C and frequent deviation (warm) from the baseline but these temperatures would not be expected to cause significant </w:t>
      </w:r>
      <w:proofErr w:type="spellStart"/>
      <w:r w:rsidRPr="0071764B">
        <w:t>photoinhibition</w:t>
      </w:r>
      <w:proofErr w:type="spellEnd"/>
      <w:r w:rsidRPr="0071764B">
        <w:t xml:space="preserve"> (</w:t>
      </w:r>
      <w:hyperlink w:anchor="_ENREF_33" w:tooltip="Campbell, 2006 #2896" w:history="1">
        <w:r w:rsidR="00E6043D">
          <w:fldChar w:fldCharType="begin"/>
        </w:r>
        <w:r w:rsidR="00E6043D">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fldChar w:fldCharType="separate"/>
        </w:r>
        <w:r w:rsidR="00E6043D">
          <w:rPr>
            <w:noProof/>
          </w:rPr>
          <w:t>Campbell</w:t>
        </w:r>
        <w:r w:rsidR="00E6043D" w:rsidRPr="00644A84">
          <w:rPr>
            <w:i/>
            <w:noProof/>
          </w:rPr>
          <w:t>, et al.</w:t>
        </w:r>
        <w:r w:rsidR="00E6043D">
          <w:rPr>
            <w:noProof/>
          </w:rPr>
          <w:t xml:space="preserve"> 2006</w:t>
        </w:r>
        <w:r w:rsidR="00E6043D">
          <w:fldChar w:fldCharType="end"/>
        </w:r>
      </w:hyperlink>
      <w:r w:rsidRPr="0071764B">
        <w:t>). However</w:t>
      </w:r>
      <w:r w:rsidR="00433675">
        <w:t>,</w:t>
      </w:r>
      <w:r w:rsidRPr="0071764B">
        <w:t xml:space="preserve"> prolonged exposure to warm water (&gt;35°C) can reduce growth in some species (e.g. </w:t>
      </w:r>
      <w:r w:rsidRPr="0071764B">
        <w:rPr>
          <w:i/>
        </w:rPr>
        <w:t>Z.</w:t>
      </w:r>
      <w:r w:rsidR="00433675">
        <w:rPr>
          <w:i/>
        </w:rPr>
        <w:t> </w:t>
      </w:r>
      <w:proofErr w:type="spellStart"/>
      <w:r w:rsidRPr="0071764B">
        <w:rPr>
          <w:i/>
        </w:rPr>
        <w:t>muelleri</w:t>
      </w:r>
      <w:proofErr w:type="spellEnd"/>
      <w:r w:rsidRPr="0071764B">
        <w:t>), while other species are unlikely to be impacted (</w:t>
      </w:r>
      <w:hyperlink w:anchor="_ENREF_65" w:tooltip="Collier, 2011 #9244" w:history="1">
        <w:r w:rsidR="00E6043D">
          <w:fldChar w:fldCharType="begin"/>
        </w:r>
        <w:r w:rsidR="00E6043D">
          <w:instrText xml:space="preserve"> ADDIN EN.CITE &lt;EndNote&gt;&lt;Cite&gt;&lt;Author&gt;Collier&lt;/Author&gt;&lt;Year&gt;2011&lt;/Year&gt;&lt;RecNum&gt;9244&lt;/RecNum&gt;&lt;DisplayText&gt;Collier&lt;style face="italic"&gt;, et al.&lt;/style&gt; 2011&lt;/DisplayText&gt;&lt;record&gt;&lt;rec-number&gt;9244&lt;/rec-number&gt;&lt;foreign-keys&gt;&lt;key app="EN" db-id="0eve55x9y5vfd6e9dacxtew4eatve2dzds9a"&gt;9244&lt;/key&gt;&lt;/foreign-keys&gt;&lt;ref-type name="Journal Article"&gt;17&lt;/ref-type&gt;&lt;contributors&gt;&lt;authors&gt;&lt;author&gt;Collier, C.J.&lt;/author&gt;&lt;author&gt;Uthicke, S.&lt;/author&gt;&lt;author&gt;Waycott, M.&lt;/author&gt;&lt;/authors&gt;&lt;/contributors&gt;&lt;titles&gt;&lt;title&gt;Thermal tolerance of two seagrass species at contrasting light levels: Implications for future distribution in the Great Barrier Reef&lt;/title&gt;&lt;secondary-title&gt;Limnology &amp;amp; Oceanography&lt;/secondary-title&gt;&lt;/titles&gt;&lt;periodical&gt;&lt;full-title&gt;Limnology &amp;amp; Oceanography&lt;/full-title&gt;&lt;/periodical&gt;&lt;pages&gt;2200-2210&lt;/pages&gt;&lt;volume&gt;56&lt;/volume&gt;&lt;number&gt;6&lt;/number&gt;&lt;dates&gt;&lt;year&gt;2011&lt;/year&gt;&lt;/dates&gt;&lt;urls&gt;&lt;/urls&gt;&lt;/record&gt;&lt;/Cite&gt;&lt;/EndNote&gt;</w:instrText>
        </w:r>
        <w:r w:rsidR="00E6043D">
          <w:fldChar w:fldCharType="separate"/>
        </w:r>
        <w:r w:rsidR="00E6043D">
          <w:rPr>
            <w:noProof/>
          </w:rPr>
          <w:t>Collier</w:t>
        </w:r>
        <w:r w:rsidR="00E6043D" w:rsidRPr="00644A84">
          <w:rPr>
            <w:i/>
            <w:noProof/>
          </w:rPr>
          <w:t>, et al.</w:t>
        </w:r>
        <w:r w:rsidR="00E6043D">
          <w:rPr>
            <w:noProof/>
          </w:rPr>
          <w:t xml:space="preserve"> 2011</w:t>
        </w:r>
        <w:r w:rsidR="00E6043D">
          <w:fldChar w:fldCharType="end"/>
        </w:r>
      </w:hyperlink>
      <w:r w:rsidRPr="0071764B">
        <w:t xml:space="preserve">). There was average daily tide exposure and only one day where extreme (&gt;40°C) water temperatures occurred (41°C at 5pm on 21 February 2015 at GH2). </w:t>
      </w:r>
    </w:p>
    <w:p w:rsidR="00583F77" w:rsidRDefault="007E1DF9" w:rsidP="007E1DF9">
      <w:pPr>
        <w:jc w:val="center"/>
        <w:rPr>
          <w:color w:val="000000"/>
          <w:szCs w:val="22"/>
        </w:rPr>
      </w:pPr>
      <w:r>
        <w:rPr>
          <w:noProof/>
          <w:color w:val="000000"/>
          <w:szCs w:val="22"/>
          <w:lang w:eastAsia="en-AU"/>
        </w:rPr>
        <w:drawing>
          <wp:inline distT="0" distB="0" distL="0" distR="0" wp14:anchorId="28CD313B" wp14:editId="62E66013">
            <wp:extent cx="5040000" cy="2739600"/>
            <wp:effectExtent l="0" t="0" r="8255" b="3810"/>
            <wp:docPr id="529" name="Picture 529" descr="Panel of two bar graphs showing number of days when inshore within canopy sea temperature exceeded 35°C, 38°C, 40°C and 43°C within each season and deviations at intertidal seagrass habitats from 11-year mean weekly temperature records for intertidal seagrass habitats in the Fitzroy NRM region from May 2007 to Ju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temperature_deviation_2015.pn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5040000" cy="2739600"/>
                    </a:xfrm>
                    <a:prstGeom prst="rect">
                      <a:avLst/>
                    </a:prstGeom>
                  </pic:spPr>
                </pic:pic>
              </a:graphicData>
            </a:graphic>
          </wp:inline>
        </w:drawing>
      </w:r>
    </w:p>
    <w:p w:rsidR="00583F77" w:rsidRPr="00EA10D7" w:rsidRDefault="00583F77" w:rsidP="00583F77">
      <w:pPr>
        <w:rPr>
          <w:i/>
          <w:vanish/>
          <w:color w:val="000000"/>
          <w:szCs w:val="22"/>
          <w:specVanish/>
        </w:rPr>
      </w:pPr>
      <w:bookmarkStart w:id="487" w:name="_Ref442348310"/>
      <w:bookmarkStart w:id="488" w:name="_Toc462684924"/>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84</w:t>
      </w:r>
      <w:r w:rsidR="0073595B">
        <w:rPr>
          <w:color w:val="000000"/>
        </w:rPr>
        <w:fldChar w:fldCharType="end"/>
      </w:r>
      <w:bookmarkEnd w:id="487"/>
      <w:r w:rsidRPr="00EA10D7">
        <w:rPr>
          <w:color w:val="000000"/>
        </w:rPr>
        <w:t xml:space="preserve">. </w:t>
      </w:r>
      <w:r w:rsidRPr="00EA10D7">
        <w:rPr>
          <w:i/>
          <w:color w:val="000000"/>
        </w:rPr>
        <w:t xml:space="preserve">Inshore sea temperatures within each intertidal seagrass habitat in the </w:t>
      </w:r>
      <w:r>
        <w:rPr>
          <w:i/>
          <w:color w:val="000000"/>
        </w:rPr>
        <w:t>Fitzroy</w:t>
      </w:r>
      <w:r w:rsidRPr="00EA10D7">
        <w:rPr>
          <w:i/>
          <w:color w:val="000000"/>
        </w:rPr>
        <w:t xml:space="preserve"> region, </w:t>
      </w:r>
      <w:r w:rsidR="00F45DFA">
        <w:rPr>
          <w:i/>
          <w:color w:val="000000"/>
        </w:rPr>
        <w:t>May 2007</w:t>
      </w:r>
      <w:r w:rsidRPr="00EA10D7">
        <w:rPr>
          <w:i/>
          <w:color w:val="000000"/>
        </w:rPr>
        <w:t xml:space="preserve"> - June 201</w:t>
      </w:r>
      <w:r w:rsidR="007E1DF9">
        <w:rPr>
          <w:i/>
          <w:color w:val="000000"/>
        </w:rPr>
        <w:t>5</w:t>
      </w:r>
      <w:bookmarkEnd w:id="488"/>
    </w:p>
    <w:p w:rsidR="00583F77" w:rsidRPr="00EA10D7" w:rsidRDefault="00583F77" w:rsidP="00583F77">
      <w:pPr>
        <w:rPr>
          <w:color w:val="000000"/>
        </w:rPr>
      </w:pPr>
      <w:r w:rsidRPr="00EA10D7">
        <w:rPr>
          <w:i/>
          <w:color w:val="000000"/>
        </w:rPr>
        <w:t xml:space="preserve">: a) number of days when temperature has exceeded 35°C, 38°C, 40°C and 43°C within each season (thresholds adapted from </w:t>
      </w:r>
      <w:hyperlink w:anchor="_ENREF_33" w:tooltip="Campbell, 2006 #2896" w:history="1">
        <w:r w:rsidR="00E6043D">
          <w:rPr>
            <w:i/>
            <w:color w:val="000000"/>
          </w:rPr>
          <w:fldChar w:fldCharType="begin"/>
        </w:r>
        <w:r w:rsidR="00E6043D">
          <w:rPr>
            <w:i/>
            <w:color w:val="000000"/>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E6043D">
          <w:rPr>
            <w:i/>
            <w:color w:val="000000"/>
          </w:rPr>
          <w:fldChar w:fldCharType="separate"/>
        </w:r>
        <w:r w:rsidR="00E6043D">
          <w:rPr>
            <w:i/>
            <w:noProof/>
            <w:color w:val="000000"/>
          </w:rPr>
          <w:t>Campbell, et al. 2006</w:t>
        </w:r>
        <w:r w:rsidR="00E6043D">
          <w:rPr>
            <w:i/>
            <w:color w:val="000000"/>
          </w:rPr>
          <w:fldChar w:fldCharType="end"/>
        </w:r>
      </w:hyperlink>
      <w:r w:rsidRPr="00EA10D7">
        <w:rPr>
          <w:i/>
          <w:color w:val="000000"/>
        </w:rPr>
        <w:t>); b) deviations from 1</w:t>
      </w:r>
      <w:r>
        <w:rPr>
          <w:i/>
          <w:color w:val="000000"/>
        </w:rPr>
        <w:t>1</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r w:rsidRPr="00EA10D7">
        <w:rPr>
          <w:color w:val="000000"/>
        </w:rPr>
        <w:t xml:space="preserve"> </w:t>
      </w:r>
    </w:p>
    <w:p w:rsidR="00FB58CF" w:rsidRPr="00712221" w:rsidRDefault="00FF0A86" w:rsidP="00926892">
      <w:pPr>
        <w:pStyle w:val="Heading3"/>
        <w:numPr>
          <w:ilvl w:val="2"/>
          <w:numId w:val="9"/>
        </w:numPr>
        <w:rPr>
          <w:rFonts w:ascii="Arial" w:hAnsi="Arial" w:cs="Arial"/>
          <w:color w:val="000000"/>
        </w:rPr>
      </w:pPr>
      <w:bookmarkStart w:id="489" w:name="_Toc462047363"/>
      <w:r>
        <w:rPr>
          <w:rFonts w:ascii="Arial" w:hAnsi="Arial" w:cs="Arial"/>
          <w:color w:val="000000"/>
        </w:rPr>
        <w:lastRenderedPageBreak/>
        <w:t>Indicators of seagrass condition</w:t>
      </w:r>
      <w:bookmarkEnd w:id="489"/>
    </w:p>
    <w:bookmarkEnd w:id="478"/>
    <w:p w:rsidR="00503E20" w:rsidRPr="004F2236" w:rsidRDefault="00503E20" w:rsidP="004F2236">
      <w:pPr>
        <w:pStyle w:val="Heading4"/>
        <w:numPr>
          <w:ilvl w:val="0"/>
          <w:numId w:val="0"/>
        </w:numPr>
        <w:rPr>
          <w:rFonts w:ascii="Arial" w:hAnsi="Arial" w:cs="Arial"/>
          <w:sz w:val="24"/>
          <w:szCs w:val="24"/>
        </w:rPr>
      </w:pPr>
      <w:r w:rsidRPr="004F2236">
        <w:rPr>
          <w:rFonts w:ascii="Arial" w:hAnsi="Arial" w:cs="Arial"/>
          <w:sz w:val="24"/>
          <w:szCs w:val="24"/>
        </w:rPr>
        <w:t>Seagrass abundance, composition and extent</w:t>
      </w:r>
    </w:p>
    <w:p w:rsidR="007E1DF9" w:rsidRDefault="007E1DF9" w:rsidP="00D7797C">
      <w:pPr>
        <w:rPr>
          <w:color w:val="000000"/>
          <w:szCs w:val="22"/>
        </w:rPr>
      </w:pPr>
      <w:r w:rsidRPr="007E1DF9">
        <w:rPr>
          <w:color w:val="000000"/>
          <w:szCs w:val="22"/>
        </w:rPr>
        <w:t>The regional seagrass abundance score increased slightly in 2014-15 but the state remained poor (</w:t>
      </w:r>
      <w:r w:rsidR="00433675">
        <w:rPr>
          <w:color w:val="000000"/>
          <w:szCs w:val="22"/>
        </w:rPr>
        <w:fldChar w:fldCharType="begin"/>
      </w:r>
      <w:r w:rsidR="00433675">
        <w:rPr>
          <w:color w:val="000000"/>
          <w:szCs w:val="22"/>
        </w:rPr>
        <w:instrText xml:space="preserve"> REF _Ref442349493 \h </w:instrText>
      </w:r>
      <w:r w:rsidR="00433675">
        <w:rPr>
          <w:color w:val="000000"/>
          <w:szCs w:val="22"/>
        </w:rPr>
      </w:r>
      <w:r w:rsidR="00433675">
        <w:rPr>
          <w:color w:val="000000"/>
          <w:szCs w:val="22"/>
        </w:rPr>
        <w:fldChar w:fldCharType="separate"/>
      </w:r>
      <w:r w:rsidR="009C068F" w:rsidRPr="005C796F">
        <w:rPr>
          <w:color w:val="000000"/>
        </w:rPr>
        <w:t xml:space="preserve">Figure </w:t>
      </w:r>
      <w:r w:rsidR="009C068F">
        <w:rPr>
          <w:noProof/>
          <w:color w:val="000000"/>
        </w:rPr>
        <w:t>81</w:t>
      </w:r>
      <w:r w:rsidR="00433675">
        <w:rPr>
          <w:color w:val="000000"/>
          <w:szCs w:val="22"/>
        </w:rPr>
        <w:fldChar w:fldCharType="end"/>
      </w:r>
      <w:r w:rsidRPr="007E1DF9">
        <w:rPr>
          <w:color w:val="000000"/>
          <w:szCs w:val="22"/>
        </w:rPr>
        <w:t xml:space="preserve">). Seagrass abundance </w:t>
      </w:r>
      <w:r w:rsidR="00C60158" w:rsidRPr="007E1DF9">
        <w:rPr>
          <w:color w:val="000000"/>
          <w:szCs w:val="22"/>
        </w:rPr>
        <w:t xml:space="preserve">declined </w:t>
      </w:r>
      <w:r w:rsidRPr="007E1DF9">
        <w:rPr>
          <w:color w:val="000000"/>
          <w:szCs w:val="22"/>
        </w:rPr>
        <w:t>at estuarine and coastal habitats, but remained unchanged at reef sites. The long-term average seagrass abundances at coastal habitats in the Fitzroy region were seasonally lower in the monsoon (16.7 ±1.1%) than the late dry (20.6 ±1.5%)</w:t>
      </w:r>
      <w:r w:rsidR="007B4164">
        <w:rPr>
          <w:color w:val="000000"/>
          <w:szCs w:val="22"/>
        </w:rPr>
        <w:t xml:space="preserve"> </w:t>
      </w:r>
      <w:proofErr w:type="gramStart"/>
      <w:r w:rsidR="007B4164">
        <w:rPr>
          <w:color w:val="000000"/>
          <w:szCs w:val="22"/>
        </w:rPr>
        <w:t>(</w:t>
      </w:r>
      <w:r w:rsidR="007B4164">
        <w:rPr>
          <w:color w:val="000000"/>
          <w:szCs w:val="22"/>
        </w:rPr>
        <w:fldChar w:fldCharType="begin"/>
      </w:r>
      <w:r w:rsidR="007B4164">
        <w:rPr>
          <w:color w:val="000000"/>
          <w:szCs w:val="22"/>
        </w:rPr>
        <w:instrText xml:space="preserve"> REF _Ref179509292 \h </w:instrText>
      </w:r>
      <w:r w:rsidR="007B4164">
        <w:rPr>
          <w:color w:val="000000"/>
          <w:szCs w:val="22"/>
        </w:rPr>
      </w:r>
      <w:r w:rsidR="007B4164">
        <w:rPr>
          <w:color w:val="000000"/>
          <w:szCs w:val="22"/>
        </w:rPr>
        <w:fldChar w:fldCharType="separate"/>
      </w:r>
      <w:r w:rsidR="009C068F" w:rsidRPr="00972140">
        <w:rPr>
          <w:color w:val="000000"/>
        </w:rPr>
        <w:t xml:space="preserve">Figure </w:t>
      </w:r>
      <w:r w:rsidR="009C068F">
        <w:rPr>
          <w:noProof/>
          <w:color w:val="000000"/>
        </w:rPr>
        <w:t>85</w:t>
      </w:r>
      <w:r w:rsidR="007B4164">
        <w:rPr>
          <w:color w:val="000000"/>
          <w:szCs w:val="22"/>
        </w:rPr>
        <w:fldChar w:fldCharType="end"/>
      </w:r>
      <w:r w:rsidR="007B4164">
        <w:rPr>
          <w:color w:val="000000"/>
          <w:szCs w:val="22"/>
        </w:rPr>
        <w:t>)</w:t>
      </w:r>
      <w:r w:rsidRPr="007E1DF9">
        <w:rPr>
          <w:color w:val="000000"/>
          <w:szCs w:val="22"/>
        </w:rPr>
        <w:t>.</w:t>
      </w:r>
      <w:proofErr w:type="gramEnd"/>
      <w:r w:rsidRPr="007E1DF9">
        <w:rPr>
          <w:color w:val="000000"/>
          <w:szCs w:val="22"/>
        </w:rPr>
        <w:t xml:space="preserve"> In 2014-15, coastal average abundances in the late dry were less than half the long-term (10 year) seasonal average. Estuarine abundances in late dry 2014-15 were near 40% lower than the long term average, while reef abundances were approximately 20% higher than the long term average.</w:t>
      </w:r>
    </w:p>
    <w:p w:rsidR="007E1DF9" w:rsidRDefault="007E1DF9" w:rsidP="00271910">
      <w:pPr>
        <w:keepNext/>
        <w:widowControl w:val="0"/>
        <w:spacing w:after="0"/>
        <w:jc w:val="center"/>
        <w:rPr>
          <w:color w:val="000000"/>
          <w:szCs w:val="22"/>
        </w:rPr>
      </w:pPr>
      <w:r>
        <w:rPr>
          <w:noProof/>
          <w:color w:val="000000"/>
          <w:szCs w:val="22"/>
          <w:lang w:eastAsia="en-AU"/>
        </w:rPr>
        <w:drawing>
          <wp:inline distT="0" distB="0" distL="0" distR="0" wp14:anchorId="3B00A938" wp14:editId="2368ADE6">
            <wp:extent cx="4513304" cy="3245476"/>
            <wp:effectExtent l="0" t="0" r="1905" b="0"/>
            <wp:docPr id="531" name="Picture 531" descr="Panel of three area plots showing proportion of seagrass abundance composed of species displaying colonising traits at inshore habitats in the Fitzroy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SG15.pn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4513304" cy="3245476"/>
                    </a:xfrm>
                    <a:prstGeom prst="rect">
                      <a:avLst/>
                    </a:prstGeom>
                  </pic:spPr>
                </pic:pic>
              </a:graphicData>
            </a:graphic>
          </wp:inline>
        </w:drawing>
      </w:r>
    </w:p>
    <w:p w:rsidR="00244FEE" w:rsidRPr="00972140" w:rsidRDefault="00B83745" w:rsidP="00244FEE">
      <w:pPr>
        <w:rPr>
          <w:i/>
          <w:vanish/>
          <w:color w:val="000000"/>
          <w:szCs w:val="22"/>
          <w:specVanish/>
        </w:rPr>
      </w:pPr>
      <w:bookmarkStart w:id="490" w:name="_Ref179509292"/>
      <w:bookmarkStart w:id="491" w:name="_Toc176158918"/>
      <w:bookmarkStart w:id="492" w:name="_Toc232846013"/>
      <w:bookmarkStart w:id="493" w:name="_Toc431493887"/>
      <w:bookmarkStart w:id="494" w:name="_Toc462684925"/>
      <w:r w:rsidRPr="00972140">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85</w:t>
      </w:r>
      <w:r w:rsidR="0073595B">
        <w:rPr>
          <w:color w:val="000000"/>
        </w:rPr>
        <w:fldChar w:fldCharType="end"/>
      </w:r>
      <w:bookmarkEnd w:id="490"/>
      <w:r w:rsidRPr="00972140">
        <w:rPr>
          <w:color w:val="000000"/>
        </w:rPr>
        <w:t xml:space="preserve">. </w:t>
      </w:r>
      <w:bookmarkEnd w:id="491"/>
      <w:bookmarkEnd w:id="492"/>
      <w:r w:rsidRPr="00972140">
        <w:rPr>
          <w:i/>
          <w:color w:val="000000"/>
        </w:rPr>
        <w:t xml:space="preserve">Changes in seagrass abundance (% cover ±Standard Error) in </w:t>
      </w:r>
      <w:r w:rsidR="00244FEE" w:rsidRPr="00972140">
        <w:rPr>
          <w:i/>
          <w:color w:val="000000"/>
        </w:rPr>
        <w:t>inshore intertidal habitats of the Fitzroy region, 2001 - 201</w:t>
      </w:r>
      <w:r w:rsidR="007E1DF9" w:rsidRPr="00972140">
        <w:rPr>
          <w:i/>
          <w:color w:val="000000"/>
        </w:rPr>
        <w:t>5</w:t>
      </w:r>
      <w:bookmarkEnd w:id="493"/>
      <w:bookmarkEnd w:id="494"/>
    </w:p>
    <w:p w:rsidR="00244FEE" w:rsidRDefault="00244FEE" w:rsidP="00244FEE">
      <w:pPr>
        <w:rPr>
          <w:color w:val="000000"/>
        </w:rPr>
      </w:pPr>
      <w:r w:rsidRPr="00972140">
        <w:rPr>
          <w:i/>
          <w:color w:val="000000"/>
        </w:rPr>
        <w:t xml:space="preserve">: </w:t>
      </w:r>
      <w:r w:rsidR="00B83745" w:rsidRPr="00972140">
        <w:rPr>
          <w:i/>
          <w:color w:val="000000"/>
        </w:rPr>
        <w:t>a) estuarine (</w:t>
      </w:r>
      <w:smartTag w:uri="urn:schemas-microsoft-com:office:smarttags" w:element="PlaceName">
        <w:r w:rsidR="00B83745" w:rsidRPr="00972140">
          <w:rPr>
            <w:i/>
            <w:color w:val="000000"/>
          </w:rPr>
          <w:t>Gladstone</w:t>
        </w:r>
      </w:smartTag>
      <w:r w:rsidR="00B83745" w:rsidRPr="00972140">
        <w:rPr>
          <w:i/>
          <w:color w:val="000000"/>
        </w:rPr>
        <w:t xml:space="preserve"> </w:t>
      </w:r>
      <w:smartTag w:uri="urn:schemas-microsoft-com:office:smarttags" w:element="PlaceType">
        <w:r w:rsidR="00B83745" w:rsidRPr="00972140">
          <w:rPr>
            <w:i/>
            <w:color w:val="000000"/>
          </w:rPr>
          <w:t>Harbour</w:t>
        </w:r>
      </w:smartTag>
      <w:r w:rsidR="00B83745" w:rsidRPr="00972140">
        <w:rPr>
          <w:i/>
          <w:color w:val="000000"/>
        </w:rPr>
        <w:t>, b) coastal (</w:t>
      </w:r>
      <w:smartTag w:uri="urn:schemas-microsoft-com:office:smarttags" w:element="PlaceName">
        <w:r w:rsidR="00B83745" w:rsidRPr="00972140">
          <w:rPr>
            <w:i/>
            <w:color w:val="000000"/>
          </w:rPr>
          <w:t>Shoalwater</w:t>
        </w:r>
      </w:smartTag>
      <w:r w:rsidR="00B83745" w:rsidRPr="00972140">
        <w:rPr>
          <w:i/>
          <w:color w:val="000000"/>
        </w:rPr>
        <w:t xml:space="preserve"> </w:t>
      </w:r>
      <w:smartTag w:uri="urn:schemas-microsoft-com:office:smarttags" w:element="PlaceType">
        <w:r w:rsidR="00B83745" w:rsidRPr="00972140">
          <w:rPr>
            <w:i/>
            <w:color w:val="000000"/>
          </w:rPr>
          <w:t>Bay</w:t>
        </w:r>
      </w:smartTag>
      <w:r w:rsidR="00B83745" w:rsidRPr="00972140">
        <w:rPr>
          <w:i/>
          <w:color w:val="000000"/>
        </w:rPr>
        <w:t>) and c) reef (</w:t>
      </w:r>
      <w:smartTag w:uri="urn:schemas-microsoft-com:office:smarttags" w:element="place">
        <w:smartTag w:uri="urn:schemas-microsoft-com:office:smarttags" w:element="PlaceName">
          <w:r w:rsidR="00B83745" w:rsidRPr="00972140">
            <w:rPr>
              <w:i/>
              <w:color w:val="000000"/>
            </w:rPr>
            <w:t>Great</w:t>
          </w:r>
        </w:smartTag>
        <w:r w:rsidR="00B83745" w:rsidRPr="00972140">
          <w:rPr>
            <w:i/>
            <w:color w:val="000000"/>
          </w:rPr>
          <w:t xml:space="preserve"> </w:t>
        </w:r>
        <w:smartTag w:uri="urn:schemas-microsoft-com:office:smarttags" w:element="PlaceName">
          <w:r w:rsidR="00B83745" w:rsidRPr="00972140">
            <w:rPr>
              <w:i/>
              <w:color w:val="000000"/>
            </w:rPr>
            <w:t>Keppel</w:t>
          </w:r>
        </w:smartTag>
        <w:r w:rsidR="00B83745" w:rsidRPr="00972140">
          <w:rPr>
            <w:i/>
            <w:color w:val="000000"/>
          </w:rPr>
          <w:t xml:space="preserve"> </w:t>
        </w:r>
        <w:smartTag w:uri="urn:schemas-microsoft-com:office:smarttags" w:element="PlaceType">
          <w:r w:rsidR="00B83745" w:rsidRPr="00972140">
            <w:rPr>
              <w:i/>
              <w:color w:val="000000"/>
            </w:rPr>
            <w:t>Island</w:t>
          </w:r>
        </w:smartTag>
      </w:smartTag>
      <w:r w:rsidR="00B83745" w:rsidRPr="00972140">
        <w:rPr>
          <w:i/>
          <w:color w:val="000000"/>
        </w:rPr>
        <w:t xml:space="preserve">). </w:t>
      </w:r>
      <w:proofErr w:type="spellStart"/>
      <w:r w:rsidR="00B83745" w:rsidRPr="00972140">
        <w:rPr>
          <w:i/>
          <w:color w:val="000000"/>
        </w:rPr>
        <w:t>Trendline</w:t>
      </w:r>
      <w:proofErr w:type="spellEnd"/>
      <w:r w:rsidR="00B83745" w:rsidRPr="00972140">
        <w:rPr>
          <w:i/>
          <w:color w:val="000000"/>
        </w:rPr>
        <w:t xml:space="preserve"> is 3rd order polynomial, 95% confidence intervals displayed, estuarine r</w:t>
      </w:r>
      <w:r w:rsidR="00B83745" w:rsidRPr="00972140">
        <w:rPr>
          <w:i/>
          <w:color w:val="000000"/>
          <w:vertAlign w:val="superscript"/>
        </w:rPr>
        <w:t>2</w:t>
      </w:r>
      <w:r w:rsidR="00B83745" w:rsidRPr="00972140">
        <w:rPr>
          <w:i/>
          <w:color w:val="000000"/>
        </w:rPr>
        <w:t xml:space="preserve"> = 0.0</w:t>
      </w:r>
      <w:r w:rsidR="00972140" w:rsidRPr="00972140">
        <w:rPr>
          <w:i/>
          <w:color w:val="000000"/>
        </w:rPr>
        <w:t>6</w:t>
      </w:r>
      <w:r w:rsidR="00B83745" w:rsidRPr="00972140">
        <w:rPr>
          <w:i/>
          <w:color w:val="000000"/>
        </w:rPr>
        <w:t xml:space="preserve">, </w:t>
      </w:r>
      <w:r w:rsidRPr="00972140">
        <w:rPr>
          <w:i/>
          <w:color w:val="000000"/>
        </w:rPr>
        <w:t xml:space="preserve">coastal </w:t>
      </w:r>
      <w:r w:rsidR="00B83745" w:rsidRPr="00972140">
        <w:rPr>
          <w:i/>
          <w:color w:val="000000"/>
        </w:rPr>
        <w:t>r</w:t>
      </w:r>
      <w:r w:rsidR="00B83745" w:rsidRPr="00972140">
        <w:rPr>
          <w:i/>
          <w:color w:val="000000"/>
          <w:vertAlign w:val="superscript"/>
        </w:rPr>
        <w:t>2</w:t>
      </w:r>
      <w:r w:rsidR="00B83745" w:rsidRPr="00972140">
        <w:rPr>
          <w:i/>
          <w:color w:val="000000"/>
        </w:rPr>
        <w:t xml:space="preserve"> = 0.6</w:t>
      </w:r>
      <w:r w:rsidR="00972140" w:rsidRPr="00972140">
        <w:rPr>
          <w:i/>
          <w:color w:val="000000"/>
        </w:rPr>
        <w:t>6</w:t>
      </w:r>
      <w:r w:rsidR="00B83745" w:rsidRPr="00972140">
        <w:rPr>
          <w:i/>
          <w:color w:val="000000"/>
        </w:rPr>
        <w:t>, and reef r</w:t>
      </w:r>
      <w:r w:rsidR="00B83745" w:rsidRPr="00972140">
        <w:rPr>
          <w:i/>
          <w:color w:val="000000"/>
          <w:vertAlign w:val="superscript"/>
        </w:rPr>
        <w:t>2</w:t>
      </w:r>
      <w:r w:rsidR="00B83745" w:rsidRPr="00972140">
        <w:rPr>
          <w:i/>
          <w:color w:val="000000"/>
        </w:rPr>
        <w:t xml:space="preserve"> = 0.3</w:t>
      </w:r>
      <w:r w:rsidR="00972140" w:rsidRPr="00972140">
        <w:rPr>
          <w:i/>
          <w:color w:val="000000"/>
        </w:rPr>
        <w:t>8</w:t>
      </w:r>
      <w:r w:rsidR="00B83745" w:rsidRPr="00972140">
        <w:rPr>
          <w:i/>
          <w:color w:val="000000"/>
        </w:rPr>
        <w:t>.</w:t>
      </w:r>
      <w:r w:rsidRPr="00867BC7">
        <w:rPr>
          <w:color w:val="000000"/>
        </w:rPr>
        <w:t xml:space="preserve"> </w:t>
      </w:r>
    </w:p>
    <w:p w:rsidR="002868E0" w:rsidRPr="00867BC7" w:rsidRDefault="002868E0" w:rsidP="00244FEE">
      <w:pPr>
        <w:rPr>
          <w:color w:val="000000"/>
        </w:rPr>
      </w:pPr>
      <w:r w:rsidRPr="002868E0">
        <w:rPr>
          <w:color w:val="000000"/>
        </w:rPr>
        <w:t xml:space="preserve">An examination of the long term trends across the Fitzroy NRM region suggests seagrass abundance (% cover) slightly increased from 2002 to 2008, but has since progressively declined </w:t>
      </w:r>
      <w:r>
        <w:rPr>
          <w:color w:val="000000"/>
        </w:rPr>
        <w:t>since</w:t>
      </w:r>
      <w:r w:rsidRPr="002868E0">
        <w:rPr>
          <w:color w:val="000000"/>
        </w:rPr>
        <w:t xml:space="preserve"> (</w:t>
      </w:r>
      <w:r>
        <w:rPr>
          <w:color w:val="000000"/>
        </w:rPr>
        <w:fldChar w:fldCharType="begin"/>
      </w:r>
      <w:r>
        <w:rPr>
          <w:color w:val="000000"/>
        </w:rPr>
        <w:instrText xml:space="preserve"> REF _Ref442347820 \h </w:instrText>
      </w:r>
      <w:r>
        <w:rPr>
          <w:color w:val="000000"/>
        </w:rPr>
      </w:r>
      <w:r>
        <w:rPr>
          <w:color w:val="000000"/>
        </w:rPr>
        <w:fldChar w:fldCharType="separate"/>
      </w:r>
      <w:r w:rsidR="009C068F">
        <w:t xml:space="preserve">Figure </w:t>
      </w:r>
      <w:r w:rsidR="009C068F">
        <w:rPr>
          <w:noProof/>
        </w:rPr>
        <w:t>86</w:t>
      </w:r>
      <w:r>
        <w:rPr>
          <w:color w:val="000000"/>
        </w:rPr>
        <w:fldChar w:fldCharType="end"/>
      </w:r>
      <w:r w:rsidRPr="002868E0">
        <w:rPr>
          <w:color w:val="000000"/>
        </w:rPr>
        <w:t xml:space="preserve">). </w:t>
      </w:r>
    </w:p>
    <w:p w:rsidR="00F520E9" w:rsidRDefault="00F520E9" w:rsidP="00F520E9">
      <w:pPr>
        <w:keepNext/>
        <w:widowControl w:val="0"/>
        <w:spacing w:after="0"/>
        <w:jc w:val="center"/>
        <w:rPr>
          <w:color w:val="000000"/>
          <w:szCs w:val="22"/>
        </w:rPr>
      </w:pPr>
      <w:r>
        <w:rPr>
          <w:noProof/>
          <w:color w:val="000000"/>
          <w:szCs w:val="22"/>
          <w:lang w:eastAsia="en-AU"/>
        </w:rPr>
        <w:drawing>
          <wp:inline distT="0" distB="0" distL="0" distR="0" wp14:anchorId="01E42142" wp14:editId="27DC8625">
            <wp:extent cx="3240000" cy="1897200"/>
            <wp:effectExtent l="0" t="0" r="0" b="8255"/>
            <wp:docPr id="139" name="Picture 139" descr="GAM plot showing long-term temporal trends in seagrass abundance for each location in the Fitzroy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F_cvr_GAM_Jan16.png"/>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3240000" cy="1897200"/>
                    </a:xfrm>
                    <a:prstGeom prst="rect">
                      <a:avLst/>
                    </a:prstGeom>
                  </pic:spPr>
                </pic:pic>
              </a:graphicData>
            </a:graphic>
          </wp:inline>
        </w:drawing>
      </w:r>
    </w:p>
    <w:p w:rsidR="002868E0" w:rsidRPr="002E6AD0" w:rsidRDefault="00F520E9" w:rsidP="002868E0">
      <w:pPr>
        <w:pStyle w:val="Caption"/>
        <w:rPr>
          <w:i/>
          <w:vanish/>
          <w:specVanish/>
        </w:rPr>
      </w:pPr>
      <w:bookmarkStart w:id="495" w:name="_Ref442347820"/>
      <w:bookmarkStart w:id="496" w:name="_Toc462684926"/>
      <w:r>
        <w:t xml:space="preserve">Figure </w:t>
      </w:r>
      <w:r w:rsidR="0073595B">
        <w:fldChar w:fldCharType="begin"/>
      </w:r>
      <w:r w:rsidR="0073595B">
        <w:instrText xml:space="preserve"> SEQ Figure \* ARABIC </w:instrText>
      </w:r>
      <w:r w:rsidR="0073595B">
        <w:fldChar w:fldCharType="separate"/>
      </w:r>
      <w:r w:rsidR="009C068F">
        <w:rPr>
          <w:noProof/>
        </w:rPr>
        <w:t>86</w:t>
      </w:r>
      <w:r w:rsidR="0073595B">
        <w:fldChar w:fldCharType="end"/>
      </w:r>
      <w:bookmarkEnd w:id="495"/>
      <w:r>
        <w:t xml:space="preserve">.  </w:t>
      </w:r>
      <w:r w:rsidR="002868E0" w:rsidRPr="002868E0">
        <w:rPr>
          <w:i/>
        </w:rPr>
        <w:t>Temporal</w:t>
      </w:r>
      <w:r w:rsidR="002868E0">
        <w:t xml:space="preserve"> </w:t>
      </w:r>
      <w:r w:rsidR="002868E0" w:rsidRPr="002E6AD0">
        <w:rPr>
          <w:i/>
        </w:rPr>
        <w:t xml:space="preserve">trends </w:t>
      </w:r>
      <w:r w:rsidR="002868E0">
        <w:rPr>
          <w:i/>
        </w:rPr>
        <w:t>in s</w:t>
      </w:r>
      <w:r w:rsidR="002868E0" w:rsidRPr="002E6AD0">
        <w:rPr>
          <w:i/>
        </w:rPr>
        <w:t xml:space="preserve">eagrass abundance </w:t>
      </w:r>
      <w:r w:rsidR="002868E0">
        <w:rPr>
          <w:i/>
        </w:rPr>
        <w:t xml:space="preserve">for each habitat </w:t>
      </w:r>
      <w:r w:rsidR="002868E0" w:rsidRPr="002E6AD0">
        <w:rPr>
          <w:i/>
        </w:rPr>
        <w:t>in the Fitzroy region</w:t>
      </w:r>
      <w:r w:rsidR="00C25BF0">
        <w:rPr>
          <w:i/>
        </w:rPr>
        <w:t>,</w:t>
      </w:r>
      <w:r w:rsidR="00C25BF0" w:rsidRPr="00C25BF0">
        <w:rPr>
          <w:i/>
        </w:rPr>
        <w:t xml:space="preserve"> represented by a GAM plot</w:t>
      </w:r>
      <w:r w:rsidR="00C25BF0" w:rsidRPr="001A5B38">
        <w:rPr>
          <w:i/>
        </w:rPr>
        <w:t xml:space="preserve"> </w:t>
      </w:r>
      <w:r w:rsidR="00F45DFA">
        <w:rPr>
          <w:i/>
        </w:rPr>
        <w:t>2001</w:t>
      </w:r>
      <w:r w:rsidR="00C25BF0" w:rsidRPr="001A5B38">
        <w:rPr>
          <w:i/>
        </w:rPr>
        <w:t>-2015</w:t>
      </w:r>
      <w:r w:rsidR="002868E0" w:rsidRPr="002E6AD0">
        <w:rPr>
          <w:i/>
        </w:rPr>
        <w:t>.</w:t>
      </w:r>
      <w:bookmarkEnd w:id="496"/>
      <w:r w:rsidR="002868E0" w:rsidRPr="002E6AD0">
        <w:rPr>
          <w:i/>
        </w:rPr>
        <w:t xml:space="preserve"> </w:t>
      </w:r>
    </w:p>
    <w:p w:rsidR="00F520E9" w:rsidRDefault="002868E0" w:rsidP="002868E0">
      <w:pPr>
        <w:rPr>
          <w:i/>
        </w:rPr>
      </w:pPr>
      <w:r w:rsidRPr="002E6AD0">
        <w:rPr>
          <w:i/>
          <w:lang w:val="en-GB"/>
        </w:rPr>
        <w:t xml:space="preserve"> </w:t>
      </w:r>
      <w:r w:rsidRPr="002E6AD0">
        <w:rPr>
          <w:i/>
        </w:rPr>
        <w:t xml:space="preserve"> </w:t>
      </w:r>
      <w:r>
        <w:rPr>
          <w:i/>
        </w:rPr>
        <w:t xml:space="preserve">Regional trend (all habitats pooled) </w:t>
      </w:r>
      <w:r w:rsidRPr="002E6AD0">
        <w:rPr>
          <w:i/>
        </w:rPr>
        <w:t>represented by bl</w:t>
      </w:r>
      <w:r>
        <w:rPr>
          <w:i/>
        </w:rPr>
        <w:t>ack</w:t>
      </w:r>
      <w:r w:rsidRPr="002E6AD0">
        <w:rPr>
          <w:i/>
        </w:rPr>
        <w:t xml:space="preserve"> line with </w:t>
      </w:r>
      <w:r>
        <w:rPr>
          <w:i/>
        </w:rPr>
        <w:t>grey</w:t>
      </w:r>
      <w:r w:rsidRPr="002E6AD0">
        <w:rPr>
          <w:i/>
        </w:rPr>
        <w:t xml:space="preserve"> shaded areas defining 95% confidence intervals.</w:t>
      </w:r>
    </w:p>
    <w:p w:rsidR="007E1DF9" w:rsidRDefault="007E1DF9" w:rsidP="00034AD4">
      <w:pPr>
        <w:rPr>
          <w:color w:val="000000"/>
          <w:szCs w:val="22"/>
        </w:rPr>
      </w:pPr>
      <w:r w:rsidRPr="007E1DF9">
        <w:rPr>
          <w:color w:val="000000"/>
          <w:szCs w:val="22"/>
        </w:rPr>
        <w:lastRenderedPageBreak/>
        <w:t xml:space="preserve">Coastal meadows in Shoalwater Bay (Ross Creek and </w:t>
      </w:r>
      <w:proofErr w:type="spellStart"/>
      <w:r w:rsidRPr="007E1DF9">
        <w:rPr>
          <w:color w:val="000000"/>
          <w:szCs w:val="22"/>
        </w:rPr>
        <w:t>Wheelans</w:t>
      </w:r>
      <w:proofErr w:type="spellEnd"/>
      <w:r w:rsidRPr="007E1DF9">
        <w:rPr>
          <w:color w:val="000000"/>
          <w:szCs w:val="22"/>
        </w:rPr>
        <w:t xml:space="preserve"> Hut) had an increased proportion of colonising species (</w:t>
      </w:r>
      <w:r w:rsidRPr="00972140">
        <w:rPr>
          <w:i/>
          <w:color w:val="000000"/>
          <w:szCs w:val="22"/>
        </w:rPr>
        <w:t xml:space="preserve">H. </w:t>
      </w:r>
      <w:proofErr w:type="spellStart"/>
      <w:r w:rsidRPr="00972140">
        <w:rPr>
          <w:i/>
          <w:color w:val="000000"/>
          <w:szCs w:val="22"/>
        </w:rPr>
        <w:t>ovalis</w:t>
      </w:r>
      <w:proofErr w:type="spellEnd"/>
      <w:r w:rsidRPr="007E1DF9">
        <w:rPr>
          <w:color w:val="000000"/>
          <w:szCs w:val="22"/>
        </w:rPr>
        <w:t xml:space="preserve">) after 2011 but remained dominated (&gt;0.5) by the opportunistic species </w:t>
      </w:r>
      <w:r w:rsidRPr="00972140">
        <w:rPr>
          <w:i/>
          <w:color w:val="000000"/>
          <w:szCs w:val="22"/>
        </w:rPr>
        <w:t xml:space="preserve">Z. </w:t>
      </w:r>
      <w:proofErr w:type="spellStart"/>
      <w:r w:rsidRPr="00972140">
        <w:rPr>
          <w:i/>
          <w:color w:val="000000"/>
          <w:szCs w:val="22"/>
        </w:rPr>
        <w:t>muelleri</w:t>
      </w:r>
      <w:proofErr w:type="spellEnd"/>
      <w:r w:rsidRPr="007E1DF9">
        <w:rPr>
          <w:color w:val="000000"/>
          <w:szCs w:val="22"/>
        </w:rPr>
        <w:t xml:space="preserve">, and </w:t>
      </w:r>
      <w:r w:rsidRPr="00972140">
        <w:rPr>
          <w:i/>
          <w:color w:val="000000"/>
          <w:szCs w:val="22"/>
        </w:rPr>
        <w:t xml:space="preserve">H. </w:t>
      </w:r>
      <w:proofErr w:type="spellStart"/>
      <w:r w:rsidRPr="00972140">
        <w:rPr>
          <w:i/>
          <w:color w:val="000000"/>
          <w:szCs w:val="22"/>
        </w:rPr>
        <w:t>uninervis</w:t>
      </w:r>
      <w:proofErr w:type="spellEnd"/>
      <w:r w:rsidR="00433675">
        <w:rPr>
          <w:i/>
          <w:color w:val="000000"/>
          <w:szCs w:val="22"/>
        </w:rPr>
        <w:t xml:space="preserve"> </w:t>
      </w:r>
      <w:r w:rsidR="00433675" w:rsidRPr="00433675">
        <w:rPr>
          <w:color w:val="000000"/>
          <w:szCs w:val="22"/>
        </w:rPr>
        <w:t>(</w:t>
      </w:r>
      <w:r w:rsidR="00433675">
        <w:rPr>
          <w:color w:val="000000"/>
          <w:szCs w:val="22"/>
        </w:rPr>
        <w:fldChar w:fldCharType="begin"/>
      </w:r>
      <w:r w:rsidR="00433675">
        <w:rPr>
          <w:color w:val="000000"/>
          <w:szCs w:val="22"/>
        </w:rPr>
        <w:instrText xml:space="preserve"> REF _Ref382209569 \h </w:instrText>
      </w:r>
      <w:r w:rsidR="00433675">
        <w:rPr>
          <w:color w:val="000000"/>
          <w:szCs w:val="22"/>
        </w:rPr>
      </w:r>
      <w:r w:rsidR="00433675">
        <w:rPr>
          <w:color w:val="000000"/>
          <w:szCs w:val="22"/>
        </w:rPr>
        <w:fldChar w:fldCharType="separate"/>
      </w:r>
      <w:r w:rsidR="009C068F" w:rsidRPr="006B4212">
        <w:rPr>
          <w:color w:val="000000"/>
        </w:rPr>
        <w:t xml:space="preserve">Figure </w:t>
      </w:r>
      <w:r w:rsidR="009C068F">
        <w:rPr>
          <w:noProof/>
          <w:color w:val="000000"/>
        </w:rPr>
        <w:t>87</w:t>
      </w:r>
      <w:r w:rsidR="00433675">
        <w:rPr>
          <w:color w:val="000000"/>
          <w:szCs w:val="22"/>
        </w:rPr>
        <w:fldChar w:fldCharType="end"/>
      </w:r>
      <w:r w:rsidR="00433675" w:rsidRPr="00433675">
        <w:rPr>
          <w:color w:val="000000"/>
          <w:szCs w:val="22"/>
        </w:rPr>
        <w:t>)</w:t>
      </w:r>
      <w:r w:rsidRPr="007E1DF9">
        <w:rPr>
          <w:color w:val="000000"/>
          <w:szCs w:val="22"/>
        </w:rPr>
        <w:t xml:space="preserve">. In 2014-15, the proportion of these opportunistic species continued to increase as colonising species dominance declined. The proportion of colonising species at the estuarine </w:t>
      </w:r>
      <w:r w:rsidR="00433675">
        <w:rPr>
          <w:color w:val="000000"/>
          <w:szCs w:val="22"/>
        </w:rPr>
        <w:t>habitat</w:t>
      </w:r>
      <w:r w:rsidRPr="007E1DF9">
        <w:rPr>
          <w:color w:val="000000"/>
          <w:szCs w:val="22"/>
        </w:rPr>
        <w:t xml:space="preserve">, has also declined in the past 2 years in favour of </w:t>
      </w:r>
      <w:r w:rsidRPr="00433675">
        <w:rPr>
          <w:i/>
          <w:color w:val="000000"/>
          <w:szCs w:val="22"/>
        </w:rPr>
        <w:t xml:space="preserve">Z. </w:t>
      </w:r>
      <w:proofErr w:type="spellStart"/>
      <w:r w:rsidRPr="00433675">
        <w:rPr>
          <w:i/>
          <w:color w:val="000000"/>
          <w:szCs w:val="22"/>
        </w:rPr>
        <w:t>muelleri</w:t>
      </w:r>
      <w:proofErr w:type="spellEnd"/>
      <w:r w:rsidRPr="007E1DF9">
        <w:rPr>
          <w:color w:val="000000"/>
          <w:szCs w:val="22"/>
        </w:rPr>
        <w:t xml:space="preserve">.  At the reef </w:t>
      </w:r>
      <w:r w:rsidR="00433675">
        <w:rPr>
          <w:color w:val="000000"/>
          <w:szCs w:val="22"/>
        </w:rPr>
        <w:t>habitat</w:t>
      </w:r>
      <w:r w:rsidRPr="007E1DF9">
        <w:rPr>
          <w:color w:val="000000"/>
          <w:szCs w:val="22"/>
        </w:rPr>
        <w:t xml:space="preserve">, total abundance is very low and is dominated by colonising species. </w:t>
      </w:r>
    </w:p>
    <w:p w:rsidR="007E1DF9" w:rsidRDefault="007E1DF9" w:rsidP="00C91494">
      <w:pPr>
        <w:keepNext/>
        <w:widowControl w:val="0"/>
        <w:spacing w:after="0"/>
        <w:jc w:val="center"/>
        <w:rPr>
          <w:color w:val="000000"/>
          <w:szCs w:val="22"/>
        </w:rPr>
      </w:pPr>
      <w:r>
        <w:rPr>
          <w:noProof/>
          <w:color w:val="000000"/>
          <w:szCs w:val="22"/>
          <w:lang w:eastAsia="en-AU"/>
        </w:rPr>
        <w:drawing>
          <wp:inline distT="0" distB="0" distL="0" distR="0" wp14:anchorId="5212F084" wp14:editId="3BA1D5D7">
            <wp:extent cx="5400000" cy="1954800"/>
            <wp:effectExtent l="0" t="0" r="0" b="7620"/>
            <wp:docPr id="532" name="Picture 532" descr="Panel of three area plots showing proportion of seagrass abundance composed of species displaying colonising traits at inshore habitats in the Fitzroy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colonising_2015.pn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5400000" cy="1954800"/>
                    </a:xfrm>
                    <a:prstGeom prst="rect">
                      <a:avLst/>
                    </a:prstGeom>
                  </pic:spPr>
                </pic:pic>
              </a:graphicData>
            </a:graphic>
          </wp:inline>
        </w:drawing>
      </w:r>
    </w:p>
    <w:p w:rsidR="00244FEE" w:rsidRPr="006B4212" w:rsidRDefault="008C4B1E" w:rsidP="00244FEE">
      <w:pPr>
        <w:rPr>
          <w:i/>
          <w:vanish/>
          <w:color w:val="000000"/>
          <w:szCs w:val="22"/>
          <w:specVanish/>
        </w:rPr>
      </w:pPr>
      <w:bookmarkStart w:id="497" w:name="_Ref382209569"/>
      <w:bookmarkStart w:id="498" w:name="_Toc431493888"/>
      <w:bookmarkStart w:id="499" w:name="_Toc462684927"/>
      <w:r w:rsidRPr="006B421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87</w:t>
      </w:r>
      <w:r w:rsidR="0073595B">
        <w:rPr>
          <w:color w:val="000000"/>
        </w:rPr>
        <w:fldChar w:fldCharType="end"/>
      </w:r>
      <w:bookmarkEnd w:id="497"/>
      <w:r w:rsidRPr="006B4212">
        <w:rPr>
          <w:color w:val="000000"/>
        </w:rPr>
        <w:t xml:space="preserve">. </w:t>
      </w:r>
      <w:r w:rsidRPr="006B4212">
        <w:rPr>
          <w:i/>
          <w:color w:val="000000"/>
        </w:rPr>
        <w:t xml:space="preserve">Proportion of seagrass abundance composed of </w:t>
      </w:r>
      <w:r w:rsidR="007E1DF9">
        <w:rPr>
          <w:i/>
          <w:color w:val="000000"/>
        </w:rPr>
        <w:t>colonising</w:t>
      </w:r>
      <w:r w:rsidRPr="006B4212">
        <w:rPr>
          <w:i/>
          <w:color w:val="000000"/>
        </w:rPr>
        <w:t xml:space="preserve"> species</w:t>
      </w:r>
      <w:r w:rsidR="00244FEE" w:rsidRPr="006B4212">
        <w:rPr>
          <w:i/>
          <w:color w:val="000000"/>
        </w:rPr>
        <w:t xml:space="preserve"> in inshore intertidal habitats of the Fitzroy region, 2001 - 201</w:t>
      </w:r>
      <w:r w:rsidR="007E1DF9">
        <w:rPr>
          <w:i/>
          <w:color w:val="000000"/>
        </w:rPr>
        <w:t>5</w:t>
      </w:r>
      <w:r w:rsidRPr="006B4212">
        <w:rPr>
          <w:i/>
          <w:color w:val="000000"/>
        </w:rPr>
        <w:t>.</w:t>
      </w:r>
      <w:bookmarkEnd w:id="498"/>
      <w:bookmarkEnd w:id="499"/>
      <w:r w:rsidRPr="006B4212">
        <w:rPr>
          <w:i/>
          <w:color w:val="000000"/>
        </w:rPr>
        <w:t xml:space="preserve"> </w:t>
      </w:r>
    </w:p>
    <w:p w:rsidR="00244FEE" w:rsidRPr="006B4212" w:rsidRDefault="008C4B1E" w:rsidP="00244FEE">
      <w:pPr>
        <w:rPr>
          <w:color w:val="000000"/>
        </w:rPr>
      </w:pPr>
      <w:r w:rsidRPr="006B4212">
        <w:rPr>
          <w:i/>
          <w:color w:val="000000"/>
        </w:rPr>
        <w:t xml:space="preserve">Grey area represents GBR long-term average proportion of </w:t>
      </w:r>
      <w:r w:rsidR="007E1DF9">
        <w:rPr>
          <w:i/>
          <w:color w:val="000000"/>
        </w:rPr>
        <w:t>colonising</w:t>
      </w:r>
      <w:r w:rsidR="007E1DF9" w:rsidRPr="006B4212">
        <w:rPr>
          <w:i/>
          <w:color w:val="000000"/>
        </w:rPr>
        <w:t xml:space="preserve"> </w:t>
      </w:r>
      <w:r w:rsidRPr="006B4212">
        <w:rPr>
          <w:i/>
          <w:color w:val="000000"/>
        </w:rPr>
        <w:t>species for each habitat type.</w:t>
      </w:r>
      <w:r w:rsidR="00244FEE" w:rsidRPr="006B4212">
        <w:rPr>
          <w:color w:val="000000"/>
        </w:rPr>
        <w:t xml:space="preserve"> </w:t>
      </w:r>
    </w:p>
    <w:p w:rsidR="005132EF" w:rsidRPr="00191427" w:rsidRDefault="005132EF" w:rsidP="00034AD4">
      <w:pPr>
        <w:rPr>
          <w:szCs w:val="22"/>
        </w:rPr>
      </w:pPr>
      <w:bookmarkStart w:id="500" w:name="_Toc176158946"/>
      <w:bookmarkStart w:id="501" w:name="_Ref211934301"/>
      <w:r w:rsidRPr="00191427">
        <w:rPr>
          <w:szCs w:val="22"/>
        </w:rPr>
        <w:t xml:space="preserve">The </w:t>
      </w:r>
      <w:r w:rsidR="00C91494">
        <w:rPr>
          <w:szCs w:val="22"/>
        </w:rPr>
        <w:t xml:space="preserve">extent of the </w:t>
      </w:r>
      <w:r w:rsidRPr="00191427">
        <w:rPr>
          <w:szCs w:val="22"/>
        </w:rPr>
        <w:t xml:space="preserve">coastal meadows </w:t>
      </w:r>
      <w:r w:rsidR="00C91494" w:rsidRPr="00191427">
        <w:rPr>
          <w:szCs w:val="22"/>
        </w:rPr>
        <w:t xml:space="preserve">within a 100m radius of monitoring sites </w:t>
      </w:r>
      <w:r w:rsidRPr="00191427">
        <w:rPr>
          <w:szCs w:val="22"/>
        </w:rPr>
        <w:t>in Shoalwater Bay ha</w:t>
      </w:r>
      <w:r w:rsidR="00C91494">
        <w:rPr>
          <w:szCs w:val="22"/>
        </w:rPr>
        <w:t>s</w:t>
      </w:r>
      <w:r w:rsidRPr="00191427">
        <w:rPr>
          <w:szCs w:val="22"/>
        </w:rPr>
        <w:t xml:space="preserve"> remained stable </w:t>
      </w:r>
      <w:r w:rsidR="00D56284" w:rsidRPr="00191427">
        <w:rPr>
          <w:szCs w:val="22"/>
        </w:rPr>
        <w:t xml:space="preserve">at </w:t>
      </w:r>
      <w:r w:rsidR="00C91494">
        <w:rPr>
          <w:szCs w:val="22"/>
        </w:rPr>
        <w:t xml:space="preserve">the </w:t>
      </w:r>
      <w:r w:rsidR="00D56284" w:rsidRPr="00191427">
        <w:rPr>
          <w:szCs w:val="22"/>
        </w:rPr>
        <w:t>maximum</w:t>
      </w:r>
      <w:r w:rsidRPr="00191427">
        <w:rPr>
          <w:szCs w:val="22"/>
        </w:rPr>
        <w:t xml:space="preserve"> since monitoring </w:t>
      </w:r>
      <w:r w:rsidR="00C91494">
        <w:rPr>
          <w:szCs w:val="22"/>
        </w:rPr>
        <w:t>commenced in 2005</w:t>
      </w:r>
      <w:r w:rsidR="00212E8E" w:rsidRPr="00191427">
        <w:rPr>
          <w:szCs w:val="22"/>
        </w:rPr>
        <w:t xml:space="preserve">. The </w:t>
      </w:r>
      <w:r w:rsidR="00C91494">
        <w:rPr>
          <w:szCs w:val="22"/>
        </w:rPr>
        <w:t xml:space="preserve">extent of the </w:t>
      </w:r>
      <w:r w:rsidR="00212E8E" w:rsidRPr="00191427">
        <w:rPr>
          <w:szCs w:val="22"/>
        </w:rPr>
        <w:t>estuarine meadows ha</w:t>
      </w:r>
      <w:r w:rsidR="00C91494">
        <w:rPr>
          <w:szCs w:val="22"/>
        </w:rPr>
        <w:t>s</w:t>
      </w:r>
      <w:r w:rsidR="00212E8E" w:rsidRPr="00191427">
        <w:rPr>
          <w:szCs w:val="22"/>
        </w:rPr>
        <w:t xml:space="preserve"> </w:t>
      </w:r>
      <w:r w:rsidR="008C171D" w:rsidRPr="00191427">
        <w:rPr>
          <w:szCs w:val="22"/>
        </w:rPr>
        <w:t>remained</w:t>
      </w:r>
      <w:r w:rsidR="00212E8E" w:rsidRPr="00191427">
        <w:rPr>
          <w:szCs w:val="22"/>
        </w:rPr>
        <w:t xml:space="preserve"> relatively stable over the past </w:t>
      </w:r>
      <w:r w:rsidR="00F520E9" w:rsidRPr="00191427">
        <w:rPr>
          <w:szCs w:val="22"/>
        </w:rPr>
        <w:t>8</w:t>
      </w:r>
      <w:r w:rsidR="00212E8E" w:rsidRPr="00191427">
        <w:rPr>
          <w:szCs w:val="22"/>
        </w:rPr>
        <w:t xml:space="preserve"> monitoring periods</w:t>
      </w:r>
      <w:r w:rsidRPr="00191427">
        <w:rPr>
          <w:szCs w:val="22"/>
        </w:rPr>
        <w:t>, however</w:t>
      </w:r>
      <w:r w:rsidR="00C91494">
        <w:rPr>
          <w:szCs w:val="22"/>
        </w:rPr>
        <w:t>, reef meadows have varied greatly.  I</w:t>
      </w:r>
      <w:r w:rsidR="00C91494" w:rsidRPr="00191427">
        <w:rPr>
          <w:szCs w:val="22"/>
        </w:rPr>
        <w:t>n late 2014</w:t>
      </w:r>
      <w:r w:rsidR="00C91494">
        <w:rPr>
          <w:szCs w:val="22"/>
        </w:rPr>
        <w:t xml:space="preserve">, </w:t>
      </w:r>
      <w:r w:rsidRPr="00191427">
        <w:rPr>
          <w:szCs w:val="22"/>
        </w:rPr>
        <w:t xml:space="preserve">the </w:t>
      </w:r>
      <w:r w:rsidR="00C91494">
        <w:rPr>
          <w:szCs w:val="22"/>
        </w:rPr>
        <w:t xml:space="preserve">extent of </w:t>
      </w:r>
      <w:r w:rsidRPr="00191427">
        <w:rPr>
          <w:szCs w:val="22"/>
        </w:rPr>
        <w:t xml:space="preserve">the reef </w:t>
      </w:r>
      <w:r w:rsidR="00C91494" w:rsidRPr="00191427">
        <w:rPr>
          <w:szCs w:val="22"/>
        </w:rPr>
        <w:t xml:space="preserve">meadows </w:t>
      </w:r>
      <w:r w:rsidRPr="00191427">
        <w:rPr>
          <w:szCs w:val="22"/>
        </w:rPr>
        <w:t>(Great Keppel Island</w:t>
      </w:r>
      <w:proofErr w:type="gramStart"/>
      <w:r w:rsidRPr="00191427">
        <w:rPr>
          <w:szCs w:val="22"/>
        </w:rPr>
        <w:t>)</w:t>
      </w:r>
      <w:r w:rsidR="00C91494">
        <w:rPr>
          <w:szCs w:val="22"/>
        </w:rPr>
        <w:t>,</w:t>
      </w:r>
      <w:proofErr w:type="gramEnd"/>
      <w:r w:rsidRPr="00191427">
        <w:rPr>
          <w:szCs w:val="22"/>
        </w:rPr>
        <w:t xml:space="preserve"> </w:t>
      </w:r>
      <w:r w:rsidR="00191427" w:rsidRPr="00191427">
        <w:rPr>
          <w:szCs w:val="22"/>
        </w:rPr>
        <w:t>increas</w:t>
      </w:r>
      <w:r w:rsidR="00C91494">
        <w:rPr>
          <w:szCs w:val="22"/>
        </w:rPr>
        <w:t xml:space="preserve">ed to their most extensive </w:t>
      </w:r>
      <w:r w:rsidR="00C91494" w:rsidRPr="00191427">
        <w:rPr>
          <w:szCs w:val="22"/>
        </w:rPr>
        <w:t xml:space="preserve">in 4 years </w:t>
      </w:r>
      <w:r w:rsidRPr="00191427">
        <w:rPr>
          <w:szCs w:val="22"/>
        </w:rPr>
        <w:t>(</w:t>
      </w:r>
      <w:r w:rsidR="008C171D" w:rsidRPr="00191427">
        <w:fldChar w:fldCharType="begin"/>
      </w:r>
      <w:r w:rsidR="008C171D" w:rsidRPr="00191427">
        <w:instrText xml:space="preserve"> REF _Ref179512152 \h  \* MERGEFORMAT </w:instrText>
      </w:r>
      <w:r w:rsidR="008C171D" w:rsidRPr="00191427">
        <w:fldChar w:fldCharType="separate"/>
      </w:r>
      <w:r w:rsidR="009C068F" w:rsidRPr="009C068F">
        <w:rPr>
          <w:szCs w:val="22"/>
        </w:rPr>
        <w:t xml:space="preserve">Figure </w:t>
      </w:r>
      <w:r w:rsidR="009C068F" w:rsidRPr="009C068F">
        <w:rPr>
          <w:noProof/>
          <w:szCs w:val="22"/>
        </w:rPr>
        <w:t>88</w:t>
      </w:r>
      <w:r w:rsidR="008C171D" w:rsidRPr="00191427">
        <w:fldChar w:fldCharType="end"/>
      </w:r>
      <w:r w:rsidRPr="00191427">
        <w:rPr>
          <w:szCs w:val="22"/>
        </w:rPr>
        <w:t>).</w:t>
      </w:r>
    </w:p>
    <w:p w:rsidR="007E1DF9" w:rsidRPr="007E1DF9" w:rsidRDefault="007E1DF9" w:rsidP="00C91494">
      <w:pPr>
        <w:keepNext/>
        <w:widowControl w:val="0"/>
        <w:spacing w:after="0"/>
        <w:jc w:val="center"/>
        <w:rPr>
          <w:szCs w:val="22"/>
        </w:rPr>
      </w:pPr>
      <w:r w:rsidRPr="007E1DF9">
        <w:rPr>
          <w:noProof/>
          <w:szCs w:val="22"/>
          <w:lang w:eastAsia="en-AU"/>
        </w:rPr>
        <w:drawing>
          <wp:inline distT="0" distB="0" distL="0" distR="0" wp14:anchorId="4A95636F" wp14:editId="60147A5B">
            <wp:extent cx="4320000" cy="1821600"/>
            <wp:effectExtent l="0" t="0" r="4445" b="7620"/>
            <wp:docPr id="533" name="Picture 533" descr="Line graph showing spatial extent of seagrass meadows within a 100m radius of monitoring sites for each habitat and monitoring period across the Fitzro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extent_avg_2015.png"/>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4320000" cy="1821600"/>
                    </a:xfrm>
                    <a:prstGeom prst="rect">
                      <a:avLst/>
                    </a:prstGeom>
                  </pic:spPr>
                </pic:pic>
              </a:graphicData>
            </a:graphic>
          </wp:inline>
        </w:drawing>
      </w:r>
    </w:p>
    <w:p w:rsidR="008C4B1E" w:rsidRPr="005373CC" w:rsidRDefault="005132EF" w:rsidP="008C4B1E">
      <w:pPr>
        <w:rPr>
          <w:i/>
          <w:color w:val="000000"/>
          <w:szCs w:val="22"/>
        </w:rPr>
      </w:pPr>
      <w:bookmarkStart w:id="502" w:name="_Ref179512152"/>
      <w:bookmarkStart w:id="503" w:name="_Toc176158920"/>
      <w:bookmarkStart w:id="504" w:name="_Toc232846022"/>
      <w:bookmarkStart w:id="505" w:name="_Toc431493889"/>
      <w:bookmarkStart w:id="506" w:name="_Toc462684928"/>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88</w:t>
      </w:r>
      <w:r w:rsidR="0073595B">
        <w:rPr>
          <w:color w:val="000000"/>
          <w:szCs w:val="22"/>
        </w:rPr>
        <w:fldChar w:fldCharType="end"/>
      </w:r>
      <w:bookmarkEnd w:id="502"/>
      <w:r w:rsidRPr="005373CC">
        <w:rPr>
          <w:color w:val="000000"/>
          <w:szCs w:val="22"/>
        </w:rPr>
        <w:t xml:space="preserve">. </w:t>
      </w:r>
      <w:bookmarkEnd w:id="503"/>
      <w:bookmarkEnd w:id="504"/>
      <w:r w:rsidR="008C4B1E" w:rsidRPr="005373CC">
        <w:rPr>
          <w:i/>
          <w:color w:val="000000"/>
          <w:szCs w:val="22"/>
        </w:rPr>
        <w:t xml:space="preserve">Change in spatial extent of seagrass meadows within a 100m radius of monitoring sites for each </w:t>
      </w:r>
      <w:r w:rsidR="00244FEE" w:rsidRPr="005373CC">
        <w:rPr>
          <w:i/>
          <w:color w:val="000000"/>
          <w:szCs w:val="22"/>
        </w:rPr>
        <w:t xml:space="preserve">inshore intertidal </w:t>
      </w:r>
      <w:r w:rsidR="008C4B1E" w:rsidRPr="005373CC">
        <w:rPr>
          <w:i/>
          <w:color w:val="000000"/>
          <w:szCs w:val="22"/>
        </w:rPr>
        <w:t xml:space="preserve">habitat across the </w:t>
      </w:r>
      <w:r w:rsidR="003126B8" w:rsidRPr="005373CC">
        <w:rPr>
          <w:i/>
          <w:color w:val="000000"/>
          <w:szCs w:val="22"/>
        </w:rPr>
        <w:t xml:space="preserve">Fitzroy </w:t>
      </w:r>
      <w:r w:rsidR="008C4B1E" w:rsidRPr="005373CC">
        <w:rPr>
          <w:i/>
          <w:color w:val="000000"/>
          <w:szCs w:val="22"/>
        </w:rPr>
        <w:t>NRM region</w:t>
      </w:r>
      <w:r w:rsidR="00244FEE" w:rsidRPr="005373CC">
        <w:rPr>
          <w:i/>
          <w:color w:val="000000"/>
          <w:szCs w:val="22"/>
        </w:rPr>
        <w:t>, 2005 - 201</w:t>
      </w:r>
      <w:r w:rsidR="007E1DF9">
        <w:rPr>
          <w:i/>
          <w:color w:val="000000"/>
          <w:szCs w:val="22"/>
        </w:rPr>
        <w:t>5</w:t>
      </w:r>
      <w:r w:rsidR="008C4B1E" w:rsidRPr="005373CC">
        <w:rPr>
          <w:i/>
          <w:color w:val="000000"/>
          <w:szCs w:val="22"/>
        </w:rPr>
        <w:t>.</w:t>
      </w:r>
      <w:bookmarkEnd w:id="505"/>
      <w:bookmarkEnd w:id="506"/>
    </w:p>
    <w:p w:rsidR="007E1DF9" w:rsidRPr="006F384D" w:rsidRDefault="007E1DF9" w:rsidP="007E1DF9">
      <w:pPr>
        <w:rPr>
          <w:szCs w:val="22"/>
          <w:lang w:val="en-US"/>
        </w:rPr>
      </w:pPr>
      <w:bookmarkStart w:id="507" w:name="_Toc184102028"/>
      <w:bookmarkEnd w:id="500"/>
      <w:bookmarkEnd w:id="501"/>
      <w:r w:rsidRPr="006F384D">
        <w:rPr>
          <w:szCs w:val="22"/>
          <w:lang w:val="en-GB" w:eastAsia="en-AU"/>
        </w:rPr>
        <w:t>Apart from the MMP, sea</w:t>
      </w:r>
      <w:r w:rsidRPr="006F384D">
        <w:rPr>
          <w:szCs w:val="22"/>
          <w:lang w:eastAsia="en-AU"/>
        </w:rPr>
        <w:t xml:space="preserve">grass monitoring within the Fitzroy NRM region is also conducted for the </w:t>
      </w:r>
      <w:r w:rsidRPr="006F384D">
        <w:rPr>
          <w:rFonts w:cs="Calibri"/>
          <w:sz w:val="21"/>
          <w:szCs w:val="21"/>
          <w:lang w:eastAsia="en-AU"/>
        </w:rPr>
        <w:t>Gladstone Ports Corporation Limited</w:t>
      </w:r>
      <w:r w:rsidRPr="006F384D">
        <w:rPr>
          <w:szCs w:val="22"/>
          <w:lang w:eastAsia="en-AU"/>
        </w:rPr>
        <w:t xml:space="preserve"> as part of the </w:t>
      </w:r>
      <w:r w:rsidRPr="006F384D">
        <w:rPr>
          <w:szCs w:val="22"/>
          <w:lang w:val="en-US"/>
        </w:rPr>
        <w:t xml:space="preserve">Queensland Ports Seagrass Monitoring Program (QPSMP). Two locations monitored (Pelican Banks north and </w:t>
      </w:r>
      <w:proofErr w:type="spellStart"/>
      <w:r w:rsidRPr="006F384D">
        <w:rPr>
          <w:szCs w:val="22"/>
          <w:lang w:val="en-US"/>
        </w:rPr>
        <w:t>Rodds</w:t>
      </w:r>
      <w:proofErr w:type="spellEnd"/>
      <w:r w:rsidRPr="006F384D">
        <w:rPr>
          <w:szCs w:val="22"/>
          <w:lang w:val="en-US"/>
        </w:rPr>
        <w:t xml:space="preserve"> Bay) for the </w:t>
      </w:r>
      <w:r w:rsidRPr="006F384D">
        <w:rPr>
          <w:rFonts w:cs="Calibri"/>
          <w:sz w:val="21"/>
          <w:szCs w:val="21"/>
          <w:lang w:eastAsia="en-AU"/>
        </w:rPr>
        <w:t>Gladstone Ports Corporation Limited</w:t>
      </w:r>
      <w:r w:rsidRPr="006F384D">
        <w:rPr>
          <w:szCs w:val="22"/>
          <w:lang w:eastAsia="en-AU"/>
        </w:rPr>
        <w:t xml:space="preserve"> are also monitored as part of the MMP. </w:t>
      </w:r>
    </w:p>
    <w:p w:rsidR="005129A6" w:rsidRPr="004D6DEF" w:rsidRDefault="007E1DF9" w:rsidP="005129A6">
      <w:pPr>
        <w:rPr>
          <w:szCs w:val="22"/>
          <w:lang w:val="en-GB" w:eastAsia="en-AU"/>
        </w:rPr>
      </w:pPr>
      <w:r w:rsidRPr="00F8266A">
        <w:rPr>
          <w:szCs w:val="22"/>
          <w:lang w:val="en-GB" w:eastAsia="en-AU"/>
        </w:rPr>
        <w:t xml:space="preserve">Long-term monitoring </w:t>
      </w:r>
      <w:r w:rsidR="0027729D">
        <w:rPr>
          <w:szCs w:val="22"/>
          <w:lang w:val="en-GB" w:eastAsia="en-AU"/>
        </w:rPr>
        <w:t xml:space="preserve">of 14 seagrass meadows </w:t>
      </w:r>
      <w:r w:rsidRPr="00F8266A">
        <w:rPr>
          <w:szCs w:val="22"/>
          <w:lang w:val="en-GB" w:eastAsia="en-AU"/>
        </w:rPr>
        <w:t>within Gladstone Harbour reported variable recovery in 201</w:t>
      </w:r>
      <w:r w:rsidR="00F8266A" w:rsidRPr="00F8266A">
        <w:rPr>
          <w:szCs w:val="22"/>
          <w:lang w:val="en-GB" w:eastAsia="en-AU"/>
        </w:rPr>
        <w:t>4</w:t>
      </w:r>
      <w:r w:rsidRPr="00F8266A">
        <w:rPr>
          <w:szCs w:val="22"/>
          <w:lang w:val="en-GB" w:eastAsia="en-AU"/>
        </w:rPr>
        <w:t xml:space="preserve"> from the losses which occurred in 2010-11 as a consequence of extreme weather events and associated flooding (</w:t>
      </w:r>
      <w:r w:rsidR="00644A84">
        <w:rPr>
          <w:szCs w:val="22"/>
          <w:lang w:val="en-GB" w:eastAsia="en-AU"/>
        </w:rPr>
        <w:fldChar w:fldCharType="begin"/>
      </w:r>
      <w:r w:rsidR="009E5562">
        <w:rPr>
          <w:szCs w:val="22"/>
          <w:lang w:val="en-GB" w:eastAsia="en-AU"/>
        </w:rPr>
        <w:instrText xml:space="preserve"> ADDIN EN.CITE &lt;EndNote&gt;&lt;Cite&gt;&lt;Author&gt;Bryant&lt;/Author&gt;&lt;Year&gt;2014&lt;/Year&gt;&lt;RecNum&gt;10076&lt;/RecNum&gt;&lt;DisplayText&gt;Bryant&lt;style face="italic"&gt; et al.&lt;/style&gt; 2014a; Carter&lt;style face="italic"&gt; et al.&lt;/style&gt; 2015a&lt;/DisplayText&gt;&lt;record&gt;&lt;rec-number&gt;10076&lt;/rec-number&gt;&lt;foreign-keys&gt;&lt;key app="EN" db-id="0eve55x9y5vfd6e9dacxtew4eatve2dzds9a"&gt;10076&lt;/key&gt;&lt;/foreign-keys&gt;&lt;ref-type name="Book"&gt;6&lt;/ref-type&gt;&lt;contributors&gt;&lt;authors&gt;&lt;author&gt;Bryant, CV&lt;/author&gt;&lt;author&gt;Davies, JN&lt;/author&gt;&lt;author&gt;Sankey, T&lt;/author&gt;&lt;author&gt;Jarvis, JC&lt;/author&gt;&lt;author&gt;Rasheed, MA &lt;/author&gt;&lt;/authors&gt;&lt;/contributors&gt;&lt;titles&gt;&lt;title&gt;Long Term Seagrass Monitoring in Port Curtis: Quarterly Seagrass Assessments &amp;amp; Permanent Transect Monitoring Progress Report 2009 to 2013. TropWATER Publication 14/18&lt;/title&gt;&lt;/titles&gt;&lt;section&gt;84&lt;/section&gt;&lt;dates&gt;&lt;year&gt;2014&lt;/year&gt;&lt;/dates&gt;&lt;pub-location&gt;Cairns&lt;/pub-location&gt;&lt;publisher&gt;Centre for Tropical Water &amp;amp; Aquatic Ecosystem Research, James Cook University&lt;/publisher&gt;&lt;urls&gt;&lt;/urls&gt;&lt;/record&gt;&lt;/Cite&gt;&lt;Cite&gt;&lt;Author&gt;Carter&lt;/Author&gt;&lt;Year&gt;2015&lt;/Year&gt;&lt;RecNum&gt;10486&lt;/RecNum&gt;&lt;record&gt;&lt;rec-number&gt;10486&lt;/rec-number&gt;&lt;foreign-keys&gt;&lt;key app="EN" db-id="0eve55x9y5vfd6e9dacxtew4eatve2dzds9a"&gt;10486&lt;/key&gt;&lt;/foreign-keys&gt;&lt;ref-type name="Book"&gt;6&lt;/ref-type&gt;&lt;contributors&gt;&lt;authors&gt;&lt;author&gt;Carter, AB&lt;/author&gt;&lt;author&gt;Davies, JD&lt;/author&gt;&lt;author&gt;Bryant, CV&lt;/author&gt;&lt;author&gt;Jarvis, JC&lt;/author&gt;&lt;author&gt;McKenna, SA&lt;/author&gt;&lt;author&gt;Rasheed, MA&lt;/author&gt;&lt;/authors&gt;&lt;/contributors&gt;&lt;titles&gt;&lt;title&gt;Seagrasses in Port Curtis and Rodds Bay 2014: Annual long-term monitoring, biannual Western Basin, and updated baseline survey&lt;/title&gt;&lt;secondary-title&gt;TropWATER Publication 15/06&lt;/secondary-title&gt;&lt;/titles&gt;&lt;pages&gt;75&lt;/pages&gt;&lt;dates&gt;&lt;year&gt;2015&lt;/year&gt;&lt;/dates&gt;&lt;pub-location&gt;Cairns&lt;/pub-location&gt;&lt;publisher&gt;Centre for Tropical Water &amp;amp; Aquatic Ecosystem Research, James Cook University&lt;/publisher&gt;&lt;urls&gt;&lt;/urls&gt;&lt;/record&gt;&lt;/Cite&gt;&lt;/EndNote&gt;</w:instrText>
      </w:r>
      <w:r w:rsidR="00644A84">
        <w:rPr>
          <w:szCs w:val="22"/>
          <w:lang w:val="en-GB" w:eastAsia="en-AU"/>
        </w:rPr>
        <w:fldChar w:fldCharType="separate"/>
      </w:r>
      <w:hyperlink w:anchor="_ENREF_23" w:tooltip="Bryant, 2014 #10076" w:history="1">
        <w:r w:rsidR="00E6043D">
          <w:rPr>
            <w:noProof/>
            <w:szCs w:val="22"/>
            <w:lang w:val="en-GB" w:eastAsia="en-AU"/>
          </w:rPr>
          <w:t>Bryant</w:t>
        </w:r>
        <w:r w:rsidR="00E6043D" w:rsidRPr="009E5562">
          <w:rPr>
            <w:i/>
            <w:noProof/>
            <w:szCs w:val="22"/>
            <w:lang w:val="en-GB" w:eastAsia="en-AU"/>
          </w:rPr>
          <w:t xml:space="preserve"> et al.</w:t>
        </w:r>
        <w:r w:rsidR="00E6043D">
          <w:rPr>
            <w:noProof/>
            <w:szCs w:val="22"/>
            <w:lang w:val="en-GB" w:eastAsia="en-AU"/>
          </w:rPr>
          <w:t xml:space="preserve"> 2014a</w:t>
        </w:r>
      </w:hyperlink>
      <w:r w:rsidR="009E5562">
        <w:rPr>
          <w:noProof/>
          <w:szCs w:val="22"/>
          <w:lang w:val="en-GB" w:eastAsia="en-AU"/>
        </w:rPr>
        <w:t xml:space="preserve">; </w:t>
      </w:r>
      <w:hyperlink w:anchor="_ENREF_37" w:tooltip="Carter, 2015 #10486" w:history="1">
        <w:r w:rsidR="00E6043D">
          <w:rPr>
            <w:noProof/>
            <w:szCs w:val="22"/>
            <w:lang w:val="en-GB" w:eastAsia="en-AU"/>
          </w:rPr>
          <w:t>Carter</w:t>
        </w:r>
        <w:r w:rsidR="00E6043D" w:rsidRPr="009E5562">
          <w:rPr>
            <w:i/>
            <w:noProof/>
            <w:szCs w:val="22"/>
            <w:lang w:val="en-GB" w:eastAsia="en-AU"/>
          </w:rPr>
          <w:t xml:space="preserve"> et al.</w:t>
        </w:r>
        <w:r w:rsidR="00E6043D">
          <w:rPr>
            <w:noProof/>
            <w:szCs w:val="22"/>
            <w:lang w:val="en-GB" w:eastAsia="en-AU"/>
          </w:rPr>
          <w:t xml:space="preserve"> 2015a</w:t>
        </w:r>
      </w:hyperlink>
      <w:r w:rsidR="00644A84">
        <w:rPr>
          <w:szCs w:val="22"/>
          <w:lang w:val="en-GB" w:eastAsia="en-AU"/>
        </w:rPr>
        <w:fldChar w:fldCharType="end"/>
      </w:r>
      <w:r w:rsidRPr="00F8266A">
        <w:rPr>
          <w:szCs w:val="22"/>
          <w:lang w:val="en-GB" w:eastAsia="en-AU"/>
        </w:rPr>
        <w:t xml:space="preserve">). </w:t>
      </w:r>
      <w:r w:rsidR="005129A6" w:rsidRPr="0027729D">
        <w:rPr>
          <w:szCs w:val="22"/>
          <w:lang w:val="en-GB" w:eastAsia="en-AU"/>
        </w:rPr>
        <w:t>Abundance (visual estimate of above-ground biomass) remained low across all meadows</w:t>
      </w:r>
      <w:r w:rsidR="005129A6">
        <w:rPr>
          <w:szCs w:val="22"/>
          <w:lang w:val="en-GB" w:eastAsia="en-AU"/>
        </w:rPr>
        <w:t xml:space="preserve"> and a</w:t>
      </w:r>
      <w:r w:rsidR="005129A6" w:rsidRPr="0027729D">
        <w:rPr>
          <w:szCs w:val="22"/>
          <w:lang w:val="en-GB" w:eastAsia="en-AU"/>
        </w:rPr>
        <w:t xml:space="preserve">lthough total area of meadows monitored fluctuates within years (&gt;50% between seasons), there appears little overall change </w:t>
      </w:r>
      <w:r w:rsidR="00340F84">
        <w:rPr>
          <w:szCs w:val="22"/>
          <w:lang w:val="en-GB" w:eastAsia="en-AU"/>
        </w:rPr>
        <w:t xml:space="preserve">since </w:t>
      </w:r>
      <w:r w:rsidR="00340F84" w:rsidRPr="0027729D">
        <w:rPr>
          <w:szCs w:val="22"/>
          <w:lang w:val="en-GB" w:eastAsia="en-AU"/>
        </w:rPr>
        <w:t xml:space="preserve">2010 </w:t>
      </w:r>
      <w:r w:rsidR="005129A6" w:rsidRPr="0027729D">
        <w:rPr>
          <w:szCs w:val="22"/>
          <w:lang w:val="en-GB" w:eastAsia="en-AU"/>
        </w:rPr>
        <w:t>(</w:t>
      </w:r>
      <w:r w:rsidR="005129A6">
        <w:rPr>
          <w:szCs w:val="22"/>
          <w:lang w:val="en-GB" w:eastAsia="en-AU"/>
        </w:rPr>
        <w:t xml:space="preserve">i.e. </w:t>
      </w:r>
      <w:r w:rsidR="005129A6" w:rsidRPr="0027729D">
        <w:rPr>
          <w:szCs w:val="22"/>
          <w:lang w:val="en-GB" w:eastAsia="en-AU"/>
        </w:rPr>
        <w:t>estimates of reliability</w:t>
      </w:r>
      <w:r w:rsidR="005129A6">
        <w:rPr>
          <w:szCs w:val="22"/>
          <w:lang w:val="en-GB" w:eastAsia="en-AU"/>
        </w:rPr>
        <w:t>/</w:t>
      </w:r>
      <w:r w:rsidR="005129A6" w:rsidRPr="0027729D">
        <w:rPr>
          <w:szCs w:val="22"/>
          <w:lang w:val="en-GB" w:eastAsia="en-AU"/>
        </w:rPr>
        <w:t>mapping precision</w:t>
      </w:r>
      <w:r w:rsidR="00340F84" w:rsidRPr="00340F84">
        <w:rPr>
          <w:szCs w:val="22"/>
          <w:lang w:val="en-GB" w:eastAsia="en-AU"/>
        </w:rPr>
        <w:t xml:space="preserve"> </w:t>
      </w:r>
      <w:r w:rsidR="00340F84">
        <w:rPr>
          <w:szCs w:val="22"/>
          <w:lang w:val="en-GB" w:eastAsia="en-AU"/>
        </w:rPr>
        <w:t>overlap between years</w:t>
      </w:r>
      <w:r w:rsidR="005129A6" w:rsidRPr="0027729D">
        <w:rPr>
          <w:szCs w:val="22"/>
          <w:lang w:val="en-GB" w:eastAsia="en-AU"/>
        </w:rPr>
        <w:t xml:space="preserve">). This appears in </w:t>
      </w:r>
      <w:r w:rsidR="00993358">
        <w:rPr>
          <w:szCs w:val="22"/>
          <w:lang w:val="en-GB" w:eastAsia="en-AU"/>
        </w:rPr>
        <w:t>contrast</w:t>
      </w:r>
      <w:r w:rsidR="005129A6" w:rsidRPr="0027729D">
        <w:rPr>
          <w:szCs w:val="22"/>
          <w:lang w:val="en-GB" w:eastAsia="en-AU"/>
        </w:rPr>
        <w:t xml:space="preserve"> with the </w:t>
      </w:r>
      <w:r w:rsidR="00340F84" w:rsidRPr="0027729D">
        <w:rPr>
          <w:szCs w:val="22"/>
          <w:lang w:val="en-GB" w:eastAsia="en-AU"/>
        </w:rPr>
        <w:lastRenderedPageBreak/>
        <w:t>November 2014</w:t>
      </w:r>
      <w:r w:rsidR="00993358">
        <w:rPr>
          <w:szCs w:val="22"/>
          <w:lang w:val="en-GB" w:eastAsia="en-AU"/>
        </w:rPr>
        <w:t xml:space="preserve"> </w:t>
      </w:r>
      <w:r w:rsidR="005129A6" w:rsidRPr="0027729D">
        <w:rPr>
          <w:szCs w:val="22"/>
          <w:lang w:val="en-GB" w:eastAsia="en-AU"/>
        </w:rPr>
        <w:t xml:space="preserve">remapping of the broader Port Curtis region, which reported the greatest overall area of seagrass </w:t>
      </w:r>
      <w:r w:rsidR="005129A6" w:rsidRPr="004D6DEF">
        <w:rPr>
          <w:szCs w:val="22"/>
          <w:lang w:val="en-GB" w:eastAsia="en-AU"/>
        </w:rPr>
        <w:t>to date</w:t>
      </w:r>
      <w:r w:rsidR="00340F84" w:rsidRPr="004D6DEF">
        <w:rPr>
          <w:szCs w:val="22"/>
          <w:lang w:val="en-GB" w:eastAsia="en-AU"/>
        </w:rPr>
        <w:t xml:space="preserve"> (</w:t>
      </w:r>
      <w:r w:rsidR="00340F84" w:rsidRPr="004D6DEF">
        <w:rPr>
          <w:noProof/>
          <w:szCs w:val="22"/>
          <w:lang w:val="en-GB" w:eastAsia="en-AU"/>
        </w:rPr>
        <w:t>Carter</w:t>
      </w:r>
      <w:r w:rsidR="00340F84" w:rsidRPr="004D6DEF">
        <w:rPr>
          <w:i/>
          <w:noProof/>
          <w:szCs w:val="22"/>
          <w:lang w:val="en-GB" w:eastAsia="en-AU"/>
        </w:rPr>
        <w:t>, et al.</w:t>
      </w:r>
      <w:r w:rsidR="00340F84" w:rsidRPr="004D6DEF">
        <w:rPr>
          <w:noProof/>
          <w:szCs w:val="22"/>
          <w:lang w:val="en-GB" w:eastAsia="en-AU"/>
        </w:rPr>
        <w:t xml:space="preserve"> 2015</w:t>
      </w:r>
      <w:r w:rsidR="00340F84" w:rsidRPr="004D6DEF">
        <w:rPr>
          <w:szCs w:val="22"/>
          <w:lang w:val="en-GB" w:eastAsia="en-AU"/>
        </w:rPr>
        <w:t>).</w:t>
      </w:r>
    </w:p>
    <w:p w:rsidR="0027729D" w:rsidRPr="004D6DEF" w:rsidRDefault="00340F84" w:rsidP="004D6DEF">
      <w:pPr>
        <w:autoSpaceDE w:val="0"/>
        <w:autoSpaceDN w:val="0"/>
        <w:adjustRightInd w:val="0"/>
        <w:spacing w:before="0" w:after="0"/>
        <w:rPr>
          <w:szCs w:val="22"/>
          <w:lang w:val="en-GB" w:eastAsia="en-AU"/>
        </w:rPr>
      </w:pPr>
      <w:r w:rsidRPr="004D6DEF">
        <w:rPr>
          <w:szCs w:val="22"/>
          <w:lang w:val="en-GB" w:eastAsia="en-AU"/>
        </w:rPr>
        <w:t xml:space="preserve">In 2014, meadows were reported as predominately aggregated or isolated patches. The only meadow classed as having continuous seagrass cover in the entire Port Curtis region was the </w:t>
      </w:r>
      <w:r w:rsidRPr="004D6DEF">
        <w:rPr>
          <w:i/>
          <w:szCs w:val="22"/>
          <w:lang w:val="en-GB" w:eastAsia="en-AU"/>
        </w:rPr>
        <w:t xml:space="preserve">Z. </w:t>
      </w:r>
      <w:proofErr w:type="spellStart"/>
      <w:r w:rsidRPr="004D6DEF">
        <w:rPr>
          <w:i/>
          <w:szCs w:val="22"/>
          <w:lang w:val="en-GB" w:eastAsia="en-AU"/>
        </w:rPr>
        <w:t>muelleri</w:t>
      </w:r>
      <w:proofErr w:type="spellEnd"/>
      <w:r w:rsidRPr="004D6DEF">
        <w:rPr>
          <w:szCs w:val="22"/>
          <w:lang w:val="en-GB" w:eastAsia="en-AU"/>
        </w:rPr>
        <w:t xml:space="preserve"> meadow </w:t>
      </w:r>
      <w:r w:rsidR="00993358">
        <w:rPr>
          <w:szCs w:val="22"/>
          <w:lang w:val="en-GB" w:eastAsia="en-AU"/>
        </w:rPr>
        <w:t xml:space="preserve">on Pelican Banks </w:t>
      </w:r>
      <w:r w:rsidRPr="004D6DEF">
        <w:rPr>
          <w:szCs w:val="22"/>
          <w:lang w:val="en-GB" w:eastAsia="en-AU"/>
        </w:rPr>
        <w:t>which is monitored in common with the MMP (meadow#43). This meadow also had the highest visually estimated above-ground biomass recorded (12.31 ±1.36 g DW m</w:t>
      </w:r>
      <w:r w:rsidRPr="004D6DEF">
        <w:rPr>
          <w:szCs w:val="22"/>
          <w:vertAlign w:val="superscript"/>
          <w:lang w:val="en-GB" w:eastAsia="en-AU"/>
        </w:rPr>
        <w:t>‐2</w:t>
      </w:r>
      <w:r w:rsidRPr="004D6DEF">
        <w:rPr>
          <w:szCs w:val="22"/>
          <w:lang w:val="en-GB" w:eastAsia="en-AU"/>
        </w:rPr>
        <w:t xml:space="preserve">), which has remained relatively stable over the previous 3 annual monitoring events. </w:t>
      </w:r>
      <w:r w:rsidR="007E1DF9" w:rsidRPr="004D6DEF">
        <w:rPr>
          <w:szCs w:val="22"/>
          <w:lang w:val="en-GB" w:eastAsia="en-AU"/>
        </w:rPr>
        <w:t xml:space="preserve">Overall, indications are that seagrass </w:t>
      </w:r>
      <w:r w:rsidR="004D6DEF" w:rsidRPr="004D6DEF">
        <w:rPr>
          <w:rFonts w:cs="Calibri"/>
          <w:sz w:val="21"/>
          <w:szCs w:val="21"/>
          <w:lang w:eastAsia="en-AU"/>
        </w:rPr>
        <w:t xml:space="preserve">area and biomass </w:t>
      </w:r>
      <w:r w:rsidR="007E1DF9" w:rsidRPr="004D6DEF">
        <w:rPr>
          <w:szCs w:val="22"/>
          <w:lang w:val="en-GB" w:eastAsia="en-AU"/>
        </w:rPr>
        <w:t xml:space="preserve">should continue to </w:t>
      </w:r>
      <w:r w:rsidR="004D6DEF" w:rsidRPr="004D6DEF">
        <w:rPr>
          <w:szCs w:val="22"/>
          <w:lang w:val="en-GB" w:eastAsia="en-AU"/>
        </w:rPr>
        <w:t>increase</w:t>
      </w:r>
      <w:r w:rsidR="007E1DF9" w:rsidRPr="004D6DEF">
        <w:rPr>
          <w:szCs w:val="22"/>
          <w:lang w:val="en-GB" w:eastAsia="en-AU"/>
        </w:rPr>
        <w:t xml:space="preserve"> </w:t>
      </w:r>
      <w:r w:rsidR="004D6DEF" w:rsidRPr="004D6DEF">
        <w:rPr>
          <w:rFonts w:cs="Calibri"/>
          <w:sz w:val="21"/>
          <w:szCs w:val="21"/>
          <w:lang w:eastAsia="en-AU"/>
        </w:rPr>
        <w:t>within Port Curtis over the next twelve months</w:t>
      </w:r>
      <w:r w:rsidR="004D6DEF" w:rsidRPr="004D6DEF">
        <w:rPr>
          <w:szCs w:val="22"/>
          <w:lang w:val="en-GB" w:eastAsia="en-AU"/>
        </w:rPr>
        <w:t xml:space="preserve"> </w:t>
      </w:r>
      <w:r w:rsidR="007E1DF9" w:rsidRPr="004D6DEF">
        <w:rPr>
          <w:szCs w:val="22"/>
          <w:lang w:val="en-GB" w:eastAsia="en-AU"/>
        </w:rPr>
        <w:t xml:space="preserve">if climatic conditions are favourable </w:t>
      </w:r>
      <w:r w:rsidR="004D6DEF" w:rsidRPr="004D6DEF">
        <w:rPr>
          <w:szCs w:val="22"/>
          <w:lang w:val="en-GB" w:eastAsia="en-AU"/>
        </w:rPr>
        <w:t>(</w:t>
      </w:r>
      <w:r w:rsidR="004D6DEF" w:rsidRPr="004D6DEF">
        <w:rPr>
          <w:noProof/>
          <w:szCs w:val="22"/>
          <w:lang w:val="en-GB" w:eastAsia="en-AU"/>
        </w:rPr>
        <w:t>Carter</w:t>
      </w:r>
      <w:r w:rsidR="004D6DEF" w:rsidRPr="004D6DEF">
        <w:rPr>
          <w:i/>
          <w:noProof/>
          <w:szCs w:val="22"/>
          <w:lang w:val="en-GB" w:eastAsia="en-AU"/>
        </w:rPr>
        <w:t>, et al.</w:t>
      </w:r>
      <w:r w:rsidR="004D6DEF" w:rsidRPr="004D6DEF">
        <w:rPr>
          <w:noProof/>
          <w:szCs w:val="22"/>
          <w:lang w:val="en-GB" w:eastAsia="en-AU"/>
        </w:rPr>
        <w:t xml:space="preserve"> 2015</w:t>
      </w:r>
      <w:r w:rsidR="004D6DEF" w:rsidRPr="004D6DEF">
        <w:rPr>
          <w:szCs w:val="22"/>
          <w:lang w:val="en-GB" w:eastAsia="en-AU"/>
        </w:rPr>
        <w:t>)</w:t>
      </w:r>
      <w:r w:rsidR="007E1DF9" w:rsidRPr="004D6DEF">
        <w:rPr>
          <w:szCs w:val="22"/>
          <w:lang w:val="en-GB" w:eastAsia="en-AU"/>
        </w:rPr>
        <w:t>.</w:t>
      </w:r>
    </w:p>
    <w:p w:rsidR="005132EF" w:rsidRPr="001D05D4" w:rsidRDefault="005132EF" w:rsidP="001D05D4">
      <w:pPr>
        <w:pStyle w:val="Heading4"/>
        <w:numPr>
          <w:ilvl w:val="0"/>
          <w:numId w:val="0"/>
        </w:numPr>
        <w:rPr>
          <w:rFonts w:ascii="Arial" w:hAnsi="Arial" w:cs="Arial"/>
          <w:sz w:val="24"/>
          <w:szCs w:val="24"/>
        </w:rPr>
      </w:pPr>
      <w:r w:rsidRPr="001D05D4">
        <w:rPr>
          <w:rFonts w:ascii="Arial" w:hAnsi="Arial" w:cs="Arial"/>
          <w:sz w:val="24"/>
          <w:szCs w:val="24"/>
        </w:rPr>
        <w:t>Seagrass reproductive status</w:t>
      </w:r>
      <w:bookmarkEnd w:id="507"/>
    </w:p>
    <w:p w:rsidR="007E1DF9" w:rsidRDefault="007E1DF9" w:rsidP="007E1DF9">
      <w:pPr>
        <w:rPr>
          <w:color w:val="000000"/>
          <w:szCs w:val="22"/>
          <w:lang w:eastAsia="en-AU"/>
        </w:rPr>
      </w:pPr>
      <w:r w:rsidRPr="007E1DF9">
        <w:rPr>
          <w:color w:val="000000"/>
          <w:szCs w:val="22"/>
          <w:lang w:eastAsia="en-AU"/>
        </w:rPr>
        <w:t>Reproductive effort has remained very lo</w:t>
      </w:r>
      <w:r w:rsidR="0039608D">
        <w:rPr>
          <w:color w:val="000000"/>
          <w:szCs w:val="22"/>
          <w:lang w:eastAsia="en-AU"/>
        </w:rPr>
        <w:t>w throughout the Fitzroy region, h</w:t>
      </w:r>
      <w:r w:rsidRPr="007E1DF9">
        <w:rPr>
          <w:color w:val="000000"/>
          <w:szCs w:val="22"/>
          <w:lang w:eastAsia="en-AU"/>
        </w:rPr>
        <w:t xml:space="preserve">owever, seed banks have </w:t>
      </w:r>
      <w:r w:rsidR="0039608D">
        <w:rPr>
          <w:color w:val="000000"/>
          <w:szCs w:val="22"/>
          <w:lang w:eastAsia="en-AU"/>
        </w:rPr>
        <w:t>persisted</w:t>
      </w:r>
      <w:r w:rsidRPr="007E1DF9">
        <w:rPr>
          <w:color w:val="000000"/>
          <w:szCs w:val="22"/>
          <w:lang w:eastAsia="en-AU"/>
        </w:rPr>
        <w:t xml:space="preserve"> in estuary and coast habitats over the last 3 – 4 monitoring periods (</w:t>
      </w:r>
      <w:r w:rsidR="00993358">
        <w:rPr>
          <w:color w:val="000000"/>
          <w:szCs w:val="22"/>
          <w:lang w:eastAsia="en-AU"/>
        </w:rPr>
        <w:fldChar w:fldCharType="begin"/>
      </w:r>
      <w:r w:rsidR="00993358">
        <w:rPr>
          <w:color w:val="000000"/>
          <w:szCs w:val="22"/>
          <w:lang w:eastAsia="en-AU"/>
        </w:rPr>
        <w:instrText xml:space="preserve"> REF _Ref382209642 \h </w:instrText>
      </w:r>
      <w:r w:rsidR="00993358">
        <w:rPr>
          <w:color w:val="000000"/>
          <w:szCs w:val="22"/>
          <w:lang w:eastAsia="en-AU"/>
        </w:rPr>
      </w:r>
      <w:r w:rsidR="00993358">
        <w:rPr>
          <w:color w:val="000000"/>
          <w:szCs w:val="22"/>
          <w:lang w:eastAsia="en-AU"/>
        </w:rPr>
        <w:fldChar w:fldCharType="separate"/>
      </w:r>
      <w:r w:rsidR="009C068F" w:rsidRPr="000D2ADB">
        <w:rPr>
          <w:color w:val="000000"/>
          <w:szCs w:val="22"/>
        </w:rPr>
        <w:t xml:space="preserve">Figure </w:t>
      </w:r>
      <w:r w:rsidR="009C068F">
        <w:rPr>
          <w:noProof/>
          <w:color w:val="000000"/>
          <w:szCs w:val="22"/>
        </w:rPr>
        <w:t>89</w:t>
      </w:r>
      <w:r w:rsidR="00993358">
        <w:rPr>
          <w:color w:val="000000"/>
          <w:szCs w:val="22"/>
          <w:lang w:eastAsia="en-AU"/>
        </w:rPr>
        <w:fldChar w:fldCharType="end"/>
      </w:r>
      <w:r w:rsidRPr="007E1DF9">
        <w:rPr>
          <w:color w:val="000000"/>
          <w:szCs w:val="22"/>
          <w:lang w:eastAsia="en-AU"/>
        </w:rPr>
        <w:t xml:space="preserve">). Seed banks </w:t>
      </w:r>
      <w:r w:rsidR="007B4164">
        <w:rPr>
          <w:color w:val="000000"/>
          <w:szCs w:val="22"/>
          <w:lang w:eastAsia="en-AU"/>
        </w:rPr>
        <w:t xml:space="preserve">of </w:t>
      </w:r>
      <w:proofErr w:type="spellStart"/>
      <w:r w:rsidR="007B4164" w:rsidRPr="007B4164">
        <w:rPr>
          <w:i/>
          <w:color w:val="000000"/>
          <w:szCs w:val="22"/>
          <w:lang w:eastAsia="en-AU"/>
        </w:rPr>
        <w:t>Zostera</w:t>
      </w:r>
      <w:proofErr w:type="spellEnd"/>
      <w:r w:rsidR="007B4164" w:rsidRPr="007B4164">
        <w:rPr>
          <w:i/>
          <w:color w:val="000000"/>
          <w:szCs w:val="22"/>
          <w:lang w:eastAsia="en-AU"/>
        </w:rPr>
        <w:t xml:space="preserve"> </w:t>
      </w:r>
      <w:proofErr w:type="spellStart"/>
      <w:r w:rsidR="007B4164" w:rsidRPr="007B4164">
        <w:rPr>
          <w:i/>
          <w:color w:val="000000"/>
          <w:szCs w:val="22"/>
          <w:lang w:eastAsia="en-AU"/>
        </w:rPr>
        <w:t>muelleri</w:t>
      </w:r>
      <w:proofErr w:type="spellEnd"/>
      <w:r w:rsidR="007B4164">
        <w:rPr>
          <w:color w:val="000000"/>
          <w:szCs w:val="22"/>
          <w:lang w:eastAsia="en-AU"/>
        </w:rPr>
        <w:t xml:space="preserve"> and </w:t>
      </w:r>
      <w:proofErr w:type="spellStart"/>
      <w:r w:rsidR="007B4164" w:rsidRPr="007B4164">
        <w:rPr>
          <w:i/>
          <w:color w:val="000000"/>
          <w:szCs w:val="22"/>
          <w:lang w:eastAsia="en-AU"/>
        </w:rPr>
        <w:t>Halodule</w:t>
      </w:r>
      <w:proofErr w:type="spellEnd"/>
      <w:r w:rsidR="007B4164" w:rsidRPr="007B4164">
        <w:rPr>
          <w:i/>
          <w:color w:val="000000"/>
          <w:szCs w:val="22"/>
          <w:lang w:eastAsia="en-AU"/>
        </w:rPr>
        <w:t xml:space="preserve"> </w:t>
      </w:r>
      <w:proofErr w:type="spellStart"/>
      <w:r w:rsidR="007B4164" w:rsidRPr="007B4164">
        <w:rPr>
          <w:i/>
          <w:color w:val="000000"/>
          <w:szCs w:val="22"/>
          <w:lang w:eastAsia="en-AU"/>
        </w:rPr>
        <w:t>uninervis</w:t>
      </w:r>
      <w:proofErr w:type="spellEnd"/>
      <w:r w:rsidR="007B4164">
        <w:rPr>
          <w:color w:val="000000"/>
          <w:szCs w:val="22"/>
          <w:lang w:eastAsia="en-AU"/>
        </w:rPr>
        <w:t xml:space="preserve"> </w:t>
      </w:r>
      <w:r w:rsidRPr="007E1DF9">
        <w:rPr>
          <w:color w:val="000000"/>
          <w:szCs w:val="22"/>
          <w:lang w:eastAsia="en-AU"/>
        </w:rPr>
        <w:t>at estuary and coast sites</w:t>
      </w:r>
      <w:r w:rsidR="007B4164">
        <w:rPr>
          <w:color w:val="000000"/>
          <w:szCs w:val="22"/>
          <w:lang w:eastAsia="en-AU"/>
        </w:rPr>
        <w:t>, respectively,</w:t>
      </w:r>
      <w:r w:rsidRPr="007E1DF9">
        <w:rPr>
          <w:color w:val="000000"/>
          <w:szCs w:val="22"/>
          <w:lang w:eastAsia="en-AU"/>
        </w:rPr>
        <w:t xml:space="preserve"> indicate a capacity to recover following disturbance, although poor reproductive effort may be a precursor to seed bank limitation in the near future. In these sites, the reproductive score may underestimate the role of sexual reproduction and the seed bank. As such, seed banks are being considered for future inclusion in the report card metric. Seed banks remain absent from reef habitats in 2014-15 </w:t>
      </w:r>
      <w:r w:rsidR="0039608D">
        <w:rPr>
          <w:color w:val="000000"/>
          <w:szCs w:val="22"/>
          <w:lang w:eastAsia="en-AU"/>
        </w:rPr>
        <w:t>which</w:t>
      </w:r>
      <w:r w:rsidRPr="007E1DF9">
        <w:rPr>
          <w:color w:val="000000"/>
          <w:szCs w:val="22"/>
          <w:lang w:eastAsia="en-AU"/>
        </w:rPr>
        <w:t xml:space="preserve"> limits the capacity of opportunistic species to expand, as well as the meadow capacity to recover following further disturbance.</w:t>
      </w:r>
    </w:p>
    <w:p w:rsidR="007E1DF9" w:rsidRPr="007E1DF9" w:rsidRDefault="007E1DF9" w:rsidP="004D6DEF">
      <w:pPr>
        <w:keepNext/>
        <w:widowControl w:val="0"/>
        <w:spacing w:after="0"/>
        <w:jc w:val="center"/>
        <w:rPr>
          <w:color w:val="000000"/>
          <w:szCs w:val="22"/>
          <w:lang w:eastAsia="en-AU"/>
        </w:rPr>
      </w:pPr>
      <w:r>
        <w:rPr>
          <w:noProof/>
          <w:color w:val="000000"/>
          <w:szCs w:val="22"/>
          <w:lang w:eastAsia="en-AU"/>
        </w:rPr>
        <w:drawing>
          <wp:inline distT="0" distB="0" distL="0" distR="0" wp14:anchorId="0CA6D785" wp14:editId="77A6B05A">
            <wp:extent cx="5759450" cy="1417955"/>
            <wp:effectExtent l="0" t="0" r="0" b="0"/>
            <wp:docPr id="534" name="Picture 534" descr="Panel of three composite bar and scatter plot graphs showing seed banks (bars) and reproductive effort (dots) at inshore seagrass habitats in the Fitzroy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repro15.png"/>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5759450" cy="1417955"/>
                    </a:xfrm>
                    <a:prstGeom prst="rect">
                      <a:avLst/>
                    </a:prstGeom>
                  </pic:spPr>
                </pic:pic>
              </a:graphicData>
            </a:graphic>
          </wp:inline>
        </w:drawing>
      </w:r>
    </w:p>
    <w:p w:rsidR="00244FEE" w:rsidRPr="000D2ADB" w:rsidRDefault="005132EF" w:rsidP="00244FEE">
      <w:pPr>
        <w:autoSpaceDE w:val="0"/>
        <w:autoSpaceDN w:val="0"/>
        <w:adjustRightInd w:val="0"/>
        <w:rPr>
          <w:i/>
          <w:vanish/>
          <w:color w:val="000000"/>
          <w:szCs w:val="22"/>
          <w:specVanish/>
        </w:rPr>
      </w:pPr>
      <w:bookmarkStart w:id="508" w:name="_Ref382209642"/>
      <w:bookmarkStart w:id="509" w:name="_Toc431493890"/>
      <w:bookmarkStart w:id="510" w:name="_Toc462684929"/>
      <w:r w:rsidRPr="000D2ADB">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89</w:t>
      </w:r>
      <w:r w:rsidR="0073595B">
        <w:rPr>
          <w:color w:val="000000"/>
          <w:szCs w:val="22"/>
        </w:rPr>
        <w:fldChar w:fldCharType="end"/>
      </w:r>
      <w:bookmarkEnd w:id="508"/>
      <w:r w:rsidRPr="000D2ADB">
        <w:rPr>
          <w:color w:val="000000"/>
          <w:szCs w:val="22"/>
        </w:rPr>
        <w:t>.</w:t>
      </w:r>
      <w:r w:rsidRPr="000D2ADB">
        <w:rPr>
          <w:i/>
          <w:color w:val="000000"/>
          <w:szCs w:val="22"/>
        </w:rPr>
        <w:t xml:space="preserve"> </w:t>
      </w:r>
      <w:r w:rsidR="00244FEE" w:rsidRPr="000D2ADB">
        <w:rPr>
          <w:i/>
          <w:color w:val="000000"/>
          <w:szCs w:val="22"/>
        </w:rPr>
        <w:t xml:space="preserve">Seed bank and late dry season reproductive effort for inshore intertidal coastal, estuary and reef habitats in the </w:t>
      </w:r>
      <w:r w:rsidR="008C23B1" w:rsidRPr="000D2ADB">
        <w:rPr>
          <w:i/>
          <w:color w:val="000000"/>
          <w:szCs w:val="22"/>
        </w:rPr>
        <w:t>Fitzroy</w:t>
      </w:r>
      <w:r w:rsidR="00244FEE" w:rsidRPr="000D2ADB">
        <w:rPr>
          <w:i/>
          <w:color w:val="000000"/>
          <w:szCs w:val="22"/>
        </w:rPr>
        <w:t xml:space="preserve"> region, 200</w:t>
      </w:r>
      <w:r w:rsidR="00F45DFA">
        <w:rPr>
          <w:i/>
          <w:color w:val="000000"/>
          <w:szCs w:val="22"/>
        </w:rPr>
        <w:t>5</w:t>
      </w:r>
      <w:r w:rsidR="00244FEE" w:rsidRPr="000D2ADB">
        <w:rPr>
          <w:i/>
          <w:color w:val="000000"/>
          <w:szCs w:val="22"/>
        </w:rPr>
        <w:t xml:space="preserve"> - 201</w:t>
      </w:r>
      <w:r w:rsidR="007E1DF9">
        <w:rPr>
          <w:i/>
          <w:color w:val="000000"/>
          <w:szCs w:val="22"/>
        </w:rPr>
        <w:t>5</w:t>
      </w:r>
      <w:r w:rsidR="00244FEE" w:rsidRPr="000D2ADB">
        <w:rPr>
          <w:i/>
          <w:color w:val="000000"/>
          <w:szCs w:val="22"/>
        </w:rPr>
        <w:t>.</w:t>
      </w:r>
      <w:bookmarkEnd w:id="509"/>
      <w:bookmarkEnd w:id="510"/>
      <w:r w:rsidR="00244FEE" w:rsidRPr="000D2ADB">
        <w:rPr>
          <w:i/>
          <w:color w:val="000000"/>
          <w:szCs w:val="22"/>
        </w:rPr>
        <w:t xml:space="preserve"> </w:t>
      </w:r>
    </w:p>
    <w:p w:rsidR="00BC4EC5" w:rsidRPr="00BC4EC5" w:rsidRDefault="00244FEE" w:rsidP="00BC5E5C">
      <w:pPr>
        <w:autoSpaceDE w:val="0"/>
        <w:autoSpaceDN w:val="0"/>
        <w:adjustRightInd w:val="0"/>
        <w:rPr>
          <w:color w:val="000000"/>
          <w:szCs w:val="22"/>
        </w:rPr>
      </w:pPr>
      <w:r w:rsidRPr="000D2ADB">
        <w:rPr>
          <w:i/>
          <w:color w:val="000000"/>
          <w:szCs w:val="22"/>
        </w:rPr>
        <w:t>S</w:t>
      </w:r>
      <w:r w:rsidR="008C23B1" w:rsidRPr="000D2ADB">
        <w:rPr>
          <w:i/>
          <w:color w:val="000000"/>
          <w:szCs w:val="22"/>
        </w:rPr>
        <w:t>eed bank presented as the total number of seeds per m</w:t>
      </w:r>
      <w:r w:rsidR="008C23B1" w:rsidRPr="000D2ADB">
        <w:rPr>
          <w:i/>
          <w:color w:val="000000"/>
          <w:szCs w:val="22"/>
          <w:vertAlign w:val="superscript"/>
        </w:rPr>
        <w:t>2</w:t>
      </w:r>
      <w:r w:rsidR="008C23B1" w:rsidRPr="000D2ADB">
        <w:rPr>
          <w:i/>
          <w:color w:val="000000"/>
          <w:szCs w:val="22"/>
        </w:rPr>
        <w:t xml:space="preserve"> sediment surface and late dry season reproductive effort presented as the average number of reproductive structures per core (species and sites pooled).</w:t>
      </w:r>
      <w:r w:rsidRPr="000D2ADB">
        <w:rPr>
          <w:i/>
          <w:color w:val="000000"/>
          <w:szCs w:val="22"/>
        </w:rPr>
        <w:t xml:space="preserve"> </w:t>
      </w:r>
    </w:p>
    <w:p w:rsidR="00BC4EC5" w:rsidRPr="00BD0604" w:rsidRDefault="00FF0A86" w:rsidP="00926892">
      <w:pPr>
        <w:pStyle w:val="Heading3"/>
        <w:numPr>
          <w:ilvl w:val="2"/>
          <w:numId w:val="9"/>
        </w:numPr>
        <w:rPr>
          <w:rFonts w:ascii="Arial" w:hAnsi="Arial" w:cs="Arial"/>
          <w:color w:val="000000"/>
        </w:rPr>
      </w:pPr>
      <w:bookmarkStart w:id="511" w:name="_Toc462047364"/>
      <w:r>
        <w:rPr>
          <w:rFonts w:ascii="Arial" w:hAnsi="Arial" w:cs="Arial"/>
          <w:color w:val="000000"/>
        </w:rPr>
        <w:t>Indicators of environmental condition</w:t>
      </w:r>
      <w:bookmarkEnd w:id="511"/>
    </w:p>
    <w:p w:rsidR="005132EF" w:rsidRPr="001D05D4" w:rsidRDefault="005132EF" w:rsidP="001D05D4">
      <w:pPr>
        <w:pStyle w:val="Heading4"/>
        <w:numPr>
          <w:ilvl w:val="0"/>
          <w:numId w:val="0"/>
        </w:numPr>
        <w:rPr>
          <w:rFonts w:ascii="Arial" w:hAnsi="Arial" w:cs="Arial"/>
          <w:sz w:val="24"/>
          <w:szCs w:val="24"/>
        </w:rPr>
      </w:pPr>
      <w:r w:rsidRPr="001D05D4">
        <w:rPr>
          <w:rFonts w:ascii="Arial" w:hAnsi="Arial" w:cs="Arial"/>
          <w:sz w:val="24"/>
          <w:szCs w:val="24"/>
        </w:rPr>
        <w:t>Seagrass tissue nutrients</w:t>
      </w:r>
    </w:p>
    <w:p w:rsidR="007E1DF9" w:rsidRDefault="007E1DF9" w:rsidP="007E1DF9">
      <w:pPr>
        <w:autoSpaceDE w:val="0"/>
        <w:autoSpaceDN w:val="0"/>
        <w:adjustRightInd w:val="0"/>
        <w:rPr>
          <w:color w:val="000000"/>
          <w:szCs w:val="22"/>
        </w:rPr>
      </w:pPr>
      <w:r w:rsidRPr="007E1DF9">
        <w:rPr>
          <w:rFonts w:cs="TimesNewRoman,Italic"/>
          <w:iCs/>
          <w:color w:val="000000"/>
          <w:szCs w:val="22"/>
        </w:rPr>
        <w:t>Seagrass growing in the Fitzroy region were similar in the relative compositions of carbon to nitrogen (C</w:t>
      </w:r>
      <w:proofErr w:type="gramStart"/>
      <w:r w:rsidRPr="007E1DF9">
        <w:rPr>
          <w:rFonts w:cs="TimesNewRoman,Italic"/>
          <w:iCs/>
          <w:color w:val="000000"/>
          <w:szCs w:val="22"/>
        </w:rPr>
        <w:t>:N</w:t>
      </w:r>
      <w:proofErr w:type="gramEnd"/>
      <w:r w:rsidRPr="007E1DF9">
        <w:rPr>
          <w:rFonts w:cs="TimesNewRoman,Italic"/>
          <w:iCs/>
          <w:color w:val="000000"/>
          <w:szCs w:val="22"/>
        </w:rPr>
        <w:t xml:space="preserve"> &lt;20) among habitats in 2014-15 (</w:t>
      </w:r>
      <w:r w:rsidR="004D6DEF">
        <w:rPr>
          <w:rFonts w:cs="TimesNewRoman,Italic"/>
          <w:iCs/>
          <w:color w:val="000000"/>
          <w:szCs w:val="22"/>
        </w:rPr>
        <w:fldChar w:fldCharType="begin"/>
      </w:r>
      <w:r w:rsidR="004D6DEF">
        <w:rPr>
          <w:rFonts w:cs="TimesNewRoman,Italic"/>
          <w:iCs/>
          <w:color w:val="000000"/>
          <w:szCs w:val="22"/>
        </w:rPr>
        <w:instrText xml:space="preserve"> REF _Ref271133742 \h </w:instrText>
      </w:r>
      <w:r w:rsidR="004D6DEF">
        <w:rPr>
          <w:rFonts w:cs="TimesNewRoman,Italic"/>
          <w:iCs/>
          <w:color w:val="000000"/>
          <w:szCs w:val="22"/>
        </w:rPr>
      </w:r>
      <w:r w:rsidR="004D6DEF">
        <w:rPr>
          <w:rFonts w:cs="TimesNewRoman,Italic"/>
          <w:iCs/>
          <w:color w:val="000000"/>
          <w:szCs w:val="22"/>
        </w:rPr>
        <w:fldChar w:fldCharType="separate"/>
      </w:r>
      <w:r w:rsidR="009C068F" w:rsidRPr="004A52D2">
        <w:rPr>
          <w:color w:val="000000"/>
        </w:rPr>
        <w:t xml:space="preserve">Figure </w:t>
      </w:r>
      <w:r w:rsidR="009C068F">
        <w:rPr>
          <w:noProof/>
          <w:color w:val="000000"/>
        </w:rPr>
        <w:t>90</w:t>
      </w:r>
      <w:r w:rsidR="004D6DEF">
        <w:rPr>
          <w:rFonts w:cs="TimesNewRoman,Italic"/>
          <w:iCs/>
          <w:color w:val="000000"/>
          <w:szCs w:val="22"/>
        </w:rPr>
        <w:fldChar w:fldCharType="end"/>
      </w:r>
      <w:r w:rsidRPr="007E1DF9">
        <w:rPr>
          <w:rFonts w:cs="TimesNewRoman,Italic"/>
          <w:iCs/>
          <w:color w:val="000000"/>
          <w:szCs w:val="22"/>
        </w:rPr>
        <w:t xml:space="preserve">). At all habitats, the C:N was below 20, which is indicative of a surplus in the uptake of N, relative to the uptake and incorporation of carbon and may indicate either </w:t>
      </w:r>
      <w:r w:rsidRPr="00C8437B">
        <w:rPr>
          <w:rFonts w:cs="TimesNewRoman,Italic"/>
          <w:iCs/>
          <w:color w:val="000000"/>
          <w:szCs w:val="22"/>
        </w:rPr>
        <w:t xml:space="preserve">reduced light availability or elevated N. </w:t>
      </w:r>
      <w:r w:rsidR="00C8437B">
        <w:rPr>
          <w:rFonts w:cs="TimesNewRoman,Italic"/>
          <w:iCs/>
          <w:color w:val="000000"/>
          <w:szCs w:val="22"/>
        </w:rPr>
        <w:t xml:space="preserve">Leaf tissue </w:t>
      </w:r>
      <w:r w:rsidR="00C8437B" w:rsidRPr="00C8437B">
        <w:rPr>
          <w:rFonts w:cs="TimesNewRoman,Italic"/>
          <w:iCs/>
          <w:color w:val="000000"/>
          <w:szCs w:val="22"/>
        </w:rPr>
        <w:t>δ</w:t>
      </w:r>
      <w:r w:rsidR="00FB58CF" w:rsidRPr="00C8437B">
        <w:rPr>
          <w:rFonts w:cs="TimesNewRoman,Italic"/>
          <w:iCs/>
          <w:color w:val="000000"/>
          <w:szCs w:val="22"/>
          <w:vertAlign w:val="superscript"/>
        </w:rPr>
        <w:t>13</w:t>
      </w:r>
      <w:r w:rsidR="00FB58CF" w:rsidRPr="00C8437B">
        <w:rPr>
          <w:rFonts w:cs="TimesNewRoman,Italic"/>
          <w:iCs/>
          <w:color w:val="000000"/>
          <w:szCs w:val="22"/>
        </w:rPr>
        <w:t>C remained stable and below global averages across all</w:t>
      </w:r>
      <w:r w:rsidR="00FB58CF">
        <w:rPr>
          <w:rFonts w:cs="TimesNewRoman,Italic"/>
          <w:iCs/>
          <w:color w:val="000000"/>
          <w:szCs w:val="22"/>
        </w:rPr>
        <w:t xml:space="preserve"> habitats, suggesting some light limitation which is </w:t>
      </w:r>
      <w:r w:rsidR="001C7CC6">
        <w:rPr>
          <w:rFonts w:cs="TimesNewRoman,Italic"/>
          <w:iCs/>
          <w:color w:val="000000"/>
          <w:szCs w:val="22"/>
        </w:rPr>
        <w:t>consistent with</w:t>
      </w:r>
      <w:r w:rsidR="00FB58CF">
        <w:rPr>
          <w:rFonts w:cs="TimesNewRoman,Italic"/>
          <w:iCs/>
          <w:color w:val="000000"/>
          <w:szCs w:val="22"/>
        </w:rPr>
        <w:t xml:space="preserve"> the </w:t>
      </w:r>
      <w:r w:rsidR="00FB58CF" w:rsidRPr="007E1DF9">
        <w:rPr>
          <w:rFonts w:cs="TimesNewRoman,Italic"/>
          <w:iCs/>
          <w:color w:val="000000"/>
          <w:szCs w:val="22"/>
        </w:rPr>
        <w:t xml:space="preserve">declining </w:t>
      </w:r>
      <w:r w:rsidR="00FB58CF">
        <w:rPr>
          <w:rFonts w:cs="TimesNewRoman,Italic"/>
          <w:iCs/>
          <w:color w:val="000000"/>
          <w:szCs w:val="22"/>
        </w:rPr>
        <w:t>l</w:t>
      </w:r>
      <w:r w:rsidR="00FB58CF" w:rsidRPr="007E1DF9">
        <w:rPr>
          <w:rFonts w:cs="TimesNewRoman,Italic"/>
          <w:iCs/>
          <w:color w:val="000000"/>
          <w:szCs w:val="22"/>
        </w:rPr>
        <w:t xml:space="preserve">ight levels </w:t>
      </w:r>
      <w:r w:rsidR="00FB58CF">
        <w:rPr>
          <w:rFonts w:cs="TimesNewRoman,Italic"/>
          <w:iCs/>
          <w:color w:val="000000"/>
          <w:szCs w:val="22"/>
        </w:rPr>
        <w:t>measures</w:t>
      </w:r>
      <w:r w:rsidR="00FB58CF" w:rsidRPr="007E1DF9">
        <w:rPr>
          <w:rFonts w:cs="TimesNewRoman,Italic"/>
          <w:iCs/>
          <w:color w:val="000000"/>
          <w:szCs w:val="22"/>
        </w:rPr>
        <w:t xml:space="preserve"> at GK through 2014, </w:t>
      </w:r>
      <w:r w:rsidR="001C7CC6">
        <w:rPr>
          <w:rFonts w:cs="TimesNewRoman,Italic"/>
          <w:iCs/>
          <w:color w:val="000000"/>
          <w:szCs w:val="22"/>
        </w:rPr>
        <w:t>which</w:t>
      </w:r>
      <w:r w:rsidR="00FB58CF" w:rsidRPr="007E1DF9">
        <w:rPr>
          <w:rFonts w:cs="TimesNewRoman,Italic"/>
          <w:iCs/>
          <w:color w:val="000000"/>
          <w:szCs w:val="22"/>
        </w:rPr>
        <w:t xml:space="preserve"> is likely to have affected carbon uptake. </w:t>
      </w:r>
      <w:r w:rsidRPr="007E1DF9">
        <w:rPr>
          <w:rFonts w:cs="TimesNewRoman,Italic"/>
          <w:iCs/>
          <w:color w:val="000000"/>
          <w:szCs w:val="22"/>
        </w:rPr>
        <w:t>Increasing N</w:t>
      </w:r>
      <w:proofErr w:type="gramStart"/>
      <w:r w:rsidRPr="007E1DF9">
        <w:rPr>
          <w:rFonts w:cs="TimesNewRoman,Italic"/>
          <w:iCs/>
          <w:color w:val="000000"/>
          <w:szCs w:val="22"/>
        </w:rPr>
        <w:t>:P</w:t>
      </w:r>
      <w:proofErr w:type="gramEnd"/>
      <w:r w:rsidRPr="007E1DF9">
        <w:rPr>
          <w:rFonts w:cs="TimesNewRoman,Italic"/>
          <w:iCs/>
          <w:color w:val="000000"/>
          <w:szCs w:val="22"/>
        </w:rPr>
        <w:t xml:space="preserve"> at coast and reef sites further indicates </w:t>
      </w:r>
      <w:r w:rsidR="007B4164">
        <w:rPr>
          <w:rFonts w:cs="TimesNewRoman,Italic"/>
          <w:iCs/>
          <w:color w:val="000000"/>
          <w:szCs w:val="22"/>
        </w:rPr>
        <w:t>nitrogen</w:t>
      </w:r>
      <w:r w:rsidRPr="007E1DF9">
        <w:rPr>
          <w:rFonts w:cs="TimesNewRoman,Italic"/>
          <w:iCs/>
          <w:color w:val="000000"/>
          <w:szCs w:val="22"/>
        </w:rPr>
        <w:t xml:space="preserve"> enrichment in 2014</w:t>
      </w:r>
      <w:r w:rsidR="007B4164">
        <w:rPr>
          <w:rFonts w:cs="TimesNewRoman,Italic"/>
          <w:iCs/>
          <w:color w:val="000000"/>
          <w:szCs w:val="22"/>
        </w:rPr>
        <w:t xml:space="preserve"> (</w:t>
      </w:r>
      <w:r w:rsidR="007B4164">
        <w:rPr>
          <w:rFonts w:cs="TimesNewRoman,Italic"/>
          <w:iCs/>
          <w:color w:val="000000"/>
          <w:szCs w:val="22"/>
        </w:rPr>
        <w:fldChar w:fldCharType="begin"/>
      </w:r>
      <w:r w:rsidR="007B4164">
        <w:rPr>
          <w:rFonts w:cs="TimesNewRoman,Italic"/>
          <w:iCs/>
          <w:color w:val="000000"/>
          <w:szCs w:val="22"/>
        </w:rPr>
        <w:instrText xml:space="preserve"> REF _Ref236801280 \h </w:instrText>
      </w:r>
      <w:r w:rsidR="007B4164">
        <w:rPr>
          <w:rFonts w:cs="TimesNewRoman,Italic"/>
          <w:iCs/>
          <w:color w:val="000000"/>
          <w:szCs w:val="22"/>
        </w:rPr>
      </w:r>
      <w:r w:rsidR="007B4164">
        <w:rPr>
          <w:rFonts w:cs="TimesNewRoman,Italic"/>
          <w:iCs/>
          <w:color w:val="000000"/>
          <w:szCs w:val="22"/>
        </w:rPr>
        <w:fldChar w:fldCharType="separate"/>
      </w:r>
      <w:r w:rsidR="009C068F" w:rsidRPr="00372A66">
        <w:rPr>
          <w:color w:val="000000"/>
          <w:szCs w:val="22"/>
        </w:rPr>
        <w:t xml:space="preserve">Figure </w:t>
      </w:r>
      <w:r w:rsidR="009C068F">
        <w:rPr>
          <w:noProof/>
          <w:color w:val="000000"/>
          <w:szCs w:val="22"/>
        </w:rPr>
        <w:t>91</w:t>
      </w:r>
      <w:r w:rsidR="007B4164">
        <w:rPr>
          <w:rFonts w:cs="TimesNewRoman,Italic"/>
          <w:iCs/>
          <w:color w:val="000000"/>
          <w:szCs w:val="22"/>
        </w:rPr>
        <w:fldChar w:fldCharType="end"/>
      </w:r>
      <w:r w:rsidR="007B4164">
        <w:rPr>
          <w:rFonts w:cs="TimesNewRoman,Italic"/>
          <w:iCs/>
          <w:color w:val="000000"/>
          <w:szCs w:val="22"/>
        </w:rPr>
        <w:t>)</w:t>
      </w:r>
      <w:r w:rsidRPr="007E1DF9">
        <w:rPr>
          <w:rFonts w:cs="TimesNewRoman,Italic"/>
          <w:iCs/>
          <w:color w:val="000000"/>
          <w:szCs w:val="22"/>
        </w:rPr>
        <w:t xml:space="preserve">, but as this was prior to the wet season, it cannot be attributed to TC Marcia and events associated with its passing. </w:t>
      </w:r>
      <w:r w:rsidR="001C7CC6">
        <w:rPr>
          <w:rFonts w:cs="TimesNewRoman,Italic"/>
          <w:iCs/>
          <w:color w:val="000000"/>
          <w:szCs w:val="22"/>
        </w:rPr>
        <w:t xml:space="preserve">Leaf tissue </w:t>
      </w:r>
      <w:r w:rsidR="00C8437B" w:rsidRPr="00C8437B">
        <w:rPr>
          <w:rFonts w:cs="TimesNewRoman,Italic"/>
          <w:iCs/>
          <w:color w:val="000000"/>
          <w:szCs w:val="22"/>
        </w:rPr>
        <w:t>δ</w:t>
      </w:r>
      <w:r w:rsidR="00C8437B" w:rsidRPr="00C8437B">
        <w:rPr>
          <w:rFonts w:cs="TimesNewRoman,Italic"/>
          <w:iCs/>
          <w:color w:val="000000"/>
          <w:szCs w:val="22"/>
          <w:vertAlign w:val="superscript"/>
        </w:rPr>
        <w:t>13</w:t>
      </w:r>
      <w:r w:rsidR="00C8437B" w:rsidRPr="00C8437B">
        <w:rPr>
          <w:rFonts w:cs="TimesNewRoman,Italic"/>
          <w:iCs/>
          <w:color w:val="000000"/>
          <w:szCs w:val="22"/>
        </w:rPr>
        <w:t xml:space="preserve">C </w:t>
      </w:r>
      <w:r w:rsidR="001C7CC6">
        <w:rPr>
          <w:rFonts w:cs="TimesNewRoman,Italic"/>
          <w:iCs/>
          <w:color w:val="000000"/>
          <w:szCs w:val="22"/>
        </w:rPr>
        <w:t>values across habitats were similar or lower than previous, but the levels at coastal and estuarine habitats suggests either fertiliser and/or sewage influence in the primary source of N.</w:t>
      </w:r>
    </w:p>
    <w:p w:rsidR="007E1DF9" w:rsidRPr="006C105D" w:rsidRDefault="007E1DF9" w:rsidP="004D6DEF">
      <w:pPr>
        <w:keepNext/>
        <w:widowControl w:val="0"/>
        <w:autoSpaceDE w:val="0"/>
        <w:autoSpaceDN w:val="0"/>
        <w:adjustRightInd w:val="0"/>
        <w:spacing w:after="0"/>
        <w:jc w:val="center"/>
        <w:rPr>
          <w:color w:val="000000"/>
          <w:szCs w:val="22"/>
        </w:rPr>
      </w:pPr>
      <w:r>
        <w:rPr>
          <w:noProof/>
          <w:color w:val="000000"/>
          <w:szCs w:val="22"/>
          <w:lang w:eastAsia="en-AU"/>
        </w:rPr>
        <w:lastRenderedPageBreak/>
        <w:drawing>
          <wp:inline distT="0" distB="0" distL="0" distR="0" wp14:anchorId="50C85EE3" wp14:editId="31ECFD69">
            <wp:extent cx="4860000" cy="1486800"/>
            <wp:effectExtent l="0" t="0" r="0" b="0"/>
            <wp:docPr id="535" name="Picture 535" descr="Panel of three scatter plots with straight lines and markers showing elemental ratios (atomic) of seagrass leaf tissue C:N for the foundation species in inshore seagrass habitats in the Fitzroy NRM region from 2005 to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CN_yr_Dec15.png"/>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4860000" cy="1486800"/>
                    </a:xfrm>
                    <a:prstGeom prst="rect">
                      <a:avLst/>
                    </a:prstGeom>
                  </pic:spPr>
                </pic:pic>
              </a:graphicData>
            </a:graphic>
          </wp:inline>
        </w:drawing>
      </w:r>
    </w:p>
    <w:p w:rsidR="005E3260" w:rsidRPr="004A52D2" w:rsidRDefault="005132EF" w:rsidP="005E3260">
      <w:pPr>
        <w:rPr>
          <w:i/>
          <w:vanish/>
          <w:color w:val="000000"/>
          <w:szCs w:val="22"/>
          <w:specVanish/>
        </w:rPr>
      </w:pPr>
      <w:bookmarkStart w:id="512" w:name="_Ref271133742"/>
      <w:bookmarkStart w:id="513" w:name="_Toc431493892"/>
      <w:bookmarkStart w:id="514" w:name="_Toc462684930"/>
      <w:r w:rsidRPr="004A52D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90</w:t>
      </w:r>
      <w:r w:rsidR="0073595B">
        <w:rPr>
          <w:color w:val="000000"/>
        </w:rPr>
        <w:fldChar w:fldCharType="end"/>
      </w:r>
      <w:bookmarkEnd w:id="512"/>
      <w:r w:rsidRPr="004A52D2">
        <w:rPr>
          <w:color w:val="000000"/>
        </w:rPr>
        <w:t xml:space="preserve">. </w:t>
      </w:r>
      <w:r w:rsidRPr="004A52D2">
        <w:rPr>
          <w:i/>
          <w:color w:val="000000"/>
          <w:lang w:eastAsia="en-AU"/>
        </w:rPr>
        <w:t xml:space="preserve">Elemental ratios (atomic) of seagrass leaf tissue C:N for </w:t>
      </w:r>
      <w:r w:rsidRPr="004A52D2">
        <w:rPr>
          <w:i/>
          <w:color w:val="000000"/>
        </w:rPr>
        <w:t xml:space="preserve">the foundation seagrass species examined at </w:t>
      </w:r>
      <w:r w:rsidR="005E3260" w:rsidRPr="004A52D2">
        <w:rPr>
          <w:i/>
          <w:color w:val="000000"/>
        </w:rPr>
        <w:t xml:space="preserve">inshore intertidal </w:t>
      </w:r>
      <w:r w:rsidRPr="004A52D2">
        <w:rPr>
          <w:i/>
          <w:color w:val="000000"/>
        </w:rPr>
        <w:t>habitat</w:t>
      </w:r>
      <w:r w:rsidR="005E3260" w:rsidRPr="004A52D2">
        <w:rPr>
          <w:i/>
          <w:color w:val="000000"/>
        </w:rPr>
        <w:t>s</w:t>
      </w:r>
      <w:r w:rsidRPr="004A52D2">
        <w:rPr>
          <w:i/>
          <w:color w:val="000000"/>
        </w:rPr>
        <w:t xml:space="preserve"> in the Fitzroy region</w:t>
      </w:r>
      <w:r w:rsidR="005E3260" w:rsidRPr="004A52D2">
        <w:rPr>
          <w:i/>
          <w:color w:val="000000"/>
        </w:rPr>
        <w:t>, 2005 - 201</w:t>
      </w:r>
      <w:r w:rsidR="007E1DF9">
        <w:rPr>
          <w:i/>
          <w:color w:val="000000"/>
        </w:rPr>
        <w:t>4</w:t>
      </w:r>
      <w:bookmarkEnd w:id="513"/>
      <w:bookmarkEnd w:id="514"/>
    </w:p>
    <w:p w:rsidR="005132EF" w:rsidRDefault="005132EF" w:rsidP="004D6DEF">
      <w:pPr>
        <w:rPr>
          <w:color w:val="000000"/>
          <w:szCs w:val="22"/>
        </w:rPr>
      </w:pPr>
      <w:r w:rsidRPr="004A52D2">
        <w:rPr>
          <w:i/>
          <w:color w:val="000000"/>
          <w:lang w:eastAsia="en-AU"/>
        </w:rPr>
        <w:t xml:space="preserve"> (species pooled) </w:t>
      </w:r>
      <w:r w:rsidRPr="004A52D2">
        <w:rPr>
          <w:i/>
          <w:color w:val="000000"/>
        </w:rPr>
        <w:t>(mean</w:t>
      </w:r>
      <w:r w:rsidRPr="004A52D2">
        <w:rPr>
          <w:i/>
          <w:color w:val="000000"/>
          <w:lang w:eastAsia="en-AU"/>
        </w:rPr>
        <w:t xml:space="preserve"> ± Standard Error</w:t>
      </w:r>
      <w:r w:rsidRPr="004A52D2">
        <w:rPr>
          <w:i/>
          <w:color w:val="000000"/>
        </w:rPr>
        <w:t>)</w:t>
      </w:r>
      <w:r w:rsidRPr="004A52D2">
        <w:rPr>
          <w:i/>
          <w:color w:val="000000"/>
          <w:lang w:eastAsia="en-AU"/>
        </w:rPr>
        <w:t xml:space="preserve">. Horizontal shaded band on the C:N ratio panel represents the accepted </w:t>
      </w:r>
      <w:r w:rsidRPr="004A52D2">
        <w:rPr>
          <w:i/>
          <w:color w:val="000000"/>
        </w:rPr>
        <w:t xml:space="preserve">guideline </w:t>
      </w:r>
      <w:r w:rsidRPr="004A52D2">
        <w:rPr>
          <w:i/>
          <w:color w:val="000000"/>
          <w:lang w:eastAsia="en-AU"/>
        </w:rPr>
        <w:t xml:space="preserve">seagrass “Redfield” ratio </w:t>
      </w:r>
      <w:r w:rsidRPr="004A52D2">
        <w:rPr>
          <w:i/>
          <w:color w:val="000000"/>
        </w:rPr>
        <w:t xml:space="preserve">of 20:1 </w:t>
      </w:r>
      <w:r w:rsidR="00C63415" w:rsidRPr="004A52D2">
        <w:rPr>
          <w:i/>
          <w:color w:val="000000"/>
        </w:rPr>
        <w:t>(</w: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rPr>
          <w:i/>
          <w:color w:val="000000"/>
        </w:rPr>
        <w:instrText xml:space="preserve"> ADDIN EN.CITE </w:instrTex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rPr>
          <w:i/>
          <w:color w:val="000000"/>
        </w:rPr>
        <w:instrText xml:space="preserve"> ADDIN EN.CITE.DATA </w:instrText>
      </w:r>
      <w:r w:rsidR="00644A84">
        <w:rPr>
          <w:i/>
          <w:color w:val="000000"/>
        </w:rPr>
      </w:r>
      <w:r w:rsidR="00644A84">
        <w:rPr>
          <w:i/>
          <w:color w:val="000000"/>
        </w:rPr>
        <w:fldChar w:fldCharType="end"/>
      </w:r>
      <w:r w:rsidR="00644A84">
        <w:rPr>
          <w:i/>
          <w:color w:val="000000"/>
        </w:rPr>
      </w:r>
      <w:r w:rsidR="00644A84">
        <w:rPr>
          <w:i/>
          <w:color w:val="000000"/>
        </w:rPr>
        <w:fldChar w:fldCharType="separate"/>
      </w:r>
      <w:hyperlink w:anchor="_ENREF_2" w:tooltip="Abal, 1994 #7405" w:history="1">
        <w:r w:rsidR="00E6043D">
          <w:rPr>
            <w:i/>
            <w:noProof/>
            <w:color w:val="000000"/>
          </w:rPr>
          <w:t>Abal, et al. 1994</w:t>
        </w:r>
      </w:hyperlink>
      <w:r w:rsidR="00644A84">
        <w:rPr>
          <w:i/>
          <w:noProof/>
          <w:color w:val="000000"/>
        </w:rPr>
        <w:t xml:space="preserve">; </w:t>
      </w:r>
      <w:hyperlink w:anchor="_ENREF_118" w:tooltip="Grice, 1996 #1346" w:history="1">
        <w:r w:rsidR="00E6043D">
          <w:rPr>
            <w:i/>
            <w:noProof/>
            <w:color w:val="000000"/>
          </w:rPr>
          <w:t>Grice, et al. 1996</w:t>
        </w:r>
      </w:hyperlink>
      <w:r w:rsidR="00644A84">
        <w:rPr>
          <w:i/>
          <w:color w:val="000000"/>
        </w:rPr>
        <w:fldChar w:fldCharType="end"/>
      </w:r>
      <w:r w:rsidR="00C63415" w:rsidRPr="004A52D2">
        <w:rPr>
          <w:i/>
          <w:color w:val="000000"/>
        </w:rPr>
        <w:t>)</w:t>
      </w:r>
      <w:r w:rsidRPr="004A52D2">
        <w:rPr>
          <w:i/>
          <w:color w:val="000000"/>
          <w:lang w:eastAsia="en-AU"/>
        </w:rPr>
        <w:t xml:space="preserve">. C:N ratios below this line may </w:t>
      </w:r>
      <w:r w:rsidRPr="004A52D2">
        <w:rPr>
          <w:i/>
          <w:color w:val="000000"/>
        </w:rPr>
        <w:t>indicate reduced light availability</w:t>
      </w:r>
      <w:r w:rsidR="00005FEC" w:rsidRPr="004A52D2">
        <w:rPr>
          <w:i/>
          <w:color w:val="000000"/>
        </w:rPr>
        <w:t xml:space="preserve"> and/or N enrichment</w:t>
      </w:r>
      <w:r w:rsidRPr="004A52D2">
        <w:rPr>
          <w:i/>
          <w:color w:val="000000"/>
        </w:rPr>
        <w:t>.</w:t>
      </w:r>
      <w:r w:rsidR="00244FEE" w:rsidRPr="004A52D2">
        <w:rPr>
          <w:i/>
          <w:color w:val="000000"/>
        </w:rPr>
        <w:t xml:space="preserve"> </w:t>
      </w:r>
    </w:p>
    <w:p w:rsidR="007E1DF9" w:rsidRPr="00372A66" w:rsidRDefault="007E1DF9" w:rsidP="004D6DEF">
      <w:pPr>
        <w:keepNext/>
        <w:widowControl w:val="0"/>
        <w:autoSpaceDE w:val="0"/>
        <w:autoSpaceDN w:val="0"/>
        <w:adjustRightInd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6BC281E7" wp14:editId="1FFE762D">
            <wp:extent cx="4860000" cy="2872800"/>
            <wp:effectExtent l="0" t="0" r="0" b="3810"/>
            <wp:docPr id="536" name="Picture 536" descr="Set of six scatter plots with straight lines and markers showing elemental ratios (atomic) of seagrass leaf tissue N:P and C:P for the foundation species in inshore seagrass habitats in the Fitzroy NRM region from 2005 to 201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CNP_yr_Dec15.png"/>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4860000" cy="2872800"/>
                    </a:xfrm>
                    <a:prstGeom prst="rect">
                      <a:avLst/>
                    </a:prstGeom>
                  </pic:spPr>
                </pic:pic>
              </a:graphicData>
            </a:graphic>
          </wp:inline>
        </w:drawing>
      </w:r>
    </w:p>
    <w:p w:rsidR="005E3260" w:rsidRPr="00372A66" w:rsidRDefault="005132EF" w:rsidP="005E3260">
      <w:pPr>
        <w:rPr>
          <w:i/>
          <w:iCs/>
          <w:vanish/>
          <w:color w:val="000000"/>
          <w:szCs w:val="22"/>
          <w:lang w:eastAsia="en-AU"/>
          <w:specVanish/>
        </w:rPr>
      </w:pPr>
      <w:bookmarkStart w:id="515" w:name="_Ref236801280"/>
      <w:bookmarkStart w:id="516" w:name="_Toc431493893"/>
      <w:bookmarkStart w:id="517" w:name="_Toc462684931"/>
      <w:r w:rsidRPr="00372A6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91</w:t>
      </w:r>
      <w:r w:rsidR="0073595B">
        <w:rPr>
          <w:color w:val="000000"/>
          <w:szCs w:val="22"/>
        </w:rPr>
        <w:fldChar w:fldCharType="end"/>
      </w:r>
      <w:bookmarkEnd w:id="515"/>
      <w:r w:rsidRPr="00372A66">
        <w:rPr>
          <w:color w:val="000000"/>
          <w:szCs w:val="22"/>
        </w:rPr>
        <w:t xml:space="preserve">. </w:t>
      </w:r>
      <w:r w:rsidRPr="00372A66">
        <w:rPr>
          <w:i/>
          <w:iCs/>
          <w:color w:val="000000"/>
          <w:szCs w:val="22"/>
          <w:lang w:eastAsia="en-AU"/>
        </w:rPr>
        <w:t xml:space="preserve">Elemental ratios (atomic) of seagrass leaf tissue N:P and C:P </w:t>
      </w:r>
      <w:r w:rsidRPr="00372A66">
        <w:rPr>
          <w:i/>
          <w:iCs/>
          <w:color w:val="000000"/>
          <w:szCs w:val="22"/>
        </w:rPr>
        <w:t xml:space="preserve">for the foundation seagrass species </w:t>
      </w:r>
      <w:r w:rsidR="005E3260" w:rsidRPr="00372A66">
        <w:rPr>
          <w:i/>
          <w:color w:val="000000"/>
        </w:rPr>
        <w:t>examined at inshore intertidal habitats in the Fitzroy region, 2005 - 201</w:t>
      </w:r>
      <w:r w:rsidR="007E1DF9">
        <w:rPr>
          <w:i/>
          <w:color w:val="000000"/>
        </w:rPr>
        <w:t>4</w:t>
      </w:r>
      <w:bookmarkEnd w:id="516"/>
      <w:bookmarkEnd w:id="517"/>
    </w:p>
    <w:p w:rsidR="005E3260" w:rsidRDefault="005E3260" w:rsidP="00034AD4">
      <w:pPr>
        <w:rPr>
          <w:color w:val="000000"/>
          <w:szCs w:val="22"/>
          <w:lang w:val="en-GB"/>
        </w:rPr>
      </w:pPr>
      <w:r w:rsidRPr="00372A66">
        <w:rPr>
          <w:i/>
          <w:iCs/>
          <w:color w:val="000000"/>
          <w:szCs w:val="22"/>
          <w:lang w:eastAsia="en-AU"/>
        </w:rPr>
        <w:t xml:space="preserve"> </w:t>
      </w:r>
      <w:r w:rsidR="005132EF" w:rsidRPr="00372A66">
        <w:rPr>
          <w:i/>
          <w:iCs/>
          <w:color w:val="000000"/>
          <w:szCs w:val="22"/>
          <w:lang w:eastAsia="en-AU"/>
        </w:rPr>
        <w:t>(species pooled) (</w:t>
      </w:r>
      <w:r w:rsidR="005132EF" w:rsidRPr="00372A66">
        <w:rPr>
          <w:i/>
          <w:iCs/>
          <w:color w:val="000000"/>
          <w:szCs w:val="22"/>
        </w:rPr>
        <w:t>mean</w:t>
      </w:r>
      <w:r w:rsidR="005132EF" w:rsidRPr="00372A66">
        <w:rPr>
          <w:i/>
          <w:iCs/>
          <w:color w:val="000000"/>
          <w:szCs w:val="22"/>
          <w:lang w:eastAsia="en-AU"/>
        </w:rPr>
        <w:t xml:space="preserve">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372A66">
        <w:rPr>
          <w:color w:val="000000"/>
          <w:szCs w:val="22"/>
          <w:lang w:val="en-GB"/>
        </w:rPr>
        <w:t xml:space="preserve"> </w:t>
      </w:r>
    </w:p>
    <w:p w:rsidR="00C361E3" w:rsidRPr="001D05D4" w:rsidRDefault="00C361E3" w:rsidP="00C361E3">
      <w:pPr>
        <w:pStyle w:val="Heading4"/>
        <w:numPr>
          <w:ilvl w:val="0"/>
          <w:numId w:val="0"/>
        </w:numPr>
        <w:rPr>
          <w:rFonts w:ascii="Arial" w:hAnsi="Arial" w:cs="Arial"/>
          <w:sz w:val="24"/>
          <w:szCs w:val="24"/>
        </w:rPr>
      </w:pPr>
      <w:r>
        <w:rPr>
          <w:rFonts w:ascii="Arial" w:hAnsi="Arial" w:cs="Arial"/>
          <w:sz w:val="24"/>
          <w:szCs w:val="24"/>
        </w:rPr>
        <w:t>Seagrass meadow sediments</w:t>
      </w:r>
    </w:p>
    <w:p w:rsidR="00BC4EC5" w:rsidRPr="00372A66" w:rsidRDefault="00C361E3" w:rsidP="00034AD4">
      <w:pPr>
        <w:rPr>
          <w:color w:val="000000"/>
          <w:szCs w:val="22"/>
          <w:lang w:val="en-GB"/>
        </w:rPr>
      </w:pPr>
      <w:r>
        <w:rPr>
          <w:color w:val="000000"/>
          <w:szCs w:val="22"/>
          <w:lang w:val="en-GB"/>
        </w:rPr>
        <w:t>In the Fitzroy region, t</w:t>
      </w:r>
      <w:r w:rsidR="008E437C">
        <w:rPr>
          <w:color w:val="000000"/>
          <w:szCs w:val="22"/>
          <w:lang w:val="en-GB"/>
        </w:rPr>
        <w:t>he proportion of fine grain</w:t>
      </w:r>
      <w:r w:rsidR="0039608D">
        <w:rPr>
          <w:color w:val="000000"/>
          <w:szCs w:val="22"/>
          <w:lang w:val="en-GB"/>
        </w:rPr>
        <w:t xml:space="preserve">s in meadow sediments </w:t>
      </w:r>
      <w:r w:rsidR="008E437C">
        <w:rPr>
          <w:color w:val="000000"/>
          <w:szCs w:val="22"/>
          <w:lang w:val="en-GB"/>
        </w:rPr>
        <w:t>decreases with distance from the coast/river mouths</w:t>
      </w:r>
      <w:r>
        <w:rPr>
          <w:color w:val="000000"/>
          <w:szCs w:val="22"/>
          <w:lang w:val="en-GB"/>
        </w:rPr>
        <w:t xml:space="preserve"> and has remained stable over the last 5-6 years</w:t>
      </w:r>
      <w:r w:rsidR="008E437C">
        <w:rPr>
          <w:color w:val="000000"/>
          <w:szCs w:val="22"/>
          <w:lang w:val="en-GB"/>
        </w:rPr>
        <w:t xml:space="preserve">. Estuarine sediments were composed </w:t>
      </w:r>
      <w:r>
        <w:rPr>
          <w:color w:val="000000"/>
          <w:szCs w:val="22"/>
          <w:lang w:val="en-GB"/>
        </w:rPr>
        <w:t xml:space="preserve">primarily </w:t>
      </w:r>
      <w:r w:rsidR="008E437C">
        <w:rPr>
          <w:color w:val="000000"/>
          <w:szCs w:val="22"/>
          <w:lang w:val="en-GB"/>
        </w:rPr>
        <w:t xml:space="preserve">of finer sediments, </w:t>
      </w:r>
      <w:r>
        <w:rPr>
          <w:color w:val="000000"/>
          <w:szCs w:val="22"/>
          <w:lang w:val="en-GB"/>
        </w:rPr>
        <w:t xml:space="preserve">with the </w:t>
      </w:r>
      <w:r w:rsidR="0039608D">
        <w:rPr>
          <w:color w:val="000000"/>
          <w:szCs w:val="22"/>
          <w:lang w:val="en-GB"/>
        </w:rPr>
        <w:t xml:space="preserve">mud </w:t>
      </w:r>
      <w:r>
        <w:rPr>
          <w:color w:val="000000"/>
          <w:szCs w:val="22"/>
          <w:lang w:val="en-GB"/>
        </w:rPr>
        <w:t>p</w:t>
      </w:r>
      <w:r w:rsidR="0039608D">
        <w:rPr>
          <w:color w:val="000000"/>
          <w:szCs w:val="22"/>
          <w:lang w:val="en-GB"/>
        </w:rPr>
        <w:t xml:space="preserve">ortion </w:t>
      </w:r>
      <w:r>
        <w:rPr>
          <w:color w:val="000000"/>
          <w:szCs w:val="22"/>
          <w:lang w:val="en-GB"/>
        </w:rPr>
        <w:t>just below the GBR long-term average</w:t>
      </w:r>
      <w:r w:rsidR="008E437C">
        <w:rPr>
          <w:color w:val="000000"/>
          <w:szCs w:val="22"/>
          <w:lang w:val="en-GB"/>
        </w:rPr>
        <w:t xml:space="preserve">. </w:t>
      </w:r>
      <w:r w:rsidR="0039608D">
        <w:rPr>
          <w:color w:val="000000"/>
          <w:szCs w:val="22"/>
          <w:lang w:val="en-GB"/>
        </w:rPr>
        <w:t>Coastal and reef habitat sediments were dominated by fine sand/sand, but t</w:t>
      </w:r>
      <w:r w:rsidR="008A2F1D">
        <w:rPr>
          <w:color w:val="000000"/>
          <w:szCs w:val="22"/>
          <w:lang w:val="en-GB"/>
        </w:rPr>
        <w:t>he proportion of mud in coastal habitat</w:t>
      </w:r>
      <w:r w:rsidR="009474DB">
        <w:rPr>
          <w:color w:val="000000"/>
          <w:szCs w:val="22"/>
          <w:lang w:val="en-GB"/>
        </w:rPr>
        <w:t>s</w:t>
      </w:r>
      <w:r w:rsidR="008A2F1D">
        <w:rPr>
          <w:color w:val="000000"/>
          <w:szCs w:val="22"/>
          <w:lang w:val="en-GB"/>
        </w:rPr>
        <w:t xml:space="preserve"> </w:t>
      </w:r>
      <w:r>
        <w:rPr>
          <w:color w:val="000000"/>
          <w:szCs w:val="22"/>
          <w:lang w:val="en-GB"/>
        </w:rPr>
        <w:t>was</w:t>
      </w:r>
      <w:r w:rsidR="008A2F1D">
        <w:rPr>
          <w:color w:val="000000"/>
          <w:szCs w:val="22"/>
          <w:lang w:val="en-GB"/>
        </w:rPr>
        <w:t xml:space="preserve"> higher than</w:t>
      </w:r>
      <w:r w:rsidR="0039608D">
        <w:rPr>
          <w:color w:val="000000"/>
          <w:szCs w:val="22"/>
          <w:lang w:val="en-GB"/>
        </w:rPr>
        <w:t xml:space="preserve"> the GBR long-term average</w:t>
      </w:r>
      <w:r w:rsidR="008A2F1D">
        <w:rPr>
          <w:color w:val="000000"/>
          <w:szCs w:val="22"/>
          <w:lang w:val="en-GB"/>
        </w:rPr>
        <w:t xml:space="preserve">. </w:t>
      </w:r>
    </w:p>
    <w:p w:rsidR="005132EF" w:rsidRPr="001D05D4" w:rsidRDefault="005132EF" w:rsidP="001D05D4">
      <w:pPr>
        <w:pStyle w:val="Heading4"/>
        <w:numPr>
          <w:ilvl w:val="0"/>
          <w:numId w:val="0"/>
        </w:numPr>
        <w:rPr>
          <w:rFonts w:ascii="Arial" w:hAnsi="Arial" w:cs="Arial"/>
          <w:sz w:val="24"/>
          <w:szCs w:val="24"/>
        </w:rPr>
      </w:pPr>
      <w:bookmarkStart w:id="518" w:name="_Toc232845932"/>
      <w:bookmarkStart w:id="519" w:name="_Toc184102031"/>
      <w:r w:rsidRPr="001D05D4">
        <w:rPr>
          <w:rFonts w:ascii="Arial" w:hAnsi="Arial" w:cs="Arial"/>
          <w:sz w:val="24"/>
          <w:szCs w:val="24"/>
        </w:rPr>
        <w:t xml:space="preserve">Epiphytes and </w:t>
      </w:r>
      <w:proofErr w:type="spellStart"/>
      <w:r w:rsidRPr="001D05D4">
        <w:rPr>
          <w:rFonts w:ascii="Arial" w:hAnsi="Arial" w:cs="Arial"/>
          <w:sz w:val="24"/>
          <w:szCs w:val="24"/>
        </w:rPr>
        <w:t>Macroalgae</w:t>
      </w:r>
      <w:bookmarkEnd w:id="518"/>
      <w:bookmarkEnd w:id="519"/>
      <w:proofErr w:type="spellEnd"/>
    </w:p>
    <w:p w:rsidR="005132EF" w:rsidRPr="00347468" w:rsidRDefault="00D50307" w:rsidP="00034AD4">
      <w:pPr>
        <w:rPr>
          <w:szCs w:val="22"/>
          <w:lang w:val="en-US"/>
        </w:rPr>
      </w:pPr>
      <w:r w:rsidRPr="00347468">
        <w:rPr>
          <w:szCs w:val="22"/>
          <w:lang w:val="en-US"/>
        </w:rPr>
        <w:t>E</w:t>
      </w:r>
      <w:r w:rsidR="005132EF" w:rsidRPr="00347468">
        <w:rPr>
          <w:szCs w:val="22"/>
          <w:lang w:val="en-US"/>
        </w:rPr>
        <w:t xml:space="preserve">piphyte cover </w:t>
      </w:r>
      <w:r w:rsidR="0014545D" w:rsidRPr="00347468">
        <w:rPr>
          <w:szCs w:val="22"/>
          <w:lang w:val="en-GB"/>
        </w:rPr>
        <w:t xml:space="preserve">at </w:t>
      </w:r>
      <w:r w:rsidR="00474779" w:rsidRPr="00347468">
        <w:rPr>
          <w:szCs w:val="22"/>
          <w:lang w:val="en-GB"/>
        </w:rPr>
        <w:t xml:space="preserve">coast </w:t>
      </w:r>
      <w:r w:rsidR="0014545D" w:rsidRPr="00347468">
        <w:rPr>
          <w:szCs w:val="22"/>
          <w:lang w:val="en-GB"/>
        </w:rPr>
        <w:t>and</w:t>
      </w:r>
      <w:r w:rsidR="00474779" w:rsidRPr="00347468">
        <w:rPr>
          <w:szCs w:val="22"/>
          <w:lang w:val="en-GB"/>
        </w:rPr>
        <w:t xml:space="preserve"> reef</w:t>
      </w:r>
      <w:r w:rsidR="0014545D" w:rsidRPr="00347468">
        <w:rPr>
          <w:szCs w:val="22"/>
          <w:lang w:val="en-GB"/>
        </w:rPr>
        <w:t xml:space="preserve"> habitats</w:t>
      </w:r>
      <w:r w:rsidR="0014545D" w:rsidRPr="00347468">
        <w:rPr>
          <w:szCs w:val="22"/>
          <w:lang w:val="en-US"/>
        </w:rPr>
        <w:t xml:space="preserve"> </w:t>
      </w:r>
      <w:r w:rsidRPr="00347468">
        <w:rPr>
          <w:szCs w:val="22"/>
          <w:lang w:val="en-US"/>
        </w:rPr>
        <w:t xml:space="preserve">either decreased or </w:t>
      </w:r>
      <w:r w:rsidR="005132EF" w:rsidRPr="00347468">
        <w:rPr>
          <w:szCs w:val="22"/>
          <w:lang w:val="en-US"/>
        </w:rPr>
        <w:t xml:space="preserve">remained below the </w:t>
      </w:r>
      <w:r w:rsidR="005132EF" w:rsidRPr="00347468">
        <w:rPr>
          <w:szCs w:val="22"/>
          <w:lang w:val="en-GB"/>
        </w:rPr>
        <w:t>GBR long-term average</w:t>
      </w:r>
      <w:r w:rsidRPr="00347468">
        <w:rPr>
          <w:szCs w:val="22"/>
          <w:lang w:val="en-GB"/>
        </w:rPr>
        <w:t xml:space="preserve"> </w:t>
      </w:r>
      <w:r w:rsidRPr="00347468">
        <w:rPr>
          <w:szCs w:val="22"/>
          <w:lang w:val="en-US"/>
        </w:rPr>
        <w:t xml:space="preserve">over the </w:t>
      </w:r>
      <w:r w:rsidR="00EC364C" w:rsidRPr="00347468">
        <w:rPr>
          <w:szCs w:val="22"/>
          <w:lang w:val="en-US"/>
        </w:rPr>
        <w:t>201</w:t>
      </w:r>
      <w:r w:rsidR="00347468" w:rsidRPr="00347468">
        <w:rPr>
          <w:szCs w:val="22"/>
          <w:lang w:val="en-US"/>
        </w:rPr>
        <w:t>4</w:t>
      </w:r>
      <w:r w:rsidR="00EC364C" w:rsidRPr="00347468">
        <w:rPr>
          <w:szCs w:val="22"/>
          <w:lang w:val="en-US"/>
        </w:rPr>
        <w:t>-1</w:t>
      </w:r>
      <w:r w:rsidR="00347468" w:rsidRPr="00347468">
        <w:rPr>
          <w:szCs w:val="22"/>
          <w:lang w:val="en-US"/>
        </w:rPr>
        <w:t>5</w:t>
      </w:r>
      <w:r w:rsidRPr="00347468">
        <w:rPr>
          <w:szCs w:val="22"/>
          <w:lang w:val="en-US"/>
        </w:rPr>
        <w:t xml:space="preserve"> monitoring period</w:t>
      </w:r>
      <w:r w:rsidR="00474779" w:rsidRPr="00347468">
        <w:rPr>
          <w:szCs w:val="22"/>
          <w:lang w:val="en-GB"/>
        </w:rPr>
        <w:t xml:space="preserve"> </w:t>
      </w:r>
      <w:r w:rsidR="005132EF" w:rsidRPr="00347468">
        <w:rPr>
          <w:szCs w:val="22"/>
          <w:lang w:val="en-US"/>
        </w:rPr>
        <w:t>(</w:t>
      </w:r>
      <w:r w:rsidR="00005FEC" w:rsidRPr="00347468">
        <w:rPr>
          <w:szCs w:val="22"/>
          <w:lang w:val="en-US"/>
        </w:rPr>
        <w:fldChar w:fldCharType="begin"/>
      </w:r>
      <w:r w:rsidR="00005FEC" w:rsidRPr="00347468">
        <w:rPr>
          <w:szCs w:val="22"/>
          <w:lang w:val="en-US"/>
        </w:rPr>
        <w:instrText xml:space="preserve"> REF _Ref382209856 \h </w:instrText>
      </w:r>
      <w:r w:rsidR="00015190" w:rsidRPr="00347468">
        <w:rPr>
          <w:szCs w:val="22"/>
          <w:lang w:val="en-US"/>
        </w:rPr>
        <w:instrText xml:space="preserve"> \* MERGEFORMAT </w:instrText>
      </w:r>
      <w:r w:rsidR="00005FEC" w:rsidRPr="00347468">
        <w:rPr>
          <w:szCs w:val="22"/>
          <w:lang w:val="en-US"/>
        </w:rPr>
      </w:r>
      <w:r w:rsidR="00005FEC" w:rsidRPr="00347468">
        <w:rPr>
          <w:szCs w:val="22"/>
          <w:lang w:val="en-US"/>
        </w:rPr>
        <w:fldChar w:fldCharType="separate"/>
      </w:r>
      <w:r w:rsidR="009C068F" w:rsidRPr="009C068F">
        <w:t xml:space="preserve">Figure </w:t>
      </w:r>
      <w:r w:rsidR="009C068F" w:rsidRPr="009C068F">
        <w:rPr>
          <w:noProof/>
        </w:rPr>
        <w:t>92</w:t>
      </w:r>
      <w:r w:rsidR="00005FEC" w:rsidRPr="00347468">
        <w:rPr>
          <w:szCs w:val="22"/>
          <w:lang w:val="en-US"/>
        </w:rPr>
        <w:fldChar w:fldCharType="end"/>
      </w:r>
      <w:r w:rsidR="00005FEC" w:rsidRPr="00347468">
        <w:rPr>
          <w:szCs w:val="22"/>
          <w:lang w:val="en-US"/>
        </w:rPr>
        <w:t xml:space="preserve">; Appendix </w:t>
      </w:r>
      <w:r w:rsidR="00347468" w:rsidRPr="00347468">
        <w:rPr>
          <w:szCs w:val="22"/>
          <w:lang w:val="en-US"/>
        </w:rPr>
        <w:t>4</w:t>
      </w:r>
      <w:r w:rsidR="00005FEC" w:rsidRPr="00347468">
        <w:rPr>
          <w:szCs w:val="22"/>
          <w:lang w:val="en-US"/>
        </w:rPr>
        <w:t xml:space="preserve">, </w:t>
      </w:r>
      <w:r w:rsidR="00005FEC" w:rsidRPr="00347468">
        <w:rPr>
          <w:szCs w:val="22"/>
          <w:lang w:val="en-US"/>
        </w:rPr>
        <w:fldChar w:fldCharType="begin"/>
      </w:r>
      <w:r w:rsidR="00005FEC" w:rsidRPr="00347468">
        <w:rPr>
          <w:szCs w:val="22"/>
          <w:lang w:val="en-US"/>
        </w:rPr>
        <w:instrText xml:space="preserve"> REF _Ref382209825 \h </w:instrText>
      </w:r>
      <w:r w:rsidR="00015190" w:rsidRPr="00347468">
        <w:rPr>
          <w:szCs w:val="22"/>
          <w:lang w:val="en-US"/>
        </w:rPr>
        <w:instrText xml:space="preserve"> \* MERGEFORMAT </w:instrText>
      </w:r>
      <w:r w:rsidR="00005FEC" w:rsidRPr="00347468">
        <w:rPr>
          <w:szCs w:val="22"/>
          <w:lang w:val="en-US"/>
        </w:rPr>
      </w:r>
      <w:r w:rsidR="00005FEC" w:rsidRPr="00347468">
        <w:rPr>
          <w:szCs w:val="22"/>
          <w:lang w:val="en-US"/>
        </w:rPr>
        <w:fldChar w:fldCharType="separate"/>
      </w:r>
      <w:r w:rsidR="009C068F" w:rsidRPr="009C068F">
        <w:rPr>
          <w:szCs w:val="22"/>
        </w:rPr>
        <w:t xml:space="preserve">Figure </w:t>
      </w:r>
      <w:r w:rsidR="009C068F" w:rsidRPr="009C068F">
        <w:rPr>
          <w:noProof/>
          <w:szCs w:val="22"/>
        </w:rPr>
        <w:t>212</w:t>
      </w:r>
      <w:r w:rsidR="00005FEC" w:rsidRPr="00347468">
        <w:rPr>
          <w:szCs w:val="22"/>
          <w:lang w:val="en-US"/>
        </w:rPr>
        <w:fldChar w:fldCharType="end"/>
      </w:r>
      <w:r w:rsidR="00005FEC" w:rsidRPr="00347468">
        <w:rPr>
          <w:szCs w:val="22"/>
          <w:lang w:val="en-US"/>
        </w:rPr>
        <w:t>,</w:t>
      </w:r>
      <w:r w:rsidR="00474779" w:rsidRPr="00347468">
        <w:rPr>
          <w:szCs w:val="22"/>
          <w:lang w:val="en-US"/>
        </w:rPr>
        <w:t xml:space="preserve"> </w:t>
      </w:r>
      <w:r w:rsidR="00474779" w:rsidRPr="00347468">
        <w:rPr>
          <w:szCs w:val="22"/>
          <w:lang w:val="en-US"/>
        </w:rPr>
        <w:fldChar w:fldCharType="begin"/>
      </w:r>
      <w:r w:rsidR="00474779" w:rsidRPr="00347468">
        <w:rPr>
          <w:szCs w:val="22"/>
          <w:lang w:val="en-US"/>
        </w:rPr>
        <w:instrText xml:space="preserve"> REF _Ref382211537 \h  \* MERGEFORMAT </w:instrText>
      </w:r>
      <w:r w:rsidR="00474779" w:rsidRPr="00347468">
        <w:rPr>
          <w:szCs w:val="22"/>
          <w:lang w:val="en-US"/>
        </w:rPr>
      </w:r>
      <w:r w:rsidR="00474779" w:rsidRPr="00347468">
        <w:rPr>
          <w:szCs w:val="22"/>
          <w:lang w:val="en-US"/>
        </w:rPr>
        <w:fldChar w:fldCharType="separate"/>
      </w:r>
      <w:r w:rsidR="009C068F" w:rsidRPr="009C068F">
        <w:rPr>
          <w:szCs w:val="22"/>
        </w:rPr>
        <w:t xml:space="preserve">Figure </w:t>
      </w:r>
      <w:r w:rsidR="009C068F" w:rsidRPr="009C068F">
        <w:rPr>
          <w:noProof/>
          <w:szCs w:val="22"/>
        </w:rPr>
        <w:t>214</w:t>
      </w:r>
      <w:r w:rsidR="00474779" w:rsidRPr="00347468">
        <w:rPr>
          <w:szCs w:val="22"/>
          <w:lang w:val="en-US"/>
        </w:rPr>
        <w:fldChar w:fldCharType="end"/>
      </w:r>
      <w:r w:rsidR="005132EF" w:rsidRPr="00347468">
        <w:rPr>
          <w:szCs w:val="22"/>
          <w:lang w:val="en-US"/>
        </w:rPr>
        <w:t>)</w:t>
      </w:r>
      <w:r w:rsidRPr="00347468">
        <w:rPr>
          <w:szCs w:val="22"/>
          <w:lang w:val="en-US"/>
        </w:rPr>
        <w:t xml:space="preserve">. At </w:t>
      </w:r>
      <w:r w:rsidR="00474779" w:rsidRPr="00347468">
        <w:rPr>
          <w:szCs w:val="22"/>
          <w:lang w:val="en-US"/>
        </w:rPr>
        <w:t>estuary</w:t>
      </w:r>
      <w:r w:rsidR="003A5828" w:rsidRPr="00347468">
        <w:rPr>
          <w:szCs w:val="22"/>
          <w:lang w:val="en-US"/>
        </w:rPr>
        <w:t xml:space="preserve"> habitats</w:t>
      </w:r>
      <w:r w:rsidRPr="00347468">
        <w:rPr>
          <w:szCs w:val="22"/>
          <w:lang w:val="en-US"/>
        </w:rPr>
        <w:t xml:space="preserve">, however, </w:t>
      </w:r>
      <w:r w:rsidR="0039608D">
        <w:rPr>
          <w:szCs w:val="22"/>
          <w:lang w:val="en-US"/>
        </w:rPr>
        <w:t xml:space="preserve">the </w:t>
      </w:r>
      <w:r w:rsidR="0039608D" w:rsidRPr="00347468">
        <w:rPr>
          <w:szCs w:val="22"/>
          <w:lang w:val="en-US"/>
        </w:rPr>
        <w:t>seasonally fluctuat</w:t>
      </w:r>
      <w:r w:rsidR="0039608D">
        <w:rPr>
          <w:szCs w:val="22"/>
          <w:lang w:val="en-US"/>
        </w:rPr>
        <w:t>ing</w:t>
      </w:r>
      <w:r w:rsidR="0039608D" w:rsidRPr="00347468">
        <w:rPr>
          <w:szCs w:val="22"/>
          <w:lang w:val="en-US"/>
        </w:rPr>
        <w:t xml:space="preserve"> </w:t>
      </w:r>
      <w:proofErr w:type="gramStart"/>
      <w:r w:rsidRPr="00347468">
        <w:rPr>
          <w:szCs w:val="22"/>
          <w:lang w:val="en-US"/>
        </w:rPr>
        <w:t>epiphyte cover</w:t>
      </w:r>
      <w:proofErr w:type="gramEnd"/>
      <w:r w:rsidR="00474779" w:rsidRPr="00347468">
        <w:rPr>
          <w:szCs w:val="22"/>
          <w:lang w:val="en-US"/>
        </w:rPr>
        <w:t xml:space="preserve"> </w:t>
      </w:r>
      <w:r w:rsidR="00347468" w:rsidRPr="00347468">
        <w:rPr>
          <w:szCs w:val="22"/>
          <w:lang w:val="en-US"/>
        </w:rPr>
        <w:t>remaining</w:t>
      </w:r>
      <w:r w:rsidR="003A5828" w:rsidRPr="00347468">
        <w:rPr>
          <w:szCs w:val="22"/>
          <w:lang w:val="en-US"/>
        </w:rPr>
        <w:t xml:space="preserve"> above </w:t>
      </w:r>
      <w:r w:rsidR="00474779" w:rsidRPr="00347468">
        <w:rPr>
          <w:szCs w:val="22"/>
          <w:lang w:val="en-US"/>
        </w:rPr>
        <w:t xml:space="preserve">the </w:t>
      </w:r>
      <w:r w:rsidR="003A5828" w:rsidRPr="00347468">
        <w:rPr>
          <w:szCs w:val="22"/>
          <w:lang w:val="en-GB"/>
        </w:rPr>
        <w:t>GBR long-</w:t>
      </w:r>
      <w:r w:rsidR="003A5828" w:rsidRPr="00347468">
        <w:rPr>
          <w:szCs w:val="22"/>
          <w:lang w:val="en-GB"/>
        </w:rPr>
        <w:lastRenderedPageBreak/>
        <w:t xml:space="preserve">term average </w:t>
      </w:r>
      <w:r w:rsidR="00005FEC" w:rsidRPr="00347468">
        <w:rPr>
          <w:szCs w:val="22"/>
          <w:lang w:val="en-US"/>
        </w:rPr>
        <w:t xml:space="preserve">(Appendix </w:t>
      </w:r>
      <w:r w:rsidR="00474779" w:rsidRPr="00347468">
        <w:rPr>
          <w:szCs w:val="22"/>
          <w:lang w:val="en-US"/>
        </w:rPr>
        <w:t>2</w:t>
      </w:r>
      <w:r w:rsidR="00005FEC" w:rsidRPr="00347468">
        <w:rPr>
          <w:szCs w:val="22"/>
          <w:lang w:val="en-US"/>
        </w:rPr>
        <w:t xml:space="preserve">, </w:t>
      </w:r>
      <w:r w:rsidR="00474779" w:rsidRPr="00347468">
        <w:rPr>
          <w:szCs w:val="22"/>
          <w:lang w:val="en-US"/>
        </w:rPr>
        <w:fldChar w:fldCharType="begin"/>
      </w:r>
      <w:r w:rsidR="00474779" w:rsidRPr="00347468">
        <w:rPr>
          <w:szCs w:val="22"/>
          <w:lang w:val="en-US"/>
        </w:rPr>
        <w:instrText xml:space="preserve"> REF _Ref382209827 \h  \* MERGEFORMAT </w:instrText>
      </w:r>
      <w:r w:rsidR="00474779" w:rsidRPr="00347468">
        <w:rPr>
          <w:szCs w:val="22"/>
          <w:lang w:val="en-US"/>
        </w:rPr>
      </w:r>
      <w:r w:rsidR="00474779" w:rsidRPr="00347468">
        <w:rPr>
          <w:szCs w:val="22"/>
          <w:lang w:val="en-US"/>
        </w:rPr>
        <w:fldChar w:fldCharType="separate"/>
      </w:r>
      <w:r w:rsidR="009C068F" w:rsidRPr="009C068F">
        <w:rPr>
          <w:szCs w:val="22"/>
        </w:rPr>
        <w:t xml:space="preserve">Figure </w:t>
      </w:r>
      <w:r w:rsidR="009C068F" w:rsidRPr="009C068F">
        <w:rPr>
          <w:noProof/>
          <w:szCs w:val="22"/>
        </w:rPr>
        <w:t>213</w:t>
      </w:r>
      <w:r w:rsidR="00474779" w:rsidRPr="00347468">
        <w:rPr>
          <w:szCs w:val="22"/>
          <w:lang w:val="en-US"/>
        </w:rPr>
        <w:fldChar w:fldCharType="end"/>
      </w:r>
      <w:r w:rsidR="00005FEC" w:rsidRPr="00347468">
        <w:rPr>
          <w:szCs w:val="22"/>
          <w:lang w:val="en-US"/>
        </w:rPr>
        <w:t>)</w:t>
      </w:r>
      <w:r w:rsidRPr="00347468">
        <w:rPr>
          <w:szCs w:val="22"/>
          <w:lang w:val="en-US"/>
        </w:rPr>
        <w:t>.</w:t>
      </w:r>
      <w:r w:rsidR="00005FEC" w:rsidRPr="00347468">
        <w:rPr>
          <w:szCs w:val="22"/>
          <w:lang w:val="en-US"/>
        </w:rPr>
        <w:t xml:space="preserve"> </w:t>
      </w:r>
      <w:proofErr w:type="spellStart"/>
      <w:r w:rsidR="00005FEC" w:rsidRPr="00347468">
        <w:rPr>
          <w:szCs w:val="22"/>
          <w:lang w:val="en-US"/>
        </w:rPr>
        <w:t>Macroalgae</w:t>
      </w:r>
      <w:proofErr w:type="spellEnd"/>
      <w:r w:rsidR="00005FEC" w:rsidRPr="00347468">
        <w:rPr>
          <w:szCs w:val="22"/>
          <w:lang w:val="en-US"/>
        </w:rPr>
        <w:t xml:space="preserve"> cover remained unchanged at </w:t>
      </w:r>
      <w:r w:rsidR="001C443C" w:rsidRPr="00347468">
        <w:rPr>
          <w:szCs w:val="22"/>
          <w:lang w:val="en-US"/>
        </w:rPr>
        <w:t xml:space="preserve">coastal and estuarine meadows in </w:t>
      </w:r>
      <w:r w:rsidR="00EC364C" w:rsidRPr="00347468">
        <w:rPr>
          <w:szCs w:val="22"/>
          <w:lang w:val="en-US"/>
        </w:rPr>
        <w:t>201</w:t>
      </w:r>
      <w:r w:rsidR="00347468" w:rsidRPr="00347468">
        <w:rPr>
          <w:szCs w:val="22"/>
          <w:lang w:val="en-US"/>
        </w:rPr>
        <w:t>4</w:t>
      </w:r>
      <w:r w:rsidR="00EC364C" w:rsidRPr="00347468">
        <w:rPr>
          <w:szCs w:val="22"/>
          <w:lang w:val="en-US"/>
        </w:rPr>
        <w:t>-1</w:t>
      </w:r>
      <w:r w:rsidR="00347468" w:rsidRPr="00347468">
        <w:rPr>
          <w:szCs w:val="22"/>
          <w:lang w:val="en-US"/>
        </w:rPr>
        <w:t>5</w:t>
      </w:r>
      <w:r w:rsidR="001C443C" w:rsidRPr="00347468">
        <w:rPr>
          <w:szCs w:val="22"/>
          <w:lang w:val="en-US"/>
        </w:rPr>
        <w:t xml:space="preserve">, but </w:t>
      </w:r>
      <w:r w:rsidR="00347468" w:rsidRPr="00347468">
        <w:rPr>
          <w:szCs w:val="22"/>
          <w:lang w:val="en-US"/>
        </w:rPr>
        <w:t>continued</w:t>
      </w:r>
      <w:r w:rsidR="001C443C" w:rsidRPr="00347468">
        <w:rPr>
          <w:szCs w:val="22"/>
          <w:lang w:val="en-US"/>
        </w:rPr>
        <w:t xml:space="preserve"> </w:t>
      </w:r>
      <w:r w:rsidR="00347468" w:rsidRPr="00347468">
        <w:rPr>
          <w:szCs w:val="22"/>
          <w:lang w:val="en-US"/>
        </w:rPr>
        <w:t xml:space="preserve">to </w:t>
      </w:r>
      <w:r w:rsidR="001C443C" w:rsidRPr="00347468">
        <w:rPr>
          <w:szCs w:val="22"/>
          <w:lang w:val="en-US"/>
        </w:rPr>
        <w:t xml:space="preserve">increase at </w:t>
      </w:r>
      <w:r w:rsidR="00347468" w:rsidRPr="00347468">
        <w:rPr>
          <w:szCs w:val="22"/>
          <w:lang w:val="en-US"/>
        </w:rPr>
        <w:t>reef sites</w:t>
      </w:r>
      <w:r w:rsidR="001C443C" w:rsidRPr="00347468">
        <w:rPr>
          <w:szCs w:val="22"/>
          <w:lang w:val="en-US"/>
        </w:rPr>
        <w:t xml:space="preserve"> (</w:t>
      </w:r>
      <w:r w:rsidR="001C443C" w:rsidRPr="00347468">
        <w:rPr>
          <w:szCs w:val="22"/>
          <w:lang w:val="en-US"/>
        </w:rPr>
        <w:fldChar w:fldCharType="begin"/>
      </w:r>
      <w:r w:rsidR="001C443C" w:rsidRPr="00347468">
        <w:rPr>
          <w:szCs w:val="22"/>
          <w:lang w:val="en-US"/>
        </w:rPr>
        <w:instrText xml:space="preserve"> REF _Ref382209856 \h </w:instrText>
      </w:r>
      <w:r w:rsidR="00015190" w:rsidRPr="00347468">
        <w:rPr>
          <w:szCs w:val="22"/>
          <w:lang w:val="en-US"/>
        </w:rPr>
        <w:instrText xml:space="preserve"> \* MERGEFORMAT </w:instrText>
      </w:r>
      <w:r w:rsidR="001C443C" w:rsidRPr="00347468">
        <w:rPr>
          <w:szCs w:val="22"/>
          <w:lang w:val="en-US"/>
        </w:rPr>
      </w:r>
      <w:r w:rsidR="001C443C" w:rsidRPr="00347468">
        <w:rPr>
          <w:szCs w:val="22"/>
          <w:lang w:val="en-US"/>
        </w:rPr>
        <w:fldChar w:fldCharType="separate"/>
      </w:r>
      <w:r w:rsidR="009C068F" w:rsidRPr="009C068F">
        <w:t xml:space="preserve">Figure </w:t>
      </w:r>
      <w:r w:rsidR="009C068F" w:rsidRPr="009C068F">
        <w:rPr>
          <w:noProof/>
        </w:rPr>
        <w:t>92</w:t>
      </w:r>
      <w:r w:rsidR="001C443C" w:rsidRPr="00347468">
        <w:rPr>
          <w:szCs w:val="22"/>
          <w:lang w:val="en-US"/>
        </w:rPr>
        <w:fldChar w:fldCharType="end"/>
      </w:r>
      <w:r w:rsidR="00474779" w:rsidRPr="00347468">
        <w:rPr>
          <w:szCs w:val="22"/>
          <w:lang w:val="en-US"/>
        </w:rPr>
        <w:t xml:space="preserve">; Appendix </w:t>
      </w:r>
      <w:r w:rsidR="00347468" w:rsidRPr="00347468">
        <w:rPr>
          <w:szCs w:val="22"/>
          <w:lang w:val="en-US"/>
        </w:rPr>
        <w:t>4</w:t>
      </w:r>
      <w:r w:rsidR="00474779" w:rsidRPr="00347468">
        <w:rPr>
          <w:szCs w:val="22"/>
          <w:lang w:val="en-US"/>
        </w:rPr>
        <w:t xml:space="preserve">, </w:t>
      </w:r>
      <w:r w:rsidR="00474779" w:rsidRPr="00347468">
        <w:rPr>
          <w:szCs w:val="22"/>
          <w:lang w:val="en-US"/>
        </w:rPr>
        <w:fldChar w:fldCharType="begin"/>
      </w:r>
      <w:r w:rsidR="00474779" w:rsidRPr="00347468">
        <w:rPr>
          <w:szCs w:val="22"/>
          <w:lang w:val="en-US"/>
        </w:rPr>
        <w:instrText xml:space="preserve"> REF _Ref382211537 \h  \* MERGEFORMAT </w:instrText>
      </w:r>
      <w:r w:rsidR="00474779" w:rsidRPr="00347468">
        <w:rPr>
          <w:szCs w:val="22"/>
          <w:lang w:val="en-US"/>
        </w:rPr>
      </w:r>
      <w:r w:rsidR="00474779" w:rsidRPr="00347468">
        <w:rPr>
          <w:szCs w:val="22"/>
          <w:lang w:val="en-US"/>
        </w:rPr>
        <w:fldChar w:fldCharType="separate"/>
      </w:r>
      <w:r w:rsidR="009C068F" w:rsidRPr="009C068F">
        <w:rPr>
          <w:szCs w:val="22"/>
        </w:rPr>
        <w:t xml:space="preserve">Figure </w:t>
      </w:r>
      <w:r w:rsidR="009C068F" w:rsidRPr="009C068F">
        <w:rPr>
          <w:noProof/>
          <w:szCs w:val="22"/>
        </w:rPr>
        <w:t>214</w:t>
      </w:r>
      <w:r w:rsidR="00474779" w:rsidRPr="00347468">
        <w:rPr>
          <w:szCs w:val="22"/>
          <w:lang w:val="en-US"/>
        </w:rPr>
        <w:fldChar w:fldCharType="end"/>
      </w:r>
      <w:r w:rsidR="001C443C" w:rsidRPr="00347468">
        <w:rPr>
          <w:szCs w:val="22"/>
          <w:lang w:val="en-US"/>
        </w:rPr>
        <w:t>).</w:t>
      </w:r>
    </w:p>
    <w:p w:rsidR="0045784E" w:rsidRPr="0095207B" w:rsidRDefault="007E1DF9" w:rsidP="003126B8">
      <w:pPr>
        <w:keepNext/>
        <w:jc w:val="center"/>
        <w:rPr>
          <w:color w:val="000000"/>
          <w:szCs w:val="22"/>
          <w:lang w:val="en-US"/>
        </w:rPr>
      </w:pPr>
      <w:bookmarkStart w:id="520" w:name="_Ref211934058"/>
      <w:bookmarkStart w:id="521" w:name="_Toc232846019"/>
      <w:r>
        <w:rPr>
          <w:noProof/>
          <w:color w:val="000000"/>
          <w:szCs w:val="22"/>
          <w:lang w:eastAsia="en-AU"/>
        </w:rPr>
        <w:drawing>
          <wp:inline distT="0" distB="0" distL="0" distR="0" wp14:anchorId="00086E8C" wp14:editId="5E85AE4D">
            <wp:extent cx="5400000" cy="2930400"/>
            <wp:effectExtent l="0" t="0" r="0" b="3810"/>
            <wp:docPr id="537" name="Picture 537" descr="Set of six scatter plots with straight lines and markers showing long-term trend in mean epiphyte and macroalgae abundance (% cover) at each inshore seagrass habitats in the Fitzroy NRM region, relative to the long-term average for each inshore GBR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epi_algae_change_2015.png"/>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5400000" cy="2930400"/>
                    </a:xfrm>
                    <a:prstGeom prst="rect">
                      <a:avLst/>
                    </a:prstGeom>
                  </pic:spPr>
                </pic:pic>
              </a:graphicData>
            </a:graphic>
          </wp:inline>
        </w:drawing>
      </w:r>
    </w:p>
    <w:p w:rsidR="005E3260" w:rsidRPr="0095207B" w:rsidRDefault="005132EF" w:rsidP="005E3260">
      <w:pPr>
        <w:rPr>
          <w:i/>
          <w:vanish/>
          <w:color w:val="000000"/>
          <w:szCs w:val="22"/>
          <w:specVanish/>
        </w:rPr>
      </w:pPr>
      <w:bookmarkStart w:id="522" w:name="_Ref382209856"/>
      <w:bookmarkStart w:id="523" w:name="_Toc431493894"/>
      <w:bookmarkStart w:id="524" w:name="_Toc462684932"/>
      <w:r w:rsidRPr="0095207B">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92</w:t>
      </w:r>
      <w:r w:rsidR="0073595B">
        <w:rPr>
          <w:color w:val="000000"/>
        </w:rPr>
        <w:fldChar w:fldCharType="end"/>
      </w:r>
      <w:bookmarkEnd w:id="520"/>
      <w:bookmarkEnd w:id="522"/>
      <w:r w:rsidRPr="0095207B">
        <w:rPr>
          <w:color w:val="000000"/>
        </w:rPr>
        <w:t xml:space="preserve">. </w:t>
      </w:r>
      <w:bookmarkEnd w:id="521"/>
      <w:r w:rsidR="003126B8" w:rsidRPr="0095207B">
        <w:rPr>
          <w:i/>
          <w:color w:val="000000"/>
        </w:rPr>
        <w:t xml:space="preserve">Long-term trend in mean epiphyte and </w:t>
      </w:r>
      <w:proofErr w:type="spellStart"/>
      <w:r w:rsidR="003126B8" w:rsidRPr="0095207B">
        <w:rPr>
          <w:i/>
          <w:color w:val="000000"/>
        </w:rPr>
        <w:t>macroalgae</w:t>
      </w:r>
      <w:proofErr w:type="spellEnd"/>
      <w:r w:rsidR="003126B8" w:rsidRPr="0095207B">
        <w:rPr>
          <w:i/>
          <w:color w:val="000000"/>
        </w:rPr>
        <w:t xml:space="preserve"> abundance (% cover) relative to the long-term average for each </w:t>
      </w:r>
      <w:r w:rsidR="005E3260" w:rsidRPr="0095207B">
        <w:rPr>
          <w:i/>
          <w:color w:val="000000"/>
        </w:rPr>
        <w:t xml:space="preserve">inshore intertidal </w:t>
      </w:r>
      <w:r w:rsidR="003126B8" w:rsidRPr="0095207B">
        <w:rPr>
          <w:i/>
          <w:color w:val="000000"/>
        </w:rPr>
        <w:t>seagrass habitat in the Fitzroy region</w:t>
      </w:r>
      <w:r w:rsidR="005E3260" w:rsidRPr="0095207B">
        <w:rPr>
          <w:i/>
          <w:color w:val="000000"/>
        </w:rPr>
        <w:t>, 2005 - 201</w:t>
      </w:r>
      <w:r w:rsidR="0095207B" w:rsidRPr="0095207B">
        <w:rPr>
          <w:i/>
          <w:color w:val="000000"/>
        </w:rPr>
        <w:t>4</w:t>
      </w:r>
      <w:bookmarkEnd w:id="523"/>
      <w:bookmarkEnd w:id="524"/>
    </w:p>
    <w:p w:rsidR="00C361E3" w:rsidRDefault="005E3260" w:rsidP="00BC6384">
      <w:pPr>
        <w:rPr>
          <w:color w:val="000000"/>
          <w:lang w:val="en-GB"/>
        </w:rPr>
      </w:pPr>
      <w:r w:rsidRPr="0095207B">
        <w:rPr>
          <w:i/>
          <w:color w:val="000000"/>
        </w:rPr>
        <w:t xml:space="preserve"> </w:t>
      </w:r>
      <w:r w:rsidR="003126B8" w:rsidRPr="0095207B">
        <w:rPr>
          <w:i/>
          <w:color w:val="000000"/>
        </w:rPr>
        <w:t xml:space="preserve">(sites pooled, ±SE). </w:t>
      </w:r>
    </w:p>
    <w:p w:rsidR="00BC6384" w:rsidRPr="00BD0604" w:rsidRDefault="00BC6384" w:rsidP="00926892">
      <w:pPr>
        <w:pStyle w:val="Heading3"/>
        <w:numPr>
          <w:ilvl w:val="2"/>
          <w:numId w:val="9"/>
        </w:numPr>
        <w:rPr>
          <w:rFonts w:ascii="Arial" w:hAnsi="Arial" w:cs="Arial"/>
          <w:color w:val="000000"/>
        </w:rPr>
      </w:pPr>
      <w:bookmarkStart w:id="525" w:name="_Toc462047365"/>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525"/>
      <w:r w:rsidRPr="000C1668">
        <w:rPr>
          <w:rFonts w:ascii="Arial" w:hAnsi="Arial" w:cs="Arial"/>
          <w:color w:val="000000"/>
        </w:rPr>
        <w:t xml:space="preserve"> </w:t>
      </w:r>
    </w:p>
    <w:p w:rsidR="00191427" w:rsidRPr="00A80225" w:rsidRDefault="00191427" w:rsidP="00191427">
      <w:pPr>
        <w:rPr>
          <w:color w:val="000000"/>
          <w:lang w:val="en-GB"/>
        </w:rPr>
      </w:pPr>
      <w:r>
        <w:rPr>
          <w:color w:val="000000"/>
          <w:lang w:val="en-GB"/>
        </w:rPr>
        <w:t xml:space="preserve">The seagrass index for the Fitzroy region has fluctuated greatly since monitoring was established. </w:t>
      </w:r>
      <w:r w:rsidR="00BC6384">
        <w:rPr>
          <w:color w:val="000000"/>
          <w:lang w:val="en-GB"/>
        </w:rPr>
        <w:t xml:space="preserve">In the 2014-15 monitoring period, the seagrass index </w:t>
      </w:r>
      <w:r>
        <w:rPr>
          <w:color w:val="000000"/>
          <w:lang w:val="en-GB"/>
        </w:rPr>
        <w:t xml:space="preserve">declined </w:t>
      </w:r>
      <w:r w:rsidR="00C60158">
        <w:rPr>
          <w:color w:val="000000"/>
          <w:lang w:val="en-GB"/>
        </w:rPr>
        <w:t>to its lowest level</w:t>
      </w:r>
      <w:r w:rsidR="00195BE2">
        <w:rPr>
          <w:color w:val="000000"/>
          <w:lang w:val="en-GB"/>
        </w:rPr>
        <w:t xml:space="preserve"> ever</w:t>
      </w:r>
      <w:r w:rsidR="00C60158">
        <w:rPr>
          <w:color w:val="000000"/>
          <w:lang w:val="en-GB"/>
        </w:rPr>
        <w:t xml:space="preserve">, </w:t>
      </w:r>
      <w:r>
        <w:rPr>
          <w:color w:val="000000"/>
          <w:lang w:val="en-GB"/>
        </w:rPr>
        <w:t>after the brief increase during</w:t>
      </w:r>
      <w:r w:rsidR="00BC6384">
        <w:rPr>
          <w:color w:val="000000"/>
          <w:lang w:val="en-GB"/>
        </w:rPr>
        <w:t xml:space="preserve"> the previous period. The </w:t>
      </w:r>
      <w:r>
        <w:rPr>
          <w:color w:val="000000"/>
          <w:lang w:val="en-GB"/>
        </w:rPr>
        <w:t xml:space="preserve">decline </w:t>
      </w:r>
      <w:r w:rsidR="00BC6384">
        <w:rPr>
          <w:color w:val="000000"/>
          <w:lang w:val="en-GB"/>
        </w:rPr>
        <w:t xml:space="preserve">appears </w:t>
      </w:r>
      <w:r>
        <w:rPr>
          <w:color w:val="000000"/>
          <w:lang w:val="en-GB"/>
        </w:rPr>
        <w:t xml:space="preserve">primarily </w:t>
      </w:r>
      <w:r w:rsidR="00BC6384">
        <w:rPr>
          <w:color w:val="000000"/>
          <w:lang w:val="en-GB"/>
        </w:rPr>
        <w:t xml:space="preserve">a consequence of </w:t>
      </w:r>
      <w:r>
        <w:rPr>
          <w:color w:val="000000"/>
          <w:lang w:val="en-GB"/>
        </w:rPr>
        <w:t xml:space="preserve">poorer leaf tissue nutrients in the coastal and reef habitats. Declining abundance and reproductive effort in the estuarine habitats also contributed to the </w:t>
      </w:r>
      <w:r w:rsidR="00C60158">
        <w:rPr>
          <w:color w:val="000000"/>
          <w:lang w:val="en-GB"/>
        </w:rPr>
        <w:t>lower overall score in 2014-15.</w:t>
      </w:r>
    </w:p>
    <w:p w:rsidR="00191427" w:rsidRPr="000F1DF9" w:rsidRDefault="00191427" w:rsidP="00191427">
      <w:pPr>
        <w:keepNext/>
        <w:widowControl w:val="0"/>
        <w:jc w:val="center"/>
        <w:rPr>
          <w:i/>
          <w:vanish/>
          <w:color w:val="000000"/>
          <w:szCs w:val="22"/>
          <w:specVanish/>
        </w:rPr>
      </w:pPr>
      <w:bookmarkStart w:id="526" w:name="_Toc462685095"/>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9C068F">
        <w:rPr>
          <w:noProof/>
          <w:color w:val="000000"/>
        </w:rPr>
        <w:t>26</w:t>
      </w:r>
      <w:r w:rsidRPr="000F1DF9">
        <w:rPr>
          <w:color w:val="000000"/>
        </w:rPr>
        <w:fldChar w:fldCharType="end"/>
      </w:r>
      <w:r w:rsidRPr="000F1DF9">
        <w:rPr>
          <w:color w:val="000000"/>
        </w:rP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Fitzroy </w:t>
      </w:r>
      <w:r w:rsidRPr="000F1DF9">
        <w:rPr>
          <w:i/>
          <w:color w:val="000000"/>
        </w:rPr>
        <w:t>region: Ju</w:t>
      </w:r>
      <w:r>
        <w:rPr>
          <w:i/>
          <w:color w:val="000000"/>
        </w:rPr>
        <w:t>ne</w:t>
      </w:r>
      <w:r w:rsidRPr="000F1DF9">
        <w:rPr>
          <w:i/>
          <w:color w:val="000000"/>
        </w:rPr>
        <w:t xml:space="preserve"> 2005 – May 201</w:t>
      </w:r>
      <w:r>
        <w:rPr>
          <w:i/>
          <w:color w:val="000000"/>
        </w:rPr>
        <w:t>5</w:t>
      </w:r>
      <w:r w:rsidRPr="000F1DF9">
        <w:rPr>
          <w:i/>
          <w:color w:val="000000"/>
        </w:rPr>
        <w:t>.</w:t>
      </w:r>
      <w:bookmarkEnd w:id="526"/>
      <w:r w:rsidRPr="000F1DF9">
        <w:rPr>
          <w:i/>
          <w:color w:val="000000"/>
        </w:rPr>
        <w:t xml:space="preserve"> </w:t>
      </w:r>
    </w:p>
    <w:p w:rsidR="00191427" w:rsidRPr="00B00E71" w:rsidRDefault="00191427" w:rsidP="00191427">
      <w:pPr>
        <w:keepNext/>
        <w:widowControl w:val="0"/>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E237C6">
        <w:rPr>
          <w:rFonts w:ascii="Arial" w:hAnsi="Arial" w:cs="Arial"/>
          <w:i/>
          <w:color w:val="FF0000"/>
          <w:szCs w:val="22"/>
        </w:rPr>
        <w:t>■</w:t>
      </w:r>
      <w:r w:rsidR="001E70A1">
        <w:rPr>
          <w:i/>
          <w:szCs w:val="22"/>
        </w:rPr>
        <w:t> = very poor (0 - 20)</w:t>
      </w:r>
      <w:r w:rsidRPr="00E237C6">
        <w:rPr>
          <w:i/>
          <w:szCs w:val="22"/>
        </w:rPr>
        <w:t>.</w:t>
      </w:r>
      <w:r>
        <w:rPr>
          <w:i/>
          <w:szCs w:val="22"/>
        </w:rPr>
        <w:t xml:space="preserve"> NB: Scores are </w:t>
      </w:r>
      <w:proofErr w:type="spellStart"/>
      <w:r>
        <w:rPr>
          <w:i/>
          <w:szCs w:val="22"/>
        </w:rPr>
        <w:t>unitless</w:t>
      </w:r>
      <w:proofErr w:type="spellEnd"/>
      <w:r>
        <w:rPr>
          <w:i/>
          <w:szCs w:val="22"/>
        </w:rPr>
        <w:t>.</w:t>
      </w:r>
    </w:p>
    <w:tbl>
      <w:tblPr>
        <w:tblW w:w="10726"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3"/>
        <w:gridCol w:w="1840"/>
        <w:gridCol w:w="761"/>
        <w:gridCol w:w="761"/>
        <w:gridCol w:w="761"/>
        <w:gridCol w:w="761"/>
        <w:gridCol w:w="761"/>
        <w:gridCol w:w="761"/>
        <w:gridCol w:w="761"/>
        <w:gridCol w:w="752"/>
        <w:gridCol w:w="752"/>
        <w:gridCol w:w="752"/>
      </w:tblGrid>
      <w:tr w:rsidR="00191427" w:rsidRPr="00EC364C" w:rsidTr="00191427">
        <w:trPr>
          <w:trHeight w:val="276"/>
          <w:jc w:val="center"/>
        </w:trPr>
        <w:tc>
          <w:tcPr>
            <w:tcW w:w="1276" w:type="dxa"/>
            <w:tcBorders>
              <w:top w:val="single" w:sz="4" w:space="0" w:color="000000"/>
              <w:bottom w:val="single" w:sz="4" w:space="0" w:color="000000"/>
            </w:tcBorders>
            <w:shd w:val="clear" w:color="auto" w:fill="auto"/>
            <w:vAlign w:val="center"/>
          </w:tcPr>
          <w:p w:rsidR="00191427" w:rsidRPr="00EC364C" w:rsidRDefault="00191427" w:rsidP="001A5B38">
            <w:pPr>
              <w:spacing w:before="0" w:after="0"/>
              <w:jc w:val="center"/>
              <w:rPr>
                <w:b/>
                <w:color w:val="000000"/>
                <w:sz w:val="20"/>
                <w:szCs w:val="20"/>
                <w:lang w:eastAsia="en-AU"/>
              </w:rPr>
            </w:pPr>
            <w:r>
              <w:rPr>
                <w:b/>
                <w:color w:val="000000"/>
                <w:sz w:val="20"/>
                <w:szCs w:val="20"/>
                <w:lang w:eastAsia="en-AU"/>
              </w:rPr>
              <w:t>Report Card</w:t>
            </w:r>
          </w:p>
        </w:tc>
        <w:tc>
          <w:tcPr>
            <w:tcW w:w="1840" w:type="dxa"/>
            <w:tcBorders>
              <w:top w:val="single" w:sz="4" w:space="0" w:color="000000"/>
              <w:bottom w:val="single" w:sz="4" w:space="0" w:color="000000"/>
            </w:tcBorders>
            <w:shd w:val="clear" w:color="auto" w:fill="auto"/>
            <w:noWrap/>
            <w:vAlign w:val="center"/>
          </w:tcPr>
          <w:p w:rsidR="00191427" w:rsidRPr="00EC364C" w:rsidRDefault="00191427" w:rsidP="001A5B38">
            <w:pPr>
              <w:spacing w:before="0" w:after="0"/>
              <w:jc w:val="center"/>
              <w:rPr>
                <w:b/>
                <w:color w:val="000000"/>
                <w:sz w:val="20"/>
                <w:szCs w:val="20"/>
                <w:lang w:eastAsia="en-AU"/>
              </w:rPr>
            </w:pPr>
            <w:r w:rsidRPr="00EC364C">
              <w:rPr>
                <w:b/>
                <w:color w:val="000000"/>
                <w:sz w:val="20"/>
                <w:szCs w:val="20"/>
                <w:lang w:eastAsia="en-AU"/>
              </w:rPr>
              <w:t>Habitat</w:t>
            </w:r>
          </w:p>
        </w:tc>
        <w:tc>
          <w:tcPr>
            <w:tcW w:w="761" w:type="dxa"/>
            <w:tcBorders>
              <w:top w:val="single" w:sz="4" w:space="0" w:color="000000"/>
              <w:bottom w:val="single" w:sz="4" w:space="0" w:color="000000"/>
            </w:tcBorders>
            <w:shd w:val="clear" w:color="auto" w:fill="auto"/>
            <w:vAlign w:val="center"/>
          </w:tcPr>
          <w:p w:rsidR="00191427" w:rsidRPr="00EC364C" w:rsidRDefault="00191427" w:rsidP="001A5B38">
            <w:pPr>
              <w:spacing w:before="0" w:after="0"/>
              <w:jc w:val="center"/>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761" w:type="dxa"/>
            <w:tcBorders>
              <w:top w:val="single" w:sz="4" w:space="0" w:color="000000"/>
              <w:bottom w:val="single" w:sz="4" w:space="0" w:color="000000"/>
            </w:tcBorders>
            <w:shd w:val="clear" w:color="auto" w:fill="auto"/>
            <w:vAlign w:val="center"/>
          </w:tcPr>
          <w:p w:rsidR="00191427" w:rsidRPr="00EC364C" w:rsidRDefault="00191427" w:rsidP="001A5B38">
            <w:pPr>
              <w:spacing w:before="0" w:after="0"/>
              <w:jc w:val="center"/>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761" w:type="dxa"/>
            <w:tcBorders>
              <w:top w:val="single" w:sz="4" w:space="0" w:color="000000"/>
              <w:bottom w:val="single" w:sz="4" w:space="0" w:color="000000"/>
            </w:tcBorders>
            <w:shd w:val="clear" w:color="auto" w:fill="auto"/>
            <w:vAlign w:val="center"/>
          </w:tcPr>
          <w:p w:rsidR="00191427" w:rsidRPr="00EC364C" w:rsidRDefault="00191427" w:rsidP="001A5B38">
            <w:pPr>
              <w:spacing w:before="0" w:after="0"/>
              <w:jc w:val="center"/>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761" w:type="dxa"/>
            <w:tcBorders>
              <w:top w:val="single" w:sz="4" w:space="0" w:color="000000"/>
              <w:bottom w:val="single" w:sz="4" w:space="0" w:color="000000"/>
            </w:tcBorders>
            <w:shd w:val="clear" w:color="auto" w:fill="auto"/>
            <w:vAlign w:val="center"/>
          </w:tcPr>
          <w:p w:rsidR="00191427" w:rsidRPr="00EC364C" w:rsidRDefault="00191427" w:rsidP="001A5B38">
            <w:pPr>
              <w:spacing w:before="0" w:after="0"/>
              <w:jc w:val="center"/>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761" w:type="dxa"/>
            <w:tcBorders>
              <w:top w:val="single" w:sz="4" w:space="0" w:color="000000"/>
              <w:bottom w:val="single" w:sz="4" w:space="0" w:color="000000"/>
            </w:tcBorders>
            <w:shd w:val="clear" w:color="auto" w:fill="auto"/>
            <w:vAlign w:val="center"/>
          </w:tcPr>
          <w:p w:rsidR="00191427" w:rsidRPr="00EC364C" w:rsidRDefault="00191427" w:rsidP="001A5B38">
            <w:pPr>
              <w:spacing w:before="0" w:after="0"/>
              <w:jc w:val="center"/>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761" w:type="dxa"/>
            <w:tcBorders>
              <w:top w:val="single" w:sz="4" w:space="0" w:color="000000"/>
              <w:bottom w:val="single" w:sz="4" w:space="0" w:color="000000"/>
            </w:tcBorders>
            <w:shd w:val="clear" w:color="auto" w:fill="auto"/>
            <w:vAlign w:val="center"/>
          </w:tcPr>
          <w:p w:rsidR="00191427" w:rsidRPr="00EC364C" w:rsidRDefault="00191427" w:rsidP="001A5B38">
            <w:pPr>
              <w:spacing w:before="0" w:after="0"/>
              <w:jc w:val="center"/>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761" w:type="dxa"/>
            <w:tcBorders>
              <w:top w:val="single" w:sz="4" w:space="0" w:color="000000"/>
              <w:bottom w:val="single" w:sz="4" w:space="0" w:color="000000"/>
            </w:tcBorders>
            <w:shd w:val="clear" w:color="auto" w:fill="auto"/>
            <w:vAlign w:val="center"/>
          </w:tcPr>
          <w:p w:rsidR="00191427" w:rsidRPr="00EC364C" w:rsidRDefault="00191427" w:rsidP="001A5B38">
            <w:pPr>
              <w:spacing w:before="0" w:after="0"/>
              <w:jc w:val="center"/>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761" w:type="dxa"/>
            <w:tcBorders>
              <w:top w:val="single" w:sz="4" w:space="0" w:color="000000"/>
              <w:bottom w:val="single" w:sz="4" w:space="0" w:color="000000"/>
            </w:tcBorders>
            <w:vAlign w:val="center"/>
          </w:tcPr>
          <w:p w:rsidR="00191427" w:rsidRPr="00EC364C" w:rsidRDefault="00191427" w:rsidP="001A5B38">
            <w:pPr>
              <w:spacing w:before="0" w:after="0"/>
              <w:jc w:val="center"/>
              <w:rPr>
                <w:b/>
                <w:color w:val="000000"/>
                <w:sz w:val="16"/>
                <w:szCs w:val="16"/>
                <w:lang w:eastAsia="en-AU"/>
              </w:rPr>
            </w:pPr>
            <w:r w:rsidRPr="00EC364C">
              <w:rPr>
                <w:b/>
                <w:color w:val="000000"/>
                <w:sz w:val="16"/>
                <w:szCs w:val="16"/>
                <w:lang w:eastAsia="en-AU"/>
              </w:rPr>
              <w:t>2012-13</w:t>
            </w:r>
          </w:p>
        </w:tc>
        <w:tc>
          <w:tcPr>
            <w:tcW w:w="761" w:type="dxa"/>
            <w:tcBorders>
              <w:top w:val="single" w:sz="4" w:space="0" w:color="000000"/>
              <w:bottom w:val="single" w:sz="4" w:space="0" w:color="000000"/>
            </w:tcBorders>
            <w:vAlign w:val="center"/>
          </w:tcPr>
          <w:p w:rsidR="00191427" w:rsidRPr="00EC364C" w:rsidRDefault="00191427" w:rsidP="001A5B38">
            <w:pPr>
              <w:spacing w:before="0" w:after="0"/>
              <w:jc w:val="center"/>
              <w:rPr>
                <w:b/>
                <w:color w:val="000000"/>
                <w:sz w:val="16"/>
                <w:szCs w:val="16"/>
                <w:lang w:eastAsia="en-AU"/>
              </w:rPr>
            </w:pPr>
            <w:r w:rsidRPr="00EC364C">
              <w:rPr>
                <w:b/>
                <w:color w:val="000000"/>
                <w:sz w:val="16"/>
                <w:szCs w:val="16"/>
                <w:lang w:eastAsia="en-AU"/>
              </w:rPr>
              <w:t>2013-14</w:t>
            </w:r>
          </w:p>
        </w:tc>
        <w:tc>
          <w:tcPr>
            <w:tcW w:w="761" w:type="dxa"/>
            <w:tcBorders>
              <w:top w:val="single" w:sz="4" w:space="0" w:color="000000"/>
              <w:bottom w:val="single" w:sz="4" w:space="0" w:color="000000"/>
            </w:tcBorders>
            <w:vAlign w:val="center"/>
          </w:tcPr>
          <w:p w:rsidR="00191427" w:rsidRPr="00EC364C" w:rsidRDefault="00191427" w:rsidP="001A5B38">
            <w:pPr>
              <w:spacing w:before="0" w:after="0"/>
              <w:jc w:val="center"/>
              <w:rPr>
                <w:b/>
                <w:color w:val="000000"/>
                <w:sz w:val="16"/>
                <w:szCs w:val="16"/>
                <w:lang w:eastAsia="en-AU"/>
              </w:rPr>
            </w:pPr>
            <w:r>
              <w:rPr>
                <w:b/>
                <w:color w:val="000000"/>
                <w:sz w:val="16"/>
                <w:szCs w:val="16"/>
                <w:lang w:eastAsia="en-AU"/>
              </w:rPr>
              <w:t>2014-15</w:t>
            </w:r>
          </w:p>
        </w:tc>
      </w:tr>
      <w:tr w:rsidR="00191427" w:rsidRPr="00EC364C" w:rsidTr="00191427">
        <w:trPr>
          <w:trHeight w:val="312"/>
          <w:jc w:val="center"/>
        </w:trPr>
        <w:tc>
          <w:tcPr>
            <w:tcW w:w="1276" w:type="dxa"/>
            <w:vMerge w:val="restart"/>
            <w:tcBorders>
              <w:top w:val="single" w:sz="4" w:space="0" w:color="000000"/>
            </w:tcBorders>
            <w:shd w:val="clear" w:color="auto" w:fill="auto"/>
            <w:noWrap/>
            <w:vAlign w:val="center"/>
          </w:tcPr>
          <w:p w:rsidR="00191427" w:rsidRPr="00EC364C" w:rsidRDefault="00191427" w:rsidP="001A5B38">
            <w:pPr>
              <w:spacing w:before="0" w:after="0"/>
              <w:rPr>
                <w:color w:val="000000"/>
                <w:sz w:val="20"/>
                <w:szCs w:val="20"/>
                <w:lang w:eastAsia="en-AU"/>
              </w:rPr>
            </w:pPr>
            <w:r>
              <w:rPr>
                <w:color w:val="000000"/>
                <w:sz w:val="20"/>
                <w:szCs w:val="20"/>
                <w:lang w:eastAsia="en-AU"/>
              </w:rPr>
              <w:t>Abundance</w:t>
            </w:r>
          </w:p>
        </w:tc>
        <w:tc>
          <w:tcPr>
            <w:tcW w:w="1840" w:type="dxa"/>
            <w:tcBorders>
              <w:top w:val="single" w:sz="4" w:space="0" w:color="000000"/>
              <w:bottom w:val="single" w:sz="4" w:space="0" w:color="FFFFFF"/>
            </w:tcBorders>
            <w:shd w:val="clear" w:color="auto" w:fill="auto"/>
            <w:noWrap/>
            <w:vAlign w:val="center"/>
          </w:tcPr>
          <w:p w:rsidR="00191427" w:rsidRPr="00EC364C" w:rsidRDefault="00191427" w:rsidP="00191427">
            <w:pPr>
              <w:spacing w:before="0" w:after="0"/>
              <w:rPr>
                <w:color w:val="000000"/>
                <w:sz w:val="20"/>
                <w:szCs w:val="20"/>
                <w:lang w:eastAsia="en-AU"/>
              </w:rPr>
            </w:pPr>
            <w:r w:rsidRPr="00EC364C">
              <w:rPr>
                <w:color w:val="000000"/>
                <w:sz w:val="20"/>
                <w:szCs w:val="20"/>
                <w:lang w:eastAsia="en-AU"/>
              </w:rPr>
              <w:t>estuarine intertidal</w:t>
            </w:r>
          </w:p>
        </w:tc>
        <w:tc>
          <w:tcPr>
            <w:tcW w:w="761" w:type="dxa"/>
            <w:tcBorders>
              <w:bottom w:val="single" w:sz="4" w:space="0" w:color="FFFFFF"/>
            </w:tcBorders>
            <w:shd w:val="clear" w:color="auto" w:fill="FFCC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25</w:t>
            </w:r>
          </w:p>
        </w:tc>
        <w:tc>
          <w:tcPr>
            <w:tcW w:w="761" w:type="dxa"/>
            <w:tcBorders>
              <w:bottom w:val="single" w:sz="4" w:space="0" w:color="FFFFFF"/>
            </w:tcBorders>
            <w:shd w:val="clear" w:color="auto" w:fill="FF0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13</w:t>
            </w:r>
          </w:p>
        </w:tc>
        <w:tc>
          <w:tcPr>
            <w:tcW w:w="761" w:type="dxa"/>
            <w:tcBorders>
              <w:bottom w:val="single" w:sz="4" w:space="0" w:color="FFFFFF"/>
            </w:tcBorders>
            <w:shd w:val="clear" w:color="auto" w:fill="FFFF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44</w:t>
            </w:r>
          </w:p>
        </w:tc>
        <w:tc>
          <w:tcPr>
            <w:tcW w:w="761" w:type="dxa"/>
            <w:tcBorders>
              <w:bottom w:val="single" w:sz="4" w:space="0" w:color="FFFFFF"/>
            </w:tcBorders>
            <w:shd w:val="clear" w:color="auto" w:fill="FFCC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25</w:t>
            </w:r>
          </w:p>
        </w:tc>
        <w:tc>
          <w:tcPr>
            <w:tcW w:w="761" w:type="dxa"/>
            <w:tcBorders>
              <w:bottom w:val="single" w:sz="4" w:space="0" w:color="FFFFFF"/>
            </w:tcBorders>
            <w:shd w:val="clear" w:color="auto" w:fill="FFFF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42</w:t>
            </w:r>
          </w:p>
        </w:tc>
        <w:tc>
          <w:tcPr>
            <w:tcW w:w="761" w:type="dxa"/>
            <w:tcBorders>
              <w:bottom w:val="single" w:sz="4" w:space="0" w:color="FFFFFF"/>
            </w:tcBorders>
            <w:shd w:val="clear" w:color="auto" w:fill="FFCC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34</w:t>
            </w:r>
          </w:p>
        </w:tc>
        <w:tc>
          <w:tcPr>
            <w:tcW w:w="761" w:type="dxa"/>
            <w:tcBorders>
              <w:bottom w:val="single" w:sz="4" w:space="0" w:color="FFFFFF"/>
            </w:tcBorders>
            <w:shd w:val="clear" w:color="auto" w:fill="FFFF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47</w:t>
            </w:r>
          </w:p>
        </w:tc>
        <w:tc>
          <w:tcPr>
            <w:tcW w:w="761" w:type="dxa"/>
            <w:tcBorders>
              <w:bottom w:val="single" w:sz="4" w:space="0" w:color="FFFFFF"/>
            </w:tcBorders>
            <w:shd w:val="clear" w:color="auto" w:fill="FFFF00"/>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53</w:t>
            </w:r>
          </w:p>
        </w:tc>
        <w:tc>
          <w:tcPr>
            <w:tcW w:w="761" w:type="dxa"/>
            <w:tcBorders>
              <w:bottom w:val="single" w:sz="4" w:space="0" w:color="FFFFFF"/>
            </w:tcBorders>
            <w:shd w:val="clear" w:color="auto" w:fill="FFCC00"/>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34</w:t>
            </w:r>
          </w:p>
        </w:tc>
        <w:tc>
          <w:tcPr>
            <w:tcW w:w="761" w:type="dxa"/>
            <w:tcBorders>
              <w:bottom w:val="single" w:sz="4" w:space="0" w:color="FFFFFF"/>
            </w:tcBorders>
            <w:shd w:val="clear" w:color="auto" w:fill="FFCC00"/>
            <w:vAlign w:val="center"/>
          </w:tcPr>
          <w:p w:rsidR="00191427" w:rsidRPr="00056DBB" w:rsidRDefault="00191427" w:rsidP="001A5B38">
            <w:pPr>
              <w:spacing w:before="0" w:after="0"/>
              <w:jc w:val="center"/>
              <w:rPr>
                <w:b/>
                <w:color w:val="000000"/>
                <w:sz w:val="20"/>
                <w:szCs w:val="20"/>
                <w:lang w:eastAsia="en-AU"/>
              </w:rPr>
            </w:pPr>
            <w:r w:rsidRPr="00056DBB">
              <w:rPr>
                <w:sz w:val="20"/>
                <w:szCs w:val="20"/>
              </w:rPr>
              <w:t>25</w:t>
            </w:r>
          </w:p>
        </w:tc>
      </w:tr>
      <w:tr w:rsidR="00191427" w:rsidRPr="00EC364C" w:rsidTr="00191427">
        <w:trPr>
          <w:trHeight w:val="312"/>
          <w:jc w:val="center"/>
        </w:trPr>
        <w:tc>
          <w:tcPr>
            <w:tcW w:w="1276" w:type="dxa"/>
            <w:vMerge/>
            <w:shd w:val="clear" w:color="auto" w:fill="auto"/>
            <w:noWrap/>
            <w:vAlign w:val="center"/>
          </w:tcPr>
          <w:p w:rsidR="00191427" w:rsidRPr="00EC364C" w:rsidRDefault="00191427" w:rsidP="001A5B38">
            <w:pPr>
              <w:spacing w:before="0" w:after="0"/>
              <w:rPr>
                <w:color w:val="000000"/>
                <w:sz w:val="20"/>
                <w:szCs w:val="20"/>
                <w:lang w:eastAsia="en-AU"/>
              </w:rPr>
            </w:pPr>
          </w:p>
        </w:tc>
        <w:tc>
          <w:tcPr>
            <w:tcW w:w="1840" w:type="dxa"/>
            <w:tcBorders>
              <w:bottom w:val="single" w:sz="4" w:space="0" w:color="FFFFFF"/>
            </w:tcBorders>
            <w:shd w:val="clear" w:color="auto" w:fill="auto"/>
            <w:noWrap/>
            <w:vAlign w:val="center"/>
          </w:tcPr>
          <w:p w:rsidR="00191427" w:rsidRPr="00EC364C" w:rsidRDefault="00191427" w:rsidP="00191427">
            <w:pPr>
              <w:spacing w:before="0" w:after="0"/>
              <w:rPr>
                <w:color w:val="000000"/>
                <w:sz w:val="20"/>
                <w:szCs w:val="20"/>
                <w:lang w:eastAsia="en-AU"/>
              </w:rPr>
            </w:pPr>
            <w:r w:rsidRPr="00EC364C">
              <w:rPr>
                <w:color w:val="000000"/>
                <w:sz w:val="20"/>
                <w:szCs w:val="20"/>
                <w:lang w:eastAsia="en-AU"/>
              </w:rPr>
              <w:t>coastal intertidal</w:t>
            </w:r>
          </w:p>
        </w:tc>
        <w:tc>
          <w:tcPr>
            <w:tcW w:w="761" w:type="dxa"/>
            <w:tcBorders>
              <w:bottom w:val="single" w:sz="4" w:space="0" w:color="FFFFFF"/>
            </w:tcBorders>
            <w:shd w:val="clear" w:color="auto" w:fill="008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81</w:t>
            </w:r>
          </w:p>
        </w:tc>
        <w:tc>
          <w:tcPr>
            <w:tcW w:w="761" w:type="dxa"/>
            <w:tcBorders>
              <w:bottom w:val="single" w:sz="4" w:space="0" w:color="FFFFFF"/>
            </w:tcBorders>
            <w:shd w:val="clear" w:color="auto" w:fill="008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81</w:t>
            </w:r>
          </w:p>
        </w:tc>
        <w:tc>
          <w:tcPr>
            <w:tcW w:w="761" w:type="dxa"/>
            <w:tcBorders>
              <w:bottom w:val="single" w:sz="4" w:space="0" w:color="FFFFFF"/>
            </w:tcBorders>
            <w:shd w:val="clear" w:color="auto" w:fill="008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100</w:t>
            </w:r>
          </w:p>
        </w:tc>
        <w:tc>
          <w:tcPr>
            <w:tcW w:w="761" w:type="dxa"/>
            <w:tcBorders>
              <w:bottom w:val="single" w:sz="4" w:space="0" w:color="FFFFFF"/>
            </w:tcBorders>
            <w:shd w:val="clear" w:color="auto" w:fill="92D05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75</w:t>
            </w:r>
          </w:p>
        </w:tc>
        <w:tc>
          <w:tcPr>
            <w:tcW w:w="761" w:type="dxa"/>
            <w:tcBorders>
              <w:bottom w:val="single" w:sz="4" w:space="0" w:color="FFFFFF"/>
            </w:tcBorders>
            <w:shd w:val="clear" w:color="auto" w:fill="008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81</w:t>
            </w:r>
          </w:p>
        </w:tc>
        <w:tc>
          <w:tcPr>
            <w:tcW w:w="761" w:type="dxa"/>
            <w:tcBorders>
              <w:bottom w:val="single" w:sz="4" w:space="0" w:color="FFFFFF"/>
            </w:tcBorders>
            <w:shd w:val="clear" w:color="auto" w:fill="FFCC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31</w:t>
            </w:r>
          </w:p>
        </w:tc>
        <w:tc>
          <w:tcPr>
            <w:tcW w:w="761" w:type="dxa"/>
            <w:tcBorders>
              <w:bottom w:val="single" w:sz="4" w:space="0" w:color="FFFFFF"/>
            </w:tcBorders>
            <w:shd w:val="clear" w:color="auto" w:fill="FFCC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25</w:t>
            </w:r>
          </w:p>
        </w:tc>
        <w:tc>
          <w:tcPr>
            <w:tcW w:w="761" w:type="dxa"/>
            <w:tcBorders>
              <w:bottom w:val="single" w:sz="4" w:space="0" w:color="FFFFFF"/>
            </w:tcBorders>
            <w:shd w:val="clear" w:color="auto" w:fill="FFCC00"/>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25</w:t>
            </w:r>
          </w:p>
        </w:tc>
        <w:tc>
          <w:tcPr>
            <w:tcW w:w="761" w:type="dxa"/>
            <w:tcBorders>
              <w:bottom w:val="single" w:sz="4" w:space="0" w:color="FFFFFF"/>
            </w:tcBorders>
            <w:shd w:val="clear" w:color="auto" w:fill="FF0000"/>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8</w:t>
            </w:r>
          </w:p>
        </w:tc>
        <w:tc>
          <w:tcPr>
            <w:tcW w:w="761" w:type="dxa"/>
            <w:tcBorders>
              <w:bottom w:val="single" w:sz="4" w:space="0" w:color="FFFFFF"/>
            </w:tcBorders>
            <w:shd w:val="clear" w:color="auto" w:fill="FFCC00"/>
            <w:vAlign w:val="center"/>
          </w:tcPr>
          <w:p w:rsidR="00191427" w:rsidRPr="00056DBB" w:rsidRDefault="00191427" w:rsidP="001A5B38">
            <w:pPr>
              <w:spacing w:before="0" w:after="0"/>
              <w:jc w:val="center"/>
              <w:rPr>
                <w:b/>
                <w:color w:val="000000"/>
                <w:sz w:val="20"/>
                <w:szCs w:val="20"/>
                <w:lang w:eastAsia="en-AU"/>
              </w:rPr>
            </w:pPr>
            <w:r w:rsidRPr="00056DBB">
              <w:rPr>
                <w:sz w:val="20"/>
                <w:szCs w:val="20"/>
              </w:rPr>
              <w:t>25</w:t>
            </w:r>
          </w:p>
        </w:tc>
      </w:tr>
      <w:tr w:rsidR="00191427" w:rsidRPr="00EC364C" w:rsidTr="00191427">
        <w:trPr>
          <w:trHeight w:val="312"/>
          <w:jc w:val="center"/>
        </w:trPr>
        <w:tc>
          <w:tcPr>
            <w:tcW w:w="1276" w:type="dxa"/>
            <w:vMerge/>
            <w:tcBorders>
              <w:bottom w:val="single" w:sz="4" w:space="0" w:color="auto"/>
            </w:tcBorders>
            <w:shd w:val="clear" w:color="auto" w:fill="auto"/>
            <w:noWrap/>
            <w:vAlign w:val="center"/>
          </w:tcPr>
          <w:p w:rsidR="00191427" w:rsidRPr="00EC364C" w:rsidRDefault="00191427" w:rsidP="001A5B38">
            <w:pPr>
              <w:spacing w:before="0" w:after="0"/>
              <w:rPr>
                <w:color w:val="000000"/>
                <w:sz w:val="20"/>
                <w:szCs w:val="20"/>
                <w:lang w:eastAsia="en-AU"/>
              </w:rPr>
            </w:pPr>
          </w:p>
        </w:tc>
        <w:tc>
          <w:tcPr>
            <w:tcW w:w="1840" w:type="dxa"/>
            <w:tcBorders>
              <w:top w:val="single" w:sz="4" w:space="0" w:color="FFFFFF"/>
              <w:bottom w:val="single" w:sz="4" w:space="0" w:color="auto"/>
            </w:tcBorders>
            <w:shd w:val="clear" w:color="auto" w:fill="auto"/>
            <w:noWrap/>
            <w:vAlign w:val="center"/>
          </w:tcPr>
          <w:p w:rsidR="00191427" w:rsidRPr="00EC364C" w:rsidRDefault="00191427" w:rsidP="00191427">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bottom w:val="single" w:sz="4" w:space="0" w:color="FFFFFF" w:themeColor="background1"/>
            </w:tcBorders>
            <w:shd w:val="clear" w:color="auto" w:fill="auto"/>
            <w:noWrap/>
            <w:vAlign w:val="center"/>
          </w:tcPr>
          <w:p w:rsidR="00191427" w:rsidRPr="00EC364C" w:rsidRDefault="00191427" w:rsidP="001A5B38">
            <w:pPr>
              <w:spacing w:before="0" w:after="0"/>
              <w:jc w:val="center"/>
              <w:rPr>
                <w:color w:val="000000"/>
                <w:sz w:val="20"/>
                <w:szCs w:val="20"/>
                <w:lang w:eastAsia="en-AU"/>
              </w:rPr>
            </w:pPr>
          </w:p>
        </w:tc>
        <w:tc>
          <w:tcPr>
            <w:tcW w:w="761" w:type="dxa"/>
            <w:tcBorders>
              <w:top w:val="single" w:sz="4" w:space="0" w:color="FFFFFF"/>
              <w:bottom w:val="single" w:sz="4" w:space="0" w:color="FFFFFF" w:themeColor="background1"/>
            </w:tcBorders>
            <w:shd w:val="clear" w:color="auto" w:fill="auto"/>
            <w:noWrap/>
            <w:vAlign w:val="center"/>
          </w:tcPr>
          <w:p w:rsidR="00191427" w:rsidRPr="00EC364C" w:rsidRDefault="00191427" w:rsidP="001A5B38">
            <w:pPr>
              <w:spacing w:before="0" w:after="0"/>
              <w:jc w:val="center"/>
              <w:rPr>
                <w:color w:val="000000"/>
                <w:sz w:val="20"/>
                <w:szCs w:val="20"/>
                <w:lang w:eastAsia="en-AU"/>
              </w:rPr>
            </w:pPr>
          </w:p>
        </w:tc>
        <w:tc>
          <w:tcPr>
            <w:tcW w:w="761" w:type="dxa"/>
            <w:tcBorders>
              <w:top w:val="single" w:sz="4" w:space="0" w:color="FFFFFF"/>
              <w:bottom w:val="single" w:sz="4" w:space="0" w:color="FFFFFF" w:themeColor="background1"/>
            </w:tcBorders>
            <w:shd w:val="clear" w:color="auto" w:fill="FF0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13</w:t>
            </w:r>
          </w:p>
        </w:tc>
        <w:tc>
          <w:tcPr>
            <w:tcW w:w="761" w:type="dxa"/>
            <w:tcBorders>
              <w:top w:val="single" w:sz="4" w:space="0" w:color="FFFFFF"/>
              <w:bottom w:val="single" w:sz="4" w:space="0" w:color="FFFFFF" w:themeColor="background1"/>
            </w:tcBorders>
            <w:shd w:val="clear" w:color="auto" w:fill="FF0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6</w:t>
            </w:r>
          </w:p>
        </w:tc>
        <w:tc>
          <w:tcPr>
            <w:tcW w:w="761" w:type="dxa"/>
            <w:tcBorders>
              <w:top w:val="single" w:sz="4" w:space="0" w:color="FFFFFF"/>
              <w:bottom w:val="single" w:sz="4" w:space="0" w:color="FFFFFF" w:themeColor="background1"/>
            </w:tcBorders>
            <w:shd w:val="clear" w:color="auto" w:fill="FF0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13</w:t>
            </w:r>
          </w:p>
        </w:tc>
        <w:tc>
          <w:tcPr>
            <w:tcW w:w="761" w:type="dxa"/>
            <w:tcBorders>
              <w:top w:val="single" w:sz="4" w:space="0" w:color="FFFFFF"/>
              <w:bottom w:val="single" w:sz="4" w:space="0" w:color="FFFFFF" w:themeColor="background1"/>
            </w:tcBorders>
            <w:shd w:val="clear" w:color="auto" w:fill="FF0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13</w:t>
            </w:r>
          </w:p>
        </w:tc>
        <w:tc>
          <w:tcPr>
            <w:tcW w:w="761" w:type="dxa"/>
            <w:tcBorders>
              <w:top w:val="single" w:sz="4" w:space="0" w:color="FFFFFF"/>
              <w:bottom w:val="single" w:sz="4" w:space="0" w:color="FFFFFF" w:themeColor="background1"/>
            </w:tcBorders>
            <w:shd w:val="clear" w:color="auto" w:fill="FF0000"/>
            <w:noWrap/>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6</w:t>
            </w:r>
          </w:p>
        </w:tc>
        <w:tc>
          <w:tcPr>
            <w:tcW w:w="761" w:type="dxa"/>
            <w:tcBorders>
              <w:top w:val="single" w:sz="4" w:space="0" w:color="FFFFFF"/>
              <w:bottom w:val="single" w:sz="4" w:space="0" w:color="FFFFFF" w:themeColor="background1"/>
            </w:tcBorders>
            <w:shd w:val="clear" w:color="auto" w:fill="FF0000"/>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6</w:t>
            </w:r>
          </w:p>
        </w:tc>
        <w:tc>
          <w:tcPr>
            <w:tcW w:w="761" w:type="dxa"/>
            <w:tcBorders>
              <w:top w:val="single" w:sz="4" w:space="0" w:color="FFFFFF"/>
              <w:bottom w:val="single" w:sz="4" w:space="0" w:color="FFFFFF" w:themeColor="background1"/>
            </w:tcBorders>
            <w:shd w:val="clear" w:color="auto" w:fill="FF0000"/>
            <w:vAlign w:val="center"/>
          </w:tcPr>
          <w:p w:rsidR="00191427" w:rsidRPr="00EC364C" w:rsidRDefault="00191427" w:rsidP="001A5B38">
            <w:pPr>
              <w:spacing w:before="0" w:after="0"/>
              <w:jc w:val="center"/>
              <w:rPr>
                <w:color w:val="000000"/>
                <w:sz w:val="20"/>
                <w:szCs w:val="20"/>
                <w:lang w:eastAsia="en-AU"/>
              </w:rPr>
            </w:pPr>
            <w:r w:rsidRPr="00EC364C">
              <w:rPr>
                <w:color w:val="000000"/>
                <w:sz w:val="20"/>
                <w:szCs w:val="20"/>
                <w:lang w:eastAsia="en-AU"/>
              </w:rPr>
              <w:t>6</w:t>
            </w:r>
          </w:p>
        </w:tc>
        <w:tc>
          <w:tcPr>
            <w:tcW w:w="761" w:type="dxa"/>
            <w:tcBorders>
              <w:top w:val="single" w:sz="4" w:space="0" w:color="FFFFFF"/>
              <w:bottom w:val="single" w:sz="4" w:space="0" w:color="FFFFFF" w:themeColor="background1"/>
            </w:tcBorders>
            <w:shd w:val="clear" w:color="auto" w:fill="FFCC00"/>
            <w:vAlign w:val="center"/>
          </w:tcPr>
          <w:p w:rsidR="00191427" w:rsidRPr="00056DBB" w:rsidRDefault="00191427" w:rsidP="001A5B38">
            <w:pPr>
              <w:spacing w:before="0" w:after="0"/>
              <w:jc w:val="center"/>
              <w:rPr>
                <w:b/>
                <w:color w:val="000000"/>
                <w:sz w:val="20"/>
                <w:szCs w:val="20"/>
                <w:lang w:eastAsia="en-AU"/>
              </w:rPr>
            </w:pPr>
            <w:r w:rsidRPr="00056DBB">
              <w:rPr>
                <w:sz w:val="20"/>
                <w:szCs w:val="20"/>
              </w:rPr>
              <w:t>25</w:t>
            </w:r>
          </w:p>
        </w:tc>
      </w:tr>
      <w:tr w:rsidR="00191427" w:rsidRPr="00EC364C" w:rsidTr="00191427">
        <w:trPr>
          <w:trHeight w:val="312"/>
          <w:jc w:val="center"/>
        </w:trPr>
        <w:tc>
          <w:tcPr>
            <w:tcW w:w="1276" w:type="dxa"/>
            <w:vMerge w:val="restart"/>
            <w:tcBorders>
              <w:top w:val="single" w:sz="4" w:space="0" w:color="000000"/>
            </w:tcBorders>
            <w:shd w:val="clear" w:color="auto" w:fill="auto"/>
            <w:noWrap/>
            <w:vAlign w:val="center"/>
          </w:tcPr>
          <w:p w:rsidR="00191427" w:rsidRDefault="00191427" w:rsidP="001A5B38">
            <w:pPr>
              <w:spacing w:before="0" w:after="0"/>
              <w:rPr>
                <w:color w:val="000000"/>
                <w:sz w:val="20"/>
                <w:szCs w:val="20"/>
                <w:lang w:eastAsia="en-AU"/>
              </w:rPr>
            </w:pPr>
            <w:r>
              <w:rPr>
                <w:color w:val="000000"/>
                <w:sz w:val="20"/>
                <w:szCs w:val="20"/>
                <w:lang w:eastAsia="en-AU"/>
              </w:rPr>
              <w:t>Reproductive</w:t>
            </w:r>
          </w:p>
          <w:p w:rsidR="00191427" w:rsidRPr="00EC364C" w:rsidRDefault="00191427" w:rsidP="001A5B38">
            <w:pPr>
              <w:spacing w:before="0" w:after="0"/>
              <w:rPr>
                <w:color w:val="000000"/>
                <w:sz w:val="20"/>
                <w:szCs w:val="20"/>
                <w:lang w:eastAsia="en-AU"/>
              </w:rPr>
            </w:pPr>
            <w:r>
              <w:rPr>
                <w:color w:val="000000"/>
                <w:sz w:val="20"/>
                <w:szCs w:val="20"/>
                <w:lang w:eastAsia="en-AU"/>
              </w:rPr>
              <w:t>effort</w:t>
            </w:r>
          </w:p>
        </w:tc>
        <w:tc>
          <w:tcPr>
            <w:tcW w:w="1840" w:type="dxa"/>
            <w:tcBorders>
              <w:top w:val="single" w:sz="4" w:space="0" w:color="000000"/>
              <w:bottom w:val="single" w:sz="4" w:space="0" w:color="FFFFFF"/>
            </w:tcBorders>
            <w:shd w:val="clear" w:color="auto" w:fill="auto"/>
            <w:noWrap/>
            <w:vAlign w:val="center"/>
          </w:tcPr>
          <w:p w:rsidR="00191427" w:rsidRPr="00EC364C" w:rsidRDefault="00191427" w:rsidP="00191427">
            <w:pPr>
              <w:spacing w:before="0" w:after="0"/>
              <w:rPr>
                <w:color w:val="000000"/>
                <w:sz w:val="20"/>
                <w:szCs w:val="20"/>
                <w:lang w:eastAsia="en-AU"/>
              </w:rPr>
            </w:pPr>
            <w:r w:rsidRPr="00EC364C">
              <w:rPr>
                <w:color w:val="000000"/>
                <w:sz w:val="20"/>
                <w:szCs w:val="20"/>
                <w:lang w:eastAsia="en-AU"/>
              </w:rPr>
              <w:t>estuarine intertidal</w:t>
            </w:r>
          </w:p>
        </w:tc>
        <w:tc>
          <w:tcPr>
            <w:tcW w:w="761" w:type="dxa"/>
            <w:tcBorders>
              <w:bottom w:val="single" w:sz="4" w:space="0" w:color="FFFFFF"/>
            </w:tcBorders>
            <w:shd w:val="clear" w:color="auto" w:fill="0080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100</w:t>
            </w:r>
          </w:p>
        </w:tc>
        <w:tc>
          <w:tcPr>
            <w:tcW w:w="761" w:type="dxa"/>
            <w:tcBorders>
              <w:bottom w:val="single" w:sz="4" w:space="0" w:color="FFFFFF"/>
            </w:tcBorders>
            <w:shd w:val="clear" w:color="auto" w:fill="FF00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tcBorders>
              <w:bottom w:val="single" w:sz="4" w:space="0" w:color="FFFFFF"/>
            </w:tcBorders>
            <w:shd w:val="clear" w:color="auto" w:fill="FFFF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50</w:t>
            </w:r>
          </w:p>
        </w:tc>
        <w:tc>
          <w:tcPr>
            <w:tcW w:w="761" w:type="dxa"/>
            <w:tcBorders>
              <w:bottom w:val="single" w:sz="4" w:space="0" w:color="FFFFFF"/>
            </w:tcBorders>
            <w:shd w:val="clear" w:color="auto" w:fill="92D05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63</w:t>
            </w:r>
          </w:p>
        </w:tc>
        <w:tc>
          <w:tcPr>
            <w:tcW w:w="761" w:type="dxa"/>
            <w:tcBorders>
              <w:bottom w:val="single" w:sz="4" w:space="0" w:color="FFFFFF"/>
            </w:tcBorders>
            <w:shd w:val="clear" w:color="auto" w:fill="FFCC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25</w:t>
            </w:r>
          </w:p>
        </w:tc>
        <w:tc>
          <w:tcPr>
            <w:tcW w:w="761" w:type="dxa"/>
            <w:tcBorders>
              <w:bottom w:val="single" w:sz="4" w:space="0" w:color="FFFFFF"/>
            </w:tcBorders>
            <w:shd w:val="clear" w:color="auto" w:fill="92D05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75</w:t>
            </w:r>
          </w:p>
        </w:tc>
        <w:tc>
          <w:tcPr>
            <w:tcW w:w="761" w:type="dxa"/>
            <w:tcBorders>
              <w:bottom w:val="single" w:sz="4" w:space="0" w:color="FFFFFF"/>
            </w:tcBorders>
            <w:shd w:val="clear" w:color="auto" w:fill="FF00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13</w:t>
            </w:r>
          </w:p>
        </w:tc>
        <w:tc>
          <w:tcPr>
            <w:tcW w:w="761" w:type="dxa"/>
            <w:tcBorders>
              <w:bottom w:val="single" w:sz="4" w:space="0" w:color="FFFFFF"/>
            </w:tcBorders>
            <w:shd w:val="clear" w:color="auto" w:fill="FF0000"/>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tcBorders>
              <w:bottom w:val="single" w:sz="4" w:space="0" w:color="FFFFFF"/>
            </w:tcBorders>
            <w:shd w:val="clear" w:color="auto" w:fill="FFCC00"/>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25</w:t>
            </w:r>
          </w:p>
        </w:tc>
        <w:tc>
          <w:tcPr>
            <w:tcW w:w="761" w:type="dxa"/>
            <w:tcBorders>
              <w:bottom w:val="single" w:sz="4" w:space="0" w:color="FFFFFF"/>
            </w:tcBorders>
            <w:shd w:val="clear" w:color="auto" w:fill="FF0000"/>
            <w:vAlign w:val="bottom"/>
          </w:tcPr>
          <w:p w:rsidR="00191427" w:rsidRPr="005556A8" w:rsidRDefault="00191427" w:rsidP="001A5B38">
            <w:pPr>
              <w:spacing w:before="0" w:after="0"/>
              <w:jc w:val="center"/>
              <w:rPr>
                <w:color w:val="000000"/>
                <w:sz w:val="20"/>
                <w:szCs w:val="20"/>
                <w:lang w:eastAsia="en-AU"/>
              </w:rPr>
            </w:pPr>
            <w:r>
              <w:rPr>
                <w:color w:val="000000"/>
                <w:sz w:val="20"/>
                <w:szCs w:val="20"/>
              </w:rPr>
              <w:t>0</w:t>
            </w:r>
          </w:p>
        </w:tc>
      </w:tr>
      <w:tr w:rsidR="00191427" w:rsidRPr="00EC364C" w:rsidTr="00191427">
        <w:trPr>
          <w:trHeight w:val="312"/>
          <w:jc w:val="center"/>
        </w:trPr>
        <w:tc>
          <w:tcPr>
            <w:tcW w:w="1276" w:type="dxa"/>
            <w:vMerge/>
            <w:shd w:val="clear" w:color="auto" w:fill="auto"/>
            <w:noWrap/>
            <w:vAlign w:val="center"/>
          </w:tcPr>
          <w:p w:rsidR="00191427" w:rsidRPr="00EC364C" w:rsidRDefault="00191427" w:rsidP="001A5B38">
            <w:pPr>
              <w:spacing w:before="0" w:after="0"/>
              <w:rPr>
                <w:color w:val="000000"/>
                <w:sz w:val="20"/>
                <w:szCs w:val="20"/>
                <w:lang w:eastAsia="en-AU"/>
              </w:rPr>
            </w:pPr>
          </w:p>
        </w:tc>
        <w:tc>
          <w:tcPr>
            <w:tcW w:w="1840" w:type="dxa"/>
            <w:tcBorders>
              <w:bottom w:val="single" w:sz="4" w:space="0" w:color="FFFFFF"/>
            </w:tcBorders>
            <w:shd w:val="clear" w:color="auto" w:fill="auto"/>
            <w:noWrap/>
            <w:vAlign w:val="center"/>
          </w:tcPr>
          <w:p w:rsidR="00191427" w:rsidRPr="00EC364C" w:rsidRDefault="00191427" w:rsidP="00191427">
            <w:pPr>
              <w:spacing w:before="0" w:after="0"/>
              <w:rPr>
                <w:color w:val="000000"/>
                <w:sz w:val="20"/>
                <w:szCs w:val="20"/>
                <w:lang w:eastAsia="en-AU"/>
              </w:rPr>
            </w:pPr>
            <w:r w:rsidRPr="00EC364C">
              <w:rPr>
                <w:color w:val="000000"/>
                <w:sz w:val="20"/>
                <w:szCs w:val="20"/>
                <w:lang w:eastAsia="en-AU"/>
              </w:rPr>
              <w:t>coastal intertidal</w:t>
            </w:r>
          </w:p>
        </w:tc>
        <w:tc>
          <w:tcPr>
            <w:tcW w:w="761" w:type="dxa"/>
            <w:shd w:val="clear" w:color="auto" w:fill="FFCC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38</w:t>
            </w:r>
          </w:p>
        </w:tc>
        <w:tc>
          <w:tcPr>
            <w:tcW w:w="761" w:type="dxa"/>
            <w:shd w:val="clear" w:color="auto" w:fill="FF00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13</w:t>
            </w:r>
          </w:p>
        </w:tc>
        <w:tc>
          <w:tcPr>
            <w:tcW w:w="761" w:type="dxa"/>
            <w:shd w:val="clear" w:color="auto" w:fill="FFFF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50</w:t>
            </w:r>
          </w:p>
        </w:tc>
        <w:tc>
          <w:tcPr>
            <w:tcW w:w="761" w:type="dxa"/>
            <w:shd w:val="clear" w:color="auto" w:fill="FFCC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25</w:t>
            </w:r>
          </w:p>
        </w:tc>
        <w:tc>
          <w:tcPr>
            <w:tcW w:w="761" w:type="dxa"/>
            <w:shd w:val="clear" w:color="auto" w:fill="FFCC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25</w:t>
            </w:r>
          </w:p>
        </w:tc>
        <w:tc>
          <w:tcPr>
            <w:tcW w:w="761" w:type="dxa"/>
            <w:shd w:val="clear" w:color="auto" w:fill="auto"/>
            <w:noWrap/>
            <w:vAlign w:val="bottom"/>
          </w:tcPr>
          <w:p w:rsidR="00191427" w:rsidRPr="005556A8" w:rsidRDefault="00191427" w:rsidP="001A5B38">
            <w:pPr>
              <w:spacing w:before="0" w:after="0"/>
              <w:jc w:val="center"/>
              <w:rPr>
                <w:color w:val="000000"/>
                <w:sz w:val="20"/>
                <w:szCs w:val="20"/>
                <w:lang w:eastAsia="en-AU"/>
              </w:rPr>
            </w:pPr>
          </w:p>
        </w:tc>
        <w:tc>
          <w:tcPr>
            <w:tcW w:w="761" w:type="dxa"/>
            <w:shd w:val="clear" w:color="auto" w:fill="FF00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shd w:val="clear" w:color="auto" w:fill="FF0000"/>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shd w:val="clear" w:color="auto" w:fill="FF0000"/>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shd w:val="clear" w:color="auto" w:fill="FF0000"/>
            <w:vAlign w:val="bottom"/>
          </w:tcPr>
          <w:p w:rsidR="00191427" w:rsidRPr="005556A8" w:rsidRDefault="00191427" w:rsidP="001A5B38">
            <w:pPr>
              <w:spacing w:before="0" w:after="0"/>
              <w:jc w:val="center"/>
              <w:rPr>
                <w:color w:val="000000"/>
                <w:sz w:val="20"/>
                <w:szCs w:val="20"/>
                <w:lang w:eastAsia="en-AU"/>
              </w:rPr>
            </w:pPr>
            <w:r>
              <w:rPr>
                <w:color w:val="000000"/>
                <w:sz w:val="20"/>
                <w:szCs w:val="20"/>
              </w:rPr>
              <w:t>0</w:t>
            </w:r>
          </w:p>
        </w:tc>
      </w:tr>
      <w:tr w:rsidR="00191427" w:rsidRPr="00EC364C" w:rsidTr="00191427">
        <w:trPr>
          <w:trHeight w:val="312"/>
          <w:jc w:val="center"/>
        </w:trPr>
        <w:tc>
          <w:tcPr>
            <w:tcW w:w="1276" w:type="dxa"/>
            <w:vMerge/>
            <w:tcBorders>
              <w:bottom w:val="single" w:sz="4" w:space="0" w:color="000000"/>
            </w:tcBorders>
            <w:shd w:val="clear" w:color="auto" w:fill="auto"/>
            <w:noWrap/>
            <w:vAlign w:val="center"/>
          </w:tcPr>
          <w:p w:rsidR="00191427" w:rsidRPr="00EC364C" w:rsidRDefault="00191427" w:rsidP="001A5B38">
            <w:pPr>
              <w:spacing w:before="0" w:after="0"/>
              <w:rPr>
                <w:color w:val="000000"/>
                <w:sz w:val="20"/>
                <w:szCs w:val="20"/>
                <w:lang w:eastAsia="en-AU"/>
              </w:rPr>
            </w:pPr>
          </w:p>
        </w:tc>
        <w:tc>
          <w:tcPr>
            <w:tcW w:w="1840" w:type="dxa"/>
            <w:tcBorders>
              <w:top w:val="single" w:sz="4" w:space="0" w:color="FFFFFF"/>
              <w:bottom w:val="single" w:sz="4" w:space="0" w:color="000000"/>
            </w:tcBorders>
            <w:shd w:val="clear" w:color="auto" w:fill="auto"/>
            <w:noWrap/>
            <w:vAlign w:val="center"/>
          </w:tcPr>
          <w:p w:rsidR="00191427" w:rsidRPr="00EC364C" w:rsidRDefault="00191427" w:rsidP="00191427">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bottom w:val="single" w:sz="4" w:space="0" w:color="FFFFFF"/>
            </w:tcBorders>
            <w:shd w:val="clear" w:color="auto" w:fill="auto"/>
            <w:noWrap/>
            <w:vAlign w:val="bottom"/>
          </w:tcPr>
          <w:p w:rsidR="00191427" w:rsidRPr="005556A8" w:rsidRDefault="00191427" w:rsidP="001A5B38">
            <w:pPr>
              <w:spacing w:before="0" w:after="0"/>
              <w:jc w:val="center"/>
              <w:rPr>
                <w:color w:val="000000"/>
                <w:sz w:val="20"/>
                <w:szCs w:val="20"/>
                <w:lang w:eastAsia="en-AU"/>
              </w:rPr>
            </w:pPr>
          </w:p>
        </w:tc>
        <w:tc>
          <w:tcPr>
            <w:tcW w:w="761" w:type="dxa"/>
            <w:tcBorders>
              <w:top w:val="single" w:sz="4" w:space="0" w:color="FFFFFF"/>
              <w:bottom w:val="single" w:sz="4" w:space="0" w:color="FFFFFF"/>
            </w:tcBorders>
            <w:shd w:val="clear" w:color="auto" w:fill="auto"/>
            <w:noWrap/>
            <w:vAlign w:val="bottom"/>
          </w:tcPr>
          <w:p w:rsidR="00191427" w:rsidRPr="005556A8" w:rsidRDefault="00191427" w:rsidP="001A5B38">
            <w:pPr>
              <w:spacing w:before="0" w:after="0"/>
              <w:jc w:val="center"/>
              <w:rPr>
                <w:color w:val="000000"/>
                <w:sz w:val="20"/>
                <w:szCs w:val="20"/>
                <w:lang w:eastAsia="en-AU"/>
              </w:rPr>
            </w:pPr>
          </w:p>
        </w:tc>
        <w:tc>
          <w:tcPr>
            <w:tcW w:w="761" w:type="dxa"/>
            <w:tcBorders>
              <w:top w:val="single" w:sz="4" w:space="0" w:color="FFFFFF"/>
              <w:bottom w:val="single" w:sz="4" w:space="0" w:color="FFFFFF"/>
            </w:tcBorders>
            <w:shd w:val="clear" w:color="auto" w:fill="FF00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bottom w:val="single" w:sz="4" w:space="0" w:color="FFFFFF"/>
            </w:tcBorders>
            <w:shd w:val="clear" w:color="auto" w:fill="FF00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bottom w:val="single" w:sz="4" w:space="0" w:color="FFFFFF"/>
            </w:tcBorders>
            <w:shd w:val="clear" w:color="auto" w:fill="FFFF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50</w:t>
            </w:r>
          </w:p>
        </w:tc>
        <w:tc>
          <w:tcPr>
            <w:tcW w:w="761" w:type="dxa"/>
            <w:tcBorders>
              <w:top w:val="single" w:sz="4" w:space="0" w:color="FFFFFF"/>
              <w:bottom w:val="single" w:sz="4" w:space="0" w:color="FFFFFF"/>
            </w:tcBorders>
            <w:shd w:val="clear" w:color="auto" w:fill="92D05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63</w:t>
            </w:r>
          </w:p>
        </w:tc>
        <w:tc>
          <w:tcPr>
            <w:tcW w:w="761" w:type="dxa"/>
            <w:tcBorders>
              <w:top w:val="single" w:sz="4" w:space="0" w:color="FFFFFF"/>
              <w:bottom w:val="single" w:sz="4" w:space="0" w:color="FFFFFF"/>
            </w:tcBorders>
            <w:shd w:val="clear" w:color="auto" w:fill="FF0000"/>
            <w:noWrap/>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bottom w:val="single" w:sz="4" w:space="0" w:color="FFFFFF"/>
            </w:tcBorders>
            <w:shd w:val="clear" w:color="auto" w:fill="FF0000"/>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bottom w:val="single" w:sz="4" w:space="0" w:color="FFFFFF"/>
            </w:tcBorders>
            <w:shd w:val="clear" w:color="auto" w:fill="FF0000"/>
            <w:vAlign w:val="bottom"/>
          </w:tcPr>
          <w:p w:rsidR="00191427" w:rsidRPr="005556A8" w:rsidRDefault="00191427" w:rsidP="001A5B38">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bottom w:val="single" w:sz="4" w:space="0" w:color="FFFFFF"/>
            </w:tcBorders>
            <w:shd w:val="clear" w:color="auto" w:fill="FF0000"/>
            <w:vAlign w:val="bottom"/>
          </w:tcPr>
          <w:p w:rsidR="00191427" w:rsidRPr="005556A8" w:rsidRDefault="00191427" w:rsidP="001A5B38">
            <w:pPr>
              <w:spacing w:before="0" w:after="0"/>
              <w:jc w:val="center"/>
              <w:rPr>
                <w:color w:val="000000"/>
                <w:sz w:val="20"/>
                <w:szCs w:val="20"/>
                <w:lang w:eastAsia="en-AU"/>
              </w:rPr>
            </w:pPr>
            <w:r>
              <w:rPr>
                <w:color w:val="000000"/>
                <w:sz w:val="20"/>
                <w:szCs w:val="20"/>
              </w:rPr>
              <w:t>0</w:t>
            </w:r>
          </w:p>
        </w:tc>
      </w:tr>
      <w:tr w:rsidR="00191427" w:rsidRPr="00EC364C" w:rsidTr="00191427">
        <w:trPr>
          <w:trHeight w:val="312"/>
          <w:jc w:val="center"/>
        </w:trPr>
        <w:tc>
          <w:tcPr>
            <w:tcW w:w="1276" w:type="dxa"/>
            <w:vMerge w:val="restart"/>
            <w:tcBorders>
              <w:top w:val="single" w:sz="4" w:space="0" w:color="000000"/>
            </w:tcBorders>
            <w:shd w:val="clear" w:color="auto" w:fill="auto"/>
            <w:noWrap/>
            <w:vAlign w:val="center"/>
          </w:tcPr>
          <w:p w:rsidR="00191427" w:rsidRDefault="00191427" w:rsidP="001A5B38">
            <w:pPr>
              <w:spacing w:before="0" w:after="0"/>
              <w:rPr>
                <w:color w:val="000000"/>
                <w:sz w:val="20"/>
                <w:szCs w:val="20"/>
                <w:lang w:eastAsia="en-AU"/>
              </w:rPr>
            </w:pPr>
            <w:r>
              <w:rPr>
                <w:color w:val="000000"/>
                <w:sz w:val="20"/>
                <w:szCs w:val="20"/>
                <w:lang w:eastAsia="en-AU"/>
              </w:rPr>
              <w:t>Leaf tissue</w:t>
            </w:r>
          </w:p>
          <w:p w:rsidR="00191427" w:rsidRPr="00EC364C" w:rsidRDefault="00191427" w:rsidP="001A5B38">
            <w:pPr>
              <w:spacing w:before="0" w:after="0"/>
              <w:rPr>
                <w:color w:val="000000"/>
                <w:sz w:val="20"/>
                <w:szCs w:val="20"/>
                <w:lang w:eastAsia="en-AU"/>
              </w:rPr>
            </w:pPr>
            <w:r>
              <w:rPr>
                <w:color w:val="000000"/>
                <w:sz w:val="20"/>
                <w:szCs w:val="20"/>
                <w:lang w:eastAsia="en-AU"/>
              </w:rPr>
              <w:t>nutrients</w:t>
            </w:r>
          </w:p>
        </w:tc>
        <w:tc>
          <w:tcPr>
            <w:tcW w:w="1840" w:type="dxa"/>
            <w:tcBorders>
              <w:top w:val="single" w:sz="4" w:space="0" w:color="000000"/>
              <w:bottom w:val="single" w:sz="4" w:space="0" w:color="FFFFFF"/>
            </w:tcBorders>
            <w:shd w:val="clear" w:color="auto" w:fill="auto"/>
            <w:noWrap/>
            <w:vAlign w:val="center"/>
          </w:tcPr>
          <w:p w:rsidR="00191427" w:rsidRPr="00EC364C" w:rsidRDefault="00191427" w:rsidP="00191427">
            <w:pPr>
              <w:spacing w:before="0" w:after="0"/>
              <w:rPr>
                <w:color w:val="000000"/>
                <w:sz w:val="20"/>
                <w:szCs w:val="20"/>
                <w:lang w:eastAsia="en-AU"/>
              </w:rPr>
            </w:pPr>
            <w:r w:rsidRPr="00EC364C">
              <w:rPr>
                <w:color w:val="000000"/>
                <w:sz w:val="20"/>
                <w:szCs w:val="20"/>
                <w:lang w:eastAsia="en-AU"/>
              </w:rPr>
              <w:t>estuarine intertidal</w:t>
            </w:r>
          </w:p>
        </w:tc>
        <w:tc>
          <w:tcPr>
            <w:tcW w:w="761" w:type="dxa"/>
            <w:tcBorders>
              <w:bottom w:val="single" w:sz="4" w:space="0" w:color="FFFFFF"/>
            </w:tcBorders>
            <w:shd w:val="clear" w:color="auto" w:fill="auto"/>
            <w:noWrap/>
            <w:vAlign w:val="center"/>
          </w:tcPr>
          <w:p w:rsidR="00191427" w:rsidRPr="002D209A" w:rsidRDefault="00191427" w:rsidP="001A5B38">
            <w:pPr>
              <w:spacing w:before="0" w:after="0"/>
              <w:jc w:val="center"/>
              <w:rPr>
                <w:color w:val="000000"/>
                <w:sz w:val="20"/>
                <w:szCs w:val="20"/>
                <w:lang w:eastAsia="en-AU"/>
              </w:rPr>
            </w:pPr>
          </w:p>
        </w:tc>
        <w:tc>
          <w:tcPr>
            <w:tcW w:w="761" w:type="dxa"/>
            <w:tcBorders>
              <w:bottom w:val="single" w:sz="4" w:space="0" w:color="FFFFFF"/>
            </w:tcBorders>
            <w:shd w:val="clear" w:color="auto" w:fill="FFFF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58</w:t>
            </w:r>
          </w:p>
        </w:tc>
        <w:tc>
          <w:tcPr>
            <w:tcW w:w="761" w:type="dxa"/>
            <w:tcBorders>
              <w:bottom w:val="single" w:sz="4" w:space="0" w:color="FFFFFF"/>
            </w:tcBorders>
            <w:shd w:val="clear" w:color="auto" w:fill="FFFF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46</w:t>
            </w:r>
          </w:p>
        </w:tc>
        <w:tc>
          <w:tcPr>
            <w:tcW w:w="761" w:type="dxa"/>
            <w:tcBorders>
              <w:bottom w:val="single" w:sz="4" w:space="0" w:color="FFFFFF"/>
            </w:tcBorders>
            <w:shd w:val="clear" w:color="auto" w:fill="FFCC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37</w:t>
            </w:r>
          </w:p>
        </w:tc>
        <w:tc>
          <w:tcPr>
            <w:tcW w:w="761" w:type="dxa"/>
            <w:tcBorders>
              <w:bottom w:val="single" w:sz="4" w:space="0" w:color="FFFFFF"/>
            </w:tcBorders>
            <w:shd w:val="clear" w:color="auto" w:fill="92D05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67</w:t>
            </w:r>
          </w:p>
        </w:tc>
        <w:tc>
          <w:tcPr>
            <w:tcW w:w="761" w:type="dxa"/>
            <w:tcBorders>
              <w:bottom w:val="single" w:sz="4" w:space="0" w:color="FFFFFF"/>
            </w:tcBorders>
            <w:shd w:val="clear" w:color="auto" w:fill="92D05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66</w:t>
            </w:r>
          </w:p>
        </w:tc>
        <w:tc>
          <w:tcPr>
            <w:tcW w:w="761" w:type="dxa"/>
            <w:tcBorders>
              <w:bottom w:val="single" w:sz="4" w:space="0" w:color="FFFFFF"/>
            </w:tcBorders>
            <w:shd w:val="clear" w:color="auto" w:fill="0080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85</w:t>
            </w:r>
          </w:p>
        </w:tc>
        <w:tc>
          <w:tcPr>
            <w:tcW w:w="761" w:type="dxa"/>
            <w:tcBorders>
              <w:bottom w:val="single" w:sz="4" w:space="0" w:color="FFFFFF"/>
            </w:tcBorders>
            <w:shd w:val="clear" w:color="auto" w:fill="92D050"/>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62</w:t>
            </w:r>
          </w:p>
        </w:tc>
        <w:tc>
          <w:tcPr>
            <w:tcW w:w="761" w:type="dxa"/>
            <w:tcBorders>
              <w:bottom w:val="single" w:sz="4" w:space="0" w:color="FFFFFF"/>
            </w:tcBorders>
            <w:shd w:val="clear" w:color="auto" w:fill="FFCC00"/>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33</w:t>
            </w:r>
          </w:p>
        </w:tc>
        <w:tc>
          <w:tcPr>
            <w:tcW w:w="761" w:type="dxa"/>
            <w:tcBorders>
              <w:bottom w:val="single" w:sz="4" w:space="0" w:color="FFFFFF"/>
            </w:tcBorders>
            <w:shd w:val="clear" w:color="auto" w:fill="FFFF00"/>
            <w:vAlign w:val="center"/>
          </w:tcPr>
          <w:p w:rsidR="00191427" w:rsidRPr="002D209A" w:rsidRDefault="00191427" w:rsidP="001A5B38">
            <w:pPr>
              <w:spacing w:before="0" w:after="0"/>
              <w:jc w:val="center"/>
              <w:rPr>
                <w:color w:val="000000"/>
                <w:sz w:val="20"/>
                <w:szCs w:val="20"/>
                <w:lang w:eastAsia="en-AU"/>
              </w:rPr>
            </w:pPr>
            <w:r>
              <w:rPr>
                <w:color w:val="000000"/>
                <w:sz w:val="20"/>
                <w:szCs w:val="20"/>
              </w:rPr>
              <w:t>42</w:t>
            </w:r>
          </w:p>
        </w:tc>
      </w:tr>
      <w:tr w:rsidR="00191427" w:rsidRPr="00EC364C" w:rsidTr="00191427">
        <w:trPr>
          <w:trHeight w:val="312"/>
          <w:jc w:val="center"/>
        </w:trPr>
        <w:tc>
          <w:tcPr>
            <w:tcW w:w="1276" w:type="dxa"/>
            <w:vMerge/>
            <w:shd w:val="clear" w:color="auto" w:fill="auto"/>
            <w:noWrap/>
            <w:vAlign w:val="center"/>
          </w:tcPr>
          <w:p w:rsidR="00191427" w:rsidRPr="00EC364C" w:rsidRDefault="00191427" w:rsidP="001A5B38">
            <w:pPr>
              <w:spacing w:before="0" w:after="0"/>
              <w:rPr>
                <w:color w:val="000000"/>
                <w:sz w:val="20"/>
                <w:szCs w:val="20"/>
                <w:lang w:eastAsia="en-AU"/>
              </w:rPr>
            </w:pPr>
          </w:p>
        </w:tc>
        <w:tc>
          <w:tcPr>
            <w:tcW w:w="1840" w:type="dxa"/>
            <w:tcBorders>
              <w:bottom w:val="single" w:sz="4" w:space="0" w:color="FFFFFF"/>
            </w:tcBorders>
            <w:shd w:val="clear" w:color="auto" w:fill="auto"/>
            <w:noWrap/>
            <w:vAlign w:val="center"/>
          </w:tcPr>
          <w:p w:rsidR="00191427" w:rsidRPr="00EC364C" w:rsidRDefault="00191427" w:rsidP="00191427">
            <w:pPr>
              <w:spacing w:before="0" w:after="0"/>
              <w:rPr>
                <w:color w:val="000000"/>
                <w:sz w:val="20"/>
                <w:szCs w:val="20"/>
                <w:lang w:eastAsia="en-AU"/>
              </w:rPr>
            </w:pPr>
            <w:r w:rsidRPr="00EC364C">
              <w:rPr>
                <w:color w:val="000000"/>
                <w:sz w:val="20"/>
                <w:szCs w:val="20"/>
                <w:lang w:eastAsia="en-AU"/>
              </w:rPr>
              <w:t>coastal intertidal</w:t>
            </w:r>
          </w:p>
        </w:tc>
        <w:tc>
          <w:tcPr>
            <w:tcW w:w="761" w:type="dxa"/>
            <w:shd w:val="clear" w:color="auto" w:fill="92D05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79</w:t>
            </w:r>
          </w:p>
        </w:tc>
        <w:tc>
          <w:tcPr>
            <w:tcW w:w="761" w:type="dxa"/>
            <w:shd w:val="clear" w:color="auto" w:fill="92D05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74</w:t>
            </w:r>
          </w:p>
        </w:tc>
        <w:tc>
          <w:tcPr>
            <w:tcW w:w="761" w:type="dxa"/>
            <w:shd w:val="clear" w:color="auto" w:fill="92D05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75</w:t>
            </w:r>
          </w:p>
        </w:tc>
        <w:tc>
          <w:tcPr>
            <w:tcW w:w="761" w:type="dxa"/>
            <w:shd w:val="clear" w:color="auto" w:fill="92D05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65</w:t>
            </w:r>
          </w:p>
        </w:tc>
        <w:tc>
          <w:tcPr>
            <w:tcW w:w="761" w:type="dxa"/>
            <w:shd w:val="clear" w:color="auto" w:fill="92D05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69</w:t>
            </w:r>
          </w:p>
        </w:tc>
        <w:tc>
          <w:tcPr>
            <w:tcW w:w="761" w:type="dxa"/>
            <w:shd w:val="clear" w:color="auto" w:fill="FFFF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41</w:t>
            </w:r>
          </w:p>
        </w:tc>
        <w:tc>
          <w:tcPr>
            <w:tcW w:w="761" w:type="dxa"/>
            <w:shd w:val="clear" w:color="auto" w:fill="FFFF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46</w:t>
            </w:r>
          </w:p>
        </w:tc>
        <w:tc>
          <w:tcPr>
            <w:tcW w:w="761" w:type="dxa"/>
            <w:shd w:val="clear" w:color="auto" w:fill="FFFF00"/>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41</w:t>
            </w:r>
          </w:p>
        </w:tc>
        <w:tc>
          <w:tcPr>
            <w:tcW w:w="761" w:type="dxa"/>
            <w:shd w:val="clear" w:color="auto" w:fill="92D050"/>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67</w:t>
            </w:r>
          </w:p>
        </w:tc>
        <w:tc>
          <w:tcPr>
            <w:tcW w:w="761" w:type="dxa"/>
            <w:shd w:val="clear" w:color="auto" w:fill="FFCC00"/>
            <w:vAlign w:val="center"/>
          </w:tcPr>
          <w:p w:rsidR="00191427" w:rsidRPr="002D209A" w:rsidRDefault="00191427" w:rsidP="001A5B38">
            <w:pPr>
              <w:spacing w:before="0" w:after="0"/>
              <w:jc w:val="center"/>
              <w:rPr>
                <w:color w:val="000000"/>
                <w:sz w:val="20"/>
                <w:szCs w:val="20"/>
                <w:lang w:eastAsia="en-AU"/>
              </w:rPr>
            </w:pPr>
            <w:r>
              <w:rPr>
                <w:color w:val="000000"/>
                <w:sz w:val="20"/>
                <w:szCs w:val="20"/>
              </w:rPr>
              <w:t>33</w:t>
            </w:r>
          </w:p>
        </w:tc>
      </w:tr>
      <w:tr w:rsidR="00191427" w:rsidRPr="00EC364C" w:rsidTr="001E70A1">
        <w:trPr>
          <w:trHeight w:val="312"/>
          <w:jc w:val="center"/>
        </w:trPr>
        <w:tc>
          <w:tcPr>
            <w:tcW w:w="1276" w:type="dxa"/>
            <w:vMerge/>
            <w:tcBorders>
              <w:bottom w:val="single" w:sz="4" w:space="0" w:color="000000"/>
            </w:tcBorders>
            <w:shd w:val="clear" w:color="auto" w:fill="auto"/>
            <w:noWrap/>
            <w:vAlign w:val="center"/>
          </w:tcPr>
          <w:p w:rsidR="00191427" w:rsidRPr="00EC364C" w:rsidRDefault="00191427" w:rsidP="001A5B38">
            <w:pPr>
              <w:spacing w:before="0" w:after="0"/>
              <w:rPr>
                <w:color w:val="000000"/>
                <w:sz w:val="20"/>
                <w:szCs w:val="20"/>
                <w:lang w:eastAsia="en-AU"/>
              </w:rPr>
            </w:pPr>
          </w:p>
        </w:tc>
        <w:tc>
          <w:tcPr>
            <w:tcW w:w="1840" w:type="dxa"/>
            <w:tcBorders>
              <w:top w:val="single" w:sz="4" w:space="0" w:color="FFFFFF"/>
              <w:bottom w:val="single" w:sz="4" w:space="0" w:color="000000"/>
            </w:tcBorders>
            <w:shd w:val="clear" w:color="auto" w:fill="auto"/>
            <w:noWrap/>
            <w:vAlign w:val="center"/>
          </w:tcPr>
          <w:p w:rsidR="00191427" w:rsidRPr="00EC364C" w:rsidRDefault="00191427" w:rsidP="00191427">
            <w:pPr>
              <w:spacing w:before="0" w:after="0"/>
              <w:rPr>
                <w:color w:val="000000"/>
                <w:sz w:val="20"/>
                <w:szCs w:val="20"/>
                <w:lang w:eastAsia="en-AU"/>
              </w:rPr>
            </w:pPr>
            <w:r w:rsidRPr="00EC364C">
              <w:rPr>
                <w:color w:val="000000"/>
                <w:sz w:val="20"/>
                <w:szCs w:val="20"/>
                <w:lang w:eastAsia="en-AU"/>
              </w:rPr>
              <w:t>reef intertidal</w:t>
            </w:r>
          </w:p>
        </w:tc>
        <w:tc>
          <w:tcPr>
            <w:tcW w:w="761" w:type="dxa"/>
            <w:tcBorders>
              <w:top w:val="single" w:sz="4" w:space="0" w:color="FFFFFF"/>
            </w:tcBorders>
            <w:shd w:val="clear" w:color="auto" w:fill="auto"/>
            <w:noWrap/>
            <w:vAlign w:val="center"/>
          </w:tcPr>
          <w:p w:rsidR="00191427" w:rsidRPr="002D209A" w:rsidRDefault="00191427" w:rsidP="001A5B38">
            <w:pPr>
              <w:spacing w:before="0" w:after="0"/>
              <w:jc w:val="center"/>
              <w:rPr>
                <w:color w:val="000000"/>
                <w:sz w:val="20"/>
                <w:szCs w:val="20"/>
                <w:lang w:eastAsia="en-AU"/>
              </w:rPr>
            </w:pPr>
          </w:p>
        </w:tc>
        <w:tc>
          <w:tcPr>
            <w:tcW w:w="761" w:type="dxa"/>
            <w:tcBorders>
              <w:top w:val="single" w:sz="4" w:space="0" w:color="FFFFFF"/>
            </w:tcBorders>
            <w:shd w:val="clear" w:color="auto" w:fill="auto"/>
            <w:noWrap/>
            <w:vAlign w:val="center"/>
          </w:tcPr>
          <w:p w:rsidR="00191427" w:rsidRPr="002D209A" w:rsidRDefault="00191427" w:rsidP="001A5B38">
            <w:pPr>
              <w:spacing w:before="0" w:after="0"/>
              <w:jc w:val="center"/>
              <w:rPr>
                <w:color w:val="000000"/>
                <w:sz w:val="20"/>
                <w:szCs w:val="20"/>
                <w:lang w:eastAsia="en-AU"/>
              </w:rPr>
            </w:pPr>
          </w:p>
        </w:tc>
        <w:tc>
          <w:tcPr>
            <w:tcW w:w="761" w:type="dxa"/>
            <w:tcBorders>
              <w:top w:val="single" w:sz="4" w:space="0" w:color="FFFFFF"/>
            </w:tcBorders>
            <w:shd w:val="clear" w:color="auto" w:fill="FF00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20</w:t>
            </w:r>
          </w:p>
        </w:tc>
        <w:tc>
          <w:tcPr>
            <w:tcW w:w="761" w:type="dxa"/>
            <w:tcBorders>
              <w:top w:val="single" w:sz="4" w:space="0" w:color="FFFFFF"/>
            </w:tcBorders>
            <w:shd w:val="clear" w:color="auto" w:fill="FFCC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25</w:t>
            </w:r>
          </w:p>
        </w:tc>
        <w:tc>
          <w:tcPr>
            <w:tcW w:w="761" w:type="dxa"/>
            <w:tcBorders>
              <w:top w:val="single" w:sz="4" w:space="0" w:color="FFFFFF"/>
            </w:tcBorders>
            <w:shd w:val="clear" w:color="auto" w:fill="FFCC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34</w:t>
            </w:r>
          </w:p>
        </w:tc>
        <w:tc>
          <w:tcPr>
            <w:tcW w:w="761" w:type="dxa"/>
            <w:tcBorders>
              <w:top w:val="single" w:sz="4" w:space="0" w:color="FFFFFF"/>
            </w:tcBorders>
            <w:shd w:val="clear" w:color="auto" w:fill="FFCC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23</w:t>
            </w:r>
          </w:p>
        </w:tc>
        <w:tc>
          <w:tcPr>
            <w:tcW w:w="761" w:type="dxa"/>
            <w:tcBorders>
              <w:top w:val="single" w:sz="4" w:space="0" w:color="FFFFFF"/>
            </w:tcBorders>
            <w:shd w:val="clear" w:color="auto" w:fill="FF0000"/>
            <w:noWrap/>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17</w:t>
            </w:r>
          </w:p>
        </w:tc>
        <w:tc>
          <w:tcPr>
            <w:tcW w:w="761" w:type="dxa"/>
            <w:tcBorders>
              <w:top w:val="single" w:sz="4" w:space="0" w:color="FFFFFF"/>
            </w:tcBorders>
            <w:shd w:val="clear" w:color="auto" w:fill="FFCC00"/>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21</w:t>
            </w:r>
          </w:p>
        </w:tc>
        <w:tc>
          <w:tcPr>
            <w:tcW w:w="761" w:type="dxa"/>
            <w:tcBorders>
              <w:top w:val="single" w:sz="4" w:space="0" w:color="FFFFFF"/>
            </w:tcBorders>
            <w:shd w:val="clear" w:color="auto" w:fill="FFFF00"/>
            <w:vAlign w:val="center"/>
          </w:tcPr>
          <w:p w:rsidR="00191427" w:rsidRPr="002D209A" w:rsidRDefault="00191427" w:rsidP="001A5B38">
            <w:pPr>
              <w:spacing w:before="0" w:after="0"/>
              <w:jc w:val="center"/>
              <w:rPr>
                <w:color w:val="000000"/>
                <w:sz w:val="20"/>
                <w:szCs w:val="20"/>
                <w:lang w:eastAsia="en-AU"/>
              </w:rPr>
            </w:pPr>
            <w:r w:rsidRPr="002D209A">
              <w:rPr>
                <w:color w:val="000000"/>
                <w:sz w:val="20"/>
                <w:szCs w:val="20"/>
                <w:lang w:eastAsia="en-AU"/>
              </w:rPr>
              <w:t>41</w:t>
            </w:r>
          </w:p>
        </w:tc>
        <w:tc>
          <w:tcPr>
            <w:tcW w:w="761" w:type="dxa"/>
            <w:tcBorders>
              <w:top w:val="single" w:sz="4" w:space="0" w:color="FFFFFF"/>
            </w:tcBorders>
            <w:shd w:val="clear" w:color="auto" w:fill="FFCC00"/>
            <w:vAlign w:val="center"/>
          </w:tcPr>
          <w:p w:rsidR="00191427" w:rsidRPr="002D209A" w:rsidRDefault="00191427" w:rsidP="001A5B38">
            <w:pPr>
              <w:spacing w:before="0" w:after="0"/>
              <w:jc w:val="center"/>
              <w:rPr>
                <w:color w:val="000000"/>
                <w:sz w:val="20"/>
                <w:szCs w:val="20"/>
                <w:lang w:eastAsia="en-AU"/>
              </w:rPr>
            </w:pPr>
            <w:r>
              <w:rPr>
                <w:color w:val="000000"/>
                <w:sz w:val="20"/>
                <w:szCs w:val="20"/>
              </w:rPr>
              <w:t>31</w:t>
            </w:r>
          </w:p>
        </w:tc>
      </w:tr>
      <w:tr w:rsidR="00191427" w:rsidRPr="002D209A" w:rsidTr="001E70A1">
        <w:trPr>
          <w:trHeight w:val="312"/>
          <w:jc w:val="center"/>
        </w:trPr>
        <w:tc>
          <w:tcPr>
            <w:tcW w:w="3116" w:type="dxa"/>
            <w:gridSpan w:val="2"/>
            <w:tcBorders>
              <w:top w:val="single" w:sz="4" w:space="0" w:color="000000"/>
              <w:bottom w:val="single" w:sz="4" w:space="0" w:color="000000"/>
            </w:tcBorders>
            <w:shd w:val="clear" w:color="auto" w:fill="auto"/>
            <w:noWrap/>
            <w:vAlign w:val="center"/>
          </w:tcPr>
          <w:p w:rsidR="00191427" w:rsidRPr="002D209A" w:rsidRDefault="00191427" w:rsidP="00C60158">
            <w:pPr>
              <w:spacing w:before="0" w:after="0"/>
              <w:rPr>
                <w:b/>
                <w:color w:val="000000"/>
                <w:sz w:val="20"/>
                <w:szCs w:val="20"/>
                <w:lang w:eastAsia="en-AU"/>
              </w:rPr>
            </w:pPr>
            <w:r>
              <w:rPr>
                <w:b/>
                <w:color w:val="000000"/>
                <w:sz w:val="20"/>
                <w:szCs w:val="20"/>
                <w:lang w:eastAsia="en-AU"/>
              </w:rPr>
              <w:t>Seagrass Index</w:t>
            </w:r>
          </w:p>
        </w:tc>
        <w:tc>
          <w:tcPr>
            <w:tcW w:w="761" w:type="dxa"/>
            <w:tcBorders>
              <w:top w:val="single" w:sz="4" w:space="0" w:color="000000"/>
              <w:bottom w:val="single" w:sz="4" w:space="0" w:color="000000"/>
            </w:tcBorders>
            <w:shd w:val="clear" w:color="auto" w:fill="92D050"/>
            <w:noWrap/>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67</w:t>
            </w:r>
          </w:p>
        </w:tc>
        <w:tc>
          <w:tcPr>
            <w:tcW w:w="761" w:type="dxa"/>
            <w:tcBorders>
              <w:top w:val="single" w:sz="4" w:space="0" w:color="000000"/>
              <w:bottom w:val="single" w:sz="4" w:space="0" w:color="000000"/>
            </w:tcBorders>
            <w:shd w:val="clear" w:color="auto" w:fill="FFFF00"/>
            <w:noWrap/>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40</w:t>
            </w:r>
          </w:p>
        </w:tc>
        <w:tc>
          <w:tcPr>
            <w:tcW w:w="761" w:type="dxa"/>
            <w:tcBorders>
              <w:top w:val="single" w:sz="4" w:space="0" w:color="000000"/>
              <w:bottom w:val="single" w:sz="4" w:space="0" w:color="000000"/>
            </w:tcBorders>
            <w:shd w:val="clear" w:color="auto" w:fill="FFFF00"/>
            <w:noWrap/>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44</w:t>
            </w:r>
          </w:p>
        </w:tc>
        <w:tc>
          <w:tcPr>
            <w:tcW w:w="761" w:type="dxa"/>
            <w:tcBorders>
              <w:top w:val="single" w:sz="4" w:space="0" w:color="000000"/>
              <w:bottom w:val="single" w:sz="4" w:space="0" w:color="000000"/>
            </w:tcBorders>
            <w:shd w:val="clear" w:color="auto" w:fill="FFCC00"/>
            <w:noWrap/>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36</w:t>
            </w:r>
          </w:p>
        </w:tc>
        <w:tc>
          <w:tcPr>
            <w:tcW w:w="761" w:type="dxa"/>
            <w:tcBorders>
              <w:top w:val="single" w:sz="4" w:space="0" w:color="000000"/>
              <w:bottom w:val="single" w:sz="4" w:space="0" w:color="000000"/>
            </w:tcBorders>
            <w:shd w:val="clear" w:color="auto" w:fill="FFFF00"/>
            <w:noWrap/>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45</w:t>
            </w:r>
          </w:p>
        </w:tc>
        <w:tc>
          <w:tcPr>
            <w:tcW w:w="761" w:type="dxa"/>
            <w:tcBorders>
              <w:top w:val="single" w:sz="4" w:space="0" w:color="000000"/>
              <w:bottom w:val="single" w:sz="4" w:space="0" w:color="000000"/>
            </w:tcBorders>
            <w:shd w:val="clear" w:color="auto" w:fill="FFFF00"/>
            <w:noWrap/>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47</w:t>
            </w:r>
          </w:p>
        </w:tc>
        <w:tc>
          <w:tcPr>
            <w:tcW w:w="761" w:type="dxa"/>
            <w:tcBorders>
              <w:top w:val="single" w:sz="4" w:space="0" w:color="000000"/>
              <w:bottom w:val="single" w:sz="4" w:space="0" w:color="000000"/>
            </w:tcBorders>
            <w:shd w:val="clear" w:color="auto" w:fill="FFCC00"/>
            <w:noWrap/>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28</w:t>
            </w:r>
          </w:p>
        </w:tc>
        <w:tc>
          <w:tcPr>
            <w:tcW w:w="761" w:type="dxa"/>
            <w:tcBorders>
              <w:top w:val="single" w:sz="4" w:space="0" w:color="000000"/>
              <w:bottom w:val="single" w:sz="4" w:space="0" w:color="000000"/>
            </w:tcBorders>
            <w:shd w:val="clear" w:color="auto" w:fill="FFCC00"/>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25</w:t>
            </w:r>
          </w:p>
        </w:tc>
        <w:tc>
          <w:tcPr>
            <w:tcW w:w="761" w:type="dxa"/>
            <w:tcBorders>
              <w:top w:val="single" w:sz="4" w:space="0" w:color="000000"/>
              <w:bottom w:val="single" w:sz="4" w:space="0" w:color="000000"/>
            </w:tcBorders>
            <w:shd w:val="clear" w:color="auto" w:fill="FFCC00"/>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26</w:t>
            </w:r>
          </w:p>
        </w:tc>
        <w:tc>
          <w:tcPr>
            <w:tcW w:w="761" w:type="dxa"/>
            <w:tcBorders>
              <w:top w:val="single" w:sz="4" w:space="0" w:color="000000"/>
              <w:bottom w:val="single" w:sz="4" w:space="0" w:color="000000"/>
            </w:tcBorders>
            <w:shd w:val="clear" w:color="auto" w:fill="FF0000"/>
            <w:vAlign w:val="center"/>
          </w:tcPr>
          <w:p w:rsidR="00191427" w:rsidRPr="00423BA4" w:rsidRDefault="00191427" w:rsidP="001A5B38">
            <w:pPr>
              <w:spacing w:before="0" w:after="0"/>
              <w:jc w:val="center"/>
              <w:rPr>
                <w:b/>
                <w:color w:val="000000"/>
                <w:sz w:val="20"/>
                <w:szCs w:val="20"/>
                <w:lang w:eastAsia="en-AU"/>
              </w:rPr>
            </w:pPr>
            <w:r w:rsidRPr="006834BF">
              <w:rPr>
                <w:b/>
                <w:color w:val="000000"/>
                <w:sz w:val="20"/>
                <w:szCs w:val="20"/>
                <w:lang w:eastAsia="en-AU"/>
              </w:rPr>
              <w:t>20</w:t>
            </w:r>
          </w:p>
        </w:tc>
      </w:tr>
    </w:tbl>
    <w:p w:rsidR="00BC6384" w:rsidRPr="00C859A2" w:rsidRDefault="00BC6384" w:rsidP="00034AD4">
      <w:pPr>
        <w:autoSpaceDE w:val="0"/>
        <w:autoSpaceDN w:val="0"/>
        <w:adjustRightInd w:val="0"/>
        <w:rPr>
          <w:color w:val="000000"/>
          <w:szCs w:val="22"/>
        </w:rPr>
      </w:pPr>
    </w:p>
    <w:p w:rsidR="00AB6175" w:rsidRPr="001F473C" w:rsidRDefault="005132EF" w:rsidP="00926892">
      <w:pPr>
        <w:pStyle w:val="Heading2"/>
        <w:numPr>
          <w:ilvl w:val="1"/>
          <w:numId w:val="9"/>
        </w:numPr>
        <w:rPr>
          <w:rFonts w:ascii="Century Gothic" w:hAnsi="Century Gothic"/>
          <w:color w:val="000000"/>
        </w:rPr>
      </w:pPr>
      <w:r w:rsidRPr="00015190">
        <w:rPr>
          <w:color w:val="0000FF"/>
          <w:lang w:val="en-GB"/>
        </w:rPr>
        <w:br w:type="page"/>
      </w:r>
      <w:bookmarkStart w:id="527" w:name="_Toc170191656"/>
      <w:bookmarkStart w:id="528" w:name="_Toc175991091"/>
      <w:bookmarkStart w:id="529" w:name="_Toc232845936"/>
      <w:bookmarkStart w:id="530" w:name="_Toc184102037"/>
      <w:bookmarkStart w:id="531" w:name="_Toc431493783"/>
      <w:bookmarkStart w:id="532" w:name="_Toc462047366"/>
      <w:r w:rsidR="00AB6175" w:rsidRPr="001F473C">
        <w:rPr>
          <w:rFonts w:ascii="Century Gothic" w:hAnsi="Century Gothic"/>
          <w:color w:val="000000"/>
        </w:rPr>
        <w:lastRenderedPageBreak/>
        <w:t>Burnett Mary</w:t>
      </w:r>
      <w:bookmarkEnd w:id="527"/>
      <w:bookmarkEnd w:id="528"/>
      <w:bookmarkEnd w:id="529"/>
      <w:bookmarkEnd w:id="530"/>
      <w:bookmarkEnd w:id="531"/>
      <w:bookmarkEnd w:id="532"/>
    </w:p>
    <w:p w:rsidR="005132EF" w:rsidRPr="00712221" w:rsidRDefault="00EC364C" w:rsidP="00926892">
      <w:pPr>
        <w:pStyle w:val="Heading3"/>
        <w:numPr>
          <w:ilvl w:val="2"/>
          <w:numId w:val="9"/>
        </w:numPr>
        <w:rPr>
          <w:rFonts w:ascii="Arial" w:hAnsi="Arial" w:cs="Arial"/>
          <w:color w:val="000000"/>
        </w:rPr>
      </w:pPr>
      <w:bookmarkStart w:id="533" w:name="_Toc184102038"/>
      <w:bookmarkStart w:id="534" w:name="_Toc431493784"/>
      <w:bookmarkStart w:id="535" w:name="_Toc462047367"/>
      <w:r w:rsidRPr="00712221">
        <w:rPr>
          <w:rFonts w:ascii="Arial" w:hAnsi="Arial" w:cs="Arial"/>
          <w:color w:val="000000"/>
        </w:rPr>
        <w:t>201</w:t>
      </w:r>
      <w:r w:rsidR="007E1DF9">
        <w:rPr>
          <w:rFonts w:ascii="Arial" w:hAnsi="Arial" w:cs="Arial"/>
          <w:color w:val="000000"/>
        </w:rPr>
        <w:t>4</w:t>
      </w:r>
      <w:r w:rsidRPr="00712221">
        <w:rPr>
          <w:rFonts w:ascii="Arial" w:hAnsi="Arial" w:cs="Arial"/>
          <w:color w:val="000000"/>
        </w:rPr>
        <w:t>-1</w:t>
      </w:r>
      <w:r w:rsidR="007E1DF9">
        <w:rPr>
          <w:rFonts w:ascii="Arial" w:hAnsi="Arial" w:cs="Arial"/>
          <w:color w:val="000000"/>
        </w:rPr>
        <w:t>5</w:t>
      </w:r>
      <w:r w:rsidR="005132EF" w:rsidRPr="00712221">
        <w:rPr>
          <w:rFonts w:ascii="Arial" w:hAnsi="Arial" w:cs="Arial"/>
          <w:color w:val="000000"/>
        </w:rPr>
        <w:t xml:space="preserve"> Summary</w:t>
      </w:r>
      <w:bookmarkEnd w:id="533"/>
      <w:bookmarkEnd w:id="534"/>
      <w:bookmarkEnd w:id="535"/>
    </w:p>
    <w:p w:rsidR="006405E6" w:rsidRPr="006405E6" w:rsidRDefault="006405E6" w:rsidP="006405E6">
      <w:pPr>
        <w:spacing w:after="0"/>
        <w:ind w:right="232"/>
        <w:rPr>
          <w:szCs w:val="22"/>
        </w:rPr>
      </w:pPr>
      <w:bookmarkStart w:id="536" w:name="_Toc184102039"/>
      <w:bookmarkStart w:id="537" w:name="_Toc431493785"/>
      <w:r w:rsidRPr="006405E6">
        <w:rPr>
          <w:szCs w:val="22"/>
        </w:rPr>
        <w:t xml:space="preserve">Only intertidal estuarine and coastal seagrass meadows located in bays protected from SE winds and wave action were monitored in the Burnett Mary NRM region. The main ecological drivers in these environments are exposure to wind waves, elevated temperature, flood runoff and turbidity. Seagrasses are monitored at locations in the north and south of the Burnett Mary Region. Since monitoring was established, the meadows have come and gone on an irregular basis. </w:t>
      </w:r>
    </w:p>
    <w:p w:rsidR="00B349B5" w:rsidRPr="0016647F" w:rsidRDefault="00B349B5" w:rsidP="00B349B5">
      <w:pPr>
        <w:spacing w:after="0"/>
        <w:ind w:right="232"/>
        <w:rPr>
          <w:szCs w:val="22"/>
        </w:rPr>
      </w:pPr>
      <w:r w:rsidRPr="0016647F">
        <w:rPr>
          <w:szCs w:val="22"/>
        </w:rPr>
        <w:t>Although rainfall at the monitoring sites was below the long-term average</w:t>
      </w:r>
      <w:r w:rsidRPr="00B349B5">
        <w:rPr>
          <w:szCs w:val="22"/>
        </w:rPr>
        <w:t xml:space="preserve"> </w:t>
      </w:r>
      <w:r w:rsidRPr="0016647F">
        <w:rPr>
          <w:szCs w:val="22"/>
        </w:rPr>
        <w:t xml:space="preserve">in 2014-15, above average river discharge from the large catchment area in the region resulted in inshore meadows being exposed to turbid primary water for nearly the entire wet season. </w:t>
      </w:r>
      <w:r w:rsidR="006405E6">
        <w:rPr>
          <w:szCs w:val="22"/>
        </w:rPr>
        <w:t xml:space="preserve">As a consequence, the proportion of mud in sediments increased and </w:t>
      </w:r>
      <w:r w:rsidRPr="0016647F">
        <w:rPr>
          <w:szCs w:val="22"/>
        </w:rPr>
        <w:t xml:space="preserve">daily light continued to decline in 2014-15 </w:t>
      </w:r>
      <w:r w:rsidR="006405E6">
        <w:rPr>
          <w:szCs w:val="22"/>
        </w:rPr>
        <w:t>to</w:t>
      </w:r>
      <w:r w:rsidRPr="0016647F">
        <w:rPr>
          <w:szCs w:val="22"/>
        </w:rPr>
        <w:t xml:space="preserve"> well below the</w:t>
      </w:r>
      <w:r>
        <w:rPr>
          <w:szCs w:val="22"/>
        </w:rPr>
        <w:t xml:space="preserve"> </w:t>
      </w:r>
      <w:r w:rsidRPr="0016647F">
        <w:rPr>
          <w:szCs w:val="22"/>
        </w:rPr>
        <w:t>long-term average</w:t>
      </w:r>
      <w:r>
        <w:rPr>
          <w:szCs w:val="22"/>
        </w:rPr>
        <w:t xml:space="preserve">. </w:t>
      </w:r>
      <w:r w:rsidRPr="0016647F">
        <w:rPr>
          <w:szCs w:val="22"/>
        </w:rPr>
        <w:t xml:space="preserve">Water temperatures were above average </w:t>
      </w:r>
      <w:r>
        <w:rPr>
          <w:szCs w:val="22"/>
        </w:rPr>
        <w:t xml:space="preserve">for most of the year, </w:t>
      </w:r>
      <w:r w:rsidR="006405E6">
        <w:rPr>
          <w:szCs w:val="22"/>
        </w:rPr>
        <w:t xml:space="preserve">but </w:t>
      </w:r>
      <w:r>
        <w:rPr>
          <w:szCs w:val="22"/>
        </w:rPr>
        <w:t xml:space="preserve">the below average tidal exposure and </w:t>
      </w:r>
      <w:r w:rsidRPr="0016647F">
        <w:rPr>
          <w:szCs w:val="22"/>
        </w:rPr>
        <w:t>strong winds in 2014-15</w:t>
      </w:r>
      <w:r>
        <w:rPr>
          <w:szCs w:val="22"/>
        </w:rPr>
        <w:t xml:space="preserve"> may have provided some respite</w:t>
      </w:r>
      <w:r w:rsidR="006405E6">
        <w:rPr>
          <w:szCs w:val="22"/>
        </w:rPr>
        <w:t xml:space="preserve"> from the elevated temperatures. </w:t>
      </w:r>
    </w:p>
    <w:p w:rsidR="0059610E" w:rsidRPr="00B349B5" w:rsidRDefault="0059610E" w:rsidP="0059610E">
      <w:pPr>
        <w:spacing w:after="0"/>
        <w:ind w:right="232"/>
        <w:rPr>
          <w:szCs w:val="22"/>
        </w:rPr>
      </w:pPr>
      <w:r w:rsidRPr="009912F6">
        <w:rPr>
          <w:szCs w:val="22"/>
        </w:rPr>
        <w:t>Seagrass abundance increased across the region</w:t>
      </w:r>
      <w:r w:rsidR="00B349B5" w:rsidRPr="009912F6">
        <w:rPr>
          <w:szCs w:val="22"/>
        </w:rPr>
        <w:t xml:space="preserve"> in 2013-14</w:t>
      </w:r>
      <w:r w:rsidRPr="009912F6">
        <w:rPr>
          <w:szCs w:val="22"/>
        </w:rPr>
        <w:t xml:space="preserve">, </w:t>
      </w:r>
      <w:r w:rsidR="006405E6">
        <w:rPr>
          <w:szCs w:val="22"/>
        </w:rPr>
        <w:t>providing</w:t>
      </w:r>
      <w:r w:rsidR="009912F6" w:rsidRPr="009912F6">
        <w:rPr>
          <w:szCs w:val="22"/>
        </w:rPr>
        <w:t xml:space="preserve"> the highest score since 2005</w:t>
      </w:r>
      <w:r w:rsidR="00B349B5" w:rsidRPr="009912F6">
        <w:rPr>
          <w:szCs w:val="22"/>
        </w:rPr>
        <w:t>.</w:t>
      </w:r>
      <w:r w:rsidR="009912F6" w:rsidRPr="009912F6">
        <w:rPr>
          <w:szCs w:val="22"/>
        </w:rPr>
        <w:t xml:space="preserve"> Meadow extent also continued to recover at monitoring sites in 2014-15 and was </w:t>
      </w:r>
      <w:proofErr w:type="spellStart"/>
      <w:r w:rsidR="000751EC">
        <w:rPr>
          <w:szCs w:val="22"/>
        </w:rPr>
        <w:t>aproximately</w:t>
      </w:r>
      <w:proofErr w:type="spellEnd"/>
      <w:r w:rsidR="009912F6" w:rsidRPr="009912F6">
        <w:rPr>
          <w:szCs w:val="22"/>
        </w:rPr>
        <w:t xml:space="preserve"> half of when monitoring was established in 2005. The proportion of </w:t>
      </w:r>
      <w:r w:rsidR="000751EC">
        <w:rPr>
          <w:szCs w:val="22"/>
        </w:rPr>
        <w:t xml:space="preserve">seagrass species displaying </w:t>
      </w:r>
      <w:r w:rsidR="009912F6" w:rsidRPr="009912F6">
        <w:rPr>
          <w:szCs w:val="22"/>
        </w:rPr>
        <w:t xml:space="preserve">colonising </w:t>
      </w:r>
      <w:r w:rsidR="000751EC">
        <w:rPr>
          <w:szCs w:val="22"/>
        </w:rPr>
        <w:t>traits</w:t>
      </w:r>
      <w:r w:rsidR="009912F6" w:rsidRPr="009912F6">
        <w:rPr>
          <w:szCs w:val="22"/>
        </w:rPr>
        <w:t xml:space="preserve"> declined in estuarine habitats, but remained stable below the GBR long-term average at coastal habitats. The reduc</w:t>
      </w:r>
      <w:r w:rsidR="009912F6">
        <w:rPr>
          <w:szCs w:val="22"/>
        </w:rPr>
        <w:t>ed</w:t>
      </w:r>
      <w:r w:rsidR="009912F6" w:rsidRPr="009912F6">
        <w:rPr>
          <w:szCs w:val="22"/>
        </w:rPr>
        <w:t xml:space="preserve"> proportion of colonising species suggests greater ability to tolerate/resist major disturbances, particularly as meadow abundance</w:t>
      </w:r>
      <w:r w:rsidR="009912F6">
        <w:rPr>
          <w:szCs w:val="22"/>
        </w:rPr>
        <w:t>s</w:t>
      </w:r>
      <w:r w:rsidR="009912F6" w:rsidRPr="009912F6">
        <w:rPr>
          <w:szCs w:val="22"/>
        </w:rPr>
        <w:t xml:space="preserve"> improves. </w:t>
      </w:r>
      <w:proofErr w:type="spellStart"/>
      <w:r w:rsidR="009912F6" w:rsidRPr="009912F6">
        <w:rPr>
          <w:i/>
          <w:szCs w:val="22"/>
        </w:rPr>
        <w:t>Zostera</w:t>
      </w:r>
      <w:proofErr w:type="spellEnd"/>
      <w:r w:rsidR="009912F6" w:rsidRPr="009912F6">
        <w:rPr>
          <w:i/>
          <w:szCs w:val="22"/>
        </w:rPr>
        <w:t xml:space="preserve"> </w:t>
      </w:r>
      <w:proofErr w:type="spellStart"/>
      <w:r w:rsidR="009912F6" w:rsidRPr="009912F6">
        <w:rPr>
          <w:i/>
          <w:szCs w:val="22"/>
        </w:rPr>
        <w:t>muelleri</w:t>
      </w:r>
      <w:proofErr w:type="spellEnd"/>
      <w:r w:rsidR="009912F6" w:rsidRPr="0016647F">
        <w:rPr>
          <w:szCs w:val="22"/>
        </w:rPr>
        <w:t xml:space="preserve"> seed</w:t>
      </w:r>
      <w:r w:rsidR="009912F6">
        <w:rPr>
          <w:szCs w:val="22"/>
        </w:rPr>
        <w:t>s</w:t>
      </w:r>
      <w:r w:rsidR="009912F6" w:rsidRPr="0016647F">
        <w:rPr>
          <w:szCs w:val="22"/>
        </w:rPr>
        <w:t xml:space="preserve"> persisted throughout the year </w:t>
      </w:r>
      <w:r w:rsidR="000751EC">
        <w:rPr>
          <w:szCs w:val="22"/>
        </w:rPr>
        <w:t>in</w:t>
      </w:r>
      <w:r w:rsidR="009912F6">
        <w:rPr>
          <w:szCs w:val="22"/>
        </w:rPr>
        <w:t xml:space="preserve"> estuary meadows, but the </w:t>
      </w:r>
      <w:r w:rsidR="009912F6" w:rsidRPr="0016647F">
        <w:rPr>
          <w:szCs w:val="22"/>
        </w:rPr>
        <w:t xml:space="preserve">late dry season seed banks </w:t>
      </w:r>
      <w:r w:rsidR="009912F6">
        <w:rPr>
          <w:szCs w:val="22"/>
        </w:rPr>
        <w:t xml:space="preserve">were </w:t>
      </w:r>
      <w:r w:rsidR="009912F6" w:rsidRPr="0016647F">
        <w:rPr>
          <w:szCs w:val="22"/>
        </w:rPr>
        <w:t xml:space="preserve">the smallest since 2010; indicating a reduced capacity to recover following disturbance. </w:t>
      </w:r>
      <w:r w:rsidR="009912F6">
        <w:rPr>
          <w:szCs w:val="22"/>
        </w:rPr>
        <w:t xml:space="preserve">The </w:t>
      </w:r>
      <w:r w:rsidR="009912F6" w:rsidRPr="0016647F">
        <w:rPr>
          <w:szCs w:val="22"/>
        </w:rPr>
        <w:t>improving reproductive effort</w:t>
      </w:r>
      <w:r w:rsidR="009912F6">
        <w:rPr>
          <w:szCs w:val="22"/>
        </w:rPr>
        <w:t>,</w:t>
      </w:r>
      <w:r w:rsidR="009912F6" w:rsidRPr="0016647F">
        <w:rPr>
          <w:szCs w:val="22"/>
        </w:rPr>
        <w:t xml:space="preserve"> </w:t>
      </w:r>
      <w:r w:rsidR="009912F6">
        <w:rPr>
          <w:szCs w:val="22"/>
        </w:rPr>
        <w:t>h</w:t>
      </w:r>
      <w:r w:rsidR="009912F6" w:rsidRPr="0016647F">
        <w:rPr>
          <w:szCs w:val="22"/>
        </w:rPr>
        <w:t xml:space="preserve">owever, suggests seed bank recovery in the near future </w:t>
      </w:r>
      <w:r w:rsidR="006405E6">
        <w:rPr>
          <w:szCs w:val="22"/>
        </w:rPr>
        <w:t xml:space="preserve">as a result of possible </w:t>
      </w:r>
      <w:r w:rsidR="009912F6" w:rsidRPr="0016647F">
        <w:rPr>
          <w:szCs w:val="22"/>
        </w:rPr>
        <w:t>increased replenishment.</w:t>
      </w:r>
      <w:r w:rsidR="000751EC">
        <w:rPr>
          <w:szCs w:val="22"/>
        </w:rPr>
        <w:t xml:space="preserve"> </w:t>
      </w:r>
      <w:r w:rsidRPr="00B349B5">
        <w:rPr>
          <w:i/>
          <w:szCs w:val="22"/>
        </w:rPr>
        <w:t>Z</w:t>
      </w:r>
      <w:r w:rsidR="000751EC">
        <w:rPr>
          <w:i/>
          <w:szCs w:val="22"/>
        </w:rPr>
        <w:t>.</w:t>
      </w:r>
      <w:r w:rsidRPr="00B349B5">
        <w:rPr>
          <w:i/>
          <w:szCs w:val="22"/>
        </w:rPr>
        <w:t xml:space="preserve"> </w:t>
      </w:r>
      <w:proofErr w:type="spellStart"/>
      <w:r w:rsidRPr="00B349B5">
        <w:rPr>
          <w:i/>
          <w:szCs w:val="22"/>
        </w:rPr>
        <w:t>muelleri</w:t>
      </w:r>
      <w:proofErr w:type="spellEnd"/>
      <w:r w:rsidRPr="00B349B5">
        <w:rPr>
          <w:szCs w:val="22"/>
        </w:rPr>
        <w:t xml:space="preserve"> leaf tissue analysis in late 201</w:t>
      </w:r>
      <w:r w:rsidR="0016647F" w:rsidRPr="00B349B5">
        <w:rPr>
          <w:szCs w:val="22"/>
        </w:rPr>
        <w:t>4</w:t>
      </w:r>
      <w:r w:rsidRPr="00B349B5">
        <w:rPr>
          <w:szCs w:val="22"/>
        </w:rPr>
        <w:t>, suggested sufficient but possibly low carbon available for growth</w:t>
      </w:r>
      <w:r w:rsidR="00B349B5" w:rsidRPr="00B349B5">
        <w:rPr>
          <w:szCs w:val="22"/>
        </w:rPr>
        <w:t xml:space="preserve"> due to the reduced light availability, particularly in the southern meadows of the region</w:t>
      </w:r>
      <w:r w:rsidRPr="00B349B5">
        <w:rPr>
          <w:szCs w:val="22"/>
        </w:rPr>
        <w:t>. Leaf tissue δ</w:t>
      </w:r>
      <w:r w:rsidRPr="00B349B5">
        <w:rPr>
          <w:szCs w:val="22"/>
          <w:vertAlign w:val="superscript"/>
        </w:rPr>
        <w:t>15</w:t>
      </w:r>
      <w:r w:rsidRPr="00B349B5">
        <w:rPr>
          <w:szCs w:val="22"/>
        </w:rPr>
        <w:t xml:space="preserve">N value were </w:t>
      </w:r>
      <w:r w:rsidR="00B349B5" w:rsidRPr="00B349B5">
        <w:rPr>
          <w:szCs w:val="22"/>
        </w:rPr>
        <w:t>lower</w:t>
      </w:r>
      <w:r w:rsidRPr="00B349B5">
        <w:rPr>
          <w:szCs w:val="22"/>
        </w:rPr>
        <w:t xml:space="preserve"> in 201</w:t>
      </w:r>
      <w:r w:rsidR="00B349B5" w:rsidRPr="00B349B5">
        <w:rPr>
          <w:szCs w:val="22"/>
        </w:rPr>
        <w:t>4</w:t>
      </w:r>
      <w:r w:rsidRPr="00B349B5">
        <w:rPr>
          <w:szCs w:val="22"/>
        </w:rPr>
        <w:t xml:space="preserve"> than </w:t>
      </w:r>
      <w:r w:rsidR="00B349B5" w:rsidRPr="00B349B5">
        <w:rPr>
          <w:szCs w:val="22"/>
        </w:rPr>
        <w:t xml:space="preserve">the </w:t>
      </w:r>
      <w:r w:rsidRPr="00B349B5">
        <w:rPr>
          <w:szCs w:val="22"/>
        </w:rPr>
        <w:t>previous</w:t>
      </w:r>
      <w:r w:rsidR="00B349B5" w:rsidRPr="00B349B5">
        <w:rPr>
          <w:szCs w:val="22"/>
        </w:rPr>
        <w:t xml:space="preserve"> year</w:t>
      </w:r>
      <w:r w:rsidRPr="00B349B5">
        <w:rPr>
          <w:szCs w:val="22"/>
        </w:rPr>
        <w:t xml:space="preserve">, </w:t>
      </w:r>
      <w:r w:rsidR="00B349B5" w:rsidRPr="00B349B5">
        <w:rPr>
          <w:szCs w:val="22"/>
        </w:rPr>
        <w:t xml:space="preserve">but still </w:t>
      </w:r>
      <w:r w:rsidRPr="00B349B5">
        <w:rPr>
          <w:szCs w:val="22"/>
        </w:rPr>
        <w:t xml:space="preserve">indicated either fertiliser and/or sewage influence as the primary N source. Epiphyte </w:t>
      </w:r>
      <w:r w:rsidR="00B349B5" w:rsidRPr="00B349B5">
        <w:rPr>
          <w:szCs w:val="22"/>
        </w:rPr>
        <w:t xml:space="preserve">and </w:t>
      </w:r>
      <w:proofErr w:type="spellStart"/>
      <w:r w:rsidR="00B349B5" w:rsidRPr="00B349B5">
        <w:rPr>
          <w:szCs w:val="22"/>
        </w:rPr>
        <w:t>macroalgae</w:t>
      </w:r>
      <w:proofErr w:type="spellEnd"/>
      <w:r w:rsidR="00B349B5" w:rsidRPr="00B349B5">
        <w:rPr>
          <w:szCs w:val="22"/>
        </w:rPr>
        <w:t xml:space="preserve"> </w:t>
      </w:r>
      <w:r w:rsidRPr="00B349B5">
        <w:rPr>
          <w:szCs w:val="22"/>
        </w:rPr>
        <w:t xml:space="preserve">abundance </w:t>
      </w:r>
      <w:r w:rsidR="00B349B5" w:rsidRPr="00B349B5">
        <w:rPr>
          <w:szCs w:val="22"/>
        </w:rPr>
        <w:t>continued to</w:t>
      </w:r>
      <w:r w:rsidRPr="00B349B5">
        <w:rPr>
          <w:szCs w:val="22"/>
        </w:rPr>
        <w:t xml:space="preserve"> increase above the GBR long-term average in 201</w:t>
      </w:r>
      <w:r w:rsidR="00B349B5" w:rsidRPr="00B349B5">
        <w:rPr>
          <w:szCs w:val="22"/>
        </w:rPr>
        <w:t>4</w:t>
      </w:r>
      <w:r w:rsidRPr="00B349B5">
        <w:rPr>
          <w:szCs w:val="22"/>
        </w:rPr>
        <w:t>-1</w:t>
      </w:r>
      <w:r w:rsidR="00B349B5" w:rsidRPr="00B349B5">
        <w:rPr>
          <w:szCs w:val="22"/>
        </w:rPr>
        <w:t>5</w:t>
      </w:r>
      <w:r w:rsidRPr="00B349B5">
        <w:rPr>
          <w:szCs w:val="22"/>
        </w:rPr>
        <w:t xml:space="preserve">, possibly a result of high available N. </w:t>
      </w:r>
    </w:p>
    <w:p w:rsidR="0059610E" w:rsidRPr="00D92824" w:rsidRDefault="006405E6" w:rsidP="0059610E">
      <w:pPr>
        <w:spacing w:after="0"/>
        <w:ind w:right="232"/>
        <w:rPr>
          <w:szCs w:val="22"/>
        </w:rPr>
      </w:pPr>
      <w:r>
        <w:rPr>
          <w:szCs w:val="22"/>
        </w:rPr>
        <w:t xml:space="preserve">In response to the environmental pressures over 2014-15, </w:t>
      </w:r>
      <w:r w:rsidR="0059610E" w:rsidRPr="00D92824">
        <w:rPr>
          <w:szCs w:val="22"/>
        </w:rPr>
        <w:t xml:space="preserve">the seagrass </w:t>
      </w:r>
      <w:r w:rsidR="00F7114B" w:rsidRPr="00D92824">
        <w:rPr>
          <w:szCs w:val="22"/>
        </w:rPr>
        <w:t xml:space="preserve">state </w:t>
      </w:r>
      <w:r w:rsidR="0059610E" w:rsidRPr="00D92824">
        <w:rPr>
          <w:szCs w:val="22"/>
        </w:rPr>
        <w:t>in the Burnett Mary region increas</w:t>
      </w:r>
      <w:r>
        <w:rPr>
          <w:szCs w:val="22"/>
        </w:rPr>
        <w:t>ed</w:t>
      </w:r>
      <w:r w:rsidR="0059610E" w:rsidRPr="00D92824">
        <w:rPr>
          <w:szCs w:val="22"/>
        </w:rPr>
        <w:t xml:space="preserve"> </w:t>
      </w:r>
      <w:r w:rsidR="00D92824" w:rsidRPr="00D92824">
        <w:rPr>
          <w:szCs w:val="22"/>
        </w:rPr>
        <w:t xml:space="preserve">to the highest score in a decade, although overall </w:t>
      </w:r>
      <w:r w:rsidR="0059610E" w:rsidRPr="00D92824">
        <w:rPr>
          <w:szCs w:val="22"/>
        </w:rPr>
        <w:t>remain</w:t>
      </w:r>
      <w:r w:rsidR="00D92824" w:rsidRPr="00D92824">
        <w:rPr>
          <w:szCs w:val="22"/>
        </w:rPr>
        <w:t xml:space="preserve">ing in a </w:t>
      </w:r>
      <w:r w:rsidR="0059610E" w:rsidRPr="00D92824">
        <w:rPr>
          <w:b/>
          <w:szCs w:val="22"/>
        </w:rPr>
        <w:t>poor</w:t>
      </w:r>
      <w:r w:rsidR="0059610E" w:rsidRPr="00D92824">
        <w:rPr>
          <w:szCs w:val="22"/>
        </w:rPr>
        <w:t xml:space="preserve"> </w:t>
      </w:r>
      <w:r w:rsidR="00D92824" w:rsidRPr="00D92824">
        <w:rPr>
          <w:szCs w:val="22"/>
        </w:rPr>
        <w:t xml:space="preserve">state </w:t>
      </w:r>
      <w:r w:rsidR="0059610E" w:rsidRPr="00D92824">
        <w:rPr>
          <w:szCs w:val="22"/>
        </w:rPr>
        <w:t>(</w:t>
      </w:r>
      <w:r w:rsidR="00F7114B">
        <w:rPr>
          <w:szCs w:val="22"/>
        </w:rPr>
        <w:fldChar w:fldCharType="begin"/>
      </w:r>
      <w:r w:rsidR="00F7114B">
        <w:rPr>
          <w:szCs w:val="22"/>
        </w:rPr>
        <w:instrText xml:space="preserve"> REF _Ref442377974 \h </w:instrText>
      </w:r>
      <w:r w:rsidR="00F7114B">
        <w:rPr>
          <w:szCs w:val="22"/>
        </w:rPr>
      </w:r>
      <w:r w:rsidR="00F7114B">
        <w:rPr>
          <w:szCs w:val="22"/>
        </w:rPr>
        <w:fldChar w:fldCharType="separate"/>
      </w:r>
      <w:r w:rsidR="009C068F" w:rsidRPr="0096368A">
        <w:rPr>
          <w:color w:val="000000"/>
        </w:rPr>
        <w:t xml:space="preserve">Figure </w:t>
      </w:r>
      <w:r w:rsidR="009C068F">
        <w:rPr>
          <w:noProof/>
          <w:color w:val="000000"/>
        </w:rPr>
        <w:t>93</w:t>
      </w:r>
      <w:r w:rsidR="00F7114B">
        <w:rPr>
          <w:szCs w:val="22"/>
        </w:rPr>
        <w:fldChar w:fldCharType="end"/>
      </w:r>
      <w:r w:rsidR="0059610E" w:rsidRPr="00D92824">
        <w:rPr>
          <w:szCs w:val="22"/>
        </w:rPr>
        <w:t xml:space="preserve">). </w:t>
      </w:r>
    </w:p>
    <w:p w:rsidR="00F7114B" w:rsidRPr="00326B1A" w:rsidRDefault="00F7114B" w:rsidP="000751EC">
      <w:pPr>
        <w:keepNext/>
        <w:widowControl w:val="0"/>
        <w:spacing w:before="0" w:after="0"/>
        <w:jc w:val="center"/>
        <w:rPr>
          <w:color w:val="000000"/>
          <w:szCs w:val="22"/>
        </w:rPr>
      </w:pPr>
      <w:r>
        <w:rPr>
          <w:noProof/>
          <w:color w:val="000000"/>
          <w:szCs w:val="22"/>
          <w:lang w:eastAsia="en-AU"/>
        </w:rPr>
        <w:drawing>
          <wp:inline distT="0" distB="0" distL="0" distR="0" wp14:anchorId="497C97B7" wp14:editId="4BD5237E">
            <wp:extent cx="3960000" cy="2124000"/>
            <wp:effectExtent l="0" t="0" r="2540" b="0"/>
            <wp:docPr id="540" name="Picture 540" descr="Panel of four scatter plots with straight lines and markers showing report card of seagrass condition (indicators and index) for the Burnett Mar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X_BM_2015.png"/>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3960000" cy="2124000"/>
                    </a:xfrm>
                    <a:prstGeom prst="rect">
                      <a:avLst/>
                    </a:prstGeom>
                  </pic:spPr>
                </pic:pic>
              </a:graphicData>
            </a:graphic>
          </wp:inline>
        </w:drawing>
      </w:r>
    </w:p>
    <w:p w:rsidR="00F7114B" w:rsidRPr="0096368A" w:rsidRDefault="00F7114B" w:rsidP="00F7114B">
      <w:pPr>
        <w:rPr>
          <w:i/>
          <w:vanish/>
          <w:color w:val="000000"/>
          <w:specVanish/>
        </w:rPr>
      </w:pPr>
      <w:bookmarkStart w:id="538" w:name="_Ref442377974"/>
      <w:bookmarkStart w:id="539" w:name="_Toc431493900"/>
      <w:bookmarkStart w:id="540" w:name="_Toc462684933"/>
      <w:r w:rsidRPr="0096368A">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93</w:t>
      </w:r>
      <w:r>
        <w:rPr>
          <w:color w:val="000000"/>
        </w:rPr>
        <w:fldChar w:fldCharType="end"/>
      </w:r>
      <w:bookmarkEnd w:id="538"/>
      <w:r w:rsidRPr="0096368A">
        <w:rPr>
          <w:color w:val="000000"/>
        </w:rPr>
        <w:t xml:space="preserve">. </w:t>
      </w:r>
      <w:r w:rsidRPr="0096368A">
        <w:rPr>
          <w:i/>
          <w:color w:val="000000"/>
        </w:rPr>
        <w:t>Report card of seagrass status indicators and index for the Fitzroy NRM region</w:t>
      </w:r>
      <w:bookmarkEnd w:id="539"/>
      <w:bookmarkEnd w:id="540"/>
    </w:p>
    <w:p w:rsidR="00F7114B" w:rsidRPr="0096368A" w:rsidRDefault="00F7114B" w:rsidP="00F7114B">
      <w:pPr>
        <w:rPr>
          <w:i/>
          <w:color w:val="000000"/>
          <w:szCs w:val="22"/>
        </w:rPr>
      </w:pPr>
      <w:r w:rsidRPr="0096368A">
        <w:rPr>
          <w:i/>
          <w:color w:val="000000"/>
          <w:szCs w:val="22"/>
        </w:rPr>
        <w:t xml:space="preserve"> (averages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lastRenderedPageBreak/>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w:t>
      </w:r>
      <w:proofErr w:type="spellStart"/>
      <w:r>
        <w:rPr>
          <w:i/>
          <w:szCs w:val="22"/>
        </w:rPr>
        <w:t>unitless</w:t>
      </w:r>
      <w:proofErr w:type="spellEnd"/>
      <w:r w:rsidRPr="00E237C6">
        <w:rPr>
          <w:i/>
          <w:szCs w:val="22"/>
        </w:rPr>
        <w:t>.</w:t>
      </w:r>
    </w:p>
    <w:p w:rsidR="009D5DBA" w:rsidRPr="000C1040" w:rsidRDefault="009D5DBA" w:rsidP="00926892">
      <w:pPr>
        <w:pStyle w:val="Heading3"/>
        <w:numPr>
          <w:ilvl w:val="2"/>
          <w:numId w:val="9"/>
        </w:numPr>
        <w:rPr>
          <w:rFonts w:ascii="Arial" w:hAnsi="Arial" w:cs="Arial"/>
          <w:color w:val="000000"/>
        </w:rPr>
      </w:pPr>
      <w:bookmarkStart w:id="541" w:name="_Toc462047368"/>
      <w:r w:rsidRPr="000C1040">
        <w:rPr>
          <w:rFonts w:ascii="Arial" w:hAnsi="Arial" w:cs="Arial"/>
          <w:color w:val="000000"/>
        </w:rPr>
        <w:t>Climate and environmental pressures</w:t>
      </w:r>
      <w:bookmarkEnd w:id="541"/>
    </w:p>
    <w:p w:rsidR="0059610E" w:rsidRPr="000751EC" w:rsidRDefault="0059610E" w:rsidP="0059610E">
      <w:bookmarkStart w:id="542" w:name="_Toc431493786"/>
      <w:bookmarkEnd w:id="536"/>
      <w:bookmarkEnd w:id="537"/>
      <w:r>
        <w:t xml:space="preserve">The Burnett Mary region was the only in the GBR to experience above average annual </w:t>
      </w:r>
      <w:r w:rsidR="009D5DBA">
        <w:t>discharge</w:t>
      </w:r>
      <w:r>
        <w:t xml:space="preserve"> in 2014-15 </w:t>
      </w:r>
      <w:r w:rsidR="000751EC">
        <w:t>(</w:t>
      </w:r>
      <w:r w:rsidR="000751EC">
        <w:fldChar w:fldCharType="begin"/>
      </w:r>
      <w:r w:rsidR="000751EC">
        <w:instrText xml:space="preserve"> REF _Ref461779122 \h </w:instrText>
      </w:r>
      <w:r w:rsidR="000751EC">
        <w:fldChar w:fldCharType="separate"/>
      </w:r>
      <w:r w:rsidR="009C068F">
        <w:t xml:space="preserve">Table </w:t>
      </w:r>
      <w:r w:rsidR="009C068F">
        <w:rPr>
          <w:noProof/>
        </w:rPr>
        <w:t>27</w:t>
      </w:r>
      <w:r w:rsidR="000751EC">
        <w:fldChar w:fldCharType="end"/>
      </w:r>
      <w:r w:rsidR="000751EC">
        <w:t xml:space="preserve">) </w:t>
      </w:r>
      <w:r>
        <w:t xml:space="preserve">and this was related to TC Marcia which tracked down the coast bringing rainfall into the </w:t>
      </w:r>
      <w:r w:rsidR="009D5DBA">
        <w:t>Mary River</w:t>
      </w:r>
      <w:r>
        <w:t xml:space="preserve"> catchment. Burnett Mary seagrass </w:t>
      </w:r>
      <w:r w:rsidR="0088434E">
        <w:t>meadows</w:t>
      </w:r>
      <w:r>
        <w:t xml:space="preserve"> </w:t>
      </w:r>
      <w:r w:rsidR="009D5DBA">
        <w:t xml:space="preserve">received </w:t>
      </w:r>
      <w:r w:rsidR="0088434E">
        <w:t xml:space="preserve">below </w:t>
      </w:r>
      <w:r w:rsidR="009D5DBA">
        <w:t xml:space="preserve">average rainfall and </w:t>
      </w:r>
      <w:r w:rsidR="0088434E">
        <w:t xml:space="preserve">strong </w:t>
      </w:r>
      <w:r w:rsidR="009D5DBA">
        <w:t>wind</w:t>
      </w:r>
      <w:r w:rsidR="0088434E">
        <w:t>s</w:t>
      </w:r>
      <w:r w:rsidR="009D5DBA">
        <w:t xml:space="preserve"> in 2014-15, but </w:t>
      </w:r>
      <w:r>
        <w:t>were exposed to almost exclusively primary water</w:t>
      </w:r>
      <w:r w:rsidR="009D5DBA">
        <w:t>,</w:t>
      </w:r>
      <w:r w:rsidRPr="003F768E">
        <w:t xml:space="preserve"> </w:t>
      </w:r>
      <w:r>
        <w:t xml:space="preserve">often of very high </w:t>
      </w:r>
      <w:r w:rsidRPr="000751EC">
        <w:t>turbidity (class 1 or 2,</w:t>
      </w:r>
      <w:r w:rsidR="000751EC" w:rsidRPr="000751EC">
        <w:t xml:space="preserve"> </w:t>
      </w:r>
      <w:r w:rsidR="000751EC" w:rsidRPr="000751EC">
        <w:fldChar w:fldCharType="begin"/>
      </w:r>
      <w:r w:rsidR="000751EC" w:rsidRPr="000751EC">
        <w:instrText xml:space="preserve"> REF _Ref461779178 \h  \* MERGEFORMAT </w:instrText>
      </w:r>
      <w:r w:rsidR="000751EC" w:rsidRPr="000751EC">
        <w:fldChar w:fldCharType="separate"/>
      </w:r>
      <w:r w:rsidR="009C068F" w:rsidRPr="009C068F">
        <w:t xml:space="preserve">Figure </w:t>
      </w:r>
      <w:r w:rsidR="009C068F" w:rsidRPr="009C068F">
        <w:rPr>
          <w:noProof/>
        </w:rPr>
        <w:t>94</w:t>
      </w:r>
      <w:r w:rsidR="000751EC" w:rsidRPr="000751EC">
        <w:fldChar w:fldCharType="end"/>
      </w:r>
      <w:r w:rsidRPr="000751EC">
        <w:t xml:space="preserve"> </w:t>
      </w:r>
      <w:r w:rsidRPr="000751EC">
        <w:rPr>
          <w:highlight w:val="yellow"/>
        </w:rPr>
        <w:fldChar w:fldCharType="begin"/>
      </w:r>
      <w:r w:rsidRPr="000751EC">
        <w:instrText xml:space="preserve"> REF _Ref314329818 \h </w:instrText>
      </w:r>
      <w:r w:rsidR="000751EC" w:rsidRPr="000751EC">
        <w:rPr>
          <w:highlight w:val="yellow"/>
        </w:rPr>
        <w:instrText xml:space="preserve"> \* MERGEFORMAT </w:instrText>
      </w:r>
      <w:r w:rsidRPr="000751EC">
        <w:rPr>
          <w:highlight w:val="yellow"/>
        </w:rPr>
      </w:r>
      <w:r w:rsidRPr="000751EC">
        <w:rPr>
          <w:highlight w:val="yellow"/>
        </w:rPr>
        <w:fldChar w:fldCharType="separate"/>
      </w:r>
      <w:r w:rsidR="009C068F">
        <w:t xml:space="preserve">Table </w:t>
      </w:r>
      <w:r w:rsidR="009C068F">
        <w:rPr>
          <w:noProof/>
        </w:rPr>
        <w:t>28</w:t>
      </w:r>
      <w:r w:rsidRPr="000751EC">
        <w:rPr>
          <w:highlight w:val="yellow"/>
        </w:rPr>
        <w:fldChar w:fldCharType="end"/>
      </w:r>
      <w:r w:rsidRPr="000751EC">
        <w:t>)</w:t>
      </w:r>
      <w:r w:rsidR="009D5DBA" w:rsidRPr="000751EC">
        <w:t>,</w:t>
      </w:r>
      <w:r w:rsidRPr="000751EC">
        <w:t xml:space="preserve"> fro</w:t>
      </w:r>
      <w:r w:rsidR="0088434E" w:rsidRPr="000751EC">
        <w:t>m December 2014 to April 2015</w:t>
      </w:r>
      <w:r w:rsidRPr="000751EC">
        <w:t xml:space="preserve">. </w:t>
      </w:r>
    </w:p>
    <w:p w:rsidR="0059610E" w:rsidRPr="00D92824" w:rsidRDefault="00D92824" w:rsidP="00D92824">
      <w:pPr>
        <w:jc w:val="center"/>
        <w:rPr>
          <w:i/>
        </w:rPr>
      </w:pPr>
      <w:bookmarkStart w:id="543" w:name="_Ref461779122"/>
      <w:bookmarkStart w:id="544" w:name="_Toc462685096"/>
      <w:r>
        <w:t xml:space="preserve">Table </w:t>
      </w:r>
      <w:fldSimple w:instr=" SEQ Table \* ARABIC ">
        <w:r w:rsidR="009C068F">
          <w:rPr>
            <w:noProof/>
          </w:rPr>
          <w:t>27</w:t>
        </w:r>
      </w:fldSimple>
      <w:bookmarkEnd w:id="543"/>
      <w:r>
        <w:t xml:space="preserve">.  </w:t>
      </w:r>
      <w:r w:rsidR="0059610E" w:rsidRPr="00D92824">
        <w:rPr>
          <w:i/>
        </w:rPr>
        <w:t>Summary of environmental conditions at monitoring sites in the Burnett Mary in 2014-15 compared to the long-term average (long-term range indicated for each data set).</w:t>
      </w:r>
      <w:bookmarkEnd w:id="544"/>
    </w:p>
    <w:tbl>
      <w:tblPr>
        <w:tblW w:w="0" w:type="auto"/>
        <w:jc w:val="center"/>
        <w:tblBorders>
          <w:bottom w:val="single" w:sz="4" w:space="0" w:color="auto"/>
        </w:tblBorders>
        <w:tblLook w:val="04A0" w:firstRow="1" w:lastRow="0" w:firstColumn="1" w:lastColumn="0" w:noHBand="0" w:noVBand="1"/>
      </w:tblPr>
      <w:tblGrid>
        <w:gridCol w:w="3652"/>
        <w:gridCol w:w="2268"/>
        <w:gridCol w:w="1559"/>
      </w:tblGrid>
      <w:tr w:rsidR="0059610E" w:rsidRPr="00D92824" w:rsidTr="00D92824">
        <w:trPr>
          <w:trHeight w:val="227"/>
          <w:jc w:val="center"/>
        </w:trPr>
        <w:tc>
          <w:tcPr>
            <w:tcW w:w="3652" w:type="dxa"/>
            <w:tcBorders>
              <w:top w:val="single" w:sz="4" w:space="0" w:color="auto"/>
              <w:bottom w:val="single" w:sz="4" w:space="0" w:color="auto"/>
            </w:tcBorders>
            <w:shd w:val="clear" w:color="auto" w:fill="BBE0E3"/>
          </w:tcPr>
          <w:p w:rsidR="0059610E" w:rsidRPr="00D92824" w:rsidRDefault="0059610E"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rsidR="0059610E" w:rsidRPr="00D92824" w:rsidRDefault="0059610E" w:rsidP="0059610E">
            <w:pPr>
              <w:spacing w:before="0" w:after="0"/>
              <w:rPr>
                <w:b/>
                <w:sz w:val="18"/>
                <w:szCs w:val="18"/>
              </w:rPr>
            </w:pPr>
            <w:r w:rsidRPr="00D92824">
              <w:rPr>
                <w:b/>
                <w:sz w:val="18"/>
                <w:szCs w:val="18"/>
              </w:rPr>
              <w:t>Long-term average</w:t>
            </w:r>
          </w:p>
        </w:tc>
        <w:tc>
          <w:tcPr>
            <w:tcW w:w="1559" w:type="dxa"/>
            <w:tcBorders>
              <w:top w:val="single" w:sz="4" w:space="0" w:color="auto"/>
              <w:bottom w:val="single" w:sz="4" w:space="0" w:color="auto"/>
            </w:tcBorders>
            <w:shd w:val="clear" w:color="auto" w:fill="BBE0E3"/>
          </w:tcPr>
          <w:p w:rsidR="0059610E" w:rsidRPr="00D92824" w:rsidRDefault="0059610E" w:rsidP="0059610E">
            <w:pPr>
              <w:spacing w:before="0" w:after="0"/>
              <w:rPr>
                <w:b/>
                <w:sz w:val="18"/>
                <w:szCs w:val="18"/>
              </w:rPr>
            </w:pPr>
            <w:r w:rsidRPr="00D92824">
              <w:rPr>
                <w:b/>
                <w:sz w:val="18"/>
                <w:szCs w:val="18"/>
              </w:rPr>
              <w:t>2014-15</w:t>
            </w:r>
          </w:p>
        </w:tc>
      </w:tr>
      <w:tr w:rsidR="0059610E" w:rsidTr="00D92824">
        <w:trPr>
          <w:trHeight w:val="227"/>
          <w:jc w:val="center"/>
        </w:trPr>
        <w:tc>
          <w:tcPr>
            <w:tcW w:w="3652" w:type="dxa"/>
            <w:shd w:val="clear" w:color="auto" w:fill="E7F3F4"/>
          </w:tcPr>
          <w:p w:rsidR="0059610E" w:rsidRPr="008D1B84" w:rsidRDefault="0059610E" w:rsidP="0059610E">
            <w:pPr>
              <w:spacing w:before="0" w:after="0"/>
              <w:rPr>
                <w:sz w:val="18"/>
                <w:szCs w:val="18"/>
              </w:rPr>
            </w:pPr>
            <w:r w:rsidRPr="008D1B84">
              <w:rPr>
                <w:sz w:val="18"/>
                <w:szCs w:val="18"/>
              </w:rPr>
              <w:t>Rainfall</w:t>
            </w:r>
            <w:r>
              <w:rPr>
                <w:sz w:val="18"/>
                <w:szCs w:val="18"/>
              </w:rPr>
              <w:t xml:space="preserve"> (1986-2015)</w:t>
            </w:r>
          </w:p>
        </w:tc>
        <w:tc>
          <w:tcPr>
            <w:tcW w:w="2268" w:type="dxa"/>
            <w:shd w:val="clear" w:color="auto" w:fill="E7F3F4"/>
          </w:tcPr>
          <w:p w:rsidR="0059610E" w:rsidRPr="008D1B84" w:rsidRDefault="0059610E" w:rsidP="0059610E">
            <w:pPr>
              <w:spacing w:before="0" w:after="0"/>
              <w:rPr>
                <w:sz w:val="18"/>
                <w:szCs w:val="18"/>
              </w:rPr>
            </w:pPr>
            <w:r>
              <w:rPr>
                <w:sz w:val="18"/>
                <w:szCs w:val="18"/>
              </w:rPr>
              <w:t>1098 mm</w:t>
            </w:r>
          </w:p>
        </w:tc>
        <w:tc>
          <w:tcPr>
            <w:tcW w:w="1559" w:type="dxa"/>
            <w:shd w:val="clear" w:color="auto" w:fill="E7F3F4"/>
          </w:tcPr>
          <w:p w:rsidR="0059610E" w:rsidRPr="008D1B84" w:rsidRDefault="0059610E" w:rsidP="0059610E">
            <w:pPr>
              <w:spacing w:before="0" w:after="0"/>
              <w:rPr>
                <w:sz w:val="18"/>
                <w:szCs w:val="18"/>
              </w:rPr>
            </w:pPr>
            <w:r>
              <w:rPr>
                <w:sz w:val="18"/>
                <w:szCs w:val="18"/>
              </w:rPr>
              <w:t>1034 mm</w:t>
            </w:r>
          </w:p>
        </w:tc>
      </w:tr>
      <w:tr w:rsidR="0059610E" w:rsidTr="00D92824">
        <w:trPr>
          <w:trHeight w:val="227"/>
          <w:jc w:val="center"/>
        </w:trPr>
        <w:tc>
          <w:tcPr>
            <w:tcW w:w="3652" w:type="dxa"/>
            <w:shd w:val="clear" w:color="auto" w:fill="E7F3F4"/>
          </w:tcPr>
          <w:p w:rsidR="0059610E" w:rsidRDefault="0059610E" w:rsidP="0059610E">
            <w:pPr>
              <w:spacing w:before="0" w:after="0"/>
              <w:rPr>
                <w:sz w:val="18"/>
                <w:szCs w:val="18"/>
              </w:rPr>
            </w:pPr>
            <w:r>
              <w:rPr>
                <w:sz w:val="18"/>
                <w:szCs w:val="18"/>
              </w:rPr>
              <w:t>River discharge (1970</w:t>
            </w:r>
            <w:r w:rsidRPr="008D1B84">
              <w:rPr>
                <w:sz w:val="18"/>
                <w:szCs w:val="18"/>
              </w:rPr>
              <w:t>-2015)</w:t>
            </w:r>
          </w:p>
        </w:tc>
        <w:tc>
          <w:tcPr>
            <w:tcW w:w="2268" w:type="dxa"/>
            <w:shd w:val="clear" w:color="auto" w:fill="E7F3F4"/>
          </w:tcPr>
          <w:p w:rsidR="0059610E" w:rsidRDefault="0059610E" w:rsidP="0059610E">
            <w:pPr>
              <w:spacing w:before="0" w:after="0"/>
              <w:rPr>
                <w:sz w:val="18"/>
                <w:szCs w:val="18"/>
              </w:rPr>
            </w:pPr>
            <w:r>
              <w:rPr>
                <w:color w:val="000000"/>
                <w:sz w:val="18"/>
                <w:szCs w:val="18"/>
              </w:rPr>
              <w:t>668,076</w:t>
            </w:r>
            <w:r w:rsidRPr="002663DB">
              <w:rPr>
                <w:color w:val="000000"/>
                <w:sz w:val="18"/>
                <w:szCs w:val="18"/>
              </w:rPr>
              <w:t xml:space="preserve"> </w:t>
            </w:r>
            <w:r w:rsidRPr="008D1B84">
              <w:rPr>
                <w:sz w:val="18"/>
                <w:szCs w:val="18"/>
              </w:rPr>
              <w:t>L</w:t>
            </w:r>
            <w:r>
              <w:rPr>
                <w:sz w:val="18"/>
                <w:szCs w:val="18"/>
              </w:rPr>
              <w:t xml:space="preserve"> yr</w:t>
            </w:r>
            <w:r w:rsidRPr="00233108">
              <w:rPr>
                <w:sz w:val="18"/>
                <w:szCs w:val="18"/>
                <w:vertAlign w:val="superscript"/>
              </w:rPr>
              <w:t>-1</w:t>
            </w:r>
          </w:p>
        </w:tc>
        <w:tc>
          <w:tcPr>
            <w:tcW w:w="1559" w:type="dxa"/>
            <w:shd w:val="clear" w:color="auto" w:fill="E7F3F4"/>
          </w:tcPr>
          <w:p w:rsidR="0059610E" w:rsidRDefault="0059610E" w:rsidP="0059610E">
            <w:pPr>
              <w:spacing w:before="0" w:after="0"/>
              <w:rPr>
                <w:sz w:val="18"/>
                <w:szCs w:val="18"/>
              </w:rPr>
            </w:pPr>
            <w:r w:rsidRPr="009D5DBA">
              <w:rPr>
                <w:sz w:val="18"/>
                <w:szCs w:val="18"/>
              </w:rPr>
              <w:t>1,622,222</w:t>
            </w:r>
            <w:r w:rsidRPr="006A6B6C">
              <w:rPr>
                <w:rFonts w:asciiTheme="majorHAnsi" w:hAnsiTheme="majorHAnsi"/>
                <w:color w:val="000000"/>
                <w:sz w:val="18"/>
                <w:szCs w:val="18"/>
              </w:rPr>
              <w:t xml:space="preserve"> </w:t>
            </w:r>
            <w:r w:rsidRPr="008D1B84">
              <w:rPr>
                <w:sz w:val="18"/>
                <w:szCs w:val="18"/>
              </w:rPr>
              <w:t>L</w:t>
            </w:r>
            <w:r>
              <w:rPr>
                <w:sz w:val="18"/>
                <w:szCs w:val="18"/>
              </w:rPr>
              <w:t xml:space="preserve"> yr</w:t>
            </w:r>
            <w:r w:rsidRPr="00233108">
              <w:rPr>
                <w:sz w:val="18"/>
                <w:szCs w:val="18"/>
                <w:vertAlign w:val="superscript"/>
              </w:rPr>
              <w:t>-1</w:t>
            </w:r>
          </w:p>
        </w:tc>
      </w:tr>
      <w:tr w:rsidR="0059610E" w:rsidTr="00D92824">
        <w:trPr>
          <w:trHeight w:val="227"/>
          <w:jc w:val="center"/>
        </w:trPr>
        <w:tc>
          <w:tcPr>
            <w:tcW w:w="3652" w:type="dxa"/>
            <w:shd w:val="clear" w:color="auto" w:fill="E7F3F4"/>
          </w:tcPr>
          <w:p w:rsidR="0059610E" w:rsidRDefault="0059610E" w:rsidP="0059610E">
            <w:pPr>
              <w:spacing w:before="0" w:after="0"/>
              <w:rPr>
                <w:sz w:val="18"/>
                <w:szCs w:val="18"/>
              </w:rPr>
            </w:pPr>
            <w:r>
              <w:rPr>
                <w:sz w:val="18"/>
                <w:szCs w:val="18"/>
              </w:rPr>
              <w:t>Flood p</w:t>
            </w:r>
            <w:r w:rsidRPr="008D1B84">
              <w:rPr>
                <w:sz w:val="18"/>
                <w:szCs w:val="18"/>
              </w:rPr>
              <w:t>lume exposure (2006-2015)</w:t>
            </w:r>
          </w:p>
        </w:tc>
        <w:tc>
          <w:tcPr>
            <w:tcW w:w="2268" w:type="dxa"/>
            <w:shd w:val="clear" w:color="auto" w:fill="E7F3F4"/>
          </w:tcPr>
          <w:p w:rsidR="0059610E" w:rsidRPr="00C32556" w:rsidRDefault="00C32556" w:rsidP="0059610E">
            <w:pPr>
              <w:spacing w:before="0" w:after="0"/>
              <w:rPr>
                <w:i/>
                <w:sz w:val="18"/>
                <w:szCs w:val="18"/>
              </w:rPr>
            </w:pPr>
            <w:r w:rsidRPr="00C32556">
              <w:rPr>
                <w:i/>
                <w:sz w:val="18"/>
                <w:szCs w:val="18"/>
              </w:rPr>
              <w:t>not available</w:t>
            </w:r>
          </w:p>
        </w:tc>
        <w:tc>
          <w:tcPr>
            <w:tcW w:w="1559" w:type="dxa"/>
            <w:shd w:val="clear" w:color="auto" w:fill="E7F3F4"/>
          </w:tcPr>
          <w:p w:rsidR="0059610E" w:rsidRDefault="00C32556" w:rsidP="0059610E">
            <w:pPr>
              <w:spacing w:before="0" w:after="0"/>
              <w:rPr>
                <w:sz w:val="18"/>
                <w:szCs w:val="18"/>
              </w:rPr>
            </w:pPr>
            <w:r>
              <w:rPr>
                <w:sz w:val="18"/>
                <w:szCs w:val="18"/>
              </w:rPr>
              <w:t>100%</w:t>
            </w:r>
          </w:p>
        </w:tc>
      </w:tr>
      <w:tr w:rsidR="0059610E" w:rsidTr="00D92824">
        <w:trPr>
          <w:trHeight w:val="227"/>
          <w:jc w:val="center"/>
        </w:trPr>
        <w:tc>
          <w:tcPr>
            <w:tcW w:w="3652" w:type="dxa"/>
            <w:shd w:val="clear" w:color="auto" w:fill="E7F3F4"/>
          </w:tcPr>
          <w:p w:rsidR="0059610E" w:rsidRPr="008D1B84" w:rsidRDefault="0059610E" w:rsidP="0059610E">
            <w:pPr>
              <w:spacing w:before="0" w:after="0"/>
              <w:rPr>
                <w:sz w:val="18"/>
                <w:szCs w:val="18"/>
              </w:rPr>
            </w:pPr>
            <w:r>
              <w:rPr>
                <w:sz w:val="18"/>
                <w:szCs w:val="18"/>
              </w:rPr>
              <w:t>Daytime tidal exposure (1999-2015)</w:t>
            </w:r>
          </w:p>
        </w:tc>
        <w:tc>
          <w:tcPr>
            <w:tcW w:w="2268" w:type="dxa"/>
            <w:shd w:val="clear" w:color="auto" w:fill="E7F3F4"/>
          </w:tcPr>
          <w:p w:rsidR="0059610E" w:rsidRPr="008D1B84" w:rsidRDefault="0059610E" w:rsidP="0059610E">
            <w:pPr>
              <w:spacing w:before="0" w:after="0"/>
              <w:rPr>
                <w:sz w:val="18"/>
                <w:szCs w:val="18"/>
              </w:rPr>
            </w:pPr>
            <w:r>
              <w:rPr>
                <w:sz w:val="18"/>
                <w:szCs w:val="18"/>
              </w:rPr>
              <w:t>116.16 hrs yr</w:t>
            </w:r>
            <w:r w:rsidRPr="003E5A31">
              <w:rPr>
                <w:sz w:val="18"/>
                <w:szCs w:val="18"/>
                <w:vertAlign w:val="superscript"/>
              </w:rPr>
              <w:t>-1</w:t>
            </w:r>
          </w:p>
        </w:tc>
        <w:tc>
          <w:tcPr>
            <w:tcW w:w="1559" w:type="dxa"/>
            <w:shd w:val="clear" w:color="auto" w:fill="E7F3F4"/>
          </w:tcPr>
          <w:p w:rsidR="0059610E" w:rsidRPr="008D1B84" w:rsidRDefault="0059610E" w:rsidP="0059610E">
            <w:pPr>
              <w:spacing w:before="0" w:after="0"/>
              <w:rPr>
                <w:sz w:val="18"/>
                <w:szCs w:val="18"/>
              </w:rPr>
            </w:pPr>
            <w:r>
              <w:rPr>
                <w:sz w:val="18"/>
                <w:szCs w:val="18"/>
              </w:rPr>
              <w:t>82.63 hrs yr</w:t>
            </w:r>
            <w:r w:rsidRPr="003E5A31">
              <w:rPr>
                <w:sz w:val="18"/>
                <w:szCs w:val="18"/>
                <w:vertAlign w:val="superscript"/>
              </w:rPr>
              <w:t>-1</w:t>
            </w:r>
          </w:p>
        </w:tc>
      </w:tr>
      <w:tr w:rsidR="0059610E" w:rsidTr="00D92824">
        <w:trPr>
          <w:trHeight w:val="227"/>
          <w:jc w:val="center"/>
        </w:trPr>
        <w:tc>
          <w:tcPr>
            <w:tcW w:w="3652" w:type="dxa"/>
            <w:tcBorders>
              <w:bottom w:val="single" w:sz="4" w:space="0" w:color="auto"/>
            </w:tcBorders>
            <w:shd w:val="clear" w:color="auto" w:fill="E7F3F4"/>
          </w:tcPr>
          <w:p w:rsidR="0059610E" w:rsidRPr="008D1B84" w:rsidRDefault="0059610E" w:rsidP="0059610E">
            <w:pPr>
              <w:spacing w:before="0" w:after="0"/>
              <w:rPr>
                <w:sz w:val="18"/>
                <w:szCs w:val="18"/>
              </w:rPr>
            </w:pPr>
            <w:r w:rsidRPr="008D1B84">
              <w:rPr>
                <w:sz w:val="18"/>
                <w:szCs w:val="18"/>
              </w:rPr>
              <w:t>Wind</w:t>
            </w:r>
            <w:r>
              <w:rPr>
                <w:sz w:val="18"/>
                <w:szCs w:val="18"/>
              </w:rPr>
              <w:t xml:space="preserve"> (1998-2015)</w:t>
            </w:r>
          </w:p>
        </w:tc>
        <w:tc>
          <w:tcPr>
            <w:tcW w:w="2268" w:type="dxa"/>
            <w:tcBorders>
              <w:bottom w:val="single" w:sz="4" w:space="0" w:color="auto"/>
            </w:tcBorders>
            <w:shd w:val="clear" w:color="auto" w:fill="E7F3F4"/>
          </w:tcPr>
          <w:p w:rsidR="0059610E" w:rsidRPr="008D1B84" w:rsidRDefault="0059610E" w:rsidP="0059610E">
            <w:pPr>
              <w:spacing w:before="0" w:after="0"/>
              <w:rPr>
                <w:sz w:val="18"/>
                <w:szCs w:val="18"/>
              </w:rPr>
            </w:pPr>
            <w:r>
              <w:rPr>
                <w:sz w:val="18"/>
                <w:szCs w:val="18"/>
              </w:rPr>
              <w:t>83.9 days yr</w:t>
            </w:r>
            <w:r w:rsidRPr="008D1B84">
              <w:rPr>
                <w:sz w:val="18"/>
                <w:szCs w:val="18"/>
                <w:vertAlign w:val="superscript"/>
              </w:rPr>
              <w:t>-1</w:t>
            </w:r>
          </w:p>
        </w:tc>
        <w:tc>
          <w:tcPr>
            <w:tcW w:w="1559" w:type="dxa"/>
            <w:tcBorders>
              <w:bottom w:val="single" w:sz="4" w:space="0" w:color="auto"/>
            </w:tcBorders>
            <w:shd w:val="clear" w:color="auto" w:fill="E7F3F4"/>
          </w:tcPr>
          <w:p w:rsidR="0059610E" w:rsidRPr="008D1B84" w:rsidRDefault="0059610E" w:rsidP="0059610E">
            <w:pPr>
              <w:spacing w:before="0" w:after="0"/>
              <w:rPr>
                <w:sz w:val="18"/>
                <w:szCs w:val="18"/>
              </w:rPr>
            </w:pPr>
            <w:r>
              <w:rPr>
                <w:sz w:val="18"/>
                <w:szCs w:val="18"/>
              </w:rPr>
              <w:t>49.5 days yr</w:t>
            </w:r>
            <w:r w:rsidRPr="008D1B84">
              <w:rPr>
                <w:sz w:val="18"/>
                <w:szCs w:val="18"/>
                <w:vertAlign w:val="superscript"/>
              </w:rPr>
              <w:t>-1</w:t>
            </w:r>
          </w:p>
        </w:tc>
      </w:tr>
      <w:tr w:rsidR="0059610E" w:rsidTr="00D92824">
        <w:trPr>
          <w:trHeight w:val="227"/>
          <w:jc w:val="center"/>
        </w:trPr>
        <w:tc>
          <w:tcPr>
            <w:tcW w:w="3652" w:type="dxa"/>
            <w:shd w:val="clear" w:color="auto" w:fill="F3F9FA"/>
          </w:tcPr>
          <w:p w:rsidR="0059610E" w:rsidRPr="008D1B84" w:rsidRDefault="0059610E" w:rsidP="0059610E">
            <w:pPr>
              <w:spacing w:before="0" w:after="0"/>
              <w:rPr>
                <w:sz w:val="18"/>
                <w:szCs w:val="18"/>
              </w:rPr>
            </w:pPr>
            <w:r w:rsidRPr="008D1B84">
              <w:rPr>
                <w:sz w:val="18"/>
                <w:szCs w:val="18"/>
              </w:rPr>
              <w:t>Within canopy temperature (20</w:t>
            </w:r>
            <w:r>
              <w:rPr>
                <w:sz w:val="18"/>
                <w:szCs w:val="18"/>
              </w:rPr>
              <w:t>03</w:t>
            </w:r>
            <w:r w:rsidRPr="008D1B84">
              <w:rPr>
                <w:sz w:val="18"/>
                <w:szCs w:val="18"/>
              </w:rPr>
              <w:t>-2015)</w:t>
            </w:r>
          </w:p>
        </w:tc>
        <w:tc>
          <w:tcPr>
            <w:tcW w:w="2268" w:type="dxa"/>
            <w:shd w:val="clear" w:color="auto" w:fill="F3F9FA"/>
          </w:tcPr>
          <w:p w:rsidR="0059610E" w:rsidRPr="008D1B84" w:rsidRDefault="0059610E" w:rsidP="0059610E">
            <w:pPr>
              <w:spacing w:before="0" w:after="0"/>
              <w:rPr>
                <w:sz w:val="18"/>
                <w:szCs w:val="18"/>
              </w:rPr>
            </w:pPr>
            <w:r>
              <w:rPr>
                <w:sz w:val="18"/>
                <w:szCs w:val="18"/>
              </w:rPr>
              <w:t>23.0</w:t>
            </w:r>
            <w:r w:rsidRPr="003E5A31">
              <w:rPr>
                <w:sz w:val="18"/>
                <w:szCs w:val="18"/>
              </w:rPr>
              <w:t>°C</w:t>
            </w:r>
            <w:r>
              <w:rPr>
                <w:sz w:val="18"/>
                <w:szCs w:val="18"/>
              </w:rPr>
              <w:t xml:space="preserve"> </w:t>
            </w:r>
            <w:r w:rsidRPr="006577FA">
              <w:rPr>
                <w:i/>
                <w:sz w:val="18"/>
                <w:szCs w:val="18"/>
              </w:rPr>
              <w:t>(39.5°C)</w:t>
            </w:r>
          </w:p>
        </w:tc>
        <w:tc>
          <w:tcPr>
            <w:tcW w:w="1559" w:type="dxa"/>
            <w:shd w:val="clear" w:color="auto" w:fill="F3F9FA"/>
          </w:tcPr>
          <w:p w:rsidR="0059610E" w:rsidRPr="008D1B84" w:rsidRDefault="0059610E" w:rsidP="0059610E">
            <w:pPr>
              <w:spacing w:before="0" w:after="0"/>
              <w:rPr>
                <w:sz w:val="18"/>
                <w:szCs w:val="18"/>
              </w:rPr>
            </w:pPr>
            <w:r>
              <w:rPr>
                <w:sz w:val="18"/>
                <w:szCs w:val="18"/>
              </w:rPr>
              <w:t>23.7</w:t>
            </w:r>
            <w:r w:rsidRPr="003E5A31">
              <w:rPr>
                <w:sz w:val="18"/>
                <w:szCs w:val="18"/>
              </w:rPr>
              <w:t>°C</w:t>
            </w:r>
            <w:r>
              <w:rPr>
                <w:sz w:val="18"/>
                <w:szCs w:val="18"/>
              </w:rPr>
              <w:t xml:space="preserve"> </w:t>
            </w:r>
            <w:r w:rsidRPr="006577FA">
              <w:rPr>
                <w:i/>
                <w:sz w:val="18"/>
                <w:szCs w:val="18"/>
              </w:rPr>
              <w:t>(37.7°C)</w:t>
            </w:r>
          </w:p>
        </w:tc>
      </w:tr>
      <w:tr w:rsidR="0059610E" w:rsidTr="00D92824">
        <w:trPr>
          <w:trHeight w:val="227"/>
          <w:jc w:val="center"/>
        </w:trPr>
        <w:tc>
          <w:tcPr>
            <w:tcW w:w="3652" w:type="dxa"/>
            <w:shd w:val="clear" w:color="auto" w:fill="F3F9FA"/>
          </w:tcPr>
          <w:p w:rsidR="0059610E" w:rsidRPr="008D1B84" w:rsidRDefault="0059610E" w:rsidP="0059610E">
            <w:pPr>
              <w:spacing w:before="0" w:after="0"/>
              <w:rPr>
                <w:sz w:val="18"/>
                <w:szCs w:val="18"/>
              </w:rPr>
            </w:pPr>
            <w:r w:rsidRPr="008D1B84">
              <w:rPr>
                <w:sz w:val="18"/>
                <w:szCs w:val="18"/>
              </w:rPr>
              <w:t>Within canopy light (2012-2015)</w:t>
            </w:r>
          </w:p>
        </w:tc>
        <w:tc>
          <w:tcPr>
            <w:tcW w:w="2268" w:type="dxa"/>
            <w:shd w:val="clear" w:color="auto" w:fill="F3F9FA"/>
          </w:tcPr>
          <w:p w:rsidR="0059610E" w:rsidRPr="008D1B84" w:rsidRDefault="0059610E" w:rsidP="0059610E">
            <w:pPr>
              <w:spacing w:before="0" w:after="0"/>
              <w:rPr>
                <w:sz w:val="18"/>
                <w:szCs w:val="18"/>
              </w:rPr>
            </w:pPr>
            <w:r>
              <w:rPr>
                <w:sz w:val="18"/>
                <w:szCs w:val="18"/>
              </w:rPr>
              <w:t>13.8</w:t>
            </w:r>
            <w:r w:rsidRPr="008D1B84">
              <w:rPr>
                <w:sz w:val="18"/>
                <w:szCs w:val="18"/>
              </w:rPr>
              <w:t xml:space="preserve">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c>
          <w:tcPr>
            <w:tcW w:w="1559" w:type="dxa"/>
            <w:shd w:val="clear" w:color="auto" w:fill="F3F9FA"/>
          </w:tcPr>
          <w:p w:rsidR="0059610E" w:rsidRPr="008D1B84" w:rsidRDefault="0059610E" w:rsidP="0059610E">
            <w:pPr>
              <w:spacing w:before="0" w:after="0"/>
              <w:rPr>
                <w:sz w:val="18"/>
                <w:szCs w:val="18"/>
              </w:rPr>
            </w:pPr>
            <w:r>
              <w:rPr>
                <w:sz w:val="18"/>
                <w:szCs w:val="18"/>
              </w:rPr>
              <w:t>10.3</w:t>
            </w:r>
            <w:r w:rsidRPr="008D1B84">
              <w:rPr>
                <w:sz w:val="18"/>
                <w:szCs w:val="18"/>
              </w:rPr>
              <w:t xml:space="preserve"> </w:t>
            </w:r>
            <w:proofErr w:type="spellStart"/>
            <w:r w:rsidRPr="008D1B84">
              <w:rPr>
                <w:sz w:val="18"/>
                <w:szCs w:val="18"/>
              </w:rPr>
              <w:t>mol</w:t>
            </w:r>
            <w:proofErr w:type="spellEnd"/>
            <w:r w:rsidRPr="008D1B84">
              <w:rPr>
                <w:sz w:val="18"/>
                <w:szCs w:val="18"/>
              </w:rPr>
              <w:t xml:space="preserve"> m</w:t>
            </w:r>
            <w:r w:rsidRPr="008D1B84">
              <w:rPr>
                <w:sz w:val="18"/>
                <w:szCs w:val="18"/>
                <w:vertAlign w:val="superscript"/>
              </w:rPr>
              <w:t>-2</w:t>
            </w:r>
            <w:r w:rsidRPr="008D1B84">
              <w:rPr>
                <w:sz w:val="18"/>
                <w:szCs w:val="18"/>
              </w:rPr>
              <w:t xml:space="preserve"> d</w:t>
            </w:r>
            <w:r w:rsidRPr="008D1B84">
              <w:rPr>
                <w:sz w:val="18"/>
                <w:szCs w:val="18"/>
                <w:vertAlign w:val="superscript"/>
              </w:rPr>
              <w:t>-1</w:t>
            </w:r>
          </w:p>
        </w:tc>
      </w:tr>
    </w:tbl>
    <w:p w:rsidR="00994153" w:rsidRPr="005D293A" w:rsidRDefault="00994153" w:rsidP="00994153">
      <w:pPr>
        <w:spacing w:before="0" w:after="0"/>
        <w:jc w:val="both"/>
        <w:rPr>
          <w:sz w:val="16"/>
          <w:szCs w:val="16"/>
        </w:rPr>
      </w:pPr>
    </w:p>
    <w:p w:rsidR="00D92824" w:rsidRDefault="00D92824" w:rsidP="0059610E">
      <w:pPr>
        <w:rPr>
          <w:color w:val="000000"/>
          <w:szCs w:val="22"/>
        </w:rPr>
      </w:pPr>
      <w:r>
        <w:rPr>
          <w:noProof/>
          <w:color w:val="000000"/>
          <w:szCs w:val="22"/>
          <w:lang w:eastAsia="en-AU"/>
        </w:rPr>
        <w:drawing>
          <wp:anchor distT="0" distB="0" distL="114300" distR="114300" simplePos="0" relativeHeight="251679744" behindDoc="0" locked="0" layoutInCell="1" allowOverlap="1" wp14:anchorId="340DFC39" wp14:editId="1791DE91">
            <wp:simplePos x="0" y="0"/>
            <wp:positionH relativeFrom="column">
              <wp:posOffset>635</wp:posOffset>
            </wp:positionH>
            <wp:positionV relativeFrom="paragraph">
              <wp:posOffset>3175</wp:posOffset>
            </wp:positionV>
            <wp:extent cx="2880000" cy="4125600"/>
            <wp:effectExtent l="0" t="0" r="0" b="8255"/>
            <wp:wrapSquare wrapText="right"/>
            <wp:docPr id="538" name="Picture 538" descr="Composite graph showing the location of each seagrass monitoring site and the frequency of exposure to plume water in the Burnett Mary NRM, wet season (December 2014 – Apri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nett Mary sites_legend.png"/>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2880000" cy="4125600"/>
                    </a:xfrm>
                    <a:prstGeom prst="rect">
                      <a:avLst/>
                    </a:prstGeom>
                  </pic:spPr>
                </pic:pic>
              </a:graphicData>
            </a:graphic>
            <wp14:sizeRelH relativeFrom="margin">
              <wp14:pctWidth>0</wp14:pctWidth>
            </wp14:sizeRelH>
            <wp14:sizeRelV relativeFrom="margin">
              <wp14:pctHeight>0</wp14:pctHeight>
            </wp14:sizeRelV>
          </wp:anchor>
        </w:drawing>
      </w:r>
    </w:p>
    <w:p w:rsidR="00D92824" w:rsidRPr="00D92824" w:rsidRDefault="00D92824" w:rsidP="00D92824">
      <w:pPr>
        <w:rPr>
          <w:i/>
          <w:vanish/>
          <w:color w:val="000000"/>
          <w:szCs w:val="22"/>
          <w:specVanish/>
        </w:rPr>
      </w:pPr>
      <w:bookmarkStart w:id="545" w:name="_Ref461779178"/>
      <w:bookmarkStart w:id="546" w:name="_Toc462684934"/>
      <w:r w:rsidRPr="00D92824">
        <w:rPr>
          <w:i/>
        </w:rPr>
        <w:t xml:space="preserve">Figure </w:t>
      </w:r>
      <w:r w:rsidR="0073595B">
        <w:rPr>
          <w:i/>
        </w:rPr>
        <w:fldChar w:fldCharType="begin"/>
      </w:r>
      <w:r w:rsidR="0073595B">
        <w:rPr>
          <w:i/>
        </w:rPr>
        <w:instrText xml:space="preserve"> SEQ Figure \* ARABIC </w:instrText>
      </w:r>
      <w:r w:rsidR="0073595B">
        <w:rPr>
          <w:i/>
        </w:rPr>
        <w:fldChar w:fldCharType="separate"/>
      </w:r>
      <w:r w:rsidR="009C068F">
        <w:rPr>
          <w:i/>
          <w:noProof/>
        </w:rPr>
        <w:t>94</w:t>
      </w:r>
      <w:r w:rsidR="0073595B">
        <w:rPr>
          <w:i/>
        </w:rPr>
        <w:fldChar w:fldCharType="end"/>
      </w:r>
      <w:bookmarkEnd w:id="545"/>
      <w:r>
        <w:rPr>
          <w:i/>
        </w:rPr>
        <w:t xml:space="preserve">.  </w:t>
      </w:r>
      <w:r w:rsidR="0059610E" w:rsidRPr="00D92824">
        <w:rPr>
          <w:i/>
          <w:color w:val="000000"/>
          <w:szCs w:val="22"/>
        </w:rPr>
        <w:t>Frequency of exposure to plume water in the Burnett Mary NRM, wet season (22 weeks from December 2014 – April 2015) composite</w:t>
      </w:r>
      <w:bookmarkEnd w:id="546"/>
    </w:p>
    <w:p w:rsidR="0059610E" w:rsidRPr="00D92824" w:rsidRDefault="0059610E" w:rsidP="00D92824">
      <w:pPr>
        <w:rPr>
          <w:i/>
          <w:color w:val="000000"/>
          <w:szCs w:val="22"/>
        </w:rPr>
      </w:pPr>
      <w:r w:rsidRPr="00D92824">
        <w:rPr>
          <w:i/>
          <w:color w:val="000000"/>
          <w:szCs w:val="22"/>
        </w:rPr>
        <w:t xml:space="preserve">. The frequency is calculated as the number of weeks out of 22 weeks that are exposed to primary or secondary water (colour classes 1 –  5). </w:t>
      </w:r>
      <w:r w:rsidR="00FF0A86" w:rsidRPr="008925B3">
        <w:rPr>
          <w:i/>
        </w:rPr>
        <w:t xml:space="preserve">Each colour class category is described by mean water quality values for TSS, CDOM, chlorophyll a and </w:t>
      </w:r>
      <w:proofErr w:type="spellStart"/>
      <w:r w:rsidR="00FF0A86" w:rsidRPr="008925B3">
        <w:rPr>
          <w:i/>
        </w:rPr>
        <w:t>K</w:t>
      </w:r>
      <w:r w:rsidR="00FF0A86" w:rsidRPr="007C3ABF">
        <w:rPr>
          <w:i/>
          <w:vertAlign w:val="subscript"/>
        </w:rPr>
        <w:t>d</w:t>
      </w:r>
      <w:proofErr w:type="spellEnd"/>
      <w:r w:rsidR="00FF0A86" w:rsidRPr="008925B3">
        <w:rPr>
          <w:i/>
        </w:rPr>
        <w:t xml:space="preserve"> (PAR) (</w:t>
      </w:r>
      <w:hyperlink w:anchor="_ENREF_94" w:tooltip="Devlin, 2015 #10405" w:history="1">
        <w:r w:rsidR="00E6043D">
          <w:rPr>
            <w:i/>
          </w:rPr>
          <w:fldChar w:fldCharType="begin"/>
        </w:r>
        <w:r w:rsidR="00E6043D">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E6043D">
          <w:rPr>
            <w:i/>
          </w:rPr>
          <w:fldChar w:fldCharType="separate"/>
        </w:r>
        <w:r w:rsidR="00E6043D">
          <w:rPr>
            <w:i/>
            <w:noProof/>
          </w:rPr>
          <w:t>Devlin, et al. 2015</w:t>
        </w:r>
        <w:r w:rsidR="00E6043D">
          <w:rPr>
            <w:i/>
          </w:rPr>
          <w:fldChar w:fldCharType="end"/>
        </w:r>
      </w:hyperlink>
      <w:r w:rsidR="00FF0A86" w:rsidRPr="008925B3">
        <w:rPr>
          <w:i/>
        </w:rPr>
        <w:t xml:space="preserve">; </w:t>
      </w:r>
      <w:hyperlink w:anchor="_ENREF_151" w:tooltip="Lønborg, 2015 #10475" w:history="1">
        <w:r w:rsidR="00E6043D">
          <w:rPr>
            <w:i/>
          </w:rPr>
          <w:fldChar w:fldCharType="begin"/>
        </w:r>
        <w:r w:rsidR="00E6043D">
          <w:rPr>
            <w:i/>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i/>
          </w:rPr>
          <w:fldChar w:fldCharType="separate"/>
        </w:r>
        <w:r w:rsidR="00E6043D">
          <w:rPr>
            <w:i/>
            <w:noProof/>
          </w:rPr>
          <w:t>Lønborg, et al. 2015</w:t>
        </w:r>
        <w:r w:rsidR="00E6043D">
          <w:rPr>
            <w:i/>
          </w:rPr>
          <w:fldChar w:fldCharType="end"/>
        </w:r>
      </w:hyperlink>
      <w:r w:rsidR="00FF0A86" w:rsidRPr="008925B3">
        <w:rPr>
          <w:i/>
        </w:rPr>
        <w:t>).</w:t>
      </w:r>
      <w:r w:rsidR="00FF0A86">
        <w:rPr>
          <w:i/>
        </w:rPr>
        <w:t xml:space="preserve"> For site details, see Tables 3 &amp; 4.</w:t>
      </w:r>
    </w:p>
    <w:p w:rsidR="0059610E" w:rsidRDefault="0059610E" w:rsidP="0059610E">
      <w:pPr>
        <w:rPr>
          <w:color w:val="000000"/>
          <w:szCs w:val="22"/>
        </w:rPr>
      </w:pPr>
    </w:p>
    <w:p w:rsidR="00D92824" w:rsidRDefault="00D92824" w:rsidP="0059610E">
      <w:pPr>
        <w:rPr>
          <w:color w:val="000000"/>
          <w:szCs w:val="22"/>
        </w:rPr>
      </w:pPr>
    </w:p>
    <w:p w:rsidR="00D92824" w:rsidRDefault="00D92824" w:rsidP="0059610E">
      <w:pPr>
        <w:rPr>
          <w:color w:val="000000"/>
          <w:szCs w:val="22"/>
        </w:rPr>
      </w:pPr>
    </w:p>
    <w:p w:rsidR="00D92824" w:rsidRDefault="00D92824" w:rsidP="0059610E">
      <w:pPr>
        <w:rPr>
          <w:color w:val="000000"/>
          <w:szCs w:val="22"/>
        </w:rPr>
      </w:pPr>
    </w:p>
    <w:p w:rsidR="00D92824" w:rsidRDefault="00D92824" w:rsidP="0059610E">
      <w:pPr>
        <w:rPr>
          <w:color w:val="000000"/>
          <w:szCs w:val="22"/>
        </w:rPr>
      </w:pPr>
    </w:p>
    <w:p w:rsidR="00D92824" w:rsidRDefault="00D92824" w:rsidP="0059610E">
      <w:pPr>
        <w:rPr>
          <w:color w:val="000000"/>
          <w:szCs w:val="22"/>
        </w:rPr>
      </w:pPr>
    </w:p>
    <w:p w:rsidR="00D92824" w:rsidRPr="00D92824" w:rsidRDefault="0059610E" w:rsidP="001A5B38">
      <w:pPr>
        <w:keepNext/>
        <w:jc w:val="center"/>
        <w:rPr>
          <w:i/>
          <w:vanish/>
          <w:specVanish/>
        </w:rPr>
      </w:pPr>
      <w:bookmarkStart w:id="547" w:name="_Ref314329818"/>
      <w:bookmarkStart w:id="548" w:name="_Toc462685097"/>
      <w:r>
        <w:lastRenderedPageBreak/>
        <w:t xml:space="preserve">Table </w:t>
      </w:r>
      <w:fldSimple w:instr=" SEQ Table \* ARABIC ">
        <w:r w:rsidR="009C068F">
          <w:rPr>
            <w:noProof/>
          </w:rPr>
          <w:t>28</w:t>
        </w:r>
      </w:fldSimple>
      <w:bookmarkEnd w:id="547"/>
      <w:r w:rsidRPr="00652F48">
        <w:rPr>
          <w:i/>
        </w:rPr>
        <w:t xml:space="preserve">. Water </w:t>
      </w:r>
      <w:r>
        <w:rPr>
          <w:i/>
        </w:rPr>
        <w:t xml:space="preserve">type at each location in the Burnett Mary NRM derived from MODIS true colour </w:t>
      </w:r>
      <w:proofErr w:type="spellStart"/>
      <w:r>
        <w:rPr>
          <w:i/>
        </w:rPr>
        <w:t>images</w:t>
      </w:r>
      <w:bookmarkEnd w:id="548"/>
    </w:p>
    <w:p w:rsidR="0059610E" w:rsidRPr="00652F48" w:rsidRDefault="0059610E" w:rsidP="001A5B38">
      <w:pPr>
        <w:keepNext/>
        <w:jc w:val="center"/>
        <w:rPr>
          <w:i/>
        </w:rPr>
      </w:pPr>
      <w:r w:rsidRPr="00652F48">
        <w:rPr>
          <w:i/>
        </w:rPr>
        <w:t>as</w:t>
      </w:r>
      <w:proofErr w:type="spellEnd"/>
      <w:r w:rsidRPr="00652F48">
        <w:rPr>
          <w:i/>
        </w:rPr>
        <w:t xml:space="preserve"> colour classes of turbid primary water (class 1 – 4, </w:t>
      </w:r>
      <w:r>
        <w:rPr>
          <w:i/>
        </w:rPr>
        <w:t>red/</w:t>
      </w:r>
      <w:r w:rsidRPr="00652F48">
        <w:rPr>
          <w:i/>
        </w:rPr>
        <w:t>brown), nutrient/chlorophyll-enriched secondary water (class 5, green), and tertiary (some freshwater</w:t>
      </w:r>
      <w:r>
        <w:rPr>
          <w:i/>
        </w:rPr>
        <w:t>/CDOM</w:t>
      </w:r>
      <w:r w:rsidRPr="00652F48">
        <w:rPr>
          <w:i/>
        </w:rPr>
        <w:t xml:space="preserve"> influence) or no plume influence (class 6 and 7 respectively, blue), </w:t>
      </w:r>
      <w:r>
        <w:rPr>
          <w:i/>
        </w:rPr>
        <w:t xml:space="preserve">for 22 weeks from December 2014 – April 2015. Also shown, </w:t>
      </w:r>
      <w:r w:rsidRPr="00652F48">
        <w:rPr>
          <w:i/>
        </w:rPr>
        <w:t>median wet season colour class (Med), frequency of primary water as f</w:t>
      </w:r>
      <w:r w:rsidRPr="00D92824">
        <w:rPr>
          <w:i/>
          <w:vertAlign w:val="subscript"/>
        </w:rPr>
        <w:t>(P)</w:t>
      </w:r>
      <w:r w:rsidRPr="00652F48">
        <w:rPr>
          <w:i/>
        </w:rPr>
        <w:t>, the frequency of secondary water as f</w:t>
      </w:r>
      <w:r w:rsidRPr="00D92824">
        <w:rPr>
          <w:i/>
          <w:vertAlign w:val="subscript"/>
        </w:rPr>
        <w:t>(S)</w:t>
      </w:r>
      <w:r w:rsidRPr="00652F48">
        <w:rPr>
          <w:i/>
        </w:rPr>
        <w:t>, and the frequency of primary or secondary as f</w:t>
      </w:r>
      <w:r w:rsidRPr="00D92824">
        <w:rPr>
          <w:i/>
          <w:vertAlign w:val="subscript"/>
        </w:rPr>
        <w:t>(P+S)</w:t>
      </w:r>
      <w:r w:rsidRPr="00652F48">
        <w:rPr>
          <w:i/>
        </w:rPr>
        <w:t xml:space="preserve">. </w:t>
      </w:r>
      <w:r>
        <w:rPr>
          <w:i/>
        </w:rPr>
        <w:t>*denotes dat</w:t>
      </w:r>
      <w:r w:rsidR="001A5B38">
        <w:rPr>
          <w:i/>
        </w:rPr>
        <w:t>a obtained from adjacent pixel.</w:t>
      </w:r>
    </w:p>
    <w:p w:rsidR="0059610E" w:rsidRDefault="0059610E" w:rsidP="0059610E">
      <w:pPr>
        <w:rPr>
          <w:noProof/>
          <w:lang w:eastAsia="en-AU"/>
        </w:rPr>
      </w:pPr>
      <w:r>
        <w:rPr>
          <w:noProof/>
          <w:lang w:eastAsia="en-AU"/>
        </w:rPr>
        <w:drawing>
          <wp:inline distT="0" distB="0" distL="0" distR="0" wp14:anchorId="019A0816" wp14:editId="0D34E659">
            <wp:extent cx="5759450" cy="518160"/>
            <wp:effectExtent l="0" t="0" r="0" b="0"/>
            <wp:docPr id="95" name="Picture 95" descr="Table of water type at each location in the Burnett Mary region derived from MODIS true colour images as colour classes of turbid primary water, nutrient/chlorophyll-enriched secondary water, and tertiary or no plume influence for 22 weeks from December 2014 – April 2015"/>
            <wp:cNvGraphicFramePr/>
            <a:graphic xmlns:a="http://schemas.openxmlformats.org/drawingml/2006/main">
              <a:graphicData uri="http://schemas.openxmlformats.org/drawingml/2006/picture">
                <pic:pic xmlns:pic="http://schemas.openxmlformats.org/drawingml/2006/picture">
                  <pic:nvPicPr>
                    <pic:cNvPr id="529" name="Picture 529"/>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759450" cy="518160"/>
                    </a:xfrm>
                    <a:prstGeom prst="rect">
                      <a:avLst/>
                    </a:prstGeom>
                    <a:noFill/>
                    <a:ln>
                      <a:noFill/>
                    </a:ln>
                  </pic:spPr>
                </pic:pic>
              </a:graphicData>
            </a:graphic>
          </wp:inline>
        </w:drawing>
      </w:r>
    </w:p>
    <w:p w:rsidR="00D92824" w:rsidRDefault="00D92824" w:rsidP="0059610E"/>
    <w:p w:rsidR="0059610E" w:rsidRPr="0088434E" w:rsidRDefault="0059610E" w:rsidP="0059610E">
      <w:r w:rsidRPr="0088434E">
        <w:t>Daily light (I</w:t>
      </w:r>
      <w:r w:rsidRPr="0088434E">
        <w:rPr>
          <w:vertAlign w:val="subscript"/>
        </w:rPr>
        <w:t>d</w:t>
      </w:r>
      <w:r w:rsidRPr="0088434E">
        <w:t xml:space="preserve">) at Burnett-Mary sites </w:t>
      </w:r>
      <w:proofErr w:type="spellStart"/>
      <w:r w:rsidRPr="0088434E">
        <w:t>sites</w:t>
      </w:r>
      <w:proofErr w:type="spellEnd"/>
      <w:r w:rsidRPr="0088434E">
        <w:t xml:space="preserve"> has been monitored since 2010 at </w:t>
      </w:r>
      <w:proofErr w:type="spellStart"/>
      <w:r w:rsidRPr="0088434E">
        <w:t>Rodds</w:t>
      </w:r>
      <w:proofErr w:type="spellEnd"/>
      <w:r w:rsidRPr="0088434E">
        <w:t xml:space="preserve"> bay and since 2011 at Urangan</w:t>
      </w:r>
      <w:r w:rsidR="000751EC">
        <w:t xml:space="preserve"> (</w:t>
      </w:r>
      <w:r w:rsidR="000751EC">
        <w:fldChar w:fldCharType="begin"/>
      </w:r>
      <w:r w:rsidR="000751EC">
        <w:instrText xml:space="preserve"> REF _Ref461779231 \h </w:instrText>
      </w:r>
      <w:r w:rsidR="000751EC">
        <w:fldChar w:fldCharType="separate"/>
      </w:r>
      <w:r w:rsidR="009C068F">
        <w:t xml:space="preserve">Figure </w:t>
      </w:r>
      <w:r w:rsidR="009C068F">
        <w:rPr>
          <w:noProof/>
        </w:rPr>
        <w:t>95</w:t>
      </w:r>
      <w:r w:rsidR="000751EC">
        <w:fldChar w:fldCharType="end"/>
      </w:r>
      <w:r w:rsidR="000751EC">
        <w:t>)</w:t>
      </w:r>
      <w:r w:rsidRPr="0088434E">
        <w:t xml:space="preserve">. </w:t>
      </w:r>
      <w:proofErr w:type="spellStart"/>
      <w:r w:rsidRPr="0088434E">
        <w:t>I</w:t>
      </w:r>
      <w:r w:rsidRPr="0088434E">
        <w:rPr>
          <w:vertAlign w:val="subscript"/>
        </w:rPr>
        <w:t>d</w:t>
      </w:r>
      <w:proofErr w:type="spellEnd"/>
      <w:r w:rsidRPr="0088434E">
        <w:t xml:space="preserve"> has been on a declining trajectory since sites were established, and in 2014-15, was well below the long-term average</w:t>
      </w:r>
      <w:r w:rsidR="000751EC">
        <w:t xml:space="preserve"> (</w:t>
      </w:r>
      <w:r w:rsidR="000751EC">
        <w:fldChar w:fldCharType="begin"/>
      </w:r>
      <w:r w:rsidR="000751EC">
        <w:instrText xml:space="preserve"> REF _Ref461779231 \h </w:instrText>
      </w:r>
      <w:r w:rsidR="000751EC">
        <w:fldChar w:fldCharType="separate"/>
      </w:r>
      <w:r w:rsidR="009C068F">
        <w:t xml:space="preserve">Figure </w:t>
      </w:r>
      <w:r w:rsidR="009C068F">
        <w:rPr>
          <w:noProof/>
        </w:rPr>
        <w:t>95</w:t>
      </w:r>
      <w:r w:rsidR="000751EC">
        <w:fldChar w:fldCharType="end"/>
      </w:r>
      <w:r w:rsidR="000751EC">
        <w:t>)</w:t>
      </w:r>
      <w:r w:rsidRPr="0088434E">
        <w:t>. In particular, the late dry peak in I</w:t>
      </w:r>
      <w:r w:rsidRPr="0088434E">
        <w:rPr>
          <w:vertAlign w:val="subscript"/>
        </w:rPr>
        <w:t>d</w:t>
      </w:r>
      <w:r w:rsidRPr="0088434E">
        <w:t xml:space="preserve"> that typically occurs in GBR seagrass habitats was absent in 2014-15. </w:t>
      </w:r>
    </w:p>
    <w:p w:rsidR="0059610E" w:rsidRDefault="001A5B38" w:rsidP="001A5B38">
      <w:pPr>
        <w:keepNext/>
        <w:widowControl w:val="0"/>
        <w:spacing w:after="0"/>
        <w:jc w:val="center"/>
        <w:rPr>
          <w:color w:val="000000"/>
          <w:szCs w:val="22"/>
        </w:rPr>
      </w:pPr>
      <w:r>
        <w:rPr>
          <w:noProof/>
          <w:color w:val="000000"/>
          <w:szCs w:val="22"/>
          <w:lang w:eastAsia="en-AU"/>
        </w:rPr>
        <w:drawing>
          <wp:inline distT="0" distB="0" distL="0" distR="0" wp14:anchorId="1703FF72" wp14:editId="0F6B6466">
            <wp:extent cx="5759450" cy="1847215"/>
            <wp:effectExtent l="0" t="0" r="0" b="635"/>
            <wp:docPr id="140" name="Picture 140" descr="Panel of two line graphs showing daily light (mean) at each location with 28-d rolling average and GAM plots for each seagrass habitat in the Burnett Mary NRM region from 2009 to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BM_Avg_28d_avg_GAM_2015.png"/>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5759450" cy="1847215"/>
                    </a:xfrm>
                    <a:prstGeom prst="rect">
                      <a:avLst/>
                    </a:prstGeom>
                  </pic:spPr>
                </pic:pic>
              </a:graphicData>
            </a:graphic>
          </wp:inline>
        </w:drawing>
      </w:r>
    </w:p>
    <w:p w:rsidR="001A5B38" w:rsidRPr="001A5B38" w:rsidRDefault="001A5B38" w:rsidP="001A5B38">
      <w:pPr>
        <w:rPr>
          <w:i/>
          <w:vanish/>
          <w:specVanish/>
        </w:rPr>
      </w:pPr>
      <w:bookmarkStart w:id="549" w:name="_Ref461779231"/>
      <w:bookmarkStart w:id="550" w:name="_Toc462684935"/>
      <w:r>
        <w:t xml:space="preserve">Figure </w:t>
      </w:r>
      <w:fldSimple w:instr=" SEQ Figure \* ARABIC ">
        <w:r w:rsidR="009C068F">
          <w:rPr>
            <w:noProof/>
          </w:rPr>
          <w:t>95</w:t>
        </w:r>
      </w:fldSimple>
      <w:bookmarkEnd w:id="549"/>
      <w:r>
        <w:t xml:space="preserve">.  </w:t>
      </w:r>
      <w:r>
        <w:rPr>
          <w:i/>
        </w:rPr>
        <w:t xml:space="preserve">Daily light at Burnett </w:t>
      </w:r>
      <w:r w:rsidR="0059610E" w:rsidRPr="001A5B38">
        <w:rPr>
          <w:i/>
        </w:rPr>
        <w:t xml:space="preserve">Mary </w:t>
      </w:r>
      <w:r>
        <w:rPr>
          <w:i/>
        </w:rPr>
        <w:t>locations</w:t>
      </w:r>
      <w:r w:rsidR="0059610E" w:rsidRPr="001A5B38">
        <w:rPr>
          <w:i/>
        </w:rPr>
        <w:t xml:space="preserve"> from 2010 to 2015 (</w:t>
      </w:r>
      <w:r>
        <w:rPr>
          <w:i/>
        </w:rPr>
        <w:t>left</w:t>
      </w:r>
      <w:r w:rsidR="0059610E" w:rsidRPr="001A5B38">
        <w:rPr>
          <w:i/>
        </w:rPr>
        <w:t xml:space="preserve">) </w:t>
      </w:r>
      <w:r>
        <w:rPr>
          <w:i/>
        </w:rPr>
        <w:t>and GAM plots  (right)</w:t>
      </w:r>
      <w:bookmarkEnd w:id="550"/>
    </w:p>
    <w:p w:rsidR="0059610E" w:rsidRPr="001A5B38" w:rsidRDefault="001A5B38" w:rsidP="001A5B38">
      <w:pPr>
        <w:rPr>
          <w:i/>
        </w:rPr>
      </w:pPr>
      <w:r>
        <w:rPr>
          <w:i/>
        </w:rPr>
        <w:t xml:space="preserve"> </w:t>
      </w:r>
      <w:r w:rsidR="0059610E" w:rsidRPr="001A5B38">
        <w:rPr>
          <w:i/>
        </w:rPr>
        <w:t xml:space="preserve">with the black line showing mean trend for all sites (±95% confidence interval in grey shade) and coloured lines (with CI’s) showing the trend for each site. Results of statistical analysis (GAM) and site-specific graphs (raw daily light data plus 28-d rolling average) are shown in Appendix 4.   </w:t>
      </w:r>
    </w:p>
    <w:p w:rsidR="0059610E" w:rsidRDefault="0059610E" w:rsidP="0088434E">
      <w:pPr>
        <w:widowControl w:val="0"/>
        <w:spacing w:before="0" w:after="0"/>
        <w:rPr>
          <w:color w:val="000000"/>
          <w:szCs w:val="22"/>
        </w:rPr>
      </w:pPr>
      <w:r>
        <w:t xml:space="preserve">Burnett Mary, being the </w:t>
      </w:r>
      <w:proofErr w:type="spellStart"/>
      <w:r>
        <w:t>southern most</w:t>
      </w:r>
      <w:proofErr w:type="spellEnd"/>
      <w:r>
        <w:t xml:space="preserve"> NRM inherently has cooler temperatures than the more northern regions. </w:t>
      </w:r>
      <w:r w:rsidR="0088434E">
        <w:t>As a consequence</w:t>
      </w:r>
      <w:r>
        <w:t xml:space="preserve"> there </w:t>
      </w:r>
      <w:r w:rsidR="0088434E">
        <w:t>we</w:t>
      </w:r>
      <w:r>
        <w:t xml:space="preserve">re fewer </w:t>
      </w:r>
      <w:r w:rsidR="0088434E">
        <w:t>exceedances</w:t>
      </w:r>
      <w:r>
        <w:t xml:space="preserve"> of GBR-wide temperature thresholds (&gt;35°C). However, deviation from the region-specific baseline demonstrates that 2014-15 was above average year for water temperature, and was above the local baseline for most of the year (</w:t>
      </w:r>
      <w:r w:rsidR="0088434E">
        <w:fldChar w:fldCharType="begin"/>
      </w:r>
      <w:r w:rsidR="0088434E">
        <w:instrText xml:space="preserve"> REF _Ref442377832 \h </w:instrText>
      </w:r>
      <w:r w:rsidR="0088434E">
        <w:fldChar w:fldCharType="separate"/>
      </w:r>
      <w:r w:rsidR="009C068F" w:rsidRPr="00EA10D7">
        <w:rPr>
          <w:color w:val="000000"/>
        </w:rPr>
        <w:t xml:space="preserve">Figure </w:t>
      </w:r>
      <w:r w:rsidR="009C068F">
        <w:rPr>
          <w:noProof/>
          <w:color w:val="000000"/>
        </w:rPr>
        <w:t>96</w:t>
      </w:r>
      <w:r w:rsidR="0088434E">
        <w:fldChar w:fldCharType="end"/>
      </w:r>
      <w:r>
        <w:t xml:space="preserve">). </w:t>
      </w:r>
    </w:p>
    <w:p w:rsidR="0059610E" w:rsidRDefault="0059610E" w:rsidP="0088434E">
      <w:pPr>
        <w:keepNext/>
        <w:widowControl w:val="0"/>
        <w:spacing w:after="0"/>
        <w:jc w:val="center"/>
        <w:rPr>
          <w:color w:val="000000"/>
          <w:szCs w:val="22"/>
        </w:rPr>
      </w:pPr>
      <w:r>
        <w:rPr>
          <w:noProof/>
          <w:color w:val="000000"/>
          <w:szCs w:val="22"/>
          <w:lang w:eastAsia="en-AU"/>
        </w:rPr>
        <w:lastRenderedPageBreak/>
        <w:drawing>
          <wp:inline distT="0" distB="0" distL="0" distR="0" wp14:anchorId="25340A04" wp14:editId="5870FF69">
            <wp:extent cx="5040000" cy="2728800"/>
            <wp:effectExtent l="0" t="0" r="8255" b="0"/>
            <wp:docPr id="539" name="Picture 539" descr="Panel of two bar graphs showing number of days when inshore within canopy sea temperature exceeded 35°C, 38°C, 40°C and 43°C within each season and deviations at intertidal seagrass habitats from 10-year mean weekly temperature records for intertidal seagrass habitats in the Burnett Mary NRM region from September 2005 to June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temperature_deviation_2015.png"/>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5040000" cy="2728800"/>
                    </a:xfrm>
                    <a:prstGeom prst="rect">
                      <a:avLst/>
                    </a:prstGeom>
                  </pic:spPr>
                </pic:pic>
              </a:graphicData>
            </a:graphic>
          </wp:inline>
        </w:drawing>
      </w:r>
    </w:p>
    <w:p w:rsidR="0059610E" w:rsidRPr="00EA10D7" w:rsidRDefault="0059610E" w:rsidP="0059610E">
      <w:pPr>
        <w:rPr>
          <w:i/>
          <w:vanish/>
          <w:color w:val="000000"/>
          <w:szCs w:val="22"/>
          <w:specVanish/>
        </w:rPr>
      </w:pPr>
      <w:bookmarkStart w:id="551" w:name="_Ref442377832"/>
      <w:bookmarkStart w:id="552" w:name="_Toc462684936"/>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96</w:t>
      </w:r>
      <w:r w:rsidR="0073595B">
        <w:rPr>
          <w:color w:val="000000"/>
        </w:rPr>
        <w:fldChar w:fldCharType="end"/>
      </w:r>
      <w:bookmarkEnd w:id="551"/>
      <w:r w:rsidRPr="00EA10D7">
        <w:rPr>
          <w:color w:val="000000"/>
        </w:rPr>
        <w:t xml:space="preserve">. </w:t>
      </w:r>
      <w:r w:rsidRPr="00EA10D7">
        <w:rPr>
          <w:i/>
          <w:color w:val="000000"/>
        </w:rPr>
        <w:t>Inshore sea temperature monitoring September 2005 to June 201</w:t>
      </w:r>
      <w:r>
        <w:rPr>
          <w:i/>
          <w:color w:val="000000"/>
        </w:rPr>
        <w:t>5</w:t>
      </w:r>
      <w:r w:rsidRPr="00EA10D7">
        <w:rPr>
          <w:i/>
          <w:color w:val="000000"/>
        </w:rPr>
        <w:t xml:space="preserve"> for seagrass meadows in Burnett Mary NRM region</w:t>
      </w:r>
      <w:bookmarkEnd w:id="552"/>
    </w:p>
    <w:p w:rsidR="0059610E" w:rsidRDefault="0059610E" w:rsidP="0059610E">
      <w:pPr>
        <w:rPr>
          <w:color w:val="000000"/>
          <w:szCs w:val="22"/>
        </w:rPr>
      </w:pPr>
      <w:r w:rsidRPr="00EA10D7">
        <w:rPr>
          <w:i/>
          <w:color w:val="000000"/>
        </w:rPr>
        <w:t xml:space="preserve">: a) number of days when temperature has exceeded 35°C, 38°C, 40°C and 43°C within each season (thresholds adapted from SJ Campbell et al., 2006); b) deviations from </w:t>
      </w:r>
      <w:r>
        <w:rPr>
          <w:i/>
          <w:color w:val="000000"/>
        </w:rPr>
        <w:t>10</w:t>
      </w:r>
      <w:r w:rsidRPr="00EA10D7">
        <w:rPr>
          <w:i/>
          <w:color w:val="000000"/>
        </w:rPr>
        <w:t xml:space="preserve">-year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w:t>
      </w:r>
    </w:p>
    <w:p w:rsidR="00CD1A6D" w:rsidRPr="00712221" w:rsidRDefault="00FF0A86" w:rsidP="00926892">
      <w:pPr>
        <w:pStyle w:val="Heading3"/>
        <w:numPr>
          <w:ilvl w:val="2"/>
          <w:numId w:val="9"/>
        </w:numPr>
        <w:rPr>
          <w:rFonts w:ascii="Arial" w:hAnsi="Arial" w:cs="Arial"/>
          <w:color w:val="000000"/>
        </w:rPr>
      </w:pPr>
      <w:bookmarkStart w:id="553" w:name="_Toc462047369"/>
      <w:r>
        <w:rPr>
          <w:rFonts w:ascii="Arial" w:hAnsi="Arial" w:cs="Arial"/>
          <w:color w:val="000000"/>
        </w:rPr>
        <w:t>Indicators of seagrass condition</w:t>
      </w:r>
      <w:bookmarkEnd w:id="542"/>
      <w:bookmarkEnd w:id="553"/>
    </w:p>
    <w:p w:rsidR="00CD1A6D" w:rsidRPr="001D05D4" w:rsidRDefault="00CD1A6D" w:rsidP="001D05D4">
      <w:pPr>
        <w:pStyle w:val="Heading4"/>
        <w:numPr>
          <w:ilvl w:val="0"/>
          <w:numId w:val="0"/>
        </w:numPr>
        <w:rPr>
          <w:rFonts w:ascii="Arial" w:hAnsi="Arial" w:cs="Arial"/>
          <w:sz w:val="24"/>
          <w:szCs w:val="24"/>
        </w:rPr>
      </w:pPr>
      <w:r w:rsidRPr="001D05D4">
        <w:rPr>
          <w:rFonts w:ascii="Arial" w:hAnsi="Arial" w:cs="Arial"/>
          <w:sz w:val="24"/>
          <w:szCs w:val="24"/>
        </w:rPr>
        <w:t>Seagrass abundance, composition and extent</w:t>
      </w:r>
    </w:p>
    <w:p w:rsidR="0059610E" w:rsidRDefault="0059610E" w:rsidP="00161EB5">
      <w:pPr>
        <w:rPr>
          <w:color w:val="000000"/>
          <w:szCs w:val="22"/>
        </w:rPr>
      </w:pPr>
      <w:r w:rsidRPr="00326B1A">
        <w:rPr>
          <w:color w:val="000000"/>
          <w:szCs w:val="22"/>
        </w:rPr>
        <w:t xml:space="preserve">Only estuarine </w:t>
      </w:r>
      <w:r>
        <w:rPr>
          <w:color w:val="000000"/>
          <w:szCs w:val="22"/>
        </w:rPr>
        <w:t xml:space="preserve">and coastal </w:t>
      </w:r>
      <w:r w:rsidRPr="00326B1A">
        <w:rPr>
          <w:color w:val="000000"/>
          <w:szCs w:val="22"/>
        </w:rPr>
        <w:t xml:space="preserve">habitats are monitored in the Burnett Mary NRM region. Since monitoring was established, the </w:t>
      </w:r>
      <w:r>
        <w:rPr>
          <w:color w:val="000000"/>
          <w:szCs w:val="22"/>
        </w:rPr>
        <w:t xml:space="preserve">estuarine </w:t>
      </w:r>
      <w:r w:rsidRPr="00326B1A">
        <w:rPr>
          <w:color w:val="000000"/>
          <w:szCs w:val="22"/>
        </w:rPr>
        <w:t xml:space="preserve">meadows have come and gone on an irregular basis. </w:t>
      </w:r>
      <w:r w:rsidR="0088434E" w:rsidRPr="0094043D">
        <w:rPr>
          <w:szCs w:val="22"/>
        </w:rPr>
        <w:t xml:space="preserve">Seagrass abundance in 2014-15 increased across the region, albeit declining seasonally in early 2015. Nevertheless, </w:t>
      </w:r>
      <w:r w:rsidR="0088434E" w:rsidRPr="0088434E">
        <w:rPr>
          <w:szCs w:val="22"/>
        </w:rPr>
        <w:t>abundances remained low and in a very poor state</w:t>
      </w:r>
      <w:r w:rsidR="0088434E">
        <w:rPr>
          <w:szCs w:val="22"/>
        </w:rPr>
        <w:t xml:space="preserve"> (</w:t>
      </w:r>
      <w:r w:rsidR="0088434E">
        <w:rPr>
          <w:szCs w:val="22"/>
        </w:rPr>
        <w:fldChar w:fldCharType="begin"/>
      </w:r>
      <w:r w:rsidR="0088434E">
        <w:rPr>
          <w:szCs w:val="22"/>
        </w:rPr>
        <w:instrText xml:space="preserve"> REF _Ref442377974 \h </w:instrText>
      </w:r>
      <w:r w:rsidR="0088434E">
        <w:rPr>
          <w:szCs w:val="22"/>
        </w:rPr>
      </w:r>
      <w:r w:rsidR="0088434E">
        <w:rPr>
          <w:szCs w:val="22"/>
        </w:rPr>
        <w:fldChar w:fldCharType="separate"/>
      </w:r>
      <w:r w:rsidR="009C068F" w:rsidRPr="0096368A">
        <w:rPr>
          <w:color w:val="000000"/>
        </w:rPr>
        <w:t xml:space="preserve">Figure </w:t>
      </w:r>
      <w:r w:rsidR="009C068F">
        <w:rPr>
          <w:noProof/>
          <w:color w:val="000000"/>
        </w:rPr>
        <w:t>93</w:t>
      </w:r>
      <w:r w:rsidR="0088434E">
        <w:rPr>
          <w:szCs w:val="22"/>
        </w:rPr>
        <w:fldChar w:fldCharType="end"/>
      </w:r>
      <w:r w:rsidR="0088434E">
        <w:rPr>
          <w:szCs w:val="22"/>
        </w:rPr>
        <w:t>)</w:t>
      </w:r>
      <w:r w:rsidR="0088434E" w:rsidRPr="0088434E">
        <w:rPr>
          <w:szCs w:val="22"/>
        </w:rPr>
        <w:t>. When meadows are present, a seasonal pattern is apparent within years across with greater abundance in the late dry season (</w:t>
      </w:r>
      <w:hyperlink w:anchor="_ENREF_167" w:tooltip="McKenzie, 2013 #9650" w:history="1">
        <w:r w:rsidR="00E6043D">
          <w:rPr>
            <w:szCs w:val="22"/>
          </w:rPr>
          <w:fldChar w:fldCharType="begin"/>
        </w:r>
        <w:r w:rsidR="00E6043D">
          <w:rPr>
            <w:szCs w:val="22"/>
          </w:rPr>
          <w:instrText xml:space="preserve"> ADDIN EN.CITE &lt;EndNote&gt;&lt;Cite&gt;&lt;Author&gt;McKenzie&lt;/Author&gt;&lt;Year&gt;2013&lt;/Year&gt;&lt;RecNum&gt;9650&lt;/RecNum&gt;&lt;DisplayText&gt;McKenzie&lt;style face="italic"&gt; et al.&lt;/style&gt; 2013&lt;/DisplayText&gt;&lt;record&gt;&lt;rec-number&gt;9650&lt;/rec-number&gt;&lt;foreign-keys&gt;&lt;key app="EN" db-id="0eve55x9y5vfd6e9dacxtew4eatve2dzds9a"&gt;9650&lt;/key&gt;&lt;/foreign-keys&gt;&lt;ref-type name="Book"&gt;6&lt;/ref-type&gt;&lt;contributors&gt;&lt;authors&gt;&lt;author&gt;McKenzie, Len J&lt;/author&gt;&lt;author&gt;Collier, C&lt;/author&gt;&lt;author&gt;Waycott, M&lt;/author&gt;&lt;/authors&gt;&lt;/contributors&gt;&lt;titles&gt;&lt;title&gt;Reef Rescue Marine Monitoring Program - Inshore Seagrass, Annual Report for the sampling period 1st July 2011 – 31st May 2012&lt;/title&gt;&lt;/titles&gt;&lt;pages&gt;192&lt;/pages&gt;&lt;dates&gt;&lt;year&gt;2013&lt;/year&gt;&lt;/dates&gt;&lt;pub-location&gt;Cairns&lt;/pub-location&gt;&lt;publisher&gt;TropWATER, James Cook University&lt;/publisher&gt;&lt;urls&gt;&lt;/urls&gt;&lt;/record&gt;&lt;/Cite&gt;&lt;/EndNote&gt;</w:instrText>
        </w:r>
        <w:r w:rsidR="00E6043D">
          <w:rPr>
            <w:szCs w:val="22"/>
          </w:rPr>
          <w:fldChar w:fldCharType="separate"/>
        </w:r>
        <w:r w:rsidR="00E6043D">
          <w:rPr>
            <w:noProof/>
            <w:szCs w:val="22"/>
          </w:rPr>
          <w:t>McKenzie</w:t>
        </w:r>
        <w:r w:rsidR="00E6043D" w:rsidRPr="00644A84">
          <w:rPr>
            <w:i/>
            <w:noProof/>
            <w:szCs w:val="22"/>
          </w:rPr>
          <w:t xml:space="preserve"> et al.</w:t>
        </w:r>
        <w:r w:rsidR="00E6043D">
          <w:rPr>
            <w:noProof/>
            <w:szCs w:val="22"/>
          </w:rPr>
          <w:t xml:space="preserve"> 2013</w:t>
        </w:r>
        <w:r w:rsidR="00E6043D">
          <w:rPr>
            <w:szCs w:val="22"/>
          </w:rPr>
          <w:fldChar w:fldCharType="end"/>
        </w:r>
      </w:hyperlink>
      <w:r w:rsidR="0088434E" w:rsidRPr="0088434E">
        <w:rPr>
          <w:szCs w:val="22"/>
        </w:rPr>
        <w:t>)</w:t>
      </w:r>
      <w:r w:rsidR="0088434E">
        <w:rPr>
          <w:szCs w:val="22"/>
        </w:rPr>
        <w:t xml:space="preserve"> (</w:t>
      </w:r>
      <w:r w:rsidR="0088434E">
        <w:rPr>
          <w:szCs w:val="22"/>
        </w:rPr>
        <w:fldChar w:fldCharType="begin"/>
      </w:r>
      <w:r w:rsidR="0088434E">
        <w:rPr>
          <w:szCs w:val="22"/>
        </w:rPr>
        <w:instrText xml:space="preserve"> REF _Ref211951689 \h </w:instrText>
      </w:r>
      <w:r w:rsidR="0088434E">
        <w:rPr>
          <w:szCs w:val="22"/>
        </w:rPr>
      </w:r>
      <w:r w:rsidR="0088434E">
        <w:rPr>
          <w:szCs w:val="22"/>
        </w:rPr>
        <w:fldChar w:fldCharType="separate"/>
      </w:r>
      <w:r w:rsidR="009C068F" w:rsidRPr="00303763">
        <w:t xml:space="preserve">Figure </w:t>
      </w:r>
      <w:r w:rsidR="009C068F">
        <w:rPr>
          <w:noProof/>
        </w:rPr>
        <w:t>97</w:t>
      </w:r>
      <w:r w:rsidR="0088434E">
        <w:rPr>
          <w:szCs w:val="22"/>
        </w:rPr>
        <w:fldChar w:fldCharType="end"/>
      </w:r>
      <w:r w:rsidR="0088434E">
        <w:rPr>
          <w:szCs w:val="22"/>
        </w:rPr>
        <w:t>)</w:t>
      </w:r>
      <w:r w:rsidR="0088434E" w:rsidRPr="0088434E">
        <w:rPr>
          <w:szCs w:val="22"/>
        </w:rPr>
        <w:t xml:space="preserve">. </w:t>
      </w:r>
    </w:p>
    <w:p w:rsidR="0059610E" w:rsidRPr="00326B1A" w:rsidRDefault="0059610E" w:rsidP="0094043D">
      <w:pPr>
        <w:keepNext/>
        <w:widowControl w:val="0"/>
        <w:spacing w:after="0"/>
        <w:jc w:val="center"/>
        <w:rPr>
          <w:color w:val="000000"/>
          <w:szCs w:val="22"/>
        </w:rPr>
      </w:pPr>
      <w:r>
        <w:rPr>
          <w:noProof/>
          <w:color w:val="000000"/>
          <w:szCs w:val="22"/>
          <w:lang w:eastAsia="en-AU"/>
        </w:rPr>
        <w:lastRenderedPageBreak/>
        <w:drawing>
          <wp:inline distT="0" distB="0" distL="0" distR="0" wp14:anchorId="020355AF" wp14:editId="54FADBB0">
            <wp:extent cx="5040000" cy="3610800"/>
            <wp:effectExtent l="0" t="0" r="8255" b="8890"/>
            <wp:docPr id="541" name="Picture 541" descr="Panel of three scatter plots with straight lines and markers showing seagrass abundance (% cover ± Standard Error) at inshore intertidal habitats in the Burnett Mary region from 1998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SG15.png"/>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5040000" cy="3610800"/>
                    </a:xfrm>
                    <a:prstGeom prst="rect">
                      <a:avLst/>
                    </a:prstGeom>
                  </pic:spPr>
                </pic:pic>
              </a:graphicData>
            </a:graphic>
          </wp:inline>
        </w:drawing>
      </w:r>
    </w:p>
    <w:p w:rsidR="00A93D8C" w:rsidRPr="00A93D8C" w:rsidRDefault="005132EF" w:rsidP="0094043D">
      <w:pPr>
        <w:widowControl w:val="0"/>
        <w:spacing w:before="0"/>
        <w:rPr>
          <w:i/>
          <w:vanish/>
          <w:specVanish/>
        </w:rPr>
      </w:pPr>
      <w:bookmarkStart w:id="554" w:name="_Ref211951689"/>
      <w:bookmarkStart w:id="555" w:name="_Toc232846028"/>
      <w:bookmarkStart w:id="556" w:name="_Toc431493901"/>
      <w:bookmarkStart w:id="557" w:name="_Toc462684937"/>
      <w:r w:rsidRPr="00303763">
        <w:t xml:space="preserve">Figure </w:t>
      </w:r>
      <w:fldSimple w:instr=" SEQ Figure \* ARABIC ">
        <w:r w:rsidR="009C068F">
          <w:rPr>
            <w:noProof/>
          </w:rPr>
          <w:t>97</w:t>
        </w:r>
      </w:fldSimple>
      <w:bookmarkEnd w:id="554"/>
      <w:r w:rsidRPr="00303763">
        <w:t xml:space="preserve">. </w:t>
      </w:r>
      <w:bookmarkEnd w:id="555"/>
      <w:r w:rsidRPr="00A93D8C">
        <w:rPr>
          <w:i/>
        </w:rPr>
        <w:t xml:space="preserve">Changes in seagrass abundance (% cover ±Standard Error) at estuarine </w:t>
      </w:r>
      <w:r w:rsidR="003E1D94">
        <w:rPr>
          <w:i/>
        </w:rPr>
        <w:t xml:space="preserve">and coastal </w:t>
      </w:r>
      <w:r w:rsidRPr="00A93D8C">
        <w:rPr>
          <w:i/>
        </w:rPr>
        <w:t>meadows in Burnett Mary region from 1999 to 201</w:t>
      </w:r>
      <w:r w:rsidR="003E1D94">
        <w:rPr>
          <w:i/>
        </w:rPr>
        <w:t>5</w:t>
      </w:r>
      <w:r w:rsidRPr="00A93D8C">
        <w:rPr>
          <w:i/>
        </w:rPr>
        <w:t>.</w:t>
      </w:r>
      <w:bookmarkEnd w:id="556"/>
      <w:bookmarkEnd w:id="557"/>
      <w:r w:rsidR="00C73F73" w:rsidRPr="00A93D8C">
        <w:rPr>
          <w:i/>
          <w:vanish/>
          <w:szCs w:val="22"/>
          <w:specVanish/>
        </w:rPr>
        <w:t xml:space="preserve"> </w:t>
      </w:r>
    </w:p>
    <w:p w:rsidR="00A93D8C" w:rsidRPr="00A93D8C" w:rsidRDefault="005132EF" w:rsidP="0094043D">
      <w:pPr>
        <w:widowControl w:val="0"/>
        <w:spacing w:before="0"/>
        <w:rPr>
          <w:i/>
        </w:rPr>
      </w:pPr>
      <w:r w:rsidRPr="00A93D8C">
        <w:rPr>
          <w:i/>
        </w:rPr>
        <w:t xml:space="preserve"> </w:t>
      </w:r>
      <w:proofErr w:type="spellStart"/>
      <w:r w:rsidR="00972140">
        <w:rPr>
          <w:i/>
        </w:rPr>
        <w:t>T</w:t>
      </w:r>
      <w:r w:rsidRPr="00A93D8C">
        <w:rPr>
          <w:i/>
        </w:rPr>
        <w:t>rendline</w:t>
      </w:r>
      <w:proofErr w:type="spellEnd"/>
      <w:r w:rsidRPr="00A93D8C">
        <w:rPr>
          <w:i/>
        </w:rPr>
        <w:t xml:space="preserve"> is 3</w:t>
      </w:r>
      <w:r w:rsidRPr="00A93D8C">
        <w:rPr>
          <w:i/>
          <w:vertAlign w:val="superscript"/>
        </w:rPr>
        <w:t>rd</w:t>
      </w:r>
      <w:r w:rsidRPr="00A93D8C">
        <w:rPr>
          <w:i/>
        </w:rPr>
        <w:t xml:space="preserve"> order polynomial</w:t>
      </w:r>
      <w:r w:rsidR="00972140">
        <w:rPr>
          <w:i/>
        </w:rPr>
        <w:t xml:space="preserve"> (</w:t>
      </w:r>
      <w:r w:rsidRPr="00A93D8C">
        <w:rPr>
          <w:i/>
        </w:rPr>
        <w:t xml:space="preserve">95% confidence </w:t>
      </w:r>
      <w:r w:rsidRPr="00972140">
        <w:rPr>
          <w:i/>
        </w:rPr>
        <w:t>intervals displayed</w:t>
      </w:r>
      <w:r w:rsidR="00972140">
        <w:rPr>
          <w:i/>
        </w:rPr>
        <w:t>) where</w:t>
      </w:r>
      <w:r w:rsidRPr="00972140">
        <w:rPr>
          <w:i/>
        </w:rPr>
        <w:t xml:space="preserve"> </w:t>
      </w:r>
      <w:r w:rsidR="00972140" w:rsidRPr="00A93D8C">
        <w:rPr>
          <w:i/>
        </w:rPr>
        <w:t xml:space="preserve">Urangan </w:t>
      </w:r>
      <w:r w:rsidRPr="00972140">
        <w:rPr>
          <w:i/>
        </w:rPr>
        <w:t>r</w:t>
      </w:r>
      <w:r w:rsidRPr="00972140">
        <w:rPr>
          <w:i/>
          <w:vertAlign w:val="superscript"/>
        </w:rPr>
        <w:t>2</w:t>
      </w:r>
      <w:r w:rsidRPr="00972140">
        <w:rPr>
          <w:i/>
        </w:rPr>
        <w:t xml:space="preserve"> = 0.</w:t>
      </w:r>
      <w:r w:rsidR="00972140" w:rsidRPr="00972140">
        <w:rPr>
          <w:i/>
        </w:rPr>
        <w:t>27</w:t>
      </w:r>
      <w:r w:rsidR="00972140">
        <w:rPr>
          <w:i/>
        </w:rPr>
        <w:t xml:space="preserve"> and </w:t>
      </w:r>
      <w:proofErr w:type="spellStart"/>
      <w:r w:rsidR="00972140">
        <w:rPr>
          <w:i/>
        </w:rPr>
        <w:t>Burrum</w:t>
      </w:r>
      <w:proofErr w:type="spellEnd"/>
      <w:r w:rsidR="00972140">
        <w:rPr>
          <w:i/>
        </w:rPr>
        <w:t xml:space="preserve"> Heads</w:t>
      </w:r>
      <w:r w:rsidR="00972140" w:rsidRPr="00A93D8C">
        <w:rPr>
          <w:i/>
        </w:rPr>
        <w:t xml:space="preserve"> </w:t>
      </w:r>
      <w:r w:rsidR="00972140" w:rsidRPr="00972140">
        <w:rPr>
          <w:i/>
        </w:rPr>
        <w:t>r</w:t>
      </w:r>
      <w:r w:rsidR="00972140" w:rsidRPr="00972140">
        <w:rPr>
          <w:i/>
          <w:vertAlign w:val="superscript"/>
        </w:rPr>
        <w:t>2</w:t>
      </w:r>
      <w:r w:rsidR="00972140">
        <w:rPr>
          <w:i/>
        </w:rPr>
        <w:t xml:space="preserve"> = 0.51</w:t>
      </w:r>
      <w:r w:rsidRPr="00972140">
        <w:rPr>
          <w:i/>
        </w:rPr>
        <w:t xml:space="preserve">. </w:t>
      </w:r>
      <w:proofErr w:type="spellStart"/>
      <w:r w:rsidRPr="00972140">
        <w:rPr>
          <w:i/>
        </w:rPr>
        <w:t>Rodds</w:t>
      </w:r>
      <w:proofErr w:type="spellEnd"/>
      <w:r w:rsidRPr="00972140">
        <w:rPr>
          <w:i/>
        </w:rPr>
        <w:t xml:space="preserve"> Bay </w:t>
      </w:r>
      <w:proofErr w:type="spellStart"/>
      <w:r w:rsidRPr="00972140">
        <w:rPr>
          <w:i/>
        </w:rPr>
        <w:t>trendline</w:t>
      </w:r>
      <w:proofErr w:type="spellEnd"/>
      <w:r w:rsidRPr="00972140">
        <w:rPr>
          <w:i/>
        </w:rPr>
        <w:t xml:space="preserve"> is 2</w:t>
      </w:r>
      <w:r w:rsidRPr="00972140">
        <w:rPr>
          <w:i/>
          <w:vertAlign w:val="superscript"/>
        </w:rPr>
        <w:t>nd</w:t>
      </w:r>
      <w:r w:rsidRPr="00972140">
        <w:rPr>
          <w:i/>
        </w:rPr>
        <w:t xml:space="preserve"> order polynomial, 95% confidence intervals displayed, r</w:t>
      </w:r>
      <w:r w:rsidRPr="00972140">
        <w:rPr>
          <w:i/>
          <w:vertAlign w:val="superscript"/>
        </w:rPr>
        <w:t>2</w:t>
      </w:r>
      <w:r w:rsidRPr="00972140">
        <w:rPr>
          <w:i/>
        </w:rPr>
        <w:t xml:space="preserve"> = 0.</w:t>
      </w:r>
      <w:r w:rsidR="00303763" w:rsidRPr="00972140">
        <w:rPr>
          <w:i/>
        </w:rPr>
        <w:t>7</w:t>
      </w:r>
      <w:r w:rsidR="00972140" w:rsidRPr="00972140">
        <w:rPr>
          <w:i/>
        </w:rPr>
        <w:t>1</w:t>
      </w:r>
      <w:r w:rsidRPr="00972140">
        <w:rPr>
          <w:i/>
        </w:rPr>
        <w:t>.</w:t>
      </w:r>
      <w:r w:rsidR="00972140">
        <w:rPr>
          <w:i/>
        </w:rPr>
        <w:t xml:space="preserve"> </w:t>
      </w:r>
    </w:p>
    <w:p w:rsidR="001A5B38" w:rsidRDefault="001A5B38" w:rsidP="00161EB5">
      <w:pPr>
        <w:rPr>
          <w:szCs w:val="22"/>
        </w:rPr>
      </w:pPr>
    </w:p>
    <w:p w:rsidR="00630574" w:rsidRDefault="00630574" w:rsidP="00161EB5">
      <w:pPr>
        <w:rPr>
          <w:szCs w:val="22"/>
        </w:rPr>
      </w:pPr>
      <w:r w:rsidRPr="00630574">
        <w:rPr>
          <w:szCs w:val="22"/>
        </w:rPr>
        <w:t xml:space="preserve">An examination of the long term trends across the </w:t>
      </w:r>
      <w:r>
        <w:rPr>
          <w:szCs w:val="22"/>
        </w:rPr>
        <w:t>Burnett Mary</w:t>
      </w:r>
      <w:r w:rsidRPr="00630574">
        <w:rPr>
          <w:szCs w:val="22"/>
        </w:rPr>
        <w:t xml:space="preserve"> NRM region suggests seagrass abundance (% cover) </w:t>
      </w:r>
      <w:r>
        <w:rPr>
          <w:szCs w:val="22"/>
        </w:rPr>
        <w:t xml:space="preserve">has fluctuated greatly between years, but progressively decreased from 2004 to 2012; after which the decline appears to have abated with an increasing trajectory </w:t>
      </w:r>
      <w:r w:rsidRPr="00630574">
        <w:rPr>
          <w:szCs w:val="22"/>
        </w:rPr>
        <w:t>(</w:t>
      </w:r>
      <w:r w:rsidR="00C25BF0">
        <w:rPr>
          <w:szCs w:val="22"/>
        </w:rPr>
        <w:fldChar w:fldCharType="begin"/>
      </w:r>
      <w:r w:rsidR="00C25BF0">
        <w:rPr>
          <w:szCs w:val="22"/>
        </w:rPr>
        <w:instrText xml:space="preserve"> REF _Ref442449961 \h </w:instrText>
      </w:r>
      <w:r w:rsidR="00C25BF0">
        <w:rPr>
          <w:szCs w:val="22"/>
        </w:rPr>
      </w:r>
      <w:r w:rsidR="00C25BF0">
        <w:rPr>
          <w:szCs w:val="22"/>
        </w:rPr>
        <w:fldChar w:fldCharType="separate"/>
      </w:r>
      <w:r w:rsidR="009C068F">
        <w:t xml:space="preserve">Figure </w:t>
      </w:r>
      <w:r w:rsidR="009C068F">
        <w:rPr>
          <w:noProof/>
        </w:rPr>
        <w:t>98</w:t>
      </w:r>
      <w:r w:rsidR="00C25BF0">
        <w:rPr>
          <w:szCs w:val="22"/>
        </w:rPr>
        <w:fldChar w:fldCharType="end"/>
      </w:r>
      <w:r w:rsidRPr="00630574">
        <w:rPr>
          <w:szCs w:val="22"/>
        </w:rPr>
        <w:t>).</w:t>
      </w:r>
    </w:p>
    <w:p w:rsidR="001A5B38" w:rsidRDefault="001A5B38" w:rsidP="001A5B38">
      <w:pPr>
        <w:keepNext/>
        <w:widowControl w:val="0"/>
        <w:spacing w:after="0"/>
        <w:jc w:val="center"/>
        <w:rPr>
          <w:szCs w:val="22"/>
        </w:rPr>
      </w:pPr>
      <w:r>
        <w:rPr>
          <w:noProof/>
          <w:szCs w:val="22"/>
          <w:lang w:eastAsia="en-AU"/>
        </w:rPr>
        <w:drawing>
          <wp:inline distT="0" distB="0" distL="0" distR="0" wp14:anchorId="36CAC2DC" wp14:editId="1BA24D30">
            <wp:extent cx="3960000" cy="2343600"/>
            <wp:effectExtent l="0" t="0" r="2540" b="0"/>
            <wp:docPr id="141" name="Picture 141" descr="GAM plot showing long-term temporal trends in seagrass abundance for each location in the Burnett Mary NRM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BM_cvr_GAM_Jan16.png"/>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3960000" cy="2343600"/>
                    </a:xfrm>
                    <a:prstGeom prst="rect">
                      <a:avLst/>
                    </a:prstGeom>
                  </pic:spPr>
                </pic:pic>
              </a:graphicData>
            </a:graphic>
          </wp:inline>
        </w:drawing>
      </w:r>
    </w:p>
    <w:p w:rsidR="00C25BF0" w:rsidRPr="00C25BF0" w:rsidRDefault="001A5B38" w:rsidP="001A5B38">
      <w:pPr>
        <w:rPr>
          <w:i/>
          <w:vanish/>
          <w:specVanish/>
        </w:rPr>
      </w:pPr>
      <w:bookmarkStart w:id="558" w:name="_Ref442449961"/>
      <w:bookmarkStart w:id="559" w:name="_Toc462684938"/>
      <w:r>
        <w:t xml:space="preserve">Figure </w:t>
      </w:r>
      <w:fldSimple w:instr=" SEQ Figure \* ARABIC ">
        <w:r w:rsidR="009C068F">
          <w:rPr>
            <w:noProof/>
          </w:rPr>
          <w:t>98</w:t>
        </w:r>
      </w:fldSimple>
      <w:bookmarkEnd w:id="558"/>
      <w:r>
        <w:t xml:space="preserve">.  </w:t>
      </w:r>
      <w:r w:rsidR="00C25BF0" w:rsidRPr="00C25BF0">
        <w:rPr>
          <w:i/>
        </w:rPr>
        <w:t xml:space="preserve">Temporal trends in seagrass abundance </w:t>
      </w:r>
      <w:r w:rsidR="00C25BF0" w:rsidRPr="001A5B38">
        <w:rPr>
          <w:i/>
        </w:rPr>
        <w:t xml:space="preserve">at estuarine locations in the Burnett May region, </w:t>
      </w:r>
      <w:r w:rsidR="00C25BF0" w:rsidRPr="00C25BF0">
        <w:rPr>
          <w:i/>
        </w:rPr>
        <w:t>represented by a GAM plot</w:t>
      </w:r>
      <w:r w:rsidR="00C25BF0" w:rsidRPr="001A5B38">
        <w:rPr>
          <w:i/>
        </w:rPr>
        <w:t xml:space="preserve"> 1999-2015</w:t>
      </w:r>
      <w:r w:rsidR="00C25BF0" w:rsidRPr="00C25BF0">
        <w:rPr>
          <w:i/>
        </w:rPr>
        <w:t>.</w:t>
      </w:r>
      <w:bookmarkEnd w:id="559"/>
    </w:p>
    <w:p w:rsidR="001A5B38" w:rsidRPr="001A5B38" w:rsidRDefault="00C25BF0" w:rsidP="001A5B38">
      <w:pPr>
        <w:rPr>
          <w:i/>
          <w:szCs w:val="22"/>
        </w:rPr>
      </w:pPr>
      <w:r w:rsidRPr="00C25BF0">
        <w:rPr>
          <w:i/>
        </w:rPr>
        <w:t xml:space="preserve">  Regional trend (all habitats pooled) represented by black line with grey shaded areas defining 95% confidence intervals.</w:t>
      </w:r>
    </w:p>
    <w:p w:rsidR="00161EB5" w:rsidRPr="00116D0F" w:rsidRDefault="00643022" w:rsidP="00161EB5">
      <w:pPr>
        <w:rPr>
          <w:rFonts w:cs="TimesNewRoman,Italic"/>
          <w:iCs/>
          <w:szCs w:val="22"/>
        </w:rPr>
      </w:pPr>
      <w:r w:rsidRPr="00D924CD">
        <w:rPr>
          <w:szCs w:val="22"/>
        </w:rPr>
        <w:t xml:space="preserve">The estuarine seagrass habitats were dominated by </w:t>
      </w:r>
      <w:proofErr w:type="spellStart"/>
      <w:r w:rsidRPr="00D924CD">
        <w:rPr>
          <w:i/>
          <w:szCs w:val="22"/>
        </w:rPr>
        <w:t>Zostera</w:t>
      </w:r>
      <w:proofErr w:type="spellEnd"/>
      <w:r w:rsidRPr="00D924CD">
        <w:rPr>
          <w:i/>
          <w:szCs w:val="22"/>
        </w:rPr>
        <w:t xml:space="preserve"> </w:t>
      </w:r>
      <w:proofErr w:type="spellStart"/>
      <w:r w:rsidRPr="00D924CD">
        <w:rPr>
          <w:i/>
          <w:szCs w:val="22"/>
        </w:rPr>
        <w:t>muelleri</w:t>
      </w:r>
      <w:proofErr w:type="spellEnd"/>
      <w:r w:rsidRPr="00D924CD">
        <w:rPr>
          <w:szCs w:val="22"/>
        </w:rPr>
        <w:t xml:space="preserve"> with </w:t>
      </w:r>
      <w:r w:rsidR="00161EB5" w:rsidRPr="00D924CD">
        <w:rPr>
          <w:szCs w:val="22"/>
        </w:rPr>
        <w:t>varying</w:t>
      </w:r>
      <w:r w:rsidRPr="00D924CD">
        <w:rPr>
          <w:szCs w:val="22"/>
        </w:rPr>
        <w:t xml:space="preserve"> components of </w:t>
      </w:r>
      <w:proofErr w:type="spellStart"/>
      <w:r w:rsidR="00514E08" w:rsidRPr="00116D0F">
        <w:rPr>
          <w:i/>
          <w:szCs w:val="22"/>
        </w:rPr>
        <w:t>Halophila</w:t>
      </w:r>
      <w:proofErr w:type="spellEnd"/>
      <w:r w:rsidRPr="00116D0F">
        <w:rPr>
          <w:i/>
          <w:szCs w:val="22"/>
        </w:rPr>
        <w:t xml:space="preserve"> </w:t>
      </w:r>
      <w:proofErr w:type="spellStart"/>
      <w:r w:rsidRPr="00116D0F">
        <w:rPr>
          <w:i/>
          <w:szCs w:val="22"/>
        </w:rPr>
        <w:t>ovalis</w:t>
      </w:r>
      <w:proofErr w:type="spellEnd"/>
      <w:r w:rsidRPr="00116D0F">
        <w:rPr>
          <w:szCs w:val="22"/>
        </w:rPr>
        <w:t xml:space="preserve"> over the monitoring period (</w:t>
      </w:r>
      <w:r w:rsidR="00B47F5A">
        <w:rPr>
          <w:szCs w:val="22"/>
        </w:rPr>
        <w:fldChar w:fldCharType="begin"/>
      </w:r>
      <w:r w:rsidR="00B47F5A">
        <w:rPr>
          <w:szCs w:val="22"/>
        </w:rPr>
        <w:instrText xml:space="preserve"> REF _Ref442552303 \h </w:instrText>
      </w:r>
      <w:r w:rsidR="00B47F5A">
        <w:rPr>
          <w:szCs w:val="22"/>
        </w:rPr>
      </w:r>
      <w:r w:rsidR="00B47F5A">
        <w:rPr>
          <w:szCs w:val="22"/>
        </w:rPr>
        <w:fldChar w:fldCharType="separate"/>
      </w:r>
      <w:r w:rsidR="009C068F" w:rsidRPr="006B4212">
        <w:t xml:space="preserve">Figure </w:t>
      </w:r>
      <w:r w:rsidR="009C068F">
        <w:rPr>
          <w:noProof/>
        </w:rPr>
        <w:t>99</w:t>
      </w:r>
      <w:r w:rsidR="00B47F5A">
        <w:rPr>
          <w:szCs w:val="22"/>
        </w:rPr>
        <w:fldChar w:fldCharType="end"/>
      </w:r>
      <w:r w:rsidRPr="00116D0F">
        <w:rPr>
          <w:szCs w:val="22"/>
        </w:rPr>
        <w:t>).</w:t>
      </w:r>
      <w:r w:rsidR="00161EB5" w:rsidRPr="00116D0F">
        <w:rPr>
          <w:szCs w:val="22"/>
        </w:rPr>
        <w:t xml:space="preserve"> </w:t>
      </w:r>
      <w:r w:rsidR="00116D0F" w:rsidRPr="00116D0F">
        <w:rPr>
          <w:rFonts w:cs="TimesNewRoman,Italic"/>
          <w:iCs/>
          <w:szCs w:val="22"/>
        </w:rPr>
        <w:t xml:space="preserve">In 2014-15, the proportion of colonising species declined in estuarine habitats and remained stable below the GBR long-term average at </w:t>
      </w:r>
      <w:r w:rsidR="00116D0F" w:rsidRPr="00116D0F">
        <w:rPr>
          <w:rFonts w:cs="TimesNewRoman,Italic"/>
          <w:iCs/>
          <w:szCs w:val="22"/>
        </w:rPr>
        <w:lastRenderedPageBreak/>
        <w:t xml:space="preserve">coastal habitats. </w:t>
      </w:r>
      <w:r w:rsidR="00116D0F" w:rsidRPr="00116D0F">
        <w:rPr>
          <w:szCs w:val="22"/>
          <w:lang w:val="en-GB"/>
        </w:rPr>
        <w:t xml:space="preserve">The reducing proportion of colonising species in the meadows suggests </w:t>
      </w:r>
      <w:r w:rsidR="00116D0F" w:rsidRPr="00116D0F">
        <w:rPr>
          <w:rFonts w:cs="TimesNewRoman,Italic"/>
          <w:iCs/>
          <w:szCs w:val="22"/>
        </w:rPr>
        <w:t>greater ability to tolerate/resist major disturbances, particularly as the meadows improve abundance.</w:t>
      </w:r>
    </w:p>
    <w:p w:rsidR="003E1D94" w:rsidRPr="004705FC" w:rsidRDefault="00116D0F" w:rsidP="00116D0F">
      <w:pPr>
        <w:keepNext/>
        <w:widowControl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3C77E70E" wp14:editId="5EE7DBE6">
            <wp:extent cx="4680000" cy="2455200"/>
            <wp:effectExtent l="0" t="0" r="6350" b="2540"/>
            <wp:docPr id="136" name="Picture 136" descr="Panel of two area plots showing proportion of seagrass abundance composed of species displaying colonising traits at inshore habitats in the Burnett Mary NRM region from 1998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BM_colonising_2015.png"/>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4680000" cy="2455200"/>
                    </a:xfrm>
                    <a:prstGeom prst="rect">
                      <a:avLst/>
                    </a:prstGeom>
                  </pic:spPr>
                </pic:pic>
              </a:graphicData>
            </a:graphic>
          </wp:inline>
        </w:drawing>
      </w:r>
    </w:p>
    <w:p w:rsidR="004705FC" w:rsidRPr="004705FC" w:rsidRDefault="003126B8" w:rsidP="00116D0F">
      <w:pPr>
        <w:widowControl w:val="0"/>
        <w:spacing w:before="0"/>
        <w:rPr>
          <w:i/>
          <w:vanish/>
          <w:color w:val="000000"/>
          <w:specVanish/>
        </w:rPr>
      </w:pPr>
      <w:bookmarkStart w:id="560" w:name="_Ref442552303"/>
      <w:bookmarkStart w:id="561" w:name="_Toc431493902"/>
      <w:bookmarkStart w:id="562" w:name="_Toc462684939"/>
      <w:r w:rsidRPr="006B4212">
        <w:t xml:space="preserve">Figure </w:t>
      </w:r>
      <w:fldSimple w:instr=" SEQ Figure \* ARABIC ">
        <w:r w:rsidR="009C068F">
          <w:rPr>
            <w:noProof/>
          </w:rPr>
          <w:t>99</w:t>
        </w:r>
      </w:fldSimple>
      <w:bookmarkEnd w:id="560"/>
      <w:r w:rsidRPr="006B4212">
        <w:t xml:space="preserve">. </w:t>
      </w:r>
      <w:r w:rsidRPr="004705FC">
        <w:rPr>
          <w:i/>
        </w:rPr>
        <w:t xml:space="preserve">Proportion of seagrass abundance composed of </w:t>
      </w:r>
      <w:r w:rsidR="003E1D94">
        <w:rPr>
          <w:i/>
        </w:rPr>
        <w:t>colonising</w:t>
      </w:r>
      <w:r w:rsidR="00A22D98" w:rsidRPr="004705FC">
        <w:rPr>
          <w:i/>
        </w:rPr>
        <w:t xml:space="preserve"> species</w:t>
      </w:r>
      <w:r w:rsidR="00116D0F">
        <w:rPr>
          <w:i/>
        </w:rPr>
        <w:t xml:space="preserve"> at</w:t>
      </w:r>
      <w:r w:rsidR="004807AA">
        <w:rPr>
          <w:i/>
        </w:rPr>
        <w:t>:</w:t>
      </w:r>
      <w:r w:rsidR="00116D0F">
        <w:rPr>
          <w:i/>
        </w:rPr>
        <w:t xml:space="preserve"> a. estuary and b. coastal habitats in the Burnett Mary region, 1998-2015</w:t>
      </w:r>
      <w:r w:rsidRPr="004705FC">
        <w:rPr>
          <w:i/>
        </w:rPr>
        <w:t>.</w:t>
      </w:r>
      <w:bookmarkEnd w:id="561"/>
      <w:bookmarkEnd w:id="562"/>
      <w:r w:rsidR="00C73F73" w:rsidRPr="004705FC">
        <w:rPr>
          <w:i/>
          <w:vanish/>
          <w:szCs w:val="22"/>
          <w:specVanish/>
        </w:rPr>
        <w:t xml:space="preserve"> </w:t>
      </w:r>
      <w:r w:rsidRPr="004705FC">
        <w:rPr>
          <w:i/>
        </w:rPr>
        <w:t xml:space="preserve"> </w:t>
      </w:r>
    </w:p>
    <w:p w:rsidR="004705FC" w:rsidRPr="004705FC" w:rsidRDefault="003126B8" w:rsidP="00116D0F">
      <w:pPr>
        <w:widowControl w:val="0"/>
        <w:spacing w:before="0"/>
        <w:rPr>
          <w:i/>
        </w:rPr>
      </w:pPr>
      <w:r w:rsidRPr="004705FC">
        <w:rPr>
          <w:i/>
        </w:rPr>
        <w:t xml:space="preserve">Grey area represents GBR long-term average proportion of </w:t>
      </w:r>
      <w:r w:rsidR="003E1D94">
        <w:rPr>
          <w:i/>
        </w:rPr>
        <w:t>colonising</w:t>
      </w:r>
      <w:r w:rsidR="003E1D94" w:rsidRPr="004705FC">
        <w:rPr>
          <w:i/>
        </w:rPr>
        <w:t xml:space="preserve"> </w:t>
      </w:r>
      <w:r w:rsidR="00A22D98" w:rsidRPr="004705FC">
        <w:rPr>
          <w:i/>
        </w:rPr>
        <w:t xml:space="preserve">species </w:t>
      </w:r>
      <w:r w:rsidRPr="004705FC">
        <w:rPr>
          <w:i/>
        </w:rPr>
        <w:t>for each habitat type.</w:t>
      </w:r>
      <w:r w:rsidR="00C73F73" w:rsidRPr="004705FC">
        <w:rPr>
          <w:i/>
        </w:rPr>
        <w:t xml:space="preserve"> </w:t>
      </w:r>
    </w:p>
    <w:p w:rsidR="005132EF" w:rsidRPr="00D924CD" w:rsidRDefault="00B47F5A" w:rsidP="00B47F5A">
      <w:pPr>
        <w:rPr>
          <w:szCs w:val="22"/>
          <w:lang w:val="en-GB"/>
        </w:rPr>
      </w:pPr>
      <w:r w:rsidRPr="00B47F5A">
        <w:rPr>
          <w:szCs w:val="22"/>
        </w:rPr>
        <w:t>Seagrass meadow edge mapping was conducted within a 100m radius of all monitoring sites in October</w:t>
      </w:r>
      <w:r>
        <w:rPr>
          <w:szCs w:val="22"/>
        </w:rPr>
        <w:t xml:space="preserve"> </w:t>
      </w:r>
      <w:r w:rsidRPr="00B47F5A">
        <w:rPr>
          <w:szCs w:val="22"/>
        </w:rPr>
        <w:t xml:space="preserve">2014 and April 2015 </w:t>
      </w:r>
      <w:r w:rsidRPr="00D924CD">
        <w:rPr>
          <w:szCs w:val="22"/>
        </w:rPr>
        <w:t xml:space="preserve">(Appendix </w:t>
      </w:r>
      <w:r>
        <w:rPr>
          <w:szCs w:val="22"/>
        </w:rPr>
        <w:t>4</w:t>
      </w:r>
      <w:r w:rsidRPr="00D924CD">
        <w:rPr>
          <w:szCs w:val="22"/>
        </w:rPr>
        <w:t>)</w:t>
      </w:r>
      <w:r>
        <w:rPr>
          <w:szCs w:val="22"/>
        </w:rPr>
        <w:t xml:space="preserve"> </w:t>
      </w:r>
      <w:r w:rsidRPr="00B47F5A">
        <w:rPr>
          <w:szCs w:val="22"/>
        </w:rPr>
        <w:t>to determine if changes in abundance were a consequence of the meadow edges</w:t>
      </w:r>
      <w:r>
        <w:rPr>
          <w:szCs w:val="22"/>
        </w:rPr>
        <w:t xml:space="preserve"> </w:t>
      </w:r>
      <w:r w:rsidRPr="00B47F5A">
        <w:rPr>
          <w:szCs w:val="22"/>
        </w:rPr>
        <w:t>changing and to indicate if plants were allocating resources to colonisation (asexual reproduction)</w:t>
      </w:r>
      <w:r w:rsidR="005132EF" w:rsidRPr="00D924CD">
        <w:rPr>
          <w:szCs w:val="22"/>
        </w:rPr>
        <w:t xml:space="preserve">. </w:t>
      </w:r>
      <w:r w:rsidR="005132EF" w:rsidRPr="00D924CD">
        <w:rPr>
          <w:szCs w:val="22"/>
          <w:lang w:val="en-GB"/>
        </w:rPr>
        <w:t xml:space="preserve">Over the last 12 months the seagrass meadows at </w:t>
      </w:r>
      <w:r w:rsidR="00BC6014" w:rsidRPr="00D924CD">
        <w:rPr>
          <w:szCs w:val="22"/>
          <w:lang w:val="en-GB"/>
        </w:rPr>
        <w:t>both locations</w:t>
      </w:r>
      <w:r w:rsidR="005132EF" w:rsidRPr="00D924CD">
        <w:rPr>
          <w:szCs w:val="22"/>
          <w:lang w:val="en-GB"/>
        </w:rPr>
        <w:t xml:space="preserve"> </w:t>
      </w:r>
      <w:r w:rsidR="00D924CD" w:rsidRPr="00D924CD">
        <w:rPr>
          <w:szCs w:val="22"/>
          <w:lang w:val="en-GB"/>
        </w:rPr>
        <w:t>increased</w:t>
      </w:r>
      <w:r w:rsidR="005132EF" w:rsidRPr="00D924CD">
        <w:rPr>
          <w:szCs w:val="22"/>
          <w:lang w:val="en-GB"/>
        </w:rPr>
        <w:t xml:space="preserve"> (</w:t>
      </w:r>
      <w:r w:rsidR="00BD6B65" w:rsidRPr="00D924CD">
        <w:rPr>
          <w:szCs w:val="22"/>
          <w:lang w:val="en-GB"/>
        </w:rPr>
        <w:fldChar w:fldCharType="begin"/>
      </w:r>
      <w:r w:rsidR="00BD6B65" w:rsidRPr="00D924CD">
        <w:rPr>
          <w:szCs w:val="22"/>
          <w:lang w:val="en-GB"/>
        </w:rPr>
        <w:instrText xml:space="preserve"> REF _Ref233166043 \h </w:instrText>
      </w:r>
      <w:r w:rsidR="00015190" w:rsidRPr="00D924CD">
        <w:rPr>
          <w:szCs w:val="22"/>
          <w:lang w:val="en-GB"/>
        </w:rPr>
        <w:instrText xml:space="preserve"> \* MERGEFORMAT </w:instrText>
      </w:r>
      <w:r w:rsidR="00BD6B65" w:rsidRPr="00D924CD">
        <w:rPr>
          <w:szCs w:val="22"/>
          <w:lang w:val="en-GB"/>
        </w:rPr>
      </w:r>
      <w:r w:rsidR="00BD6B65" w:rsidRPr="00D924CD">
        <w:rPr>
          <w:szCs w:val="22"/>
          <w:lang w:val="en-GB"/>
        </w:rPr>
        <w:fldChar w:fldCharType="separate"/>
      </w:r>
      <w:r w:rsidR="009C068F" w:rsidRPr="009C068F">
        <w:rPr>
          <w:szCs w:val="22"/>
          <w:lang w:val="en-US"/>
        </w:rPr>
        <w:t xml:space="preserve">Figure </w:t>
      </w:r>
      <w:r w:rsidR="009C068F" w:rsidRPr="009C068F">
        <w:rPr>
          <w:noProof/>
          <w:szCs w:val="22"/>
          <w:lang w:val="en-US"/>
        </w:rPr>
        <w:t>100</w:t>
      </w:r>
      <w:r w:rsidR="00BD6B65" w:rsidRPr="00D924CD">
        <w:rPr>
          <w:szCs w:val="22"/>
          <w:lang w:val="en-GB"/>
        </w:rPr>
        <w:fldChar w:fldCharType="end"/>
      </w:r>
      <w:r w:rsidR="005132EF" w:rsidRPr="00D924CD">
        <w:rPr>
          <w:szCs w:val="22"/>
          <w:lang w:val="en-GB"/>
        </w:rPr>
        <w:t>)</w:t>
      </w:r>
      <w:r w:rsidR="00D924CD" w:rsidRPr="00D924CD">
        <w:rPr>
          <w:szCs w:val="22"/>
          <w:lang w:val="en-GB"/>
        </w:rPr>
        <w:t>, although seasonally declining slightly in early 2015</w:t>
      </w:r>
      <w:r w:rsidR="005132EF" w:rsidRPr="00D924CD">
        <w:rPr>
          <w:szCs w:val="22"/>
          <w:lang w:val="en-GB"/>
        </w:rPr>
        <w:t xml:space="preserve">. </w:t>
      </w:r>
      <w:r w:rsidR="00D924CD" w:rsidRPr="00D924CD">
        <w:rPr>
          <w:szCs w:val="22"/>
          <w:lang w:val="en-GB"/>
        </w:rPr>
        <w:t>Overall, meadow extent across the monitoring sites continued to recover in 2014-15 and was around half the spatial extent of when monitoring was established in 2005</w:t>
      </w:r>
      <w:r w:rsidR="00BC6014" w:rsidRPr="00D924CD">
        <w:rPr>
          <w:szCs w:val="22"/>
          <w:lang w:val="en-GB"/>
        </w:rPr>
        <w:t>.</w:t>
      </w:r>
    </w:p>
    <w:p w:rsidR="003E1D94" w:rsidRPr="00D924CD" w:rsidRDefault="003E1D94" w:rsidP="00034AD4">
      <w:pPr>
        <w:rPr>
          <w:szCs w:val="22"/>
          <w:lang w:val="en-GB"/>
        </w:rPr>
      </w:pPr>
    </w:p>
    <w:p w:rsidR="003E1D94" w:rsidRPr="003E1D94" w:rsidRDefault="003E1D94" w:rsidP="004807AA">
      <w:pPr>
        <w:keepNext/>
        <w:widowControl w:val="0"/>
        <w:spacing w:after="0"/>
        <w:jc w:val="center"/>
        <w:rPr>
          <w:szCs w:val="22"/>
          <w:lang w:val="en-GB"/>
        </w:rPr>
      </w:pPr>
      <w:r w:rsidRPr="003E1D94">
        <w:rPr>
          <w:noProof/>
          <w:szCs w:val="22"/>
          <w:lang w:eastAsia="en-AU"/>
        </w:rPr>
        <w:drawing>
          <wp:inline distT="0" distB="0" distL="0" distR="0" wp14:anchorId="7FEC0242" wp14:editId="1C1F99E9">
            <wp:extent cx="4320000" cy="1857600"/>
            <wp:effectExtent l="0" t="0" r="4445" b="9525"/>
            <wp:docPr id="542" name="Picture 542" descr="Line graph showing spatial extent of seagrass meadows within a 100m radius of estuarine monitoring sites for each  monitoring period across the Burnett Mar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extent_avg_2015.png"/>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4320000" cy="1857600"/>
                    </a:xfrm>
                    <a:prstGeom prst="rect">
                      <a:avLst/>
                    </a:prstGeom>
                  </pic:spPr>
                </pic:pic>
              </a:graphicData>
            </a:graphic>
          </wp:inline>
        </w:drawing>
      </w:r>
    </w:p>
    <w:p w:rsidR="003126B8" w:rsidRPr="005373CC" w:rsidRDefault="005132EF" w:rsidP="003126B8">
      <w:pPr>
        <w:rPr>
          <w:i/>
          <w:color w:val="000000"/>
          <w:szCs w:val="22"/>
          <w:lang w:val="en-US"/>
        </w:rPr>
      </w:pPr>
      <w:bookmarkStart w:id="563" w:name="_Ref233166043"/>
      <w:bookmarkStart w:id="564" w:name="_Toc232846031"/>
      <w:bookmarkStart w:id="565" w:name="_Toc431493903"/>
      <w:bookmarkStart w:id="566" w:name="_Toc462684940"/>
      <w:r w:rsidRPr="005373CC">
        <w:rPr>
          <w:color w:val="000000"/>
          <w:szCs w:val="22"/>
          <w:lang w:val="en-US"/>
        </w:rPr>
        <w:t xml:space="preserve">Figure </w:t>
      </w:r>
      <w:r w:rsidR="0073595B">
        <w:rPr>
          <w:color w:val="000000"/>
          <w:szCs w:val="22"/>
          <w:lang w:val="en-US"/>
        </w:rPr>
        <w:fldChar w:fldCharType="begin"/>
      </w:r>
      <w:r w:rsidR="0073595B">
        <w:rPr>
          <w:color w:val="000000"/>
          <w:szCs w:val="22"/>
          <w:lang w:val="en-US"/>
        </w:rPr>
        <w:instrText xml:space="preserve"> SEQ Figure \* ARABIC </w:instrText>
      </w:r>
      <w:r w:rsidR="0073595B">
        <w:rPr>
          <w:color w:val="000000"/>
          <w:szCs w:val="22"/>
          <w:lang w:val="en-US"/>
        </w:rPr>
        <w:fldChar w:fldCharType="separate"/>
      </w:r>
      <w:r w:rsidR="009C068F">
        <w:rPr>
          <w:noProof/>
          <w:color w:val="000000"/>
          <w:szCs w:val="22"/>
          <w:lang w:val="en-US"/>
        </w:rPr>
        <w:t>100</w:t>
      </w:r>
      <w:r w:rsidR="0073595B">
        <w:rPr>
          <w:color w:val="000000"/>
          <w:szCs w:val="22"/>
          <w:lang w:val="en-US"/>
        </w:rPr>
        <w:fldChar w:fldCharType="end"/>
      </w:r>
      <w:bookmarkEnd w:id="563"/>
      <w:r w:rsidRPr="005373CC">
        <w:rPr>
          <w:color w:val="000000"/>
          <w:szCs w:val="22"/>
          <w:lang w:val="en-US"/>
        </w:rPr>
        <w:t xml:space="preserve">. </w:t>
      </w:r>
      <w:bookmarkEnd w:id="564"/>
      <w:r w:rsidR="003126B8" w:rsidRPr="005373CC">
        <w:rPr>
          <w:i/>
          <w:color w:val="000000"/>
          <w:szCs w:val="22"/>
          <w:lang w:val="en-US"/>
        </w:rPr>
        <w:t>Change in spatial extent of seagrass meadows within a 100m radius of monitoring sites for each habitat and monitoring period across the Burnett Mary NRM region.</w:t>
      </w:r>
      <w:bookmarkEnd w:id="565"/>
      <w:bookmarkEnd w:id="566"/>
    </w:p>
    <w:p w:rsidR="005132EF" w:rsidRPr="001D05D4" w:rsidRDefault="005132EF" w:rsidP="001D05D4">
      <w:pPr>
        <w:pStyle w:val="Heading4"/>
        <w:numPr>
          <w:ilvl w:val="0"/>
          <w:numId w:val="0"/>
        </w:numPr>
        <w:rPr>
          <w:rFonts w:ascii="Arial" w:hAnsi="Arial" w:cs="Arial"/>
          <w:sz w:val="24"/>
          <w:szCs w:val="24"/>
        </w:rPr>
      </w:pPr>
      <w:bookmarkStart w:id="567" w:name="_Toc184102042"/>
      <w:r w:rsidRPr="001D05D4">
        <w:rPr>
          <w:rFonts w:ascii="Arial" w:hAnsi="Arial" w:cs="Arial"/>
          <w:sz w:val="24"/>
          <w:szCs w:val="24"/>
        </w:rPr>
        <w:t>Seagrass reproductive status</w:t>
      </w:r>
      <w:bookmarkEnd w:id="567"/>
    </w:p>
    <w:p w:rsidR="003E1D94" w:rsidRPr="004807AA" w:rsidRDefault="00DF544D" w:rsidP="00DF544D">
      <w:pPr>
        <w:autoSpaceDE w:val="0"/>
        <w:autoSpaceDN w:val="0"/>
        <w:adjustRightInd w:val="0"/>
        <w:rPr>
          <w:rFonts w:cs="TimesNewRoman,Italic"/>
          <w:iCs/>
          <w:szCs w:val="22"/>
        </w:rPr>
      </w:pPr>
      <w:r w:rsidRPr="004807AA">
        <w:rPr>
          <w:szCs w:val="22"/>
          <w:lang w:val="en-GB"/>
        </w:rPr>
        <w:t>Seagrass seed banks in Burnett Mary region meadows d</w:t>
      </w:r>
      <w:r w:rsidR="004807AA" w:rsidRPr="004807AA">
        <w:rPr>
          <w:szCs w:val="22"/>
          <w:lang w:val="en-GB"/>
        </w:rPr>
        <w:t>eclined</w:t>
      </w:r>
      <w:r w:rsidRPr="004807AA">
        <w:rPr>
          <w:szCs w:val="22"/>
          <w:lang w:val="en-GB"/>
        </w:rPr>
        <w:t xml:space="preserve"> </w:t>
      </w:r>
      <w:r w:rsidR="00DE3A36" w:rsidRPr="004807AA">
        <w:rPr>
          <w:szCs w:val="22"/>
          <w:lang w:val="en-GB"/>
        </w:rPr>
        <w:t xml:space="preserve">greatly </w:t>
      </w:r>
      <w:proofErr w:type="gramStart"/>
      <w:r w:rsidR="00DE3A36" w:rsidRPr="004807AA">
        <w:rPr>
          <w:szCs w:val="22"/>
          <w:lang w:val="en-GB"/>
        </w:rPr>
        <w:t xml:space="preserve">between </w:t>
      </w:r>
      <w:r w:rsidR="004807AA" w:rsidRPr="004807AA">
        <w:rPr>
          <w:szCs w:val="22"/>
          <w:lang w:val="en-GB"/>
        </w:rPr>
        <w:t>the 2013-14</w:t>
      </w:r>
      <w:proofErr w:type="gramEnd"/>
      <w:r w:rsidR="004807AA" w:rsidRPr="004807AA">
        <w:rPr>
          <w:szCs w:val="22"/>
          <w:lang w:val="en-GB"/>
        </w:rPr>
        <w:t xml:space="preserve"> and </w:t>
      </w:r>
      <w:r w:rsidR="00DE3A36" w:rsidRPr="004807AA">
        <w:rPr>
          <w:szCs w:val="22"/>
          <w:lang w:val="en-GB"/>
        </w:rPr>
        <w:t>201</w:t>
      </w:r>
      <w:r w:rsidR="004807AA" w:rsidRPr="004807AA">
        <w:rPr>
          <w:szCs w:val="22"/>
          <w:lang w:val="en-GB"/>
        </w:rPr>
        <w:t>4</w:t>
      </w:r>
      <w:r w:rsidR="00DE3A36" w:rsidRPr="004807AA">
        <w:rPr>
          <w:szCs w:val="22"/>
          <w:lang w:val="en-GB"/>
        </w:rPr>
        <w:t>-1</w:t>
      </w:r>
      <w:r w:rsidR="004807AA" w:rsidRPr="004807AA">
        <w:rPr>
          <w:szCs w:val="22"/>
          <w:lang w:val="en-GB"/>
        </w:rPr>
        <w:t>5 monitoring periods</w:t>
      </w:r>
      <w:r w:rsidRPr="004807AA">
        <w:rPr>
          <w:szCs w:val="22"/>
          <w:lang w:val="en-GB"/>
        </w:rPr>
        <w:t xml:space="preserve"> (</w:t>
      </w:r>
      <w:r w:rsidR="00272AAD" w:rsidRPr="004807AA">
        <w:rPr>
          <w:szCs w:val="22"/>
          <w:lang w:val="en-GB"/>
        </w:rPr>
        <w:fldChar w:fldCharType="begin"/>
      </w:r>
      <w:r w:rsidR="00272AAD" w:rsidRPr="004807AA">
        <w:rPr>
          <w:szCs w:val="22"/>
          <w:lang w:val="en-GB"/>
        </w:rPr>
        <w:instrText xml:space="preserve"> REF _Ref318458630 \h </w:instrText>
      </w:r>
      <w:r w:rsidR="00015190" w:rsidRPr="004807AA">
        <w:rPr>
          <w:szCs w:val="22"/>
          <w:lang w:val="en-GB"/>
        </w:rPr>
        <w:instrText xml:space="preserve"> \* MERGEFORMAT </w:instrText>
      </w:r>
      <w:r w:rsidR="00272AAD" w:rsidRPr="004807AA">
        <w:rPr>
          <w:szCs w:val="22"/>
          <w:lang w:val="en-GB"/>
        </w:rPr>
      </w:r>
      <w:r w:rsidR="00272AAD" w:rsidRPr="004807AA">
        <w:rPr>
          <w:szCs w:val="22"/>
          <w:lang w:val="en-GB"/>
        </w:rPr>
        <w:fldChar w:fldCharType="separate"/>
      </w:r>
      <w:r w:rsidR="009C068F" w:rsidRPr="009C068F">
        <w:rPr>
          <w:szCs w:val="22"/>
        </w:rPr>
        <w:t xml:space="preserve">Figure </w:t>
      </w:r>
      <w:r w:rsidR="009C068F" w:rsidRPr="009C068F">
        <w:rPr>
          <w:noProof/>
          <w:szCs w:val="22"/>
        </w:rPr>
        <w:t>101</w:t>
      </w:r>
      <w:r w:rsidR="00272AAD" w:rsidRPr="004807AA">
        <w:rPr>
          <w:szCs w:val="22"/>
          <w:lang w:val="en-GB"/>
        </w:rPr>
        <w:fldChar w:fldCharType="end"/>
      </w:r>
      <w:r w:rsidRPr="004807AA">
        <w:rPr>
          <w:szCs w:val="22"/>
          <w:lang w:val="en-GB"/>
        </w:rPr>
        <w:t xml:space="preserve">). A </w:t>
      </w:r>
      <w:proofErr w:type="spellStart"/>
      <w:r w:rsidRPr="004807AA">
        <w:rPr>
          <w:i/>
          <w:szCs w:val="22"/>
          <w:lang w:val="en-GB"/>
        </w:rPr>
        <w:t>Zostera</w:t>
      </w:r>
      <w:proofErr w:type="spellEnd"/>
      <w:r w:rsidRPr="004807AA">
        <w:rPr>
          <w:i/>
          <w:szCs w:val="22"/>
          <w:lang w:val="en-GB"/>
        </w:rPr>
        <w:t xml:space="preserve"> </w:t>
      </w:r>
      <w:proofErr w:type="spellStart"/>
      <w:r w:rsidRPr="004807AA">
        <w:rPr>
          <w:i/>
          <w:szCs w:val="22"/>
          <w:lang w:val="en-GB"/>
        </w:rPr>
        <w:t>muelleri</w:t>
      </w:r>
      <w:proofErr w:type="spellEnd"/>
      <w:r w:rsidRPr="004807AA">
        <w:rPr>
          <w:szCs w:val="22"/>
          <w:lang w:val="en-GB"/>
        </w:rPr>
        <w:t xml:space="preserve"> seed bank persisted throughout the year </w:t>
      </w:r>
      <w:r w:rsidR="00DE3A36" w:rsidRPr="004807AA">
        <w:rPr>
          <w:szCs w:val="22"/>
          <w:lang w:val="en-GB"/>
        </w:rPr>
        <w:t xml:space="preserve">with the </w:t>
      </w:r>
      <w:r w:rsidR="004807AA" w:rsidRPr="004807AA">
        <w:rPr>
          <w:szCs w:val="22"/>
          <w:lang w:val="en-GB"/>
        </w:rPr>
        <w:t>smallest late dry season</w:t>
      </w:r>
      <w:r w:rsidR="00DE3A36" w:rsidRPr="004807AA">
        <w:rPr>
          <w:szCs w:val="22"/>
          <w:lang w:val="en-GB"/>
        </w:rPr>
        <w:t xml:space="preserve"> seed banks since </w:t>
      </w:r>
      <w:r w:rsidR="004807AA" w:rsidRPr="004807AA">
        <w:rPr>
          <w:szCs w:val="22"/>
          <w:lang w:val="en-GB"/>
        </w:rPr>
        <w:t>2010</w:t>
      </w:r>
      <w:r w:rsidR="00DE3A36" w:rsidRPr="004807AA">
        <w:rPr>
          <w:szCs w:val="22"/>
          <w:lang w:val="en-GB"/>
        </w:rPr>
        <w:t xml:space="preserve"> </w:t>
      </w:r>
      <w:r w:rsidRPr="004807AA">
        <w:rPr>
          <w:szCs w:val="22"/>
          <w:lang w:val="en-GB"/>
        </w:rPr>
        <w:t>(</w:t>
      </w:r>
      <w:r w:rsidR="00272AAD" w:rsidRPr="004807AA">
        <w:rPr>
          <w:szCs w:val="22"/>
          <w:lang w:val="en-GB"/>
        </w:rPr>
        <w:fldChar w:fldCharType="begin"/>
      </w:r>
      <w:r w:rsidR="00272AAD" w:rsidRPr="004807AA">
        <w:rPr>
          <w:szCs w:val="22"/>
          <w:lang w:val="en-GB"/>
        </w:rPr>
        <w:instrText xml:space="preserve"> REF _Ref318458630 \h </w:instrText>
      </w:r>
      <w:r w:rsidR="00015190" w:rsidRPr="004807AA">
        <w:rPr>
          <w:szCs w:val="22"/>
          <w:lang w:val="en-GB"/>
        </w:rPr>
        <w:instrText xml:space="preserve"> \* MERGEFORMAT </w:instrText>
      </w:r>
      <w:r w:rsidR="00272AAD" w:rsidRPr="004807AA">
        <w:rPr>
          <w:szCs w:val="22"/>
          <w:lang w:val="en-GB"/>
        </w:rPr>
      </w:r>
      <w:r w:rsidR="00272AAD" w:rsidRPr="004807AA">
        <w:rPr>
          <w:szCs w:val="22"/>
          <w:lang w:val="en-GB"/>
        </w:rPr>
        <w:fldChar w:fldCharType="separate"/>
      </w:r>
      <w:r w:rsidR="009C068F" w:rsidRPr="009C068F">
        <w:rPr>
          <w:szCs w:val="22"/>
        </w:rPr>
        <w:t xml:space="preserve">Figure </w:t>
      </w:r>
      <w:r w:rsidR="009C068F" w:rsidRPr="009C068F">
        <w:rPr>
          <w:noProof/>
          <w:szCs w:val="22"/>
        </w:rPr>
        <w:t>101</w:t>
      </w:r>
      <w:r w:rsidR="00272AAD" w:rsidRPr="004807AA">
        <w:rPr>
          <w:szCs w:val="22"/>
          <w:lang w:val="en-GB"/>
        </w:rPr>
        <w:fldChar w:fldCharType="end"/>
      </w:r>
      <w:r w:rsidR="00DE3A36" w:rsidRPr="004807AA">
        <w:rPr>
          <w:szCs w:val="22"/>
          <w:lang w:val="en-GB"/>
        </w:rPr>
        <w:t>);</w:t>
      </w:r>
      <w:r w:rsidRPr="004807AA">
        <w:rPr>
          <w:szCs w:val="22"/>
          <w:lang w:val="en-GB"/>
        </w:rPr>
        <w:t xml:space="preserve"> </w:t>
      </w:r>
      <w:r w:rsidRPr="004807AA">
        <w:rPr>
          <w:rFonts w:cs="TimesNewRoman,Italic"/>
          <w:iCs/>
          <w:szCs w:val="22"/>
        </w:rPr>
        <w:t xml:space="preserve">indicating a </w:t>
      </w:r>
      <w:r w:rsidR="004807AA" w:rsidRPr="004807AA">
        <w:rPr>
          <w:rFonts w:cs="TimesNewRoman,Italic"/>
          <w:iCs/>
          <w:szCs w:val="22"/>
        </w:rPr>
        <w:t>reduced</w:t>
      </w:r>
      <w:r w:rsidRPr="004807AA">
        <w:rPr>
          <w:rFonts w:cs="TimesNewRoman,Italic"/>
          <w:iCs/>
          <w:szCs w:val="22"/>
        </w:rPr>
        <w:t xml:space="preserve"> capacity to recover following disturbance</w:t>
      </w:r>
      <w:r w:rsidR="00DE3A36" w:rsidRPr="004807AA">
        <w:rPr>
          <w:rFonts w:cs="TimesNewRoman,Italic"/>
          <w:iCs/>
          <w:szCs w:val="22"/>
        </w:rPr>
        <w:t>. H</w:t>
      </w:r>
      <w:proofErr w:type="spellStart"/>
      <w:r w:rsidRPr="004807AA">
        <w:rPr>
          <w:szCs w:val="22"/>
          <w:lang w:val="en-GB"/>
        </w:rPr>
        <w:t>owever</w:t>
      </w:r>
      <w:proofErr w:type="spellEnd"/>
      <w:r w:rsidRPr="004807AA">
        <w:rPr>
          <w:szCs w:val="22"/>
          <w:lang w:val="en-GB"/>
        </w:rPr>
        <w:t xml:space="preserve">, the </w:t>
      </w:r>
      <w:r w:rsidR="004807AA" w:rsidRPr="004807AA">
        <w:rPr>
          <w:szCs w:val="22"/>
          <w:lang w:val="en-GB"/>
        </w:rPr>
        <w:t xml:space="preserve">improving </w:t>
      </w:r>
      <w:r w:rsidRPr="004807AA">
        <w:rPr>
          <w:szCs w:val="22"/>
          <w:lang w:val="en-GB"/>
        </w:rPr>
        <w:t xml:space="preserve">reproductive effort </w:t>
      </w:r>
      <w:r w:rsidRPr="004807AA">
        <w:rPr>
          <w:rFonts w:cs="TimesNewRoman,Italic"/>
          <w:iCs/>
          <w:szCs w:val="22"/>
        </w:rPr>
        <w:t xml:space="preserve">suggests seed bank </w:t>
      </w:r>
      <w:r w:rsidR="004807AA" w:rsidRPr="004807AA">
        <w:rPr>
          <w:rFonts w:cs="TimesNewRoman,Italic"/>
          <w:iCs/>
          <w:szCs w:val="22"/>
        </w:rPr>
        <w:t>recovery</w:t>
      </w:r>
      <w:r w:rsidRPr="004807AA">
        <w:rPr>
          <w:rFonts w:cs="TimesNewRoman,Italic"/>
          <w:iCs/>
          <w:szCs w:val="22"/>
        </w:rPr>
        <w:t xml:space="preserve"> in the near future due to </w:t>
      </w:r>
      <w:r w:rsidR="004807AA" w:rsidRPr="004807AA">
        <w:rPr>
          <w:rFonts w:cs="TimesNewRoman,Italic"/>
          <w:iCs/>
          <w:szCs w:val="22"/>
        </w:rPr>
        <w:t>increased</w:t>
      </w:r>
      <w:r w:rsidRPr="004807AA">
        <w:rPr>
          <w:rFonts w:cs="TimesNewRoman,Italic"/>
          <w:iCs/>
          <w:szCs w:val="22"/>
        </w:rPr>
        <w:t xml:space="preserve"> replenishment.</w:t>
      </w:r>
    </w:p>
    <w:p w:rsidR="003E1D94" w:rsidRPr="003E1D94" w:rsidRDefault="003E1D94" w:rsidP="003E1D94">
      <w:pPr>
        <w:autoSpaceDE w:val="0"/>
        <w:autoSpaceDN w:val="0"/>
        <w:adjustRightInd w:val="0"/>
        <w:jc w:val="center"/>
        <w:rPr>
          <w:rFonts w:cs="TimesNewRoman,Italic"/>
          <w:iCs/>
          <w:szCs w:val="22"/>
        </w:rPr>
      </w:pPr>
      <w:r w:rsidRPr="003E1D94">
        <w:rPr>
          <w:rFonts w:cs="TimesNewRoman,Italic"/>
          <w:iCs/>
          <w:noProof/>
          <w:szCs w:val="22"/>
          <w:lang w:eastAsia="en-AU"/>
        </w:rPr>
        <w:lastRenderedPageBreak/>
        <w:drawing>
          <wp:inline distT="0" distB="0" distL="0" distR="0" wp14:anchorId="036043E9" wp14:editId="1F19E0F8">
            <wp:extent cx="4567977" cy="2923504"/>
            <wp:effectExtent l="0" t="0" r="4445" b="0"/>
            <wp:docPr id="543" name="Picture 543" descr="Panel of three composite bar and scatter plot graphs showing seed banks (bars) and reproductive effort (dots) at inshore estuarine habitats in the Burnett Mary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pro15.png"/>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4571670" cy="2925867"/>
                    </a:xfrm>
                    <a:prstGeom prst="rect">
                      <a:avLst/>
                    </a:prstGeom>
                  </pic:spPr>
                </pic:pic>
              </a:graphicData>
            </a:graphic>
          </wp:inline>
        </w:drawing>
      </w:r>
    </w:p>
    <w:p w:rsidR="00DE3A36" w:rsidRPr="00DE3A36" w:rsidRDefault="005132EF" w:rsidP="00DE3A36">
      <w:pPr>
        <w:rPr>
          <w:i/>
          <w:vanish/>
          <w:color w:val="000000"/>
          <w:specVanish/>
        </w:rPr>
      </w:pPr>
      <w:bookmarkStart w:id="568" w:name="_Ref318458630"/>
      <w:bookmarkStart w:id="569" w:name="_Toc431493904"/>
      <w:bookmarkStart w:id="570" w:name="_Toc462684941"/>
      <w:r w:rsidRPr="000D2ADB">
        <w:t xml:space="preserve">Figure </w:t>
      </w:r>
      <w:fldSimple w:instr=" SEQ Figure \* ARABIC ">
        <w:r w:rsidR="009C068F">
          <w:rPr>
            <w:noProof/>
          </w:rPr>
          <w:t>101</w:t>
        </w:r>
      </w:fldSimple>
      <w:bookmarkEnd w:id="568"/>
      <w:r w:rsidRPr="000D2ADB">
        <w:t xml:space="preserve">. </w:t>
      </w:r>
      <w:r w:rsidR="008C23B1" w:rsidRPr="00DE3A36">
        <w:rPr>
          <w:i/>
        </w:rPr>
        <w:t>Burnett Mary estuary seed bank and reproductive effort</w:t>
      </w:r>
      <w:r w:rsidR="00C73F73" w:rsidRPr="00DE3A36">
        <w:rPr>
          <w:i/>
        </w:rPr>
        <w:t>.</w:t>
      </w:r>
      <w:bookmarkEnd w:id="569"/>
      <w:bookmarkEnd w:id="570"/>
      <w:r w:rsidR="00C73F73" w:rsidRPr="00DE3A36">
        <w:rPr>
          <w:i/>
          <w:vanish/>
          <w:szCs w:val="22"/>
          <w:specVanish/>
        </w:rPr>
        <w:t xml:space="preserve"> </w:t>
      </w:r>
      <w:r w:rsidR="00C73F73" w:rsidRPr="00DE3A36">
        <w:rPr>
          <w:i/>
        </w:rPr>
        <w:t xml:space="preserve"> </w:t>
      </w:r>
    </w:p>
    <w:p w:rsidR="004926CE" w:rsidRDefault="00C73F73" w:rsidP="00DE3A36">
      <w:r w:rsidRPr="00DE3A36">
        <w:rPr>
          <w:i/>
        </w:rPr>
        <w:t>Seed bank presented as the total number of seeds per m</w:t>
      </w:r>
      <w:r w:rsidRPr="00DE3A36">
        <w:rPr>
          <w:i/>
          <w:vertAlign w:val="superscript"/>
        </w:rPr>
        <w:t>2</w:t>
      </w:r>
      <w:r w:rsidRPr="00DE3A36">
        <w:rPr>
          <w:i/>
        </w:rPr>
        <w:t xml:space="preserve"> sediment surface and reproductive effort</w:t>
      </w:r>
      <w:r w:rsidR="008C23B1" w:rsidRPr="00DE3A36">
        <w:rPr>
          <w:i/>
        </w:rPr>
        <w:t xml:space="preserve"> presented as the average number of reproductive structures per c</w:t>
      </w:r>
      <w:r w:rsidR="002C16F4" w:rsidRPr="00DE3A36">
        <w:rPr>
          <w:i/>
        </w:rPr>
        <w:t>ore (species and sites pooled)</w:t>
      </w:r>
      <w:r w:rsidR="008C23B1" w:rsidRPr="00DE3A36">
        <w:rPr>
          <w:i/>
        </w:rPr>
        <w:t>.</w:t>
      </w:r>
      <w:r w:rsidRPr="000D2ADB">
        <w:t xml:space="preserve"> </w:t>
      </w:r>
    </w:p>
    <w:p w:rsidR="00BC4EC5" w:rsidRDefault="00BC4EC5" w:rsidP="00BC4EC5">
      <w:pPr>
        <w:rPr>
          <w:lang w:val="en-GB"/>
        </w:rPr>
      </w:pPr>
    </w:p>
    <w:p w:rsidR="00BC4EC5" w:rsidRPr="00BD0604" w:rsidRDefault="00FF0A86" w:rsidP="00926892">
      <w:pPr>
        <w:pStyle w:val="Heading3"/>
        <w:numPr>
          <w:ilvl w:val="2"/>
          <w:numId w:val="9"/>
        </w:numPr>
        <w:rPr>
          <w:rFonts w:ascii="Arial" w:hAnsi="Arial" w:cs="Arial"/>
          <w:color w:val="000000"/>
        </w:rPr>
      </w:pPr>
      <w:bookmarkStart w:id="571" w:name="_Toc462047370"/>
      <w:r>
        <w:rPr>
          <w:rFonts w:ascii="Arial" w:hAnsi="Arial" w:cs="Arial"/>
          <w:color w:val="000000"/>
        </w:rPr>
        <w:t>Indicators of environmental condition</w:t>
      </w:r>
      <w:bookmarkEnd w:id="571"/>
    </w:p>
    <w:p w:rsidR="005132EF" w:rsidRPr="001D05D4" w:rsidRDefault="005132EF" w:rsidP="001D05D4">
      <w:pPr>
        <w:pStyle w:val="Heading4"/>
        <w:numPr>
          <w:ilvl w:val="0"/>
          <w:numId w:val="0"/>
        </w:numPr>
        <w:rPr>
          <w:rFonts w:ascii="Arial" w:hAnsi="Arial" w:cs="Arial"/>
          <w:sz w:val="24"/>
          <w:szCs w:val="24"/>
        </w:rPr>
      </w:pPr>
      <w:r w:rsidRPr="001D05D4">
        <w:rPr>
          <w:rFonts w:ascii="Arial" w:hAnsi="Arial" w:cs="Arial"/>
          <w:sz w:val="24"/>
          <w:szCs w:val="24"/>
        </w:rPr>
        <w:t>Seagrass tissue nutrients</w:t>
      </w:r>
    </w:p>
    <w:p w:rsidR="005132EF" w:rsidRPr="009D5DBA" w:rsidRDefault="005132EF" w:rsidP="00034AD4">
      <w:pPr>
        <w:rPr>
          <w:rFonts w:cs="TimesNewRoman,Italic"/>
          <w:iCs/>
          <w:szCs w:val="22"/>
        </w:rPr>
      </w:pPr>
      <w:r w:rsidRPr="004807AA">
        <w:rPr>
          <w:rFonts w:cs="TimesNewRoman,Italic"/>
          <w:iCs/>
          <w:szCs w:val="22"/>
        </w:rPr>
        <w:t>In 201</w:t>
      </w:r>
      <w:r w:rsidR="004807AA" w:rsidRPr="004807AA">
        <w:rPr>
          <w:rFonts w:cs="TimesNewRoman,Italic"/>
          <w:iCs/>
          <w:szCs w:val="22"/>
        </w:rPr>
        <w:t>4</w:t>
      </w:r>
      <w:r w:rsidRPr="004807AA">
        <w:rPr>
          <w:rFonts w:cs="TimesNewRoman,Italic"/>
          <w:iCs/>
          <w:szCs w:val="22"/>
        </w:rPr>
        <w:t xml:space="preserve">, </w:t>
      </w:r>
      <w:proofErr w:type="spellStart"/>
      <w:r w:rsidR="00B55FCB" w:rsidRPr="009D5DBA">
        <w:rPr>
          <w:i/>
          <w:szCs w:val="22"/>
        </w:rPr>
        <w:t>Zostera</w:t>
      </w:r>
      <w:proofErr w:type="spellEnd"/>
      <w:r w:rsidR="00B55FCB" w:rsidRPr="009D5DBA">
        <w:rPr>
          <w:i/>
          <w:szCs w:val="22"/>
        </w:rPr>
        <w:t xml:space="preserve"> </w:t>
      </w:r>
      <w:proofErr w:type="spellStart"/>
      <w:r w:rsidR="00B55FCB" w:rsidRPr="009D5DBA">
        <w:rPr>
          <w:i/>
          <w:szCs w:val="22"/>
        </w:rPr>
        <w:t>muelleri</w:t>
      </w:r>
      <w:proofErr w:type="spellEnd"/>
      <w:r w:rsidR="00B55FCB" w:rsidRPr="009D5DBA">
        <w:rPr>
          <w:szCs w:val="22"/>
        </w:rPr>
        <w:t xml:space="preserve"> </w:t>
      </w:r>
      <w:r w:rsidR="00B55FCB" w:rsidRPr="009D5DBA">
        <w:rPr>
          <w:rFonts w:cs="TimesNewRoman,Italic"/>
          <w:iCs/>
          <w:szCs w:val="22"/>
        </w:rPr>
        <w:t>leaf molar C</w:t>
      </w:r>
      <w:proofErr w:type="gramStart"/>
      <w:r w:rsidR="00B55FCB" w:rsidRPr="009D5DBA">
        <w:rPr>
          <w:rFonts w:cs="TimesNewRoman,Italic"/>
          <w:iCs/>
          <w:szCs w:val="22"/>
        </w:rPr>
        <w:t>:N</w:t>
      </w:r>
      <w:proofErr w:type="gramEnd"/>
      <w:r w:rsidR="00B55FCB" w:rsidRPr="009D5DBA">
        <w:rPr>
          <w:rFonts w:cs="TimesNewRoman,Italic"/>
          <w:iCs/>
          <w:szCs w:val="22"/>
        </w:rPr>
        <w:t xml:space="preserve"> ratios </w:t>
      </w:r>
      <w:r w:rsidR="004807AA" w:rsidRPr="009D5DBA">
        <w:rPr>
          <w:rFonts w:cs="TimesNewRoman,Italic"/>
          <w:iCs/>
          <w:szCs w:val="22"/>
        </w:rPr>
        <w:t>de</w:t>
      </w:r>
      <w:r w:rsidR="0096368A" w:rsidRPr="009D5DBA">
        <w:rPr>
          <w:rFonts w:cs="TimesNewRoman,Italic"/>
          <w:iCs/>
          <w:szCs w:val="22"/>
        </w:rPr>
        <w:t xml:space="preserve">creased </w:t>
      </w:r>
      <w:r w:rsidR="004807AA" w:rsidRPr="009D5DBA">
        <w:rPr>
          <w:rFonts w:cs="TimesNewRoman,Italic"/>
          <w:iCs/>
          <w:szCs w:val="22"/>
        </w:rPr>
        <w:t>below</w:t>
      </w:r>
      <w:r w:rsidRPr="009D5DBA">
        <w:rPr>
          <w:rFonts w:cs="TimesNewRoman,Italic"/>
          <w:iCs/>
          <w:szCs w:val="22"/>
        </w:rPr>
        <w:t xml:space="preserve"> 20</w:t>
      </w:r>
      <w:r w:rsidR="009D5DBA" w:rsidRPr="009D5DBA">
        <w:rPr>
          <w:rFonts w:cs="TimesNewRoman,Italic"/>
          <w:iCs/>
          <w:szCs w:val="22"/>
        </w:rPr>
        <w:t>;</w:t>
      </w:r>
      <w:r w:rsidR="0096368A" w:rsidRPr="009D5DBA">
        <w:rPr>
          <w:rFonts w:cs="TimesNewRoman,Italic"/>
          <w:iCs/>
          <w:szCs w:val="22"/>
        </w:rPr>
        <w:t xml:space="preserve"> </w:t>
      </w:r>
      <w:r w:rsidR="004807AA" w:rsidRPr="009D5DBA">
        <w:rPr>
          <w:rFonts w:cs="TimesNewRoman,Italic"/>
          <w:iCs/>
          <w:szCs w:val="22"/>
        </w:rPr>
        <w:t xml:space="preserve">after </w:t>
      </w:r>
      <w:r w:rsidR="009D5DBA" w:rsidRPr="009D5DBA">
        <w:rPr>
          <w:rFonts w:cs="TimesNewRoman,Italic"/>
          <w:iCs/>
          <w:szCs w:val="22"/>
        </w:rPr>
        <w:t xml:space="preserve">briefly </w:t>
      </w:r>
      <w:r w:rsidR="004807AA" w:rsidRPr="009D5DBA">
        <w:rPr>
          <w:rFonts w:cs="TimesNewRoman,Italic"/>
          <w:iCs/>
          <w:szCs w:val="22"/>
        </w:rPr>
        <w:t>increasing above in 2013 (</w:t>
      </w:r>
      <w:r w:rsidR="0096368A" w:rsidRPr="009D5DBA">
        <w:rPr>
          <w:rFonts w:cs="TimesNewRoman,Italic"/>
          <w:iCs/>
          <w:szCs w:val="22"/>
        </w:rPr>
        <w:t>the first time in 7 years</w:t>
      </w:r>
      <w:r w:rsidR="004807AA" w:rsidRPr="009D5DBA">
        <w:rPr>
          <w:rFonts w:cs="TimesNewRoman,Italic"/>
          <w:iCs/>
          <w:szCs w:val="22"/>
        </w:rPr>
        <w:t>)</w:t>
      </w:r>
      <w:r w:rsidRPr="009D5DBA">
        <w:rPr>
          <w:rFonts w:cs="TimesNewRoman,Italic"/>
          <w:iCs/>
          <w:szCs w:val="22"/>
        </w:rPr>
        <w:t xml:space="preserve"> </w:t>
      </w:r>
      <w:r w:rsidR="00830213" w:rsidRPr="009D5DBA">
        <w:rPr>
          <w:rFonts w:cs="TimesNewRoman,Italic"/>
          <w:iCs/>
          <w:szCs w:val="22"/>
        </w:rPr>
        <w:t>(</w:t>
      </w:r>
      <w:r w:rsidR="00830213" w:rsidRPr="009D5DBA">
        <w:rPr>
          <w:rFonts w:cs="TimesNewRoman,Italic"/>
          <w:iCs/>
          <w:szCs w:val="22"/>
        </w:rPr>
        <w:fldChar w:fldCharType="begin"/>
      </w:r>
      <w:r w:rsidR="00830213" w:rsidRPr="009D5DBA">
        <w:rPr>
          <w:rFonts w:cs="TimesNewRoman,Italic"/>
          <w:iCs/>
          <w:szCs w:val="22"/>
        </w:rPr>
        <w:instrText xml:space="preserve"> REF _Ref410308585 \h </w:instrText>
      </w:r>
      <w:r w:rsidR="003E1D94" w:rsidRPr="009D5DBA">
        <w:rPr>
          <w:rFonts w:cs="TimesNewRoman,Italic"/>
          <w:iCs/>
          <w:szCs w:val="22"/>
        </w:rPr>
        <w:instrText xml:space="preserve"> \* MERGEFORMAT </w:instrText>
      </w:r>
      <w:r w:rsidR="00830213" w:rsidRPr="009D5DBA">
        <w:rPr>
          <w:rFonts w:cs="TimesNewRoman,Italic"/>
          <w:iCs/>
          <w:szCs w:val="22"/>
        </w:rPr>
      </w:r>
      <w:r w:rsidR="00830213" w:rsidRPr="009D5DBA">
        <w:rPr>
          <w:rFonts w:cs="TimesNewRoman,Italic"/>
          <w:iCs/>
          <w:szCs w:val="22"/>
        </w:rPr>
        <w:fldChar w:fldCharType="separate"/>
      </w:r>
      <w:r w:rsidR="009C068F" w:rsidRPr="00830213">
        <w:t xml:space="preserve">Figure </w:t>
      </w:r>
      <w:r w:rsidR="009C068F">
        <w:rPr>
          <w:noProof/>
        </w:rPr>
        <w:t>102</w:t>
      </w:r>
      <w:r w:rsidR="00830213" w:rsidRPr="009D5DBA">
        <w:rPr>
          <w:rFonts w:cs="TimesNewRoman,Italic"/>
          <w:iCs/>
          <w:szCs w:val="22"/>
        </w:rPr>
        <w:fldChar w:fldCharType="end"/>
      </w:r>
      <w:r w:rsidR="00830213" w:rsidRPr="0016647F">
        <w:rPr>
          <w:rFonts w:cs="TimesNewRoman,Italic"/>
          <w:iCs/>
          <w:szCs w:val="22"/>
        </w:rPr>
        <w:t xml:space="preserve">); primarily due to the </w:t>
      </w:r>
      <w:r w:rsidR="009D5DBA" w:rsidRPr="0016647F">
        <w:rPr>
          <w:rFonts w:cs="TimesNewRoman,Italic"/>
          <w:iCs/>
          <w:szCs w:val="22"/>
        </w:rPr>
        <w:t>lower</w:t>
      </w:r>
      <w:r w:rsidR="00830213" w:rsidRPr="0016647F">
        <w:rPr>
          <w:rFonts w:cs="TimesNewRoman,Italic"/>
          <w:iCs/>
          <w:szCs w:val="22"/>
        </w:rPr>
        <w:t xml:space="preserve"> C:N ratios at Urangan, rather than </w:t>
      </w:r>
      <w:proofErr w:type="spellStart"/>
      <w:r w:rsidR="00830213" w:rsidRPr="0016647F">
        <w:rPr>
          <w:rFonts w:cs="TimesNewRoman,Italic"/>
          <w:iCs/>
          <w:szCs w:val="22"/>
        </w:rPr>
        <w:t>Rodds</w:t>
      </w:r>
      <w:proofErr w:type="spellEnd"/>
      <w:r w:rsidR="00830213" w:rsidRPr="0016647F">
        <w:rPr>
          <w:rFonts w:cs="TimesNewRoman,Italic"/>
          <w:iCs/>
          <w:szCs w:val="22"/>
        </w:rPr>
        <w:t xml:space="preserve"> Bay (which remained &lt;20)</w:t>
      </w:r>
      <w:r w:rsidR="00830213" w:rsidRPr="009D5DBA">
        <w:rPr>
          <w:rFonts w:cs="TimesNewRoman,Italic"/>
          <w:iCs/>
          <w:szCs w:val="22"/>
        </w:rPr>
        <w:t xml:space="preserve"> (Appendix </w:t>
      </w:r>
      <w:r w:rsidR="009D5DBA" w:rsidRPr="009D5DBA">
        <w:rPr>
          <w:rFonts w:cs="TimesNewRoman,Italic"/>
          <w:iCs/>
          <w:szCs w:val="22"/>
        </w:rPr>
        <w:t>4</w:t>
      </w:r>
      <w:r w:rsidR="00830213" w:rsidRPr="009D5DBA">
        <w:rPr>
          <w:rFonts w:cs="TimesNewRoman,Italic"/>
          <w:iCs/>
          <w:szCs w:val="22"/>
        </w:rPr>
        <w:t xml:space="preserve">, </w:t>
      </w:r>
      <w:r w:rsidR="00830213" w:rsidRPr="009D5DBA">
        <w:rPr>
          <w:rFonts w:cs="TimesNewRoman,Italic"/>
          <w:iCs/>
          <w:szCs w:val="22"/>
        </w:rPr>
        <w:fldChar w:fldCharType="begin"/>
      </w:r>
      <w:r w:rsidR="00830213" w:rsidRPr="009D5DBA">
        <w:rPr>
          <w:rFonts w:cs="TimesNewRoman,Italic"/>
          <w:iCs/>
          <w:szCs w:val="22"/>
        </w:rPr>
        <w:instrText xml:space="preserve"> REF _Ref271135628 \h  \* MERGEFORMAT </w:instrText>
      </w:r>
      <w:r w:rsidR="00830213" w:rsidRPr="009D5DBA">
        <w:rPr>
          <w:rFonts w:cs="TimesNewRoman,Italic"/>
          <w:iCs/>
          <w:szCs w:val="22"/>
        </w:rPr>
      </w:r>
      <w:r w:rsidR="00830213" w:rsidRPr="009D5DBA">
        <w:rPr>
          <w:rFonts w:cs="TimesNewRoman,Italic"/>
          <w:iCs/>
          <w:szCs w:val="22"/>
        </w:rPr>
        <w:fldChar w:fldCharType="separate"/>
      </w:r>
      <w:r w:rsidR="009C068F" w:rsidRPr="009C068F">
        <w:rPr>
          <w:szCs w:val="22"/>
        </w:rPr>
        <w:t xml:space="preserve">Figure </w:t>
      </w:r>
      <w:r w:rsidR="009C068F" w:rsidRPr="009C068F">
        <w:rPr>
          <w:noProof/>
          <w:szCs w:val="22"/>
        </w:rPr>
        <w:t>229</w:t>
      </w:r>
      <w:r w:rsidR="00830213" w:rsidRPr="009D5DBA">
        <w:rPr>
          <w:rFonts w:cs="TimesNewRoman,Italic"/>
          <w:iCs/>
          <w:szCs w:val="22"/>
        </w:rPr>
        <w:fldChar w:fldCharType="end"/>
      </w:r>
      <w:r w:rsidR="00830213" w:rsidRPr="009D5DBA">
        <w:rPr>
          <w:rFonts w:cs="TimesNewRoman,Italic"/>
          <w:iCs/>
          <w:szCs w:val="22"/>
        </w:rPr>
        <w:t xml:space="preserve">). </w:t>
      </w:r>
      <w:r w:rsidR="00272AAD" w:rsidRPr="009D5DBA">
        <w:rPr>
          <w:rFonts w:cs="TimesNewRoman,Italic"/>
          <w:iCs/>
          <w:szCs w:val="22"/>
        </w:rPr>
        <w:t xml:space="preserve"> </w:t>
      </w:r>
      <w:r w:rsidR="00B55FCB" w:rsidRPr="009D5DBA">
        <w:rPr>
          <w:szCs w:val="22"/>
        </w:rPr>
        <w:t>δ</w:t>
      </w:r>
      <w:r w:rsidR="00B55FCB" w:rsidRPr="009D5DBA">
        <w:rPr>
          <w:szCs w:val="22"/>
          <w:vertAlign w:val="superscript"/>
        </w:rPr>
        <w:t>13</w:t>
      </w:r>
      <w:r w:rsidR="00B55FCB" w:rsidRPr="009D5DBA">
        <w:rPr>
          <w:szCs w:val="22"/>
        </w:rPr>
        <w:t xml:space="preserve">C values were within global ranges (Appendix </w:t>
      </w:r>
      <w:r w:rsidR="009D5DBA">
        <w:rPr>
          <w:szCs w:val="22"/>
        </w:rPr>
        <w:t>4</w:t>
      </w:r>
      <w:r w:rsidR="00B55FCB" w:rsidRPr="009D5DBA">
        <w:rPr>
          <w:szCs w:val="22"/>
        </w:rPr>
        <w:t xml:space="preserve">), suggesting sufficient </w:t>
      </w:r>
      <w:r w:rsidR="00830213" w:rsidRPr="009D5DBA">
        <w:rPr>
          <w:szCs w:val="22"/>
        </w:rPr>
        <w:t xml:space="preserve">but possibly low </w:t>
      </w:r>
      <w:r w:rsidR="00B55FCB" w:rsidRPr="009D5DBA">
        <w:rPr>
          <w:szCs w:val="22"/>
        </w:rPr>
        <w:t>carbon available for growth</w:t>
      </w:r>
      <w:r w:rsidR="00B55FCB" w:rsidRPr="009D5DBA">
        <w:rPr>
          <w:rFonts w:cs="TimesNewRoman,Italic"/>
          <w:iCs/>
          <w:szCs w:val="22"/>
        </w:rPr>
        <w:t>.</w:t>
      </w:r>
    </w:p>
    <w:p w:rsidR="003E1D94" w:rsidRPr="003D30A6" w:rsidRDefault="003E1D94" w:rsidP="00034AD4">
      <w:pPr>
        <w:rPr>
          <w:rFonts w:cs="TimesNewRoman,Italic"/>
          <w:iCs/>
          <w:color w:val="000000"/>
          <w:szCs w:val="22"/>
        </w:rPr>
      </w:pPr>
      <w:r>
        <w:rPr>
          <w:rFonts w:cs="TimesNewRoman,Italic"/>
          <w:iCs/>
          <w:noProof/>
          <w:color w:val="000000"/>
          <w:szCs w:val="22"/>
          <w:lang w:eastAsia="en-AU"/>
        </w:rPr>
        <w:drawing>
          <wp:inline distT="0" distB="0" distL="0" distR="0" wp14:anchorId="3ED83AB9" wp14:editId="0851A0A1">
            <wp:extent cx="5759450" cy="1582420"/>
            <wp:effectExtent l="0" t="0" r="0" b="0"/>
            <wp:docPr id="289" name="Picture 289" descr="Panel of three scatter plots with straight lines and markers showing elemental ratios (atomic) of seagrass leaf tissue C:N, N:P and C:P for the foundation species in inshore estuarine habitats in the Burnett Mary NRM region from 2005 to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CNP_Dec15.png"/>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5759450" cy="1582420"/>
                    </a:xfrm>
                    <a:prstGeom prst="rect">
                      <a:avLst/>
                    </a:prstGeom>
                  </pic:spPr>
                </pic:pic>
              </a:graphicData>
            </a:graphic>
          </wp:inline>
        </w:drawing>
      </w:r>
    </w:p>
    <w:p w:rsidR="00830213" w:rsidRPr="00EB666B" w:rsidRDefault="00830213" w:rsidP="00830213">
      <w:pPr>
        <w:rPr>
          <w:i/>
          <w:vanish/>
          <w:color w:val="000000"/>
          <w:szCs w:val="22"/>
          <w:specVanish/>
        </w:rPr>
      </w:pPr>
      <w:bookmarkStart w:id="572" w:name="_Ref410308585"/>
      <w:bookmarkStart w:id="573" w:name="_Toc431493906"/>
      <w:bookmarkStart w:id="574" w:name="_Toc462684942"/>
      <w:r w:rsidRPr="00830213">
        <w:t xml:space="preserve">Figure </w:t>
      </w:r>
      <w:fldSimple w:instr=" SEQ Figure \* ARABIC ">
        <w:r w:rsidR="009C068F">
          <w:rPr>
            <w:noProof/>
          </w:rPr>
          <w:t>102</w:t>
        </w:r>
      </w:fldSimple>
      <w:bookmarkEnd w:id="572"/>
      <w:r>
        <w:t xml:space="preserve">. </w:t>
      </w:r>
      <w:r w:rsidR="00257830" w:rsidRPr="00257830">
        <w:rPr>
          <w:i/>
        </w:rPr>
        <w:t>Elemental ratios (atomic) of seagrass leaf tissue C:N, N:P and C:P for the foundation seagrass species examined at estuarine habitats in the Burnett Mary region each year</w:t>
      </w:r>
      <w:bookmarkEnd w:id="573"/>
      <w:bookmarkEnd w:id="574"/>
      <w:r w:rsidR="00257830" w:rsidRPr="00257830">
        <w:t xml:space="preserve"> </w:t>
      </w:r>
    </w:p>
    <w:p w:rsidR="00830213" w:rsidRPr="004807AA" w:rsidRDefault="00830213" w:rsidP="00830213">
      <w:pPr>
        <w:rPr>
          <w:rFonts w:cs="TimesNewRoman,Italic"/>
          <w:iCs/>
          <w:szCs w:val="22"/>
        </w:rPr>
      </w:pPr>
      <w:r w:rsidRPr="00EB666B">
        <w:rPr>
          <w:i/>
          <w:color w:val="000000"/>
          <w:lang w:eastAsia="en-AU"/>
        </w:rPr>
        <w:t xml:space="preserve"> (</w:t>
      </w:r>
      <w:r>
        <w:rPr>
          <w:i/>
          <w:color w:val="000000"/>
          <w:lang w:eastAsia="en-AU"/>
        </w:rPr>
        <w:t xml:space="preserve">sites and </w:t>
      </w:r>
      <w:r w:rsidRPr="00EB666B">
        <w:rPr>
          <w:i/>
          <w:color w:val="000000"/>
          <w:lang w:eastAsia="en-AU"/>
        </w:rPr>
        <w:t xml:space="preserve">species pooled) </w:t>
      </w:r>
      <w:r w:rsidRPr="00EB666B">
        <w:rPr>
          <w:i/>
          <w:color w:val="000000"/>
        </w:rPr>
        <w:t>(mean</w:t>
      </w:r>
      <w:r w:rsidRPr="00EB666B">
        <w:rPr>
          <w:i/>
          <w:color w:val="000000"/>
          <w:lang w:eastAsia="en-AU"/>
        </w:rPr>
        <w:t xml:space="preserve"> ± Standard Error</w:t>
      </w:r>
      <w:r w:rsidRPr="00EB666B">
        <w:rPr>
          <w:i/>
          <w:color w:val="000000"/>
        </w:rPr>
        <w:t>)</w:t>
      </w:r>
      <w:r w:rsidRPr="00EB666B">
        <w:rPr>
          <w:i/>
          <w:color w:val="000000"/>
          <w:lang w:eastAsia="en-AU"/>
        </w:rPr>
        <w:t xml:space="preserve">. Horizontal shaded band on the C:N ratio panel represents the accepted </w:t>
      </w:r>
      <w:r w:rsidRPr="00EB666B">
        <w:rPr>
          <w:i/>
          <w:color w:val="000000"/>
        </w:rPr>
        <w:t xml:space="preserve">guideline </w:t>
      </w:r>
      <w:r w:rsidRPr="00EB666B">
        <w:rPr>
          <w:i/>
          <w:color w:val="000000"/>
          <w:lang w:eastAsia="en-AU"/>
        </w:rPr>
        <w:t xml:space="preserve">seagrass “Redfield” ratio </w:t>
      </w:r>
      <w:r w:rsidRPr="00EB666B">
        <w:rPr>
          <w:i/>
          <w:color w:val="000000"/>
        </w:rPr>
        <w:t>of 20:1 (</w: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rPr>
          <w:i/>
          <w:color w:val="000000"/>
        </w:rPr>
        <w:instrText xml:space="preserve"> ADDIN EN.CITE </w:instrTex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rPr>
          <w:i/>
          <w:color w:val="000000"/>
        </w:rPr>
        <w:instrText xml:space="preserve"> ADDIN EN.CITE.DATA </w:instrText>
      </w:r>
      <w:r w:rsidR="00644A84">
        <w:rPr>
          <w:i/>
          <w:color w:val="000000"/>
        </w:rPr>
      </w:r>
      <w:r w:rsidR="00644A84">
        <w:rPr>
          <w:i/>
          <w:color w:val="000000"/>
        </w:rPr>
        <w:fldChar w:fldCharType="end"/>
      </w:r>
      <w:r w:rsidR="00644A84">
        <w:rPr>
          <w:i/>
          <w:color w:val="000000"/>
        </w:rPr>
      </w:r>
      <w:r w:rsidR="00644A84">
        <w:rPr>
          <w:i/>
          <w:color w:val="000000"/>
        </w:rPr>
        <w:fldChar w:fldCharType="separate"/>
      </w:r>
      <w:hyperlink w:anchor="_ENREF_2" w:tooltip="Abal, 1994 #7405" w:history="1">
        <w:r w:rsidR="00E6043D">
          <w:rPr>
            <w:i/>
            <w:noProof/>
            <w:color w:val="000000"/>
          </w:rPr>
          <w:t>Abal, et al. 1994</w:t>
        </w:r>
      </w:hyperlink>
      <w:r w:rsidR="00644A84">
        <w:rPr>
          <w:i/>
          <w:noProof/>
          <w:color w:val="000000"/>
        </w:rPr>
        <w:t xml:space="preserve">; </w:t>
      </w:r>
      <w:hyperlink w:anchor="_ENREF_118" w:tooltip="Grice, 1996 #1346" w:history="1">
        <w:r w:rsidR="00E6043D">
          <w:rPr>
            <w:i/>
            <w:noProof/>
            <w:color w:val="000000"/>
          </w:rPr>
          <w:t>Grice, et al. 1996</w:t>
        </w:r>
      </w:hyperlink>
      <w:r w:rsidR="00644A84">
        <w:rPr>
          <w:i/>
          <w:color w:val="000000"/>
        </w:rPr>
        <w:fldChar w:fldCharType="end"/>
      </w:r>
      <w:r w:rsidRPr="00EB666B">
        <w:rPr>
          <w:i/>
          <w:color w:val="000000"/>
        </w:rPr>
        <w:t>)</w:t>
      </w:r>
      <w:r w:rsidRPr="00EB666B">
        <w:rPr>
          <w:i/>
          <w:color w:val="000000"/>
          <w:lang w:eastAsia="en-AU"/>
        </w:rPr>
        <w:t xml:space="preserve">. C:N ratios below this line may </w:t>
      </w:r>
      <w:r w:rsidRPr="00EB666B">
        <w:rPr>
          <w:i/>
          <w:color w:val="000000"/>
        </w:rPr>
        <w:t xml:space="preserve">indicate reduced light availability and/or N enrichment. </w:t>
      </w:r>
      <w:r w:rsidRPr="00EB666B">
        <w:rPr>
          <w:i/>
          <w:iCs/>
          <w:color w:val="000000"/>
          <w:szCs w:val="22"/>
          <w:lang w:eastAsia="en-AU"/>
        </w:rPr>
        <w:t>Horizontal shaded band on the N:P ratio panel represents the range of value associated with N:P balance ratio in the plant tissues, i.e. a seagrass “Redfield” ratio (</w:t>
      </w:r>
      <w:r w:rsidR="00644A84">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
          <w:iCs/>
          <w:color w:val="000000"/>
          <w:szCs w:val="22"/>
          <w:lang w:eastAsia="en-AU"/>
        </w:rPr>
        <w:instrText xml:space="preserve"> ADDIN EN.CITE </w:instrText>
      </w:r>
      <w:r w:rsidR="00644A84">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
          <w:iCs/>
          <w:color w:val="000000"/>
          <w:szCs w:val="22"/>
          <w:lang w:eastAsia="en-AU"/>
        </w:rPr>
        <w:instrText xml:space="preserve"> ADDIN EN.CITE.DATA </w:instrText>
      </w:r>
      <w:r w:rsidR="00644A84">
        <w:rPr>
          <w:i/>
          <w:iCs/>
          <w:color w:val="000000"/>
          <w:szCs w:val="22"/>
          <w:lang w:eastAsia="en-AU"/>
        </w:rPr>
      </w:r>
      <w:r w:rsidR="00644A84">
        <w:rPr>
          <w:i/>
          <w:iCs/>
          <w:color w:val="000000"/>
          <w:szCs w:val="22"/>
          <w:lang w:eastAsia="en-AU"/>
        </w:rPr>
        <w:fldChar w:fldCharType="end"/>
      </w:r>
      <w:r w:rsidR="00644A84">
        <w:rPr>
          <w:i/>
          <w:iCs/>
          <w:color w:val="000000"/>
          <w:szCs w:val="22"/>
          <w:lang w:eastAsia="en-AU"/>
        </w:rPr>
      </w:r>
      <w:r w:rsidR="00644A84">
        <w:rPr>
          <w:i/>
          <w:iCs/>
          <w:color w:val="000000"/>
          <w:szCs w:val="22"/>
          <w:lang w:eastAsia="en-AU"/>
        </w:rPr>
        <w:fldChar w:fldCharType="separate"/>
      </w:r>
      <w:hyperlink w:anchor="_ENREF_9" w:tooltip="Atkinson, 1983 #6292" w:history="1">
        <w:r w:rsidR="00E6043D">
          <w:rPr>
            <w:i/>
            <w:iCs/>
            <w:noProof/>
            <w:color w:val="000000"/>
            <w:szCs w:val="22"/>
            <w:lang w:eastAsia="en-AU"/>
          </w:rPr>
          <w:t>Atkinson and Smith 1983</w:t>
        </w:r>
      </w:hyperlink>
      <w:r w:rsidR="00644A84">
        <w:rPr>
          <w:i/>
          <w:iCs/>
          <w:noProof/>
          <w:color w:val="000000"/>
          <w:szCs w:val="22"/>
          <w:lang w:eastAsia="en-AU"/>
        </w:rPr>
        <w:t xml:space="preserve">; </w:t>
      </w:r>
      <w:hyperlink w:anchor="_ENREF_96" w:tooltip="Duarte, 1990 #1954" w:history="1">
        <w:r w:rsidR="00E6043D">
          <w:rPr>
            <w:i/>
            <w:iCs/>
            <w:noProof/>
            <w:color w:val="000000"/>
            <w:szCs w:val="22"/>
            <w:lang w:eastAsia="en-AU"/>
          </w:rPr>
          <w:t>Duarte 1990</w:t>
        </w:r>
      </w:hyperlink>
      <w:r w:rsidR="00644A84">
        <w:rPr>
          <w:i/>
          <w:iCs/>
          <w:noProof/>
          <w:color w:val="000000"/>
          <w:szCs w:val="22"/>
          <w:lang w:eastAsia="en-AU"/>
        </w:rPr>
        <w:t xml:space="preserve">; </w:t>
      </w:r>
      <w:hyperlink w:anchor="_ENREF_112" w:tooltip="Fourqurean, 1992 #9493" w:history="1">
        <w:r w:rsidR="00E6043D">
          <w:rPr>
            <w:i/>
            <w:iCs/>
            <w:noProof/>
            <w:color w:val="000000"/>
            <w:szCs w:val="22"/>
            <w:lang w:eastAsia="en-AU"/>
          </w:rPr>
          <w:t>Fourqurean, et al. 1992b</w:t>
        </w:r>
      </w:hyperlink>
      <w:r w:rsidR="00644A84">
        <w:rPr>
          <w:i/>
          <w:iCs/>
          <w:color w:val="000000"/>
          <w:szCs w:val="22"/>
          <w:lang w:eastAsia="en-AU"/>
        </w:rPr>
        <w:fldChar w:fldCharType="end"/>
      </w:r>
      <w:r w:rsidRPr="00EB666B">
        <w:rPr>
          <w:i/>
          <w:iCs/>
          <w:color w:val="000000"/>
          <w:szCs w:val="22"/>
          <w:lang w:eastAsia="en-AU"/>
        </w:rPr>
        <w:t xml:space="preserve">; </w:t>
      </w:r>
      <w:hyperlink w:anchor="_ENREF_106" w:tooltip="Fourqurean, 2001 #9492" w:history="1">
        <w:r w:rsidR="00E6043D">
          <w:rPr>
            <w:i/>
            <w:iCs/>
            <w:color w:val="000000"/>
            <w:szCs w:val="22"/>
            <w:lang w:eastAsia="en-AU"/>
          </w:rPr>
          <w:fldChar w:fldCharType="begin"/>
        </w:r>
        <w:r w:rsidR="00E6043D">
          <w:rPr>
            <w:i/>
            <w:iCs/>
            <w:color w:val="000000"/>
            <w:szCs w:val="22"/>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E6043D">
          <w:rPr>
            <w:i/>
            <w:iCs/>
            <w:color w:val="000000"/>
            <w:szCs w:val="22"/>
            <w:lang w:eastAsia="en-AU"/>
          </w:rPr>
          <w:fldChar w:fldCharType="separate"/>
        </w:r>
        <w:r w:rsidR="00E6043D">
          <w:rPr>
            <w:i/>
            <w:iCs/>
            <w:noProof/>
            <w:color w:val="000000"/>
            <w:szCs w:val="22"/>
            <w:lang w:eastAsia="en-AU"/>
          </w:rPr>
          <w:t>Fourqurean and Cai 2001</w:t>
        </w:r>
        <w:r w:rsidR="00E6043D">
          <w:rPr>
            <w:i/>
            <w:iCs/>
            <w:color w:val="000000"/>
            <w:szCs w:val="22"/>
            <w:lang w:eastAsia="en-AU"/>
          </w:rPr>
          <w:fldChar w:fldCharType="end"/>
        </w:r>
      </w:hyperlink>
      <w:r w:rsidRPr="00EB666B">
        <w:rPr>
          <w:i/>
          <w:iCs/>
          <w:color w:val="000000"/>
          <w:szCs w:val="22"/>
          <w:lang w:eastAsia="en-AU"/>
        </w:rPr>
        <w:t xml:space="preserve">). N:P ratio above this band indicates P limitation, below indicates N limitation and within indicates replete. Shaded portion on the C:P panel ≤500 represents the value associated with C:P balance ratio in the plant tissues, C:P values </w:t>
      </w:r>
      <w:r w:rsidRPr="004807AA">
        <w:rPr>
          <w:i/>
          <w:iCs/>
          <w:szCs w:val="22"/>
          <w:lang w:eastAsia="en-AU"/>
        </w:rPr>
        <w:t>&lt;500 may indicate nutrient rich habitats (large P pool).</w:t>
      </w:r>
    </w:p>
    <w:p w:rsidR="00B55FCB" w:rsidRPr="00E1116B" w:rsidRDefault="009D5DBA" w:rsidP="00B55FCB">
      <w:pPr>
        <w:spacing w:before="0" w:after="0"/>
        <w:rPr>
          <w:szCs w:val="22"/>
        </w:rPr>
      </w:pPr>
      <w:proofErr w:type="spellStart"/>
      <w:r w:rsidRPr="004807AA">
        <w:rPr>
          <w:i/>
          <w:szCs w:val="22"/>
        </w:rPr>
        <w:lastRenderedPageBreak/>
        <w:t>Zostera</w:t>
      </w:r>
      <w:proofErr w:type="spellEnd"/>
      <w:r w:rsidRPr="004807AA">
        <w:rPr>
          <w:i/>
          <w:szCs w:val="22"/>
        </w:rPr>
        <w:t xml:space="preserve"> </w:t>
      </w:r>
      <w:proofErr w:type="spellStart"/>
      <w:r w:rsidRPr="004807AA">
        <w:rPr>
          <w:i/>
          <w:szCs w:val="22"/>
        </w:rPr>
        <w:t>muelleri</w:t>
      </w:r>
      <w:proofErr w:type="spellEnd"/>
      <w:r>
        <w:rPr>
          <w:i/>
          <w:szCs w:val="22"/>
        </w:rPr>
        <w:t xml:space="preserve"> </w:t>
      </w:r>
      <w:r w:rsidRPr="004807AA">
        <w:rPr>
          <w:rFonts w:cs="TimesNewRoman,Italic"/>
          <w:iCs/>
          <w:szCs w:val="22"/>
        </w:rPr>
        <w:t>leaf molar C</w:t>
      </w:r>
      <w:proofErr w:type="gramStart"/>
      <w:r w:rsidRPr="004807AA">
        <w:rPr>
          <w:rFonts w:cs="TimesNewRoman,Italic"/>
          <w:iCs/>
          <w:szCs w:val="22"/>
        </w:rPr>
        <w:t>:P</w:t>
      </w:r>
      <w:proofErr w:type="gramEnd"/>
      <w:r w:rsidRPr="004807AA">
        <w:rPr>
          <w:rFonts w:cs="TimesNewRoman,Italic"/>
          <w:iCs/>
          <w:szCs w:val="22"/>
        </w:rPr>
        <w:t xml:space="preserve"> ratios</w:t>
      </w:r>
      <w:r>
        <w:rPr>
          <w:rFonts w:cs="TimesNewRoman,Italic"/>
          <w:iCs/>
          <w:szCs w:val="22"/>
        </w:rPr>
        <w:t xml:space="preserve"> have gradually increased over the last 3 years</w:t>
      </w:r>
      <w:r w:rsidR="00E1116B">
        <w:rPr>
          <w:rFonts w:cs="TimesNewRoman,Italic"/>
          <w:iCs/>
          <w:szCs w:val="22"/>
        </w:rPr>
        <w:t xml:space="preserve">, with the </w:t>
      </w:r>
      <w:r>
        <w:rPr>
          <w:szCs w:val="22"/>
        </w:rPr>
        <w:t xml:space="preserve">regional average </w:t>
      </w:r>
      <w:r w:rsidR="00E1116B">
        <w:rPr>
          <w:rFonts w:cs="TimesNewRoman,Italic"/>
          <w:iCs/>
          <w:szCs w:val="22"/>
        </w:rPr>
        <w:t xml:space="preserve">exceeding 500 </w:t>
      </w:r>
      <w:r w:rsidR="00B55FCB" w:rsidRPr="004807AA">
        <w:rPr>
          <w:rFonts w:cs="TimesNewRoman,Italic"/>
          <w:iCs/>
          <w:szCs w:val="22"/>
        </w:rPr>
        <w:t>in 201</w:t>
      </w:r>
      <w:r w:rsidR="004807AA" w:rsidRPr="004807AA">
        <w:rPr>
          <w:rFonts w:cs="TimesNewRoman,Italic"/>
          <w:iCs/>
          <w:szCs w:val="22"/>
        </w:rPr>
        <w:t>4</w:t>
      </w:r>
      <w:r w:rsidR="00E1116B">
        <w:rPr>
          <w:rFonts w:cs="TimesNewRoman,Italic"/>
          <w:iCs/>
          <w:szCs w:val="22"/>
        </w:rPr>
        <w:t>,</w:t>
      </w:r>
      <w:r w:rsidR="00E1116B" w:rsidRPr="00E1116B">
        <w:rPr>
          <w:rFonts w:cs="TimesNewRoman,Italic"/>
          <w:iCs/>
          <w:szCs w:val="22"/>
        </w:rPr>
        <w:t xml:space="preserve"> </w:t>
      </w:r>
      <w:r w:rsidR="00E1116B" w:rsidRPr="004807AA">
        <w:rPr>
          <w:rFonts w:cs="TimesNewRoman,Italic"/>
          <w:iCs/>
          <w:szCs w:val="22"/>
        </w:rPr>
        <w:t>indicating that the plants were growing in a</w:t>
      </w:r>
      <w:r w:rsidR="00E1116B">
        <w:rPr>
          <w:rFonts w:cs="TimesNewRoman,Italic"/>
          <w:iCs/>
          <w:szCs w:val="22"/>
        </w:rPr>
        <w:t>n</w:t>
      </w:r>
      <w:r w:rsidR="00E1116B" w:rsidRPr="004807AA">
        <w:rPr>
          <w:rFonts w:cs="TimesNewRoman,Italic"/>
          <w:iCs/>
          <w:szCs w:val="22"/>
        </w:rPr>
        <w:t xml:space="preserve"> environment with a </w:t>
      </w:r>
      <w:r w:rsidR="00E1116B" w:rsidRPr="00E1116B">
        <w:rPr>
          <w:rFonts w:cs="TimesNewRoman,Italic"/>
          <w:iCs/>
          <w:szCs w:val="22"/>
        </w:rPr>
        <w:t>relatively small P pool (</w:t>
      </w:r>
      <w:r w:rsidR="00E1116B" w:rsidRPr="00E1116B">
        <w:rPr>
          <w:rFonts w:cs="TimesNewRoman,Italic"/>
          <w:iCs/>
          <w:szCs w:val="22"/>
        </w:rPr>
        <w:fldChar w:fldCharType="begin"/>
      </w:r>
      <w:r w:rsidR="00E1116B" w:rsidRPr="00E1116B">
        <w:rPr>
          <w:rFonts w:cs="TimesNewRoman,Italic"/>
          <w:iCs/>
          <w:szCs w:val="22"/>
        </w:rPr>
        <w:instrText xml:space="preserve"> REF _Ref410308585 \h  \* MERGEFORMAT </w:instrText>
      </w:r>
      <w:r w:rsidR="00E1116B" w:rsidRPr="00E1116B">
        <w:rPr>
          <w:rFonts w:cs="TimesNewRoman,Italic"/>
          <w:iCs/>
          <w:szCs w:val="22"/>
        </w:rPr>
      </w:r>
      <w:r w:rsidR="00E1116B" w:rsidRPr="00E1116B">
        <w:rPr>
          <w:rFonts w:cs="TimesNewRoman,Italic"/>
          <w:iCs/>
          <w:szCs w:val="22"/>
        </w:rPr>
        <w:fldChar w:fldCharType="separate"/>
      </w:r>
      <w:r w:rsidR="009C068F" w:rsidRPr="009C068F">
        <w:rPr>
          <w:szCs w:val="22"/>
        </w:rPr>
        <w:t xml:space="preserve">Figure </w:t>
      </w:r>
      <w:r w:rsidR="009C068F" w:rsidRPr="009C068F">
        <w:rPr>
          <w:noProof/>
          <w:szCs w:val="22"/>
        </w:rPr>
        <w:t>102</w:t>
      </w:r>
      <w:r w:rsidR="00E1116B" w:rsidRPr="00E1116B">
        <w:rPr>
          <w:rFonts w:cs="TimesNewRoman,Italic"/>
          <w:iCs/>
          <w:szCs w:val="22"/>
        </w:rPr>
        <w:fldChar w:fldCharType="end"/>
      </w:r>
      <w:r w:rsidR="00E1116B" w:rsidRPr="00E1116B">
        <w:rPr>
          <w:rFonts w:cs="TimesNewRoman,Italic"/>
          <w:iCs/>
          <w:szCs w:val="22"/>
        </w:rPr>
        <w:t xml:space="preserve">). C:P ratios increased at both locations, but the exceedance was a consequence of the much greater decrease in the concentration of P relative to C in the southern meadows (i.e. Urangan) (Appendix 4, </w:t>
      </w:r>
      <w:r w:rsidR="00E1116B" w:rsidRPr="00E1116B">
        <w:rPr>
          <w:rFonts w:cs="TimesNewRoman,Italic"/>
          <w:iCs/>
          <w:szCs w:val="22"/>
        </w:rPr>
        <w:fldChar w:fldCharType="begin"/>
      </w:r>
      <w:r w:rsidR="00E1116B" w:rsidRPr="00E1116B">
        <w:rPr>
          <w:rFonts w:cs="TimesNewRoman,Italic"/>
          <w:iCs/>
          <w:szCs w:val="22"/>
        </w:rPr>
        <w:instrText xml:space="preserve"> REF _Ref271135628 \h  \* MERGEFORMAT </w:instrText>
      </w:r>
      <w:r w:rsidR="00E1116B" w:rsidRPr="00E1116B">
        <w:rPr>
          <w:rFonts w:cs="TimesNewRoman,Italic"/>
          <w:iCs/>
          <w:szCs w:val="22"/>
        </w:rPr>
      </w:r>
      <w:r w:rsidR="00E1116B" w:rsidRPr="00E1116B">
        <w:rPr>
          <w:rFonts w:cs="TimesNewRoman,Italic"/>
          <w:iCs/>
          <w:szCs w:val="22"/>
        </w:rPr>
        <w:fldChar w:fldCharType="separate"/>
      </w:r>
      <w:r w:rsidR="009C068F" w:rsidRPr="009C068F">
        <w:rPr>
          <w:szCs w:val="22"/>
        </w:rPr>
        <w:t xml:space="preserve">Figure </w:t>
      </w:r>
      <w:r w:rsidR="009C068F" w:rsidRPr="009C068F">
        <w:rPr>
          <w:noProof/>
          <w:szCs w:val="22"/>
        </w:rPr>
        <w:t>229</w:t>
      </w:r>
      <w:r w:rsidR="00E1116B" w:rsidRPr="00E1116B">
        <w:rPr>
          <w:rFonts w:cs="TimesNewRoman,Italic"/>
          <w:iCs/>
          <w:szCs w:val="22"/>
        </w:rPr>
        <w:fldChar w:fldCharType="end"/>
      </w:r>
      <w:r w:rsidR="00E1116B" w:rsidRPr="00E1116B">
        <w:rPr>
          <w:rFonts w:cs="TimesNewRoman,Italic"/>
          <w:iCs/>
          <w:szCs w:val="22"/>
        </w:rPr>
        <w:t>)</w:t>
      </w:r>
      <w:r w:rsidR="00B55FCB" w:rsidRPr="00E1116B">
        <w:rPr>
          <w:rFonts w:cs="TimesNewRoman,Italic"/>
          <w:iCs/>
          <w:szCs w:val="22"/>
        </w:rPr>
        <w:t xml:space="preserve">. N:P ratios for </w:t>
      </w:r>
      <w:proofErr w:type="spellStart"/>
      <w:r w:rsidR="00B55FCB" w:rsidRPr="00E1116B">
        <w:rPr>
          <w:i/>
          <w:szCs w:val="22"/>
        </w:rPr>
        <w:t>Zostera</w:t>
      </w:r>
      <w:proofErr w:type="spellEnd"/>
      <w:r w:rsidR="00B55FCB" w:rsidRPr="00E1116B">
        <w:rPr>
          <w:i/>
          <w:szCs w:val="22"/>
        </w:rPr>
        <w:t xml:space="preserve"> </w:t>
      </w:r>
      <w:proofErr w:type="spellStart"/>
      <w:r w:rsidR="00B55FCB" w:rsidRPr="00E1116B">
        <w:rPr>
          <w:i/>
          <w:szCs w:val="22"/>
        </w:rPr>
        <w:t>muelleri</w:t>
      </w:r>
      <w:proofErr w:type="spellEnd"/>
      <w:r w:rsidR="00B55FCB" w:rsidRPr="00E1116B">
        <w:rPr>
          <w:szCs w:val="22"/>
        </w:rPr>
        <w:t xml:space="preserve"> </w:t>
      </w:r>
      <w:r w:rsidR="00A96A2D" w:rsidRPr="00E1116B">
        <w:rPr>
          <w:szCs w:val="22"/>
        </w:rPr>
        <w:t>increased</w:t>
      </w:r>
      <w:r w:rsidR="00B55FCB" w:rsidRPr="00E1116B">
        <w:rPr>
          <w:rFonts w:cs="TimesNewRoman,Italic"/>
          <w:iCs/>
          <w:szCs w:val="22"/>
        </w:rPr>
        <w:t xml:space="preserve"> </w:t>
      </w:r>
      <w:r w:rsidR="004807AA" w:rsidRPr="00E1116B">
        <w:rPr>
          <w:rFonts w:cs="TimesNewRoman,Italic"/>
          <w:iCs/>
          <w:szCs w:val="22"/>
        </w:rPr>
        <w:t>greatly</w:t>
      </w:r>
      <w:r w:rsidR="00B55FCB" w:rsidRPr="00E1116B">
        <w:rPr>
          <w:rFonts w:cs="TimesNewRoman,Italic"/>
          <w:iCs/>
          <w:szCs w:val="22"/>
        </w:rPr>
        <w:t xml:space="preserve"> since the previous monitoring period </w:t>
      </w:r>
      <w:r w:rsidR="00E1116B" w:rsidRPr="00E1116B">
        <w:rPr>
          <w:rFonts w:cs="TimesNewRoman,Italic"/>
          <w:iCs/>
          <w:szCs w:val="22"/>
        </w:rPr>
        <w:t xml:space="preserve">across the region, but mostly at the southern meadows </w:t>
      </w:r>
      <w:r w:rsidR="00A96A2D" w:rsidRPr="00E1116B">
        <w:rPr>
          <w:rFonts w:cs="TimesNewRoman,Italic"/>
          <w:iCs/>
          <w:szCs w:val="22"/>
        </w:rPr>
        <w:t xml:space="preserve">(Appendix </w:t>
      </w:r>
      <w:r w:rsidR="00E1116B" w:rsidRPr="00E1116B">
        <w:rPr>
          <w:rFonts w:cs="TimesNewRoman,Italic"/>
          <w:iCs/>
          <w:szCs w:val="22"/>
        </w:rPr>
        <w:t>4</w:t>
      </w:r>
      <w:r w:rsidR="00A96A2D" w:rsidRPr="00E1116B">
        <w:rPr>
          <w:rFonts w:cs="TimesNewRoman,Italic"/>
          <w:iCs/>
          <w:szCs w:val="22"/>
        </w:rPr>
        <w:t xml:space="preserve">, </w:t>
      </w:r>
      <w:r w:rsidR="00A96A2D" w:rsidRPr="00E1116B">
        <w:rPr>
          <w:rFonts w:cs="TimesNewRoman,Italic"/>
          <w:iCs/>
          <w:szCs w:val="22"/>
        </w:rPr>
        <w:fldChar w:fldCharType="begin"/>
      </w:r>
      <w:r w:rsidR="00A96A2D" w:rsidRPr="00E1116B">
        <w:rPr>
          <w:rFonts w:cs="TimesNewRoman,Italic"/>
          <w:iCs/>
          <w:szCs w:val="22"/>
        </w:rPr>
        <w:instrText xml:space="preserve"> REF _Ref271135628 \h  \* MERGEFORMAT </w:instrText>
      </w:r>
      <w:r w:rsidR="00A96A2D" w:rsidRPr="00E1116B">
        <w:rPr>
          <w:rFonts w:cs="TimesNewRoman,Italic"/>
          <w:iCs/>
          <w:szCs w:val="22"/>
        </w:rPr>
      </w:r>
      <w:r w:rsidR="00A96A2D" w:rsidRPr="00E1116B">
        <w:rPr>
          <w:rFonts w:cs="TimesNewRoman,Italic"/>
          <w:iCs/>
          <w:szCs w:val="22"/>
        </w:rPr>
        <w:fldChar w:fldCharType="separate"/>
      </w:r>
      <w:r w:rsidR="009C068F" w:rsidRPr="009C068F">
        <w:rPr>
          <w:szCs w:val="22"/>
        </w:rPr>
        <w:t xml:space="preserve">Figure </w:t>
      </w:r>
      <w:r w:rsidR="009C068F" w:rsidRPr="009C068F">
        <w:rPr>
          <w:noProof/>
          <w:szCs w:val="22"/>
        </w:rPr>
        <w:t>229</w:t>
      </w:r>
      <w:r w:rsidR="00A96A2D" w:rsidRPr="00E1116B">
        <w:rPr>
          <w:rFonts w:cs="TimesNewRoman,Italic"/>
          <w:iCs/>
          <w:szCs w:val="22"/>
        </w:rPr>
        <w:fldChar w:fldCharType="end"/>
      </w:r>
      <w:r w:rsidR="00A96A2D" w:rsidRPr="00E1116B">
        <w:rPr>
          <w:rFonts w:cs="TimesNewRoman,Italic"/>
          <w:iCs/>
          <w:szCs w:val="22"/>
        </w:rPr>
        <w:t>)</w:t>
      </w:r>
      <w:r w:rsidR="00B55FCB" w:rsidRPr="00E1116B">
        <w:rPr>
          <w:rFonts w:cs="TimesNewRoman,Italic"/>
          <w:iCs/>
          <w:szCs w:val="22"/>
        </w:rPr>
        <w:t xml:space="preserve">, indicating the plants remained replete </w:t>
      </w:r>
      <w:r w:rsidR="001D2093" w:rsidRPr="00E1116B">
        <w:rPr>
          <w:rFonts w:cs="TimesNewRoman,Italic"/>
          <w:iCs/>
          <w:szCs w:val="22"/>
        </w:rPr>
        <w:t>(well supplied and balanced macronutrients for growth)</w:t>
      </w:r>
      <w:r w:rsidR="00B55FCB" w:rsidRPr="00E1116B">
        <w:rPr>
          <w:rFonts w:cs="TimesNewRoman,Italic"/>
          <w:iCs/>
          <w:szCs w:val="22"/>
        </w:rPr>
        <w:t xml:space="preserve">. Leaf tissue </w:t>
      </w:r>
      <w:r w:rsidR="00B55FCB" w:rsidRPr="00E1116B">
        <w:rPr>
          <w:szCs w:val="22"/>
        </w:rPr>
        <w:t>δ</w:t>
      </w:r>
      <w:r w:rsidR="00B55FCB" w:rsidRPr="00E1116B">
        <w:rPr>
          <w:szCs w:val="22"/>
          <w:vertAlign w:val="superscript"/>
        </w:rPr>
        <w:t>15</w:t>
      </w:r>
      <w:r w:rsidR="00B55FCB" w:rsidRPr="00E1116B">
        <w:rPr>
          <w:szCs w:val="22"/>
        </w:rPr>
        <w:t xml:space="preserve">N values were </w:t>
      </w:r>
      <w:r w:rsidR="00E1116B" w:rsidRPr="00E1116B">
        <w:rPr>
          <w:szCs w:val="22"/>
        </w:rPr>
        <w:t>lower</w:t>
      </w:r>
      <w:r w:rsidR="00B55FCB" w:rsidRPr="00E1116B">
        <w:rPr>
          <w:szCs w:val="22"/>
        </w:rPr>
        <w:t xml:space="preserve"> in 201</w:t>
      </w:r>
      <w:r w:rsidR="00E1116B" w:rsidRPr="00E1116B">
        <w:rPr>
          <w:szCs w:val="22"/>
        </w:rPr>
        <w:t>4</w:t>
      </w:r>
      <w:r w:rsidR="00B55FCB" w:rsidRPr="00E1116B">
        <w:rPr>
          <w:szCs w:val="22"/>
        </w:rPr>
        <w:t xml:space="preserve"> than </w:t>
      </w:r>
      <w:r w:rsidR="00E1116B" w:rsidRPr="00E1116B">
        <w:rPr>
          <w:szCs w:val="22"/>
        </w:rPr>
        <w:t>2013</w:t>
      </w:r>
      <w:r w:rsidR="00B55FCB" w:rsidRPr="00E1116B">
        <w:rPr>
          <w:szCs w:val="22"/>
        </w:rPr>
        <w:t xml:space="preserve"> </w:t>
      </w:r>
      <w:r w:rsidR="00272AAD" w:rsidRPr="00E1116B">
        <w:rPr>
          <w:szCs w:val="22"/>
        </w:rPr>
        <w:t xml:space="preserve">(Appendix </w:t>
      </w:r>
      <w:r w:rsidR="00E1116B" w:rsidRPr="00E1116B">
        <w:rPr>
          <w:szCs w:val="22"/>
        </w:rPr>
        <w:t>4</w:t>
      </w:r>
      <w:r w:rsidR="00272AAD" w:rsidRPr="00E1116B">
        <w:rPr>
          <w:szCs w:val="22"/>
        </w:rPr>
        <w:t>)</w:t>
      </w:r>
      <w:r w:rsidR="00E1116B" w:rsidRPr="00E1116B">
        <w:rPr>
          <w:szCs w:val="22"/>
        </w:rPr>
        <w:t xml:space="preserve">, but still at </w:t>
      </w:r>
      <w:r w:rsidR="00A96A2D" w:rsidRPr="00E1116B">
        <w:rPr>
          <w:szCs w:val="22"/>
        </w:rPr>
        <w:t xml:space="preserve">levels </w:t>
      </w:r>
      <w:r w:rsidR="00E1116B" w:rsidRPr="00E1116B">
        <w:rPr>
          <w:szCs w:val="22"/>
        </w:rPr>
        <w:t xml:space="preserve">which </w:t>
      </w:r>
      <w:r w:rsidR="00B55FCB" w:rsidRPr="00E1116B">
        <w:rPr>
          <w:szCs w:val="22"/>
        </w:rPr>
        <w:t>suggest either fertiliser and/or sewage influence in the primary source of N.</w:t>
      </w:r>
    </w:p>
    <w:p w:rsidR="00BC4EC5" w:rsidRPr="004807AA" w:rsidRDefault="00BC4EC5" w:rsidP="00B55FCB">
      <w:pPr>
        <w:spacing w:before="0" w:after="0"/>
        <w:rPr>
          <w:szCs w:val="22"/>
        </w:rPr>
      </w:pPr>
    </w:p>
    <w:p w:rsidR="00BC4EC5" w:rsidRPr="004807AA" w:rsidRDefault="00BC4EC5" w:rsidP="00BC4EC5">
      <w:pPr>
        <w:pStyle w:val="Heading4"/>
        <w:numPr>
          <w:ilvl w:val="0"/>
          <w:numId w:val="0"/>
        </w:numPr>
        <w:rPr>
          <w:rFonts w:ascii="Arial" w:hAnsi="Arial" w:cs="Arial"/>
          <w:sz w:val="24"/>
          <w:szCs w:val="24"/>
        </w:rPr>
      </w:pPr>
      <w:r w:rsidRPr="004807AA">
        <w:rPr>
          <w:rFonts w:ascii="Arial" w:hAnsi="Arial" w:cs="Arial"/>
          <w:sz w:val="24"/>
          <w:szCs w:val="24"/>
        </w:rPr>
        <w:t>Seagrass meadow sediments</w:t>
      </w:r>
    </w:p>
    <w:p w:rsidR="00BC4EC5" w:rsidRPr="004807AA" w:rsidRDefault="002A7317" w:rsidP="00B55FCB">
      <w:pPr>
        <w:spacing w:before="0" w:after="0"/>
        <w:rPr>
          <w:szCs w:val="22"/>
        </w:rPr>
      </w:pPr>
      <w:r>
        <w:rPr>
          <w:szCs w:val="22"/>
        </w:rPr>
        <w:t>Sediments in the estuary seagrass habitats of the Burnett Mary region are dominated by mud, which increased across the region in 2014-15</w:t>
      </w:r>
      <w:r w:rsidR="000751EC">
        <w:rPr>
          <w:szCs w:val="22"/>
        </w:rPr>
        <w:t xml:space="preserve"> (Appendix 4, </w:t>
      </w:r>
      <w:r w:rsidR="000751EC">
        <w:rPr>
          <w:szCs w:val="22"/>
        </w:rPr>
        <w:fldChar w:fldCharType="begin"/>
      </w:r>
      <w:r w:rsidR="000751EC">
        <w:rPr>
          <w:szCs w:val="22"/>
        </w:rPr>
        <w:instrText xml:space="preserve"> REF _Ref461779411 \h </w:instrText>
      </w:r>
      <w:r w:rsidR="000751EC">
        <w:rPr>
          <w:szCs w:val="22"/>
        </w:rPr>
      </w:r>
      <w:r w:rsidR="000751EC">
        <w:rPr>
          <w:szCs w:val="22"/>
        </w:rPr>
        <w:fldChar w:fldCharType="separate"/>
      </w:r>
      <w:r w:rsidR="009C068F">
        <w:t xml:space="preserve">Figure </w:t>
      </w:r>
      <w:r w:rsidR="009C068F">
        <w:rPr>
          <w:noProof/>
        </w:rPr>
        <w:t>199</w:t>
      </w:r>
      <w:r w:rsidR="000751EC">
        <w:rPr>
          <w:szCs w:val="22"/>
        </w:rPr>
        <w:fldChar w:fldCharType="end"/>
      </w:r>
      <w:r w:rsidR="000751EC">
        <w:rPr>
          <w:szCs w:val="22"/>
        </w:rPr>
        <w:t>)</w:t>
      </w:r>
      <w:r>
        <w:rPr>
          <w:szCs w:val="22"/>
        </w:rPr>
        <w:t xml:space="preserve">. In the previous monitoring periods, the proportion of mud has been lower, </w:t>
      </w:r>
      <w:r w:rsidR="00425D88">
        <w:rPr>
          <w:szCs w:val="22"/>
        </w:rPr>
        <w:t>particularly at meadows in the south of the region.</w:t>
      </w:r>
    </w:p>
    <w:p w:rsidR="00BC4EC5" w:rsidRPr="004807AA" w:rsidRDefault="00BC4EC5" w:rsidP="00B55FCB">
      <w:pPr>
        <w:spacing w:before="0" w:after="0"/>
        <w:rPr>
          <w:szCs w:val="22"/>
        </w:rPr>
      </w:pPr>
    </w:p>
    <w:p w:rsidR="005132EF" w:rsidRPr="001D05D4" w:rsidRDefault="005132EF" w:rsidP="001D05D4">
      <w:pPr>
        <w:pStyle w:val="Heading4"/>
        <w:numPr>
          <w:ilvl w:val="0"/>
          <w:numId w:val="0"/>
        </w:numPr>
        <w:rPr>
          <w:rFonts w:ascii="Arial" w:hAnsi="Arial" w:cs="Arial"/>
          <w:sz w:val="24"/>
          <w:szCs w:val="24"/>
        </w:rPr>
      </w:pPr>
      <w:bookmarkStart w:id="575" w:name="_Toc232845938"/>
      <w:bookmarkStart w:id="576" w:name="_Toc184102045"/>
      <w:r w:rsidRPr="001D05D4">
        <w:rPr>
          <w:rFonts w:ascii="Arial" w:hAnsi="Arial" w:cs="Arial"/>
          <w:sz w:val="24"/>
          <w:szCs w:val="24"/>
        </w:rPr>
        <w:t xml:space="preserve">Epiphytes and </w:t>
      </w:r>
      <w:proofErr w:type="spellStart"/>
      <w:r w:rsidRPr="001D05D4">
        <w:rPr>
          <w:rFonts w:ascii="Arial" w:hAnsi="Arial" w:cs="Arial"/>
          <w:sz w:val="24"/>
          <w:szCs w:val="24"/>
        </w:rPr>
        <w:t>macroalgae</w:t>
      </w:r>
      <w:bookmarkEnd w:id="575"/>
      <w:bookmarkEnd w:id="576"/>
      <w:proofErr w:type="spellEnd"/>
    </w:p>
    <w:p w:rsidR="00D473A4" w:rsidRPr="00B47F5A" w:rsidRDefault="00D473A4" w:rsidP="00D473A4">
      <w:pPr>
        <w:rPr>
          <w:szCs w:val="22"/>
          <w:lang w:val="en-US"/>
        </w:rPr>
      </w:pPr>
      <w:r w:rsidRPr="00B47F5A">
        <w:rPr>
          <w:szCs w:val="22"/>
          <w:lang w:val="en-US"/>
        </w:rPr>
        <w:t>Epiphyte cover on seagrass leaf blades was high</w:t>
      </w:r>
      <w:r w:rsidR="004807AA" w:rsidRPr="00B47F5A">
        <w:rPr>
          <w:szCs w:val="22"/>
          <w:lang w:val="en-US"/>
        </w:rPr>
        <w:t xml:space="preserve"> during both the wet and dry </w:t>
      </w:r>
      <w:r w:rsidRPr="00B47F5A">
        <w:rPr>
          <w:szCs w:val="22"/>
          <w:lang w:val="en-US"/>
        </w:rPr>
        <w:t>season</w:t>
      </w:r>
      <w:r w:rsidR="004807AA" w:rsidRPr="00B47F5A">
        <w:rPr>
          <w:szCs w:val="22"/>
          <w:lang w:val="en-US"/>
        </w:rPr>
        <w:t>s</w:t>
      </w:r>
      <w:r w:rsidRPr="00B47F5A">
        <w:rPr>
          <w:szCs w:val="22"/>
          <w:lang w:val="en-US"/>
        </w:rPr>
        <w:t xml:space="preserve"> and increased above the GBR long-term average in </w:t>
      </w:r>
      <w:r w:rsidR="00EC364C" w:rsidRPr="00B47F5A">
        <w:rPr>
          <w:szCs w:val="22"/>
          <w:lang w:val="en-US"/>
        </w:rPr>
        <w:t>201</w:t>
      </w:r>
      <w:r w:rsidR="004807AA" w:rsidRPr="00B47F5A">
        <w:rPr>
          <w:szCs w:val="22"/>
          <w:lang w:val="en-US"/>
        </w:rPr>
        <w:t>4</w:t>
      </w:r>
      <w:r w:rsidR="004F78EB" w:rsidRPr="00B47F5A">
        <w:rPr>
          <w:szCs w:val="22"/>
          <w:lang w:val="en-US"/>
        </w:rPr>
        <w:t>-</w:t>
      </w:r>
      <w:r w:rsidR="00EC364C" w:rsidRPr="00B47F5A">
        <w:rPr>
          <w:szCs w:val="22"/>
          <w:lang w:val="en-US"/>
        </w:rPr>
        <w:t>1</w:t>
      </w:r>
      <w:r w:rsidR="004807AA" w:rsidRPr="00B47F5A">
        <w:rPr>
          <w:szCs w:val="22"/>
          <w:lang w:val="en-US"/>
        </w:rPr>
        <w:t>5</w:t>
      </w:r>
      <w:r w:rsidRPr="00B47F5A">
        <w:rPr>
          <w:szCs w:val="22"/>
          <w:lang w:val="en-US"/>
        </w:rPr>
        <w:t xml:space="preserve"> (</w:t>
      </w:r>
      <w:r w:rsidR="00272AAD" w:rsidRPr="00B47F5A">
        <w:rPr>
          <w:szCs w:val="22"/>
          <w:lang w:val="en-US"/>
        </w:rPr>
        <w:fldChar w:fldCharType="begin"/>
      </w:r>
      <w:r w:rsidR="00272AAD" w:rsidRPr="00B47F5A">
        <w:rPr>
          <w:szCs w:val="22"/>
          <w:lang w:val="en-US"/>
        </w:rPr>
        <w:instrText xml:space="preserve"> REF _Ref211937738 \h </w:instrText>
      </w:r>
      <w:r w:rsidR="00015190" w:rsidRPr="00B47F5A">
        <w:rPr>
          <w:szCs w:val="22"/>
          <w:lang w:val="en-US"/>
        </w:rPr>
        <w:instrText xml:space="preserve"> \* MERGEFORMAT </w:instrText>
      </w:r>
      <w:r w:rsidR="00272AAD" w:rsidRPr="00B47F5A">
        <w:rPr>
          <w:szCs w:val="22"/>
          <w:lang w:val="en-US"/>
        </w:rPr>
      </w:r>
      <w:r w:rsidR="00272AAD" w:rsidRPr="00B47F5A">
        <w:rPr>
          <w:szCs w:val="22"/>
          <w:lang w:val="en-US"/>
        </w:rPr>
        <w:fldChar w:fldCharType="separate"/>
      </w:r>
      <w:r w:rsidR="009C068F" w:rsidRPr="009C068F">
        <w:rPr>
          <w:szCs w:val="22"/>
        </w:rPr>
        <w:t xml:space="preserve">Figure </w:t>
      </w:r>
      <w:r w:rsidR="009C068F" w:rsidRPr="009C068F">
        <w:rPr>
          <w:noProof/>
          <w:szCs w:val="22"/>
        </w:rPr>
        <w:t>103</w:t>
      </w:r>
      <w:r w:rsidR="00272AAD" w:rsidRPr="00B47F5A">
        <w:rPr>
          <w:szCs w:val="22"/>
          <w:lang w:val="en-US"/>
        </w:rPr>
        <w:fldChar w:fldCharType="end"/>
      </w:r>
      <w:r w:rsidR="00272AAD" w:rsidRPr="00B47F5A">
        <w:rPr>
          <w:szCs w:val="22"/>
          <w:lang w:val="en-US"/>
        </w:rPr>
        <w:t xml:space="preserve">; Appendix </w:t>
      </w:r>
      <w:r w:rsidR="00B47F5A" w:rsidRPr="00B47F5A">
        <w:rPr>
          <w:szCs w:val="22"/>
          <w:lang w:val="en-US"/>
        </w:rPr>
        <w:t>4</w:t>
      </w:r>
      <w:r w:rsidR="00272AAD" w:rsidRPr="00B47F5A">
        <w:rPr>
          <w:szCs w:val="22"/>
          <w:lang w:val="en-US"/>
        </w:rPr>
        <w:t xml:space="preserve">, </w:t>
      </w:r>
      <w:r w:rsidR="00272AAD" w:rsidRPr="00B47F5A">
        <w:rPr>
          <w:szCs w:val="22"/>
          <w:lang w:val="en-US"/>
        </w:rPr>
        <w:fldChar w:fldCharType="begin"/>
      </w:r>
      <w:r w:rsidR="00272AAD" w:rsidRPr="00B47F5A">
        <w:rPr>
          <w:szCs w:val="22"/>
          <w:lang w:val="en-US"/>
        </w:rPr>
        <w:instrText xml:space="preserve"> REF _Ref382211537 \h </w:instrText>
      </w:r>
      <w:r w:rsidR="00015190" w:rsidRPr="00B47F5A">
        <w:rPr>
          <w:szCs w:val="22"/>
          <w:lang w:val="en-US"/>
        </w:rPr>
        <w:instrText xml:space="preserve"> \* MERGEFORMAT </w:instrText>
      </w:r>
      <w:r w:rsidR="00272AAD" w:rsidRPr="00B47F5A">
        <w:rPr>
          <w:szCs w:val="22"/>
          <w:lang w:val="en-US"/>
        </w:rPr>
      </w:r>
      <w:r w:rsidR="00272AAD" w:rsidRPr="00B47F5A">
        <w:rPr>
          <w:szCs w:val="22"/>
          <w:lang w:val="en-US"/>
        </w:rPr>
        <w:fldChar w:fldCharType="separate"/>
      </w:r>
      <w:r w:rsidR="009C068F" w:rsidRPr="009C068F">
        <w:rPr>
          <w:szCs w:val="22"/>
        </w:rPr>
        <w:t xml:space="preserve">Figure </w:t>
      </w:r>
      <w:r w:rsidR="009C068F" w:rsidRPr="009C068F">
        <w:rPr>
          <w:noProof/>
          <w:szCs w:val="22"/>
        </w:rPr>
        <w:t>214</w:t>
      </w:r>
      <w:r w:rsidR="00272AAD" w:rsidRPr="00B47F5A">
        <w:rPr>
          <w:szCs w:val="22"/>
          <w:lang w:val="en-US"/>
        </w:rPr>
        <w:fldChar w:fldCharType="end"/>
      </w:r>
      <w:r w:rsidRPr="00B47F5A">
        <w:rPr>
          <w:szCs w:val="22"/>
          <w:lang w:val="en-US"/>
        </w:rPr>
        <w:t xml:space="preserve">). </w:t>
      </w:r>
      <w:r w:rsidR="004807AA" w:rsidRPr="00B47F5A">
        <w:rPr>
          <w:szCs w:val="22"/>
          <w:lang w:val="en-US"/>
        </w:rPr>
        <w:t>P</w:t>
      </w:r>
      <w:r w:rsidRPr="00B47F5A">
        <w:rPr>
          <w:szCs w:val="22"/>
          <w:lang w:val="en-US"/>
        </w:rPr>
        <w:t xml:space="preserve">ercentage cover of </w:t>
      </w:r>
      <w:proofErr w:type="spellStart"/>
      <w:r w:rsidRPr="00B47F5A">
        <w:rPr>
          <w:szCs w:val="22"/>
          <w:lang w:val="en-US"/>
        </w:rPr>
        <w:t>macroalgae</w:t>
      </w:r>
      <w:proofErr w:type="spellEnd"/>
      <w:r w:rsidRPr="00B47F5A">
        <w:rPr>
          <w:szCs w:val="22"/>
          <w:lang w:val="en-US"/>
        </w:rPr>
        <w:t xml:space="preserve"> </w:t>
      </w:r>
      <w:r w:rsidR="003D30A6" w:rsidRPr="00B47F5A">
        <w:rPr>
          <w:szCs w:val="22"/>
          <w:lang w:val="en-US"/>
        </w:rPr>
        <w:t xml:space="preserve">was higher in the dry season and </w:t>
      </w:r>
      <w:r w:rsidR="004807AA" w:rsidRPr="00B47F5A">
        <w:rPr>
          <w:szCs w:val="22"/>
          <w:lang w:val="en-US"/>
        </w:rPr>
        <w:t>similarly in</w:t>
      </w:r>
      <w:r w:rsidR="003D30A6" w:rsidRPr="00B47F5A">
        <w:rPr>
          <w:szCs w:val="22"/>
          <w:lang w:val="en-US"/>
        </w:rPr>
        <w:t xml:space="preserve">creased </w:t>
      </w:r>
      <w:r w:rsidR="004807AA" w:rsidRPr="00B47F5A">
        <w:rPr>
          <w:szCs w:val="22"/>
          <w:lang w:val="en-US"/>
        </w:rPr>
        <w:t>above</w:t>
      </w:r>
      <w:r w:rsidRPr="00B47F5A">
        <w:rPr>
          <w:szCs w:val="22"/>
          <w:lang w:val="en-US"/>
        </w:rPr>
        <w:t xml:space="preserve"> the GBR long-term average </w:t>
      </w:r>
      <w:r w:rsidR="004F78EB" w:rsidRPr="00B47F5A">
        <w:rPr>
          <w:szCs w:val="22"/>
          <w:lang w:val="en-US"/>
        </w:rPr>
        <w:t xml:space="preserve">in </w:t>
      </w:r>
      <w:r w:rsidR="003D30A6" w:rsidRPr="00B47F5A">
        <w:rPr>
          <w:szCs w:val="22"/>
          <w:lang w:val="en-US"/>
        </w:rPr>
        <w:t>201</w:t>
      </w:r>
      <w:r w:rsidR="004807AA" w:rsidRPr="00B47F5A">
        <w:rPr>
          <w:szCs w:val="22"/>
          <w:lang w:val="en-US"/>
        </w:rPr>
        <w:t>4</w:t>
      </w:r>
      <w:r w:rsidR="003D30A6" w:rsidRPr="00B47F5A">
        <w:rPr>
          <w:szCs w:val="22"/>
          <w:lang w:val="en-US"/>
        </w:rPr>
        <w:t>-1</w:t>
      </w:r>
      <w:r w:rsidR="004807AA" w:rsidRPr="00B47F5A">
        <w:rPr>
          <w:szCs w:val="22"/>
          <w:lang w:val="en-US"/>
        </w:rPr>
        <w:t>5</w:t>
      </w:r>
      <w:r w:rsidR="003D30A6" w:rsidRPr="00B47F5A">
        <w:rPr>
          <w:szCs w:val="22"/>
          <w:lang w:val="en-US"/>
        </w:rPr>
        <w:t xml:space="preserve"> </w:t>
      </w:r>
      <w:r w:rsidR="00272AAD" w:rsidRPr="00B47F5A">
        <w:rPr>
          <w:szCs w:val="22"/>
          <w:lang w:val="en-US"/>
        </w:rPr>
        <w:t>(</w:t>
      </w:r>
      <w:r w:rsidR="00272AAD" w:rsidRPr="00B47F5A">
        <w:rPr>
          <w:szCs w:val="22"/>
          <w:lang w:val="en-US"/>
        </w:rPr>
        <w:fldChar w:fldCharType="begin"/>
      </w:r>
      <w:r w:rsidR="00272AAD" w:rsidRPr="00B47F5A">
        <w:rPr>
          <w:szCs w:val="22"/>
          <w:lang w:val="en-US"/>
        </w:rPr>
        <w:instrText xml:space="preserve"> REF _Ref211937738 \h </w:instrText>
      </w:r>
      <w:r w:rsidR="00015190" w:rsidRPr="00B47F5A">
        <w:rPr>
          <w:szCs w:val="22"/>
          <w:lang w:val="en-US"/>
        </w:rPr>
        <w:instrText xml:space="preserve"> \* MERGEFORMAT </w:instrText>
      </w:r>
      <w:r w:rsidR="00272AAD" w:rsidRPr="00B47F5A">
        <w:rPr>
          <w:szCs w:val="22"/>
          <w:lang w:val="en-US"/>
        </w:rPr>
      </w:r>
      <w:r w:rsidR="00272AAD" w:rsidRPr="00B47F5A">
        <w:rPr>
          <w:szCs w:val="22"/>
          <w:lang w:val="en-US"/>
        </w:rPr>
        <w:fldChar w:fldCharType="separate"/>
      </w:r>
      <w:r w:rsidR="009C068F" w:rsidRPr="009C068F">
        <w:rPr>
          <w:szCs w:val="22"/>
        </w:rPr>
        <w:t xml:space="preserve">Figure </w:t>
      </w:r>
      <w:r w:rsidR="009C068F" w:rsidRPr="009C068F">
        <w:rPr>
          <w:noProof/>
          <w:szCs w:val="22"/>
        </w:rPr>
        <w:t>103</w:t>
      </w:r>
      <w:r w:rsidR="00272AAD" w:rsidRPr="00B47F5A">
        <w:rPr>
          <w:szCs w:val="22"/>
          <w:lang w:val="en-US"/>
        </w:rPr>
        <w:fldChar w:fldCharType="end"/>
      </w:r>
      <w:r w:rsidR="00272AAD" w:rsidRPr="00B47F5A">
        <w:rPr>
          <w:szCs w:val="22"/>
          <w:lang w:val="en-US"/>
        </w:rPr>
        <w:t xml:space="preserve">; Appendix </w:t>
      </w:r>
      <w:r w:rsidR="00B47F5A" w:rsidRPr="00B47F5A">
        <w:rPr>
          <w:szCs w:val="22"/>
          <w:lang w:val="en-US"/>
        </w:rPr>
        <w:t>4</w:t>
      </w:r>
      <w:r w:rsidR="00272AAD" w:rsidRPr="00B47F5A">
        <w:rPr>
          <w:szCs w:val="22"/>
          <w:lang w:val="en-US"/>
        </w:rPr>
        <w:t xml:space="preserve">, </w:t>
      </w:r>
      <w:r w:rsidR="00272AAD" w:rsidRPr="00B47F5A">
        <w:rPr>
          <w:szCs w:val="22"/>
          <w:lang w:val="en-US"/>
        </w:rPr>
        <w:fldChar w:fldCharType="begin"/>
      </w:r>
      <w:r w:rsidR="00272AAD" w:rsidRPr="00B47F5A">
        <w:rPr>
          <w:szCs w:val="22"/>
          <w:lang w:val="en-US"/>
        </w:rPr>
        <w:instrText xml:space="preserve"> REF _Ref382211537 \h </w:instrText>
      </w:r>
      <w:r w:rsidR="00015190" w:rsidRPr="00B47F5A">
        <w:rPr>
          <w:szCs w:val="22"/>
          <w:lang w:val="en-US"/>
        </w:rPr>
        <w:instrText xml:space="preserve"> \* MERGEFORMAT </w:instrText>
      </w:r>
      <w:r w:rsidR="00272AAD" w:rsidRPr="00B47F5A">
        <w:rPr>
          <w:szCs w:val="22"/>
          <w:lang w:val="en-US"/>
        </w:rPr>
      </w:r>
      <w:r w:rsidR="00272AAD" w:rsidRPr="00B47F5A">
        <w:rPr>
          <w:szCs w:val="22"/>
          <w:lang w:val="en-US"/>
        </w:rPr>
        <w:fldChar w:fldCharType="separate"/>
      </w:r>
      <w:r w:rsidR="009C068F" w:rsidRPr="009C068F">
        <w:rPr>
          <w:szCs w:val="22"/>
        </w:rPr>
        <w:t xml:space="preserve">Figure </w:t>
      </w:r>
      <w:r w:rsidR="009C068F" w:rsidRPr="009C068F">
        <w:rPr>
          <w:noProof/>
          <w:szCs w:val="22"/>
        </w:rPr>
        <w:t>214</w:t>
      </w:r>
      <w:r w:rsidR="00272AAD" w:rsidRPr="00B47F5A">
        <w:rPr>
          <w:szCs w:val="22"/>
          <w:lang w:val="en-US"/>
        </w:rPr>
        <w:fldChar w:fldCharType="end"/>
      </w:r>
      <w:r w:rsidR="00272AAD" w:rsidRPr="00B47F5A">
        <w:rPr>
          <w:szCs w:val="22"/>
          <w:lang w:val="en-US"/>
        </w:rPr>
        <w:t>)</w:t>
      </w:r>
      <w:r w:rsidRPr="00B47F5A">
        <w:rPr>
          <w:szCs w:val="22"/>
          <w:lang w:val="en-US"/>
        </w:rPr>
        <w:t>.</w:t>
      </w:r>
    </w:p>
    <w:p w:rsidR="003E1D94" w:rsidRPr="008208B2" w:rsidRDefault="003E1D94" w:rsidP="00D473A4">
      <w:pPr>
        <w:rPr>
          <w:szCs w:val="22"/>
          <w:lang w:val="en-US"/>
        </w:rPr>
      </w:pPr>
    </w:p>
    <w:p w:rsidR="003E1D94" w:rsidRPr="008208B2" w:rsidRDefault="00B60F5D" w:rsidP="004807AA">
      <w:pPr>
        <w:keepNext/>
        <w:widowControl w:val="0"/>
        <w:spacing w:after="0"/>
        <w:jc w:val="center"/>
        <w:rPr>
          <w:szCs w:val="22"/>
          <w:lang w:val="en-US"/>
        </w:rPr>
      </w:pPr>
      <w:r>
        <w:rPr>
          <w:noProof/>
          <w:szCs w:val="22"/>
          <w:lang w:eastAsia="en-AU"/>
        </w:rPr>
        <w:drawing>
          <wp:inline distT="0" distB="0" distL="0" distR="0">
            <wp:extent cx="5759450" cy="1163955"/>
            <wp:effectExtent l="0" t="0" r="0" b="0"/>
            <wp:docPr id="226" name="Picture 226" descr="Panel of two scatter plots with straight lines and markers showing long-term trend in mean epiphyte and macroalgae abundance (% cover) at inshore estuarine habitats in the Burnett Mary NRM region, relative to the GBR long-term ave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BM_epi_algae_change_2015.pn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5759450" cy="1163955"/>
                    </a:xfrm>
                    <a:prstGeom prst="rect">
                      <a:avLst/>
                    </a:prstGeom>
                  </pic:spPr>
                </pic:pic>
              </a:graphicData>
            </a:graphic>
          </wp:inline>
        </w:drawing>
      </w:r>
    </w:p>
    <w:p w:rsidR="00A0429A" w:rsidRPr="008208B2" w:rsidRDefault="005132EF" w:rsidP="00A0429A">
      <w:pPr>
        <w:rPr>
          <w:i/>
          <w:vanish/>
          <w:szCs w:val="22"/>
          <w:specVanish/>
        </w:rPr>
      </w:pPr>
      <w:bookmarkStart w:id="577" w:name="_Ref211937738"/>
      <w:bookmarkStart w:id="578" w:name="_Toc232846030"/>
      <w:bookmarkStart w:id="579" w:name="_Toc431493907"/>
      <w:bookmarkStart w:id="580" w:name="_Toc462684943"/>
      <w:r w:rsidRPr="008208B2">
        <w:t xml:space="preserve">Figure </w:t>
      </w:r>
      <w:fldSimple w:instr=" SEQ Figure \* ARABIC ">
        <w:r w:rsidR="009C068F">
          <w:rPr>
            <w:noProof/>
          </w:rPr>
          <w:t>103</w:t>
        </w:r>
      </w:fldSimple>
      <w:bookmarkEnd w:id="577"/>
      <w:r w:rsidRPr="008208B2">
        <w:t xml:space="preserve">. </w:t>
      </w:r>
      <w:bookmarkEnd w:id="578"/>
      <w:r w:rsidR="003126B8" w:rsidRPr="008208B2">
        <w:rPr>
          <w:i/>
        </w:rPr>
        <w:t xml:space="preserve">Long-term trend in mean epiphyte and </w:t>
      </w:r>
      <w:proofErr w:type="spellStart"/>
      <w:r w:rsidR="003126B8" w:rsidRPr="008208B2">
        <w:rPr>
          <w:i/>
        </w:rPr>
        <w:t>macroalgae</w:t>
      </w:r>
      <w:proofErr w:type="spellEnd"/>
      <w:r w:rsidR="003126B8" w:rsidRPr="008208B2">
        <w:rPr>
          <w:i/>
        </w:rPr>
        <w:t xml:space="preserve"> abundance (% cover) relative to the long-term average for each seagrass habitat in the </w:t>
      </w:r>
      <w:r w:rsidR="001C18DD" w:rsidRPr="008208B2">
        <w:rPr>
          <w:i/>
        </w:rPr>
        <w:t xml:space="preserve">Burnett </w:t>
      </w:r>
      <w:r w:rsidR="00A0429A" w:rsidRPr="008208B2">
        <w:rPr>
          <w:i/>
        </w:rPr>
        <w:t>Mary</w:t>
      </w:r>
      <w:r w:rsidR="003126B8" w:rsidRPr="008208B2">
        <w:rPr>
          <w:i/>
        </w:rPr>
        <w:t xml:space="preserve"> NRM region</w:t>
      </w:r>
      <w:bookmarkEnd w:id="579"/>
      <w:bookmarkEnd w:id="580"/>
    </w:p>
    <w:p w:rsidR="00A0429A" w:rsidRPr="008208B2" w:rsidRDefault="00A0429A" w:rsidP="00A0429A">
      <w:pPr>
        <w:rPr>
          <w:i/>
        </w:rPr>
      </w:pPr>
      <w:r w:rsidRPr="008208B2">
        <w:rPr>
          <w:i/>
        </w:rPr>
        <w:t xml:space="preserve"> </w:t>
      </w:r>
      <w:r w:rsidR="003126B8" w:rsidRPr="008208B2">
        <w:rPr>
          <w:i/>
        </w:rPr>
        <w:t xml:space="preserve">(sites pooled, ±SE). </w:t>
      </w:r>
    </w:p>
    <w:p w:rsidR="00BC6384" w:rsidRDefault="00BC6384" w:rsidP="00BC6384">
      <w:pPr>
        <w:rPr>
          <w:color w:val="000000"/>
          <w:lang w:val="en-GB"/>
        </w:rPr>
      </w:pPr>
    </w:p>
    <w:p w:rsidR="00BC6384" w:rsidRPr="00BD0604" w:rsidRDefault="00BC6384" w:rsidP="00926892">
      <w:pPr>
        <w:pStyle w:val="Heading3"/>
        <w:numPr>
          <w:ilvl w:val="2"/>
          <w:numId w:val="9"/>
        </w:numPr>
        <w:rPr>
          <w:rFonts w:ascii="Arial" w:hAnsi="Arial" w:cs="Arial"/>
          <w:color w:val="000000"/>
        </w:rPr>
      </w:pPr>
      <w:bookmarkStart w:id="581" w:name="_Toc462047371"/>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581"/>
      <w:r w:rsidRPr="000C1668">
        <w:rPr>
          <w:rFonts w:ascii="Arial" w:hAnsi="Arial" w:cs="Arial"/>
          <w:color w:val="000000"/>
        </w:rPr>
        <w:t xml:space="preserve"> </w:t>
      </w:r>
    </w:p>
    <w:p w:rsidR="00BC6384" w:rsidRDefault="001A5B38" w:rsidP="00BC6384">
      <w:pPr>
        <w:rPr>
          <w:color w:val="000000"/>
          <w:lang w:val="en-GB"/>
        </w:rPr>
      </w:pPr>
      <w:r>
        <w:rPr>
          <w:color w:val="000000"/>
          <w:lang w:val="en-GB"/>
        </w:rPr>
        <w:t xml:space="preserve">Since reporting was established in 2005, the seagrass index score for the Burnett Mary has been poor or very poor. </w:t>
      </w:r>
      <w:r w:rsidR="00BC6384">
        <w:rPr>
          <w:color w:val="000000"/>
          <w:lang w:val="en-GB"/>
        </w:rPr>
        <w:t xml:space="preserve">In the 2014-15 monitoring period, the seagrass index for </w:t>
      </w:r>
      <w:r>
        <w:rPr>
          <w:color w:val="000000"/>
          <w:lang w:val="en-GB"/>
        </w:rPr>
        <w:t>the Burnett Mary</w:t>
      </w:r>
      <w:r w:rsidR="00BC6384">
        <w:rPr>
          <w:color w:val="000000"/>
          <w:lang w:val="en-GB"/>
        </w:rPr>
        <w:t xml:space="preserve"> region </w:t>
      </w:r>
      <w:r>
        <w:rPr>
          <w:color w:val="000000"/>
          <w:lang w:val="en-GB"/>
        </w:rPr>
        <w:t xml:space="preserve">declined slightly after improving in </w:t>
      </w:r>
      <w:r w:rsidR="00BC6384">
        <w:rPr>
          <w:color w:val="000000"/>
          <w:lang w:val="en-GB"/>
        </w:rPr>
        <w:t xml:space="preserve">the previous period. </w:t>
      </w:r>
      <w:r>
        <w:rPr>
          <w:color w:val="000000"/>
          <w:lang w:val="en-GB"/>
        </w:rPr>
        <w:t>Although abundance and reproductive effort improved, the lower score</w:t>
      </w:r>
      <w:r w:rsidR="00BC6384">
        <w:rPr>
          <w:color w:val="000000"/>
          <w:lang w:val="en-GB"/>
        </w:rPr>
        <w:t xml:space="preserve"> </w:t>
      </w:r>
      <w:r>
        <w:rPr>
          <w:color w:val="000000"/>
          <w:lang w:val="en-GB"/>
        </w:rPr>
        <w:t>was</w:t>
      </w:r>
      <w:r w:rsidR="00BC6384">
        <w:rPr>
          <w:color w:val="000000"/>
          <w:lang w:val="en-GB"/>
        </w:rPr>
        <w:t xml:space="preserve"> </w:t>
      </w:r>
      <w:r>
        <w:rPr>
          <w:color w:val="000000"/>
          <w:lang w:val="en-GB"/>
        </w:rPr>
        <w:t xml:space="preserve">primarily </w:t>
      </w:r>
      <w:r w:rsidR="00BC6384">
        <w:rPr>
          <w:color w:val="000000"/>
          <w:lang w:val="en-GB"/>
        </w:rPr>
        <w:t xml:space="preserve">a consequence of </w:t>
      </w:r>
      <w:r>
        <w:rPr>
          <w:color w:val="000000"/>
          <w:lang w:val="en-GB"/>
        </w:rPr>
        <w:t xml:space="preserve">reduced nutrient quality in the leaf tissue. </w:t>
      </w:r>
      <w:r w:rsidR="00BC6384">
        <w:rPr>
          <w:color w:val="000000"/>
          <w:lang w:val="en-GB"/>
        </w:rPr>
        <w:t xml:space="preserve">Overall, the </w:t>
      </w:r>
      <w:r>
        <w:rPr>
          <w:color w:val="000000"/>
          <w:lang w:val="en-GB"/>
        </w:rPr>
        <w:t>Burnett Mary</w:t>
      </w:r>
      <w:r w:rsidR="00BC6384">
        <w:rPr>
          <w:color w:val="000000"/>
          <w:lang w:val="en-GB"/>
        </w:rPr>
        <w:t xml:space="preserve"> seagrass index remains </w:t>
      </w:r>
      <w:r>
        <w:rPr>
          <w:color w:val="000000"/>
          <w:lang w:val="en-GB"/>
        </w:rPr>
        <w:t xml:space="preserve">poor and </w:t>
      </w:r>
      <w:r w:rsidR="00BC6384">
        <w:rPr>
          <w:color w:val="000000"/>
          <w:lang w:val="en-GB"/>
        </w:rPr>
        <w:t xml:space="preserve">below the 2005-06 </w:t>
      </w:r>
      <w:r>
        <w:rPr>
          <w:color w:val="000000"/>
          <w:lang w:val="en-GB"/>
        </w:rPr>
        <w:t>original score</w:t>
      </w:r>
      <w:r w:rsidR="00BC6384">
        <w:rPr>
          <w:color w:val="000000"/>
          <w:lang w:val="en-GB"/>
        </w:rPr>
        <w:t>.</w:t>
      </w:r>
    </w:p>
    <w:p w:rsidR="001A5B38" w:rsidRPr="00A80225" w:rsidRDefault="001A5B38" w:rsidP="001A5B38">
      <w:pPr>
        <w:rPr>
          <w:color w:val="000000"/>
          <w:lang w:val="en-GB"/>
        </w:rPr>
      </w:pPr>
    </w:p>
    <w:p w:rsidR="001A5B38" w:rsidRPr="000F1DF9" w:rsidRDefault="001A5B38" w:rsidP="001A5B38">
      <w:pPr>
        <w:jc w:val="center"/>
        <w:rPr>
          <w:i/>
          <w:vanish/>
          <w:color w:val="000000"/>
          <w:szCs w:val="22"/>
          <w:specVanish/>
        </w:rPr>
      </w:pPr>
      <w:bookmarkStart w:id="582" w:name="_Toc462685098"/>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9C068F">
        <w:rPr>
          <w:noProof/>
          <w:color w:val="000000"/>
        </w:rPr>
        <w:t>29</w:t>
      </w:r>
      <w:r w:rsidRPr="000F1DF9">
        <w:rPr>
          <w:color w:val="000000"/>
        </w:rPr>
        <w:fldChar w:fldCharType="end"/>
      </w:r>
      <w:r w:rsidRPr="000F1DF9">
        <w:rPr>
          <w:color w:val="000000"/>
        </w:rP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Burnett Mary </w:t>
      </w:r>
      <w:r w:rsidRPr="000F1DF9">
        <w:rPr>
          <w:i/>
          <w:color w:val="000000"/>
        </w:rPr>
        <w:t>region: Ju</w:t>
      </w:r>
      <w:r>
        <w:rPr>
          <w:i/>
          <w:color w:val="000000"/>
        </w:rPr>
        <w:t>ne</w:t>
      </w:r>
      <w:r w:rsidRPr="000F1DF9">
        <w:rPr>
          <w:i/>
          <w:color w:val="000000"/>
        </w:rPr>
        <w:t xml:space="preserve"> 2005 – May 201</w:t>
      </w:r>
      <w:r>
        <w:rPr>
          <w:i/>
          <w:color w:val="000000"/>
        </w:rPr>
        <w:t>5</w:t>
      </w:r>
      <w:r w:rsidRPr="000F1DF9">
        <w:rPr>
          <w:i/>
          <w:color w:val="000000"/>
        </w:rPr>
        <w:t>.</w:t>
      </w:r>
      <w:bookmarkEnd w:id="582"/>
      <w:r w:rsidRPr="000F1DF9">
        <w:rPr>
          <w:i/>
          <w:color w:val="000000"/>
        </w:rPr>
        <w:t xml:space="preserve"> </w:t>
      </w:r>
    </w:p>
    <w:p w:rsidR="001A5B38" w:rsidRPr="00B00E71" w:rsidRDefault="001A5B38" w:rsidP="001A5B38">
      <w:pPr>
        <w:jc w:val="center"/>
        <w:rPr>
          <w:color w:val="000000"/>
        </w:rPr>
      </w:pPr>
      <w:r w:rsidRPr="00E237C6">
        <w:rPr>
          <w:i/>
          <w:szCs w:val="22"/>
        </w:rPr>
        <w:t xml:space="preserve">Values are indexed scores scaled from 0-100; </w:t>
      </w:r>
      <w:r w:rsidR="00D844A1" w:rsidRPr="00E237C6">
        <w:rPr>
          <w:rFonts w:ascii="Arial" w:hAnsi="Arial" w:cs="Arial"/>
          <w:i/>
          <w:color w:val="008000"/>
          <w:szCs w:val="22"/>
        </w:rPr>
        <w:t>■</w:t>
      </w:r>
      <w:r w:rsidR="00D844A1" w:rsidRPr="00E237C6">
        <w:rPr>
          <w:rFonts w:cs="Arial"/>
          <w:i/>
          <w:color w:val="008000"/>
          <w:szCs w:val="22"/>
        </w:rPr>
        <w:t> </w:t>
      </w:r>
      <w:r w:rsidR="00D844A1" w:rsidRPr="00E237C6">
        <w:rPr>
          <w:i/>
          <w:szCs w:val="22"/>
        </w:rPr>
        <w:t>= very good (8</w:t>
      </w:r>
      <w:r w:rsidR="00D844A1">
        <w:rPr>
          <w:i/>
          <w:szCs w:val="22"/>
        </w:rPr>
        <w:t>1</w:t>
      </w:r>
      <w:r w:rsidR="00D844A1" w:rsidRPr="00E237C6">
        <w:rPr>
          <w:i/>
          <w:szCs w:val="22"/>
        </w:rPr>
        <w:t xml:space="preserve">-100), </w:t>
      </w:r>
      <w:r w:rsidR="00D844A1" w:rsidRPr="00E237C6">
        <w:rPr>
          <w:rFonts w:ascii="Arial" w:hAnsi="Arial" w:cs="Arial"/>
          <w:i/>
          <w:color w:val="92D050"/>
          <w:szCs w:val="22"/>
        </w:rPr>
        <w:t>■</w:t>
      </w:r>
      <w:r w:rsidR="00D844A1" w:rsidRPr="00E237C6">
        <w:rPr>
          <w:i/>
          <w:szCs w:val="22"/>
        </w:rPr>
        <w:t> = good (6</w:t>
      </w:r>
      <w:r w:rsidR="00D844A1">
        <w:rPr>
          <w:i/>
          <w:szCs w:val="22"/>
        </w:rPr>
        <w:t>1</w:t>
      </w:r>
      <w:r w:rsidR="00D844A1" w:rsidRPr="00E237C6">
        <w:rPr>
          <w:i/>
          <w:szCs w:val="22"/>
        </w:rPr>
        <w:t xml:space="preserve"> - 80), </w:t>
      </w:r>
      <w:r w:rsidR="00D844A1" w:rsidRPr="00E237C6">
        <w:rPr>
          <w:rFonts w:ascii="Arial" w:hAnsi="Arial" w:cs="Arial"/>
          <w:i/>
          <w:color w:val="FFFF00"/>
          <w:szCs w:val="22"/>
        </w:rPr>
        <w:t>■</w:t>
      </w:r>
      <w:r w:rsidR="00D844A1" w:rsidRPr="00E237C6">
        <w:rPr>
          <w:i/>
          <w:szCs w:val="22"/>
        </w:rPr>
        <w:t> = moderate (4</w:t>
      </w:r>
      <w:r w:rsidR="00D844A1">
        <w:rPr>
          <w:i/>
          <w:szCs w:val="22"/>
        </w:rPr>
        <w:t>1</w:t>
      </w:r>
      <w:r w:rsidR="00D844A1" w:rsidRPr="00E237C6">
        <w:rPr>
          <w:i/>
          <w:szCs w:val="22"/>
        </w:rPr>
        <w:t xml:space="preserve"> - 60), </w:t>
      </w:r>
      <w:r w:rsidR="00D844A1" w:rsidRPr="00E237C6">
        <w:rPr>
          <w:rFonts w:ascii="Arial" w:hAnsi="Arial" w:cs="Arial"/>
          <w:i/>
          <w:color w:val="FFC000"/>
          <w:szCs w:val="22"/>
        </w:rPr>
        <w:t>■</w:t>
      </w:r>
      <w:r w:rsidR="00D844A1" w:rsidRPr="00E237C6">
        <w:rPr>
          <w:i/>
          <w:szCs w:val="22"/>
        </w:rPr>
        <w:t> = poor (2</w:t>
      </w:r>
      <w:r w:rsidR="00D844A1">
        <w:rPr>
          <w:i/>
          <w:szCs w:val="22"/>
        </w:rPr>
        <w:t>1</w:t>
      </w:r>
      <w:r w:rsidR="00D844A1" w:rsidRPr="00E237C6">
        <w:rPr>
          <w:i/>
          <w:szCs w:val="22"/>
        </w:rPr>
        <w:t xml:space="preserve"> - 40), </w:t>
      </w:r>
      <w:r w:rsidR="00D844A1" w:rsidRPr="00E237C6">
        <w:rPr>
          <w:rFonts w:ascii="Arial" w:hAnsi="Arial" w:cs="Arial"/>
          <w:i/>
          <w:color w:val="FF0000"/>
          <w:szCs w:val="22"/>
        </w:rPr>
        <w:t>■</w:t>
      </w:r>
      <w:r w:rsidR="00D844A1">
        <w:rPr>
          <w:i/>
          <w:szCs w:val="22"/>
        </w:rPr>
        <w:t> = very poor (0 - 20)</w:t>
      </w:r>
      <w:r w:rsidRPr="00E237C6">
        <w:rPr>
          <w:i/>
          <w:szCs w:val="22"/>
        </w:rPr>
        <w:t>.</w:t>
      </w:r>
      <w:r>
        <w:rPr>
          <w:i/>
          <w:color w:val="000000"/>
        </w:rPr>
        <w:t xml:space="preserve"> </w:t>
      </w:r>
      <w:r>
        <w:rPr>
          <w:i/>
          <w:szCs w:val="22"/>
        </w:rPr>
        <w:t xml:space="preserve">NB: Scores are </w:t>
      </w:r>
      <w:proofErr w:type="spellStart"/>
      <w:r>
        <w:rPr>
          <w:i/>
          <w:szCs w:val="22"/>
        </w:rPr>
        <w:t>unitless</w:t>
      </w:r>
      <w:proofErr w:type="spellEnd"/>
      <w:r>
        <w:rPr>
          <w:i/>
          <w:szCs w:val="22"/>
        </w:rPr>
        <w:t>.</w:t>
      </w:r>
    </w:p>
    <w:tbl>
      <w:tblPr>
        <w:tblW w:w="10711"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3"/>
        <w:gridCol w:w="1777"/>
        <w:gridCol w:w="754"/>
        <w:gridCol w:w="754"/>
        <w:gridCol w:w="753"/>
        <w:gridCol w:w="753"/>
        <w:gridCol w:w="753"/>
        <w:gridCol w:w="753"/>
        <w:gridCol w:w="753"/>
        <w:gridCol w:w="786"/>
        <w:gridCol w:w="786"/>
        <w:gridCol w:w="786"/>
      </w:tblGrid>
      <w:tr w:rsidR="001A5B38" w:rsidRPr="00EC364C" w:rsidTr="00F549F2">
        <w:trPr>
          <w:trHeight w:val="276"/>
          <w:jc w:val="center"/>
        </w:trPr>
        <w:tc>
          <w:tcPr>
            <w:tcW w:w="1165" w:type="dxa"/>
            <w:tcBorders>
              <w:top w:val="single" w:sz="4" w:space="0" w:color="000000"/>
              <w:bottom w:val="single" w:sz="4" w:space="0" w:color="000000"/>
            </w:tcBorders>
            <w:shd w:val="clear" w:color="auto" w:fill="auto"/>
            <w:vAlign w:val="center"/>
          </w:tcPr>
          <w:p w:rsidR="001A5B38" w:rsidRPr="00EC364C" w:rsidRDefault="001A5B38" w:rsidP="001A5B38">
            <w:pPr>
              <w:spacing w:before="0" w:after="0"/>
              <w:jc w:val="center"/>
              <w:rPr>
                <w:b/>
                <w:color w:val="000000"/>
                <w:sz w:val="20"/>
                <w:szCs w:val="20"/>
                <w:lang w:eastAsia="en-AU"/>
              </w:rPr>
            </w:pPr>
            <w:r>
              <w:rPr>
                <w:b/>
                <w:color w:val="000000"/>
                <w:sz w:val="20"/>
                <w:szCs w:val="20"/>
                <w:lang w:eastAsia="en-AU"/>
              </w:rPr>
              <w:t>Report Card</w:t>
            </w:r>
          </w:p>
        </w:tc>
        <w:tc>
          <w:tcPr>
            <w:tcW w:w="1777" w:type="dxa"/>
            <w:tcBorders>
              <w:top w:val="single" w:sz="4" w:space="0" w:color="000000"/>
              <w:bottom w:val="single" w:sz="4" w:space="0" w:color="000000"/>
            </w:tcBorders>
            <w:shd w:val="clear" w:color="auto" w:fill="auto"/>
            <w:noWrap/>
            <w:vAlign w:val="center"/>
          </w:tcPr>
          <w:p w:rsidR="001A5B38" w:rsidRPr="00EC364C" w:rsidRDefault="001A5B38" w:rsidP="001A5B38">
            <w:pPr>
              <w:spacing w:before="0" w:after="0"/>
              <w:jc w:val="center"/>
              <w:rPr>
                <w:b/>
                <w:color w:val="000000"/>
                <w:sz w:val="20"/>
                <w:szCs w:val="20"/>
                <w:lang w:eastAsia="en-AU"/>
              </w:rPr>
            </w:pPr>
            <w:r w:rsidRPr="00EC364C">
              <w:rPr>
                <w:b/>
                <w:color w:val="000000"/>
                <w:sz w:val="20"/>
                <w:szCs w:val="20"/>
                <w:lang w:eastAsia="en-AU"/>
              </w:rPr>
              <w:t>Habitat</w:t>
            </w:r>
          </w:p>
        </w:tc>
        <w:tc>
          <w:tcPr>
            <w:tcW w:w="754" w:type="dxa"/>
            <w:tcBorders>
              <w:top w:val="single" w:sz="4" w:space="0" w:color="000000"/>
              <w:bottom w:val="single" w:sz="4" w:space="0" w:color="000000"/>
            </w:tcBorders>
            <w:shd w:val="clear" w:color="auto" w:fill="auto"/>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2005-06</w:t>
            </w:r>
          </w:p>
        </w:tc>
        <w:tc>
          <w:tcPr>
            <w:tcW w:w="754" w:type="dxa"/>
            <w:tcBorders>
              <w:top w:val="single" w:sz="4" w:space="0" w:color="000000"/>
              <w:bottom w:val="single" w:sz="4" w:space="0" w:color="000000"/>
            </w:tcBorders>
            <w:shd w:val="clear" w:color="auto" w:fill="auto"/>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2006-07</w:t>
            </w:r>
          </w:p>
        </w:tc>
        <w:tc>
          <w:tcPr>
            <w:tcW w:w="753" w:type="dxa"/>
            <w:tcBorders>
              <w:top w:val="single" w:sz="4" w:space="0" w:color="000000"/>
              <w:bottom w:val="single" w:sz="4" w:space="0" w:color="000000"/>
            </w:tcBorders>
            <w:shd w:val="clear" w:color="auto" w:fill="auto"/>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2007-08</w:t>
            </w:r>
          </w:p>
        </w:tc>
        <w:tc>
          <w:tcPr>
            <w:tcW w:w="753" w:type="dxa"/>
            <w:tcBorders>
              <w:top w:val="single" w:sz="4" w:space="0" w:color="000000"/>
              <w:bottom w:val="single" w:sz="4" w:space="0" w:color="000000"/>
            </w:tcBorders>
            <w:shd w:val="clear" w:color="auto" w:fill="auto"/>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2008-09</w:t>
            </w:r>
          </w:p>
        </w:tc>
        <w:tc>
          <w:tcPr>
            <w:tcW w:w="753" w:type="dxa"/>
            <w:tcBorders>
              <w:top w:val="single" w:sz="4" w:space="0" w:color="000000"/>
              <w:bottom w:val="single" w:sz="4" w:space="0" w:color="000000"/>
            </w:tcBorders>
            <w:shd w:val="clear" w:color="auto" w:fill="auto"/>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2009-10</w:t>
            </w:r>
          </w:p>
        </w:tc>
        <w:tc>
          <w:tcPr>
            <w:tcW w:w="753" w:type="dxa"/>
            <w:tcBorders>
              <w:top w:val="single" w:sz="4" w:space="0" w:color="000000"/>
              <w:bottom w:val="single" w:sz="4" w:space="0" w:color="000000"/>
            </w:tcBorders>
            <w:shd w:val="clear" w:color="auto" w:fill="auto"/>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2010-11</w:t>
            </w:r>
          </w:p>
        </w:tc>
        <w:tc>
          <w:tcPr>
            <w:tcW w:w="753" w:type="dxa"/>
            <w:tcBorders>
              <w:top w:val="single" w:sz="4" w:space="0" w:color="000000"/>
              <w:bottom w:val="single" w:sz="4" w:space="0" w:color="000000"/>
            </w:tcBorders>
            <w:shd w:val="clear" w:color="auto" w:fill="auto"/>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2011-12</w:t>
            </w:r>
          </w:p>
        </w:tc>
        <w:tc>
          <w:tcPr>
            <w:tcW w:w="832" w:type="dxa"/>
            <w:tcBorders>
              <w:top w:val="single" w:sz="4" w:space="0" w:color="000000"/>
              <w:bottom w:val="single" w:sz="4" w:space="0" w:color="000000"/>
            </w:tcBorders>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2012-13</w:t>
            </w:r>
          </w:p>
        </w:tc>
        <w:tc>
          <w:tcPr>
            <w:tcW w:w="832" w:type="dxa"/>
            <w:tcBorders>
              <w:top w:val="single" w:sz="4" w:space="0" w:color="000000"/>
              <w:bottom w:val="single" w:sz="4" w:space="0" w:color="000000"/>
            </w:tcBorders>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2013-14</w:t>
            </w:r>
          </w:p>
        </w:tc>
        <w:tc>
          <w:tcPr>
            <w:tcW w:w="832" w:type="dxa"/>
            <w:tcBorders>
              <w:top w:val="single" w:sz="4" w:space="0" w:color="000000"/>
              <w:bottom w:val="single" w:sz="4" w:space="0" w:color="000000"/>
            </w:tcBorders>
            <w:vAlign w:val="center"/>
          </w:tcPr>
          <w:p w:rsidR="001A5B38" w:rsidRPr="00F549F2" w:rsidRDefault="001A5B38" w:rsidP="00F549F2">
            <w:pPr>
              <w:spacing w:before="0" w:after="0"/>
              <w:jc w:val="center"/>
              <w:rPr>
                <w:b/>
                <w:color w:val="000000"/>
                <w:sz w:val="16"/>
                <w:szCs w:val="16"/>
                <w:lang w:eastAsia="en-AU"/>
              </w:rPr>
            </w:pPr>
            <w:r w:rsidRPr="00F549F2">
              <w:rPr>
                <w:b/>
                <w:color w:val="000000"/>
                <w:sz w:val="16"/>
                <w:szCs w:val="16"/>
                <w:lang w:eastAsia="en-AU"/>
              </w:rPr>
              <w:t>2014-15</w:t>
            </w:r>
          </w:p>
        </w:tc>
      </w:tr>
      <w:tr w:rsidR="001A5B38" w:rsidRPr="00EC364C" w:rsidTr="00D844A1">
        <w:trPr>
          <w:trHeight w:val="312"/>
          <w:jc w:val="center"/>
        </w:trPr>
        <w:tc>
          <w:tcPr>
            <w:tcW w:w="1165" w:type="dxa"/>
            <w:vMerge w:val="restart"/>
            <w:tcBorders>
              <w:top w:val="single" w:sz="4" w:space="0" w:color="auto"/>
              <w:left w:val="nil"/>
              <w:right w:val="nil"/>
            </w:tcBorders>
            <w:shd w:val="clear" w:color="auto" w:fill="auto"/>
            <w:noWrap/>
            <w:vAlign w:val="center"/>
          </w:tcPr>
          <w:p w:rsidR="001A5B38" w:rsidRPr="00EC364C" w:rsidRDefault="001A5B38" w:rsidP="001A5B38">
            <w:pPr>
              <w:spacing w:before="0" w:after="0"/>
              <w:rPr>
                <w:color w:val="000000"/>
                <w:sz w:val="20"/>
                <w:szCs w:val="20"/>
                <w:lang w:eastAsia="en-AU"/>
              </w:rPr>
            </w:pPr>
            <w:r>
              <w:rPr>
                <w:color w:val="000000"/>
                <w:sz w:val="20"/>
                <w:szCs w:val="20"/>
                <w:lang w:eastAsia="en-AU"/>
              </w:rPr>
              <w:t>Abundance</w:t>
            </w:r>
          </w:p>
        </w:tc>
        <w:tc>
          <w:tcPr>
            <w:tcW w:w="1777" w:type="dxa"/>
            <w:tcBorders>
              <w:top w:val="single" w:sz="4" w:space="0" w:color="auto"/>
              <w:left w:val="nil"/>
              <w:bottom w:val="nil"/>
              <w:right w:val="single" w:sz="4" w:space="0" w:color="FFFFFF" w:themeColor="background1"/>
            </w:tcBorders>
            <w:shd w:val="clear" w:color="auto" w:fill="auto"/>
            <w:noWrap/>
            <w:vAlign w:val="center"/>
          </w:tcPr>
          <w:p w:rsidR="001A5B38" w:rsidRPr="00EC364C" w:rsidRDefault="001A5B38" w:rsidP="001A5B38">
            <w:pPr>
              <w:spacing w:before="0" w:after="0"/>
              <w:rPr>
                <w:color w:val="000000"/>
                <w:sz w:val="20"/>
                <w:szCs w:val="20"/>
                <w:lang w:eastAsia="en-AU"/>
              </w:rPr>
            </w:pPr>
            <w:r w:rsidRPr="00EC364C">
              <w:rPr>
                <w:color w:val="000000"/>
                <w:sz w:val="20"/>
                <w:szCs w:val="20"/>
                <w:lang w:eastAsia="en-AU"/>
              </w:rPr>
              <w:t>estuarine intertidal</w:t>
            </w:r>
          </w:p>
        </w:tc>
        <w:tc>
          <w:tcPr>
            <w:tcW w:w="7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rsidR="001A5B38" w:rsidRPr="00EC364C" w:rsidRDefault="001A5B38" w:rsidP="00F549F2">
            <w:pPr>
              <w:spacing w:before="0" w:after="0"/>
              <w:jc w:val="center"/>
              <w:rPr>
                <w:color w:val="000000"/>
                <w:sz w:val="20"/>
                <w:szCs w:val="20"/>
                <w:lang w:eastAsia="en-AU"/>
              </w:rPr>
            </w:pPr>
            <w:r w:rsidRPr="00EC364C">
              <w:rPr>
                <w:color w:val="000000"/>
                <w:sz w:val="20"/>
                <w:szCs w:val="20"/>
                <w:lang w:eastAsia="en-AU"/>
              </w:rPr>
              <w:t>21</w:t>
            </w:r>
          </w:p>
        </w:tc>
        <w:tc>
          <w:tcPr>
            <w:tcW w:w="7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EC364C" w:rsidRDefault="001A5B38" w:rsidP="00F549F2">
            <w:pPr>
              <w:spacing w:before="0" w:after="0"/>
              <w:jc w:val="center"/>
              <w:rPr>
                <w:color w:val="000000"/>
                <w:sz w:val="20"/>
                <w:szCs w:val="20"/>
                <w:lang w:eastAsia="en-AU"/>
              </w:rPr>
            </w:pPr>
            <w:r w:rsidRPr="00EC364C">
              <w:rPr>
                <w:color w:val="000000"/>
                <w:sz w:val="20"/>
                <w:szCs w:val="20"/>
                <w:lang w:eastAsia="en-AU"/>
              </w:rPr>
              <w:t>0</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EC364C" w:rsidRDefault="001A5B38" w:rsidP="00F549F2">
            <w:pPr>
              <w:spacing w:before="0" w:after="0"/>
              <w:jc w:val="center"/>
              <w:rPr>
                <w:color w:val="000000"/>
                <w:sz w:val="20"/>
                <w:szCs w:val="20"/>
                <w:lang w:eastAsia="en-AU"/>
              </w:rPr>
            </w:pPr>
            <w:r w:rsidRPr="00EC364C">
              <w:rPr>
                <w:color w:val="000000"/>
                <w:sz w:val="20"/>
                <w:szCs w:val="20"/>
                <w:lang w:eastAsia="en-AU"/>
              </w:rPr>
              <w:t>15</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EC364C" w:rsidRDefault="001A5B38" w:rsidP="00F549F2">
            <w:pPr>
              <w:spacing w:before="0" w:after="0"/>
              <w:jc w:val="center"/>
              <w:rPr>
                <w:color w:val="000000"/>
                <w:sz w:val="20"/>
                <w:szCs w:val="20"/>
                <w:lang w:eastAsia="en-AU"/>
              </w:rPr>
            </w:pPr>
            <w:r w:rsidRPr="00EC364C">
              <w:rPr>
                <w:color w:val="000000"/>
                <w:sz w:val="20"/>
                <w:szCs w:val="20"/>
                <w:lang w:eastAsia="en-AU"/>
              </w:rPr>
              <w:t>10</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EC364C" w:rsidRDefault="001A5B38" w:rsidP="00F549F2">
            <w:pPr>
              <w:spacing w:before="0" w:after="0"/>
              <w:jc w:val="center"/>
              <w:rPr>
                <w:color w:val="000000"/>
                <w:sz w:val="20"/>
                <w:szCs w:val="20"/>
                <w:lang w:eastAsia="en-AU"/>
              </w:rPr>
            </w:pPr>
            <w:r w:rsidRPr="00EC364C">
              <w:rPr>
                <w:color w:val="000000"/>
                <w:sz w:val="20"/>
                <w:szCs w:val="20"/>
                <w:lang w:eastAsia="en-AU"/>
              </w:rPr>
              <w:t>10</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EC364C" w:rsidRDefault="001A5B38" w:rsidP="00F549F2">
            <w:pPr>
              <w:spacing w:before="0" w:after="0"/>
              <w:jc w:val="center"/>
              <w:rPr>
                <w:color w:val="000000"/>
                <w:sz w:val="20"/>
                <w:szCs w:val="20"/>
                <w:lang w:eastAsia="en-AU"/>
              </w:rPr>
            </w:pPr>
            <w:r w:rsidRPr="00EC364C">
              <w:rPr>
                <w:color w:val="000000"/>
                <w:sz w:val="20"/>
                <w:szCs w:val="20"/>
                <w:lang w:eastAsia="en-AU"/>
              </w:rPr>
              <w:t>4</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EC364C" w:rsidRDefault="001A5B38" w:rsidP="00F549F2">
            <w:pPr>
              <w:spacing w:before="0" w:after="0"/>
              <w:jc w:val="center"/>
              <w:rPr>
                <w:color w:val="000000"/>
                <w:sz w:val="20"/>
                <w:szCs w:val="20"/>
                <w:lang w:eastAsia="en-AU"/>
              </w:rPr>
            </w:pPr>
            <w:r w:rsidRPr="00EC364C">
              <w:rPr>
                <w:color w:val="000000"/>
                <w:sz w:val="20"/>
                <w:szCs w:val="20"/>
                <w:lang w:eastAsia="en-AU"/>
              </w:rPr>
              <w:t>5</w:t>
            </w:r>
          </w:p>
        </w:tc>
        <w:tc>
          <w:tcPr>
            <w:tcW w:w="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1A5B38" w:rsidRPr="00EC364C" w:rsidRDefault="001A5B38" w:rsidP="00F549F2">
            <w:pPr>
              <w:spacing w:before="0" w:after="0"/>
              <w:jc w:val="center"/>
              <w:rPr>
                <w:color w:val="000000"/>
                <w:sz w:val="20"/>
                <w:szCs w:val="20"/>
                <w:lang w:eastAsia="en-AU"/>
              </w:rPr>
            </w:pPr>
            <w:r w:rsidRPr="00EC364C">
              <w:rPr>
                <w:color w:val="000000"/>
                <w:sz w:val="20"/>
                <w:szCs w:val="20"/>
                <w:lang w:eastAsia="en-AU"/>
              </w:rPr>
              <w:t>5</w:t>
            </w:r>
          </w:p>
        </w:tc>
        <w:tc>
          <w:tcPr>
            <w:tcW w:w="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1A5B38" w:rsidRPr="00EC364C" w:rsidRDefault="001A5B38" w:rsidP="00F549F2">
            <w:pPr>
              <w:spacing w:before="0" w:after="0"/>
              <w:jc w:val="center"/>
              <w:rPr>
                <w:color w:val="000000"/>
                <w:sz w:val="20"/>
                <w:szCs w:val="20"/>
                <w:lang w:eastAsia="en-AU"/>
              </w:rPr>
            </w:pPr>
            <w:r w:rsidRPr="00EC364C">
              <w:rPr>
                <w:color w:val="000000"/>
                <w:sz w:val="20"/>
                <w:szCs w:val="20"/>
                <w:lang w:eastAsia="en-AU"/>
              </w:rPr>
              <w:t>10</w:t>
            </w:r>
          </w:p>
        </w:tc>
        <w:tc>
          <w:tcPr>
            <w:tcW w:w="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rsidR="001A5B38" w:rsidRPr="00056DBB" w:rsidRDefault="001A5B38" w:rsidP="00F549F2">
            <w:pPr>
              <w:spacing w:before="0" w:after="0"/>
              <w:jc w:val="center"/>
              <w:rPr>
                <w:b/>
                <w:color w:val="000000"/>
                <w:sz w:val="20"/>
                <w:szCs w:val="20"/>
                <w:lang w:eastAsia="en-AU"/>
              </w:rPr>
            </w:pPr>
            <w:r w:rsidRPr="00056DBB">
              <w:rPr>
                <w:sz w:val="20"/>
                <w:szCs w:val="20"/>
              </w:rPr>
              <w:t>26</w:t>
            </w:r>
          </w:p>
        </w:tc>
      </w:tr>
      <w:tr w:rsidR="001A5B38" w:rsidRPr="00EC364C" w:rsidTr="00D844A1">
        <w:trPr>
          <w:trHeight w:val="312"/>
          <w:jc w:val="center"/>
        </w:trPr>
        <w:tc>
          <w:tcPr>
            <w:tcW w:w="1165" w:type="dxa"/>
            <w:vMerge/>
            <w:tcBorders>
              <w:bottom w:val="single" w:sz="4" w:space="0" w:color="FFFFFF" w:themeColor="background1"/>
            </w:tcBorders>
            <w:shd w:val="clear" w:color="auto" w:fill="auto"/>
            <w:noWrap/>
            <w:vAlign w:val="center"/>
          </w:tcPr>
          <w:p w:rsidR="001A5B38" w:rsidRPr="00EC364C" w:rsidRDefault="001A5B38" w:rsidP="001A5B38">
            <w:pPr>
              <w:spacing w:before="0" w:after="0"/>
              <w:rPr>
                <w:color w:val="000000"/>
                <w:sz w:val="20"/>
                <w:szCs w:val="20"/>
                <w:lang w:eastAsia="en-AU"/>
              </w:rPr>
            </w:pPr>
          </w:p>
        </w:tc>
        <w:tc>
          <w:tcPr>
            <w:tcW w:w="1777" w:type="dxa"/>
            <w:tcBorders>
              <w:top w:val="nil"/>
              <w:bottom w:val="single" w:sz="4" w:space="0" w:color="FFFFFF" w:themeColor="background1"/>
              <w:right w:val="single" w:sz="4" w:space="0" w:color="FFFFFF" w:themeColor="background1"/>
            </w:tcBorders>
            <w:shd w:val="clear" w:color="auto" w:fill="auto"/>
            <w:noWrap/>
            <w:vAlign w:val="center"/>
          </w:tcPr>
          <w:p w:rsidR="001A5B38" w:rsidRPr="00EC364C" w:rsidRDefault="001A5B38" w:rsidP="001A5B38">
            <w:pPr>
              <w:spacing w:before="0" w:after="0"/>
              <w:rPr>
                <w:color w:val="000000"/>
                <w:sz w:val="20"/>
                <w:szCs w:val="20"/>
                <w:lang w:eastAsia="en-AU"/>
              </w:rPr>
            </w:pPr>
            <w:r w:rsidRPr="00EC364C">
              <w:rPr>
                <w:color w:val="000000"/>
                <w:sz w:val="20"/>
                <w:szCs w:val="20"/>
                <w:lang w:eastAsia="en-AU"/>
              </w:rPr>
              <w:t>coastal intertidal</w:t>
            </w:r>
          </w:p>
        </w:tc>
        <w:tc>
          <w:tcPr>
            <w:tcW w:w="7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1A5B38" w:rsidRPr="00EC364C" w:rsidRDefault="001A5B38" w:rsidP="00F549F2">
            <w:pPr>
              <w:spacing w:before="0" w:after="0"/>
              <w:jc w:val="center"/>
              <w:rPr>
                <w:color w:val="000000"/>
                <w:sz w:val="20"/>
                <w:szCs w:val="20"/>
                <w:lang w:eastAsia="en-AU"/>
              </w:rPr>
            </w:pPr>
          </w:p>
        </w:tc>
        <w:tc>
          <w:tcPr>
            <w:tcW w:w="7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1A5B38" w:rsidRPr="00EC364C" w:rsidRDefault="001A5B38" w:rsidP="00F549F2">
            <w:pPr>
              <w:spacing w:before="0" w:after="0"/>
              <w:jc w:val="center"/>
              <w:rPr>
                <w:color w:val="000000"/>
                <w:sz w:val="20"/>
                <w:szCs w:val="20"/>
                <w:lang w:eastAsia="en-AU"/>
              </w:rPr>
            </w:pP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1A5B38" w:rsidRPr="00EC364C" w:rsidRDefault="001A5B38" w:rsidP="00F549F2">
            <w:pPr>
              <w:spacing w:before="0" w:after="0"/>
              <w:jc w:val="center"/>
              <w:rPr>
                <w:color w:val="000000"/>
                <w:sz w:val="20"/>
                <w:szCs w:val="20"/>
                <w:lang w:eastAsia="en-AU"/>
              </w:rPr>
            </w:pP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1A5B38" w:rsidRPr="00EC364C" w:rsidRDefault="001A5B38" w:rsidP="00F549F2">
            <w:pPr>
              <w:spacing w:before="0" w:after="0"/>
              <w:jc w:val="center"/>
              <w:rPr>
                <w:color w:val="000000"/>
                <w:sz w:val="20"/>
                <w:szCs w:val="20"/>
                <w:lang w:eastAsia="en-AU"/>
              </w:rPr>
            </w:pP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1A5B38" w:rsidRPr="00EC364C" w:rsidRDefault="001A5B38" w:rsidP="00F549F2">
            <w:pPr>
              <w:spacing w:before="0" w:after="0"/>
              <w:jc w:val="center"/>
              <w:rPr>
                <w:color w:val="000000"/>
                <w:sz w:val="20"/>
                <w:szCs w:val="20"/>
                <w:lang w:eastAsia="en-AU"/>
              </w:rPr>
            </w:pP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1A5B38" w:rsidRPr="00EC364C" w:rsidRDefault="001A5B38" w:rsidP="00F549F2">
            <w:pPr>
              <w:spacing w:before="0" w:after="0"/>
              <w:jc w:val="center"/>
              <w:rPr>
                <w:color w:val="000000"/>
                <w:sz w:val="20"/>
                <w:szCs w:val="20"/>
                <w:lang w:eastAsia="en-AU"/>
              </w:rPr>
            </w:pP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rsidR="001A5B38" w:rsidRPr="00EC364C" w:rsidRDefault="001A5B38" w:rsidP="00F549F2">
            <w:pPr>
              <w:spacing w:before="0" w:after="0"/>
              <w:jc w:val="center"/>
              <w:rPr>
                <w:color w:val="000000"/>
                <w:sz w:val="20"/>
                <w:szCs w:val="20"/>
                <w:lang w:eastAsia="en-AU"/>
              </w:rPr>
            </w:pPr>
          </w:p>
        </w:tc>
        <w:tc>
          <w:tcPr>
            <w:tcW w:w="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rsidR="001A5B38" w:rsidRPr="00EC364C" w:rsidRDefault="001A5B38" w:rsidP="00F549F2">
            <w:pPr>
              <w:spacing w:before="0" w:after="0"/>
              <w:jc w:val="center"/>
              <w:rPr>
                <w:color w:val="000000"/>
                <w:sz w:val="20"/>
                <w:szCs w:val="20"/>
                <w:lang w:eastAsia="en-AU"/>
              </w:rPr>
            </w:pPr>
          </w:p>
        </w:tc>
        <w:tc>
          <w:tcPr>
            <w:tcW w:w="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rsidR="001A5B38" w:rsidRPr="00EC364C" w:rsidRDefault="001A5B38" w:rsidP="00F549F2">
            <w:pPr>
              <w:spacing w:before="0" w:after="0"/>
              <w:jc w:val="center"/>
              <w:rPr>
                <w:color w:val="000000"/>
                <w:sz w:val="20"/>
                <w:szCs w:val="20"/>
                <w:lang w:eastAsia="en-AU"/>
              </w:rPr>
            </w:pPr>
          </w:p>
        </w:tc>
        <w:tc>
          <w:tcPr>
            <w:tcW w:w="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rsidR="001A5B38" w:rsidRPr="00056DBB" w:rsidRDefault="001A5B38" w:rsidP="00F549F2">
            <w:pPr>
              <w:spacing w:before="0" w:after="0"/>
              <w:jc w:val="center"/>
              <w:rPr>
                <w:color w:val="000000"/>
                <w:sz w:val="20"/>
                <w:szCs w:val="20"/>
              </w:rPr>
            </w:pPr>
            <w:r w:rsidRPr="00056DBB">
              <w:rPr>
                <w:sz w:val="20"/>
                <w:szCs w:val="20"/>
              </w:rPr>
              <w:t>38</w:t>
            </w:r>
          </w:p>
        </w:tc>
      </w:tr>
      <w:tr w:rsidR="001A5B38" w:rsidRPr="00EC364C" w:rsidTr="00D844A1">
        <w:trPr>
          <w:trHeight w:val="312"/>
          <w:jc w:val="center"/>
        </w:trPr>
        <w:tc>
          <w:tcPr>
            <w:tcW w:w="1165" w:type="dxa"/>
            <w:tcBorders>
              <w:top w:val="single" w:sz="4" w:space="0" w:color="000000"/>
              <w:bottom w:val="single" w:sz="4" w:space="0" w:color="000000"/>
            </w:tcBorders>
            <w:shd w:val="clear" w:color="auto" w:fill="auto"/>
            <w:noWrap/>
            <w:vAlign w:val="center"/>
          </w:tcPr>
          <w:p w:rsidR="001A5B38" w:rsidRDefault="001A5B38" w:rsidP="001A5B38">
            <w:pPr>
              <w:spacing w:before="0" w:after="0"/>
              <w:rPr>
                <w:color w:val="000000"/>
                <w:sz w:val="20"/>
                <w:szCs w:val="20"/>
                <w:lang w:eastAsia="en-AU"/>
              </w:rPr>
            </w:pPr>
            <w:r>
              <w:rPr>
                <w:color w:val="000000"/>
                <w:sz w:val="20"/>
                <w:szCs w:val="20"/>
                <w:lang w:eastAsia="en-AU"/>
              </w:rPr>
              <w:t>Reproductive</w:t>
            </w:r>
          </w:p>
          <w:p w:rsidR="001A5B38" w:rsidRPr="00EC364C" w:rsidRDefault="001A5B38" w:rsidP="001A5B38">
            <w:pPr>
              <w:spacing w:before="0" w:after="0"/>
              <w:rPr>
                <w:color w:val="000000"/>
                <w:sz w:val="20"/>
                <w:szCs w:val="20"/>
                <w:lang w:eastAsia="en-AU"/>
              </w:rPr>
            </w:pPr>
            <w:r>
              <w:rPr>
                <w:color w:val="000000"/>
                <w:sz w:val="20"/>
                <w:szCs w:val="20"/>
                <w:lang w:eastAsia="en-AU"/>
              </w:rPr>
              <w:t>effort</w:t>
            </w:r>
          </w:p>
        </w:tc>
        <w:tc>
          <w:tcPr>
            <w:tcW w:w="1777" w:type="dxa"/>
            <w:tcBorders>
              <w:top w:val="single" w:sz="4" w:space="0" w:color="000000"/>
              <w:bottom w:val="single" w:sz="4" w:space="0" w:color="000000"/>
              <w:right w:val="single" w:sz="4" w:space="0" w:color="FFFFFF" w:themeColor="background1"/>
            </w:tcBorders>
            <w:shd w:val="clear" w:color="auto" w:fill="auto"/>
            <w:noWrap/>
            <w:vAlign w:val="center"/>
          </w:tcPr>
          <w:p w:rsidR="001A5B38" w:rsidRPr="00EC364C" w:rsidRDefault="001A5B38" w:rsidP="001A5B38">
            <w:pPr>
              <w:spacing w:before="0" w:after="0"/>
              <w:rPr>
                <w:color w:val="000000"/>
                <w:sz w:val="20"/>
                <w:szCs w:val="20"/>
                <w:lang w:eastAsia="en-AU"/>
              </w:rPr>
            </w:pPr>
            <w:r w:rsidRPr="00EC364C">
              <w:rPr>
                <w:color w:val="000000"/>
                <w:sz w:val="20"/>
                <w:szCs w:val="20"/>
                <w:lang w:eastAsia="en-AU"/>
              </w:rPr>
              <w:t>estuarine intertidal</w:t>
            </w:r>
          </w:p>
        </w:tc>
        <w:tc>
          <w:tcPr>
            <w:tcW w:w="7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rsidR="001A5B38" w:rsidRPr="005556A8" w:rsidRDefault="001A5B38" w:rsidP="00F549F2">
            <w:pPr>
              <w:spacing w:before="0" w:after="0"/>
              <w:jc w:val="center"/>
              <w:rPr>
                <w:color w:val="000000"/>
                <w:sz w:val="20"/>
                <w:szCs w:val="20"/>
                <w:lang w:eastAsia="en-AU"/>
              </w:rPr>
            </w:pPr>
            <w:r w:rsidRPr="005556A8">
              <w:rPr>
                <w:color w:val="000000"/>
                <w:sz w:val="20"/>
                <w:szCs w:val="20"/>
                <w:lang w:eastAsia="en-AU"/>
              </w:rPr>
              <w:t>25</w:t>
            </w:r>
          </w:p>
        </w:tc>
        <w:tc>
          <w:tcPr>
            <w:tcW w:w="75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5556A8" w:rsidRDefault="001A5B38" w:rsidP="00F549F2">
            <w:pPr>
              <w:spacing w:before="0" w:after="0"/>
              <w:jc w:val="center"/>
              <w:rPr>
                <w:color w:val="000000"/>
                <w:sz w:val="20"/>
                <w:szCs w:val="20"/>
                <w:lang w:eastAsia="en-AU"/>
              </w:rPr>
            </w:pPr>
            <w:r w:rsidRPr="005556A8">
              <w:rPr>
                <w:color w:val="000000"/>
                <w:sz w:val="20"/>
                <w:szCs w:val="20"/>
                <w:lang w:eastAsia="en-AU"/>
              </w:rPr>
              <w:t>0</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5556A8" w:rsidRDefault="001A5B38" w:rsidP="00F549F2">
            <w:pPr>
              <w:spacing w:before="0" w:after="0"/>
              <w:jc w:val="center"/>
              <w:rPr>
                <w:color w:val="000000"/>
                <w:sz w:val="20"/>
                <w:szCs w:val="20"/>
                <w:lang w:eastAsia="en-AU"/>
              </w:rPr>
            </w:pPr>
            <w:r w:rsidRPr="005556A8">
              <w:rPr>
                <w:color w:val="000000"/>
                <w:sz w:val="20"/>
                <w:szCs w:val="20"/>
                <w:lang w:eastAsia="en-AU"/>
              </w:rPr>
              <w:t>19</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noWrap/>
            <w:vAlign w:val="center"/>
          </w:tcPr>
          <w:p w:rsidR="001A5B38" w:rsidRPr="005556A8" w:rsidRDefault="001A5B38" w:rsidP="00F549F2">
            <w:pPr>
              <w:spacing w:before="0" w:after="0"/>
              <w:jc w:val="center"/>
              <w:rPr>
                <w:color w:val="000000"/>
                <w:sz w:val="20"/>
                <w:szCs w:val="20"/>
                <w:lang w:eastAsia="en-AU"/>
              </w:rPr>
            </w:pPr>
            <w:r w:rsidRPr="005556A8">
              <w:rPr>
                <w:color w:val="000000"/>
                <w:sz w:val="20"/>
                <w:szCs w:val="20"/>
                <w:lang w:eastAsia="en-AU"/>
              </w:rPr>
              <w:t>50</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5556A8" w:rsidRDefault="001A5B38" w:rsidP="00F549F2">
            <w:pPr>
              <w:spacing w:before="0" w:after="0"/>
              <w:jc w:val="center"/>
              <w:rPr>
                <w:color w:val="000000"/>
                <w:sz w:val="20"/>
                <w:szCs w:val="20"/>
                <w:lang w:eastAsia="en-AU"/>
              </w:rPr>
            </w:pPr>
            <w:r w:rsidRPr="005556A8">
              <w:rPr>
                <w:color w:val="000000"/>
                <w:sz w:val="20"/>
                <w:szCs w:val="20"/>
                <w:lang w:eastAsia="en-AU"/>
              </w:rPr>
              <w:t>17</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5556A8" w:rsidRDefault="001A5B38" w:rsidP="00F549F2">
            <w:pPr>
              <w:spacing w:before="0" w:after="0"/>
              <w:jc w:val="center"/>
              <w:rPr>
                <w:color w:val="000000"/>
                <w:sz w:val="20"/>
                <w:szCs w:val="20"/>
                <w:lang w:eastAsia="en-AU"/>
              </w:rPr>
            </w:pPr>
            <w:r w:rsidRPr="005556A8">
              <w:rPr>
                <w:color w:val="000000"/>
                <w:sz w:val="20"/>
                <w:szCs w:val="20"/>
                <w:lang w:eastAsia="en-AU"/>
              </w:rPr>
              <w:t>0</w:t>
            </w:r>
          </w:p>
        </w:tc>
        <w:tc>
          <w:tcPr>
            <w:tcW w:w="75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rsidR="001A5B38" w:rsidRPr="005556A8" w:rsidRDefault="001A5B38" w:rsidP="00F549F2">
            <w:pPr>
              <w:spacing w:before="0" w:after="0"/>
              <w:jc w:val="center"/>
              <w:rPr>
                <w:color w:val="000000"/>
                <w:sz w:val="20"/>
                <w:szCs w:val="20"/>
                <w:lang w:eastAsia="en-AU"/>
              </w:rPr>
            </w:pPr>
            <w:r w:rsidRPr="005556A8">
              <w:rPr>
                <w:color w:val="000000"/>
                <w:sz w:val="20"/>
                <w:szCs w:val="20"/>
                <w:lang w:eastAsia="en-AU"/>
              </w:rPr>
              <w:t>0</w:t>
            </w:r>
          </w:p>
        </w:tc>
        <w:tc>
          <w:tcPr>
            <w:tcW w:w="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1A5B38" w:rsidRPr="005556A8" w:rsidRDefault="001A5B38" w:rsidP="00F549F2">
            <w:pPr>
              <w:spacing w:before="0" w:after="0"/>
              <w:jc w:val="center"/>
              <w:rPr>
                <w:color w:val="000000"/>
                <w:sz w:val="20"/>
                <w:szCs w:val="20"/>
                <w:lang w:eastAsia="en-AU"/>
              </w:rPr>
            </w:pPr>
            <w:r w:rsidRPr="005556A8">
              <w:rPr>
                <w:color w:val="000000"/>
                <w:sz w:val="20"/>
                <w:szCs w:val="20"/>
                <w:lang w:eastAsia="en-AU"/>
              </w:rPr>
              <w:t>0</w:t>
            </w:r>
          </w:p>
        </w:tc>
        <w:tc>
          <w:tcPr>
            <w:tcW w:w="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1A5B38" w:rsidRPr="005556A8" w:rsidRDefault="001A5B38" w:rsidP="00F549F2">
            <w:pPr>
              <w:spacing w:before="0" w:after="0"/>
              <w:jc w:val="center"/>
              <w:rPr>
                <w:color w:val="000000"/>
                <w:sz w:val="20"/>
                <w:szCs w:val="20"/>
                <w:lang w:eastAsia="en-AU"/>
              </w:rPr>
            </w:pPr>
            <w:r w:rsidRPr="005556A8">
              <w:rPr>
                <w:color w:val="000000"/>
                <w:sz w:val="20"/>
                <w:szCs w:val="20"/>
                <w:lang w:eastAsia="en-AU"/>
              </w:rPr>
              <w:t>0</w:t>
            </w:r>
          </w:p>
        </w:tc>
        <w:tc>
          <w:tcPr>
            <w:tcW w:w="8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rsidR="001A5B38" w:rsidRPr="005556A8" w:rsidRDefault="001A5B38" w:rsidP="00F549F2">
            <w:pPr>
              <w:spacing w:before="0" w:after="0"/>
              <w:jc w:val="center"/>
              <w:rPr>
                <w:color w:val="000000"/>
                <w:sz w:val="20"/>
                <w:szCs w:val="20"/>
                <w:lang w:eastAsia="en-AU"/>
              </w:rPr>
            </w:pPr>
            <w:r>
              <w:rPr>
                <w:color w:val="000000"/>
                <w:sz w:val="20"/>
                <w:szCs w:val="20"/>
              </w:rPr>
              <w:t>6</w:t>
            </w:r>
          </w:p>
        </w:tc>
      </w:tr>
      <w:tr w:rsidR="001A5B38" w:rsidRPr="00EC364C" w:rsidTr="00D844A1">
        <w:trPr>
          <w:trHeight w:val="312"/>
          <w:jc w:val="center"/>
        </w:trPr>
        <w:tc>
          <w:tcPr>
            <w:tcW w:w="1165" w:type="dxa"/>
            <w:tcBorders>
              <w:top w:val="single" w:sz="4" w:space="0" w:color="000000"/>
              <w:bottom w:val="single" w:sz="4" w:space="0" w:color="000000"/>
            </w:tcBorders>
            <w:shd w:val="clear" w:color="auto" w:fill="auto"/>
            <w:noWrap/>
            <w:vAlign w:val="center"/>
          </w:tcPr>
          <w:p w:rsidR="001A5B38" w:rsidRDefault="001A5B38" w:rsidP="001A5B38">
            <w:pPr>
              <w:spacing w:before="0" w:after="0"/>
              <w:rPr>
                <w:color w:val="000000"/>
                <w:sz w:val="20"/>
                <w:szCs w:val="20"/>
                <w:lang w:eastAsia="en-AU"/>
              </w:rPr>
            </w:pPr>
            <w:r>
              <w:rPr>
                <w:color w:val="000000"/>
                <w:sz w:val="20"/>
                <w:szCs w:val="20"/>
                <w:lang w:eastAsia="en-AU"/>
              </w:rPr>
              <w:t>Leaf tissue</w:t>
            </w:r>
          </w:p>
          <w:p w:rsidR="001A5B38" w:rsidRPr="00EC364C" w:rsidRDefault="001A5B38" w:rsidP="001A5B38">
            <w:pPr>
              <w:spacing w:before="0" w:after="0"/>
              <w:rPr>
                <w:color w:val="000000"/>
                <w:sz w:val="20"/>
                <w:szCs w:val="20"/>
                <w:lang w:eastAsia="en-AU"/>
              </w:rPr>
            </w:pPr>
            <w:r>
              <w:rPr>
                <w:color w:val="000000"/>
                <w:sz w:val="20"/>
                <w:szCs w:val="20"/>
                <w:lang w:eastAsia="en-AU"/>
              </w:rPr>
              <w:t>nutrients</w:t>
            </w:r>
          </w:p>
        </w:tc>
        <w:tc>
          <w:tcPr>
            <w:tcW w:w="1777" w:type="dxa"/>
            <w:tcBorders>
              <w:top w:val="single" w:sz="4" w:space="0" w:color="000000"/>
              <w:bottom w:val="single" w:sz="4" w:space="0" w:color="000000"/>
            </w:tcBorders>
            <w:shd w:val="clear" w:color="auto" w:fill="auto"/>
            <w:noWrap/>
            <w:vAlign w:val="center"/>
          </w:tcPr>
          <w:p w:rsidR="001A5B38" w:rsidRPr="00EC364C" w:rsidRDefault="001A5B38" w:rsidP="001A5B38">
            <w:pPr>
              <w:spacing w:before="0" w:after="0"/>
              <w:rPr>
                <w:color w:val="000000"/>
                <w:sz w:val="20"/>
                <w:szCs w:val="20"/>
                <w:lang w:eastAsia="en-AU"/>
              </w:rPr>
            </w:pPr>
            <w:r w:rsidRPr="00EC364C">
              <w:rPr>
                <w:color w:val="000000"/>
                <w:sz w:val="20"/>
                <w:szCs w:val="20"/>
                <w:lang w:eastAsia="en-AU"/>
              </w:rPr>
              <w:t>estuarine intertidal</w:t>
            </w:r>
          </w:p>
        </w:tc>
        <w:tc>
          <w:tcPr>
            <w:tcW w:w="754" w:type="dxa"/>
            <w:tcBorders>
              <w:top w:val="single" w:sz="4" w:space="0" w:color="FFFFFF" w:themeColor="background1"/>
              <w:bottom w:val="single" w:sz="4" w:space="0" w:color="000000"/>
            </w:tcBorders>
            <w:shd w:val="clear" w:color="auto" w:fill="92D050"/>
            <w:noWrap/>
            <w:vAlign w:val="center"/>
          </w:tcPr>
          <w:p w:rsidR="001A5B38" w:rsidRPr="002D209A" w:rsidRDefault="001A5B38" w:rsidP="00F549F2">
            <w:pPr>
              <w:spacing w:before="0" w:after="0"/>
              <w:jc w:val="center"/>
              <w:rPr>
                <w:color w:val="000000"/>
                <w:sz w:val="20"/>
                <w:szCs w:val="20"/>
                <w:lang w:eastAsia="en-AU"/>
              </w:rPr>
            </w:pPr>
            <w:r w:rsidRPr="002D209A">
              <w:rPr>
                <w:color w:val="000000"/>
                <w:sz w:val="20"/>
                <w:szCs w:val="20"/>
                <w:lang w:eastAsia="en-AU"/>
              </w:rPr>
              <w:t>63</w:t>
            </w:r>
          </w:p>
        </w:tc>
        <w:tc>
          <w:tcPr>
            <w:tcW w:w="754" w:type="dxa"/>
            <w:tcBorders>
              <w:top w:val="single" w:sz="4" w:space="0" w:color="FFFFFF" w:themeColor="background1"/>
              <w:bottom w:val="single" w:sz="4" w:space="0" w:color="000000"/>
            </w:tcBorders>
            <w:shd w:val="clear" w:color="auto" w:fill="008000"/>
            <w:noWrap/>
            <w:vAlign w:val="center"/>
          </w:tcPr>
          <w:p w:rsidR="001A5B38" w:rsidRPr="002D209A" w:rsidRDefault="001A5B38" w:rsidP="00F549F2">
            <w:pPr>
              <w:spacing w:before="0" w:after="0"/>
              <w:jc w:val="center"/>
              <w:rPr>
                <w:color w:val="000000"/>
                <w:sz w:val="20"/>
                <w:szCs w:val="20"/>
                <w:lang w:eastAsia="en-AU"/>
              </w:rPr>
            </w:pPr>
            <w:r w:rsidRPr="002D209A">
              <w:rPr>
                <w:color w:val="000000"/>
                <w:sz w:val="20"/>
                <w:szCs w:val="20"/>
                <w:lang w:eastAsia="en-AU"/>
              </w:rPr>
              <w:t>100</w:t>
            </w:r>
          </w:p>
        </w:tc>
        <w:tc>
          <w:tcPr>
            <w:tcW w:w="753" w:type="dxa"/>
            <w:tcBorders>
              <w:top w:val="single" w:sz="4" w:space="0" w:color="FFFFFF" w:themeColor="background1"/>
              <w:bottom w:val="single" w:sz="4" w:space="0" w:color="000000"/>
            </w:tcBorders>
            <w:shd w:val="clear" w:color="auto" w:fill="FFCC00"/>
            <w:noWrap/>
            <w:vAlign w:val="center"/>
          </w:tcPr>
          <w:p w:rsidR="001A5B38" w:rsidRPr="002D209A" w:rsidRDefault="001A5B38" w:rsidP="00F549F2">
            <w:pPr>
              <w:spacing w:before="0" w:after="0"/>
              <w:jc w:val="center"/>
              <w:rPr>
                <w:color w:val="000000"/>
                <w:sz w:val="20"/>
                <w:szCs w:val="20"/>
                <w:lang w:eastAsia="en-AU"/>
              </w:rPr>
            </w:pPr>
            <w:r w:rsidRPr="002D209A">
              <w:rPr>
                <w:color w:val="000000"/>
                <w:sz w:val="20"/>
                <w:szCs w:val="20"/>
                <w:lang w:eastAsia="en-AU"/>
              </w:rPr>
              <w:t>39</w:t>
            </w:r>
          </w:p>
        </w:tc>
        <w:tc>
          <w:tcPr>
            <w:tcW w:w="753" w:type="dxa"/>
            <w:tcBorders>
              <w:top w:val="single" w:sz="4" w:space="0" w:color="FFFFFF" w:themeColor="background1"/>
              <w:bottom w:val="single" w:sz="4" w:space="0" w:color="000000"/>
            </w:tcBorders>
            <w:shd w:val="clear" w:color="auto" w:fill="FFFF00"/>
            <w:noWrap/>
            <w:vAlign w:val="center"/>
          </w:tcPr>
          <w:p w:rsidR="001A5B38" w:rsidRPr="002D209A" w:rsidRDefault="001A5B38" w:rsidP="00F549F2">
            <w:pPr>
              <w:spacing w:before="0" w:after="0"/>
              <w:jc w:val="center"/>
              <w:rPr>
                <w:color w:val="000000"/>
                <w:sz w:val="20"/>
                <w:szCs w:val="20"/>
                <w:lang w:eastAsia="en-AU"/>
              </w:rPr>
            </w:pPr>
            <w:r w:rsidRPr="002D209A">
              <w:rPr>
                <w:color w:val="000000"/>
                <w:sz w:val="20"/>
                <w:szCs w:val="20"/>
                <w:lang w:eastAsia="en-AU"/>
              </w:rPr>
              <w:t>42</w:t>
            </w:r>
          </w:p>
        </w:tc>
        <w:tc>
          <w:tcPr>
            <w:tcW w:w="753" w:type="dxa"/>
            <w:tcBorders>
              <w:top w:val="single" w:sz="4" w:space="0" w:color="FFFFFF" w:themeColor="background1"/>
              <w:bottom w:val="single" w:sz="4" w:space="0" w:color="000000"/>
            </w:tcBorders>
            <w:shd w:val="clear" w:color="auto" w:fill="FFFF00"/>
            <w:noWrap/>
            <w:vAlign w:val="center"/>
          </w:tcPr>
          <w:p w:rsidR="001A5B38" w:rsidRPr="002D209A" w:rsidRDefault="001A5B38" w:rsidP="00F549F2">
            <w:pPr>
              <w:spacing w:before="0" w:after="0"/>
              <w:jc w:val="center"/>
              <w:rPr>
                <w:color w:val="000000"/>
                <w:sz w:val="20"/>
                <w:szCs w:val="20"/>
                <w:lang w:eastAsia="en-AU"/>
              </w:rPr>
            </w:pPr>
            <w:r w:rsidRPr="002D209A">
              <w:rPr>
                <w:color w:val="000000"/>
                <w:sz w:val="20"/>
                <w:szCs w:val="20"/>
                <w:lang w:eastAsia="en-AU"/>
              </w:rPr>
              <w:t>48</w:t>
            </w:r>
          </w:p>
        </w:tc>
        <w:tc>
          <w:tcPr>
            <w:tcW w:w="753" w:type="dxa"/>
            <w:tcBorders>
              <w:top w:val="single" w:sz="4" w:space="0" w:color="FFFFFF" w:themeColor="background1"/>
              <w:bottom w:val="single" w:sz="4" w:space="0" w:color="000000"/>
            </w:tcBorders>
            <w:shd w:val="clear" w:color="auto" w:fill="FFCC00"/>
            <w:noWrap/>
            <w:vAlign w:val="center"/>
          </w:tcPr>
          <w:p w:rsidR="001A5B38" w:rsidRPr="002D209A" w:rsidRDefault="001A5B38" w:rsidP="00F549F2">
            <w:pPr>
              <w:spacing w:before="0" w:after="0"/>
              <w:jc w:val="center"/>
              <w:rPr>
                <w:color w:val="000000"/>
                <w:sz w:val="20"/>
                <w:szCs w:val="20"/>
                <w:lang w:eastAsia="en-AU"/>
              </w:rPr>
            </w:pPr>
            <w:r w:rsidRPr="002D209A">
              <w:rPr>
                <w:color w:val="000000"/>
                <w:sz w:val="20"/>
                <w:szCs w:val="20"/>
                <w:lang w:eastAsia="en-AU"/>
              </w:rPr>
              <w:t>30</w:t>
            </w:r>
          </w:p>
        </w:tc>
        <w:tc>
          <w:tcPr>
            <w:tcW w:w="753" w:type="dxa"/>
            <w:tcBorders>
              <w:top w:val="single" w:sz="4" w:space="0" w:color="FFFFFF" w:themeColor="background1"/>
              <w:bottom w:val="single" w:sz="4" w:space="0" w:color="000000"/>
            </w:tcBorders>
            <w:shd w:val="clear" w:color="auto" w:fill="FFFF00"/>
            <w:noWrap/>
            <w:vAlign w:val="center"/>
          </w:tcPr>
          <w:p w:rsidR="001A5B38" w:rsidRPr="002D209A" w:rsidRDefault="001A5B38" w:rsidP="00F549F2">
            <w:pPr>
              <w:spacing w:before="0" w:after="0"/>
              <w:jc w:val="center"/>
              <w:rPr>
                <w:color w:val="000000"/>
                <w:sz w:val="20"/>
                <w:szCs w:val="20"/>
                <w:lang w:eastAsia="en-AU"/>
              </w:rPr>
            </w:pPr>
            <w:r w:rsidRPr="002D209A">
              <w:rPr>
                <w:color w:val="000000"/>
                <w:sz w:val="20"/>
                <w:szCs w:val="20"/>
                <w:lang w:eastAsia="en-AU"/>
              </w:rPr>
              <w:t>47</w:t>
            </w:r>
          </w:p>
        </w:tc>
        <w:tc>
          <w:tcPr>
            <w:tcW w:w="832" w:type="dxa"/>
            <w:tcBorders>
              <w:top w:val="single" w:sz="4" w:space="0" w:color="FFFFFF" w:themeColor="background1"/>
              <w:bottom w:val="single" w:sz="4" w:space="0" w:color="000000"/>
            </w:tcBorders>
            <w:shd w:val="clear" w:color="auto" w:fill="FFCC00"/>
            <w:vAlign w:val="center"/>
          </w:tcPr>
          <w:p w:rsidR="001A5B38" w:rsidRPr="002D209A" w:rsidRDefault="001A5B38" w:rsidP="00F549F2">
            <w:pPr>
              <w:spacing w:before="0" w:after="0"/>
              <w:jc w:val="center"/>
              <w:rPr>
                <w:color w:val="000000"/>
                <w:sz w:val="20"/>
                <w:szCs w:val="20"/>
                <w:lang w:eastAsia="en-AU"/>
              </w:rPr>
            </w:pPr>
            <w:r w:rsidRPr="002D209A">
              <w:rPr>
                <w:color w:val="000000"/>
                <w:sz w:val="20"/>
                <w:szCs w:val="20"/>
                <w:lang w:eastAsia="en-AU"/>
              </w:rPr>
              <w:t>30</w:t>
            </w:r>
          </w:p>
        </w:tc>
        <w:tc>
          <w:tcPr>
            <w:tcW w:w="832" w:type="dxa"/>
            <w:tcBorders>
              <w:top w:val="single" w:sz="4" w:space="0" w:color="FFFFFF" w:themeColor="background1"/>
              <w:bottom w:val="single" w:sz="4" w:space="0" w:color="000000"/>
            </w:tcBorders>
            <w:shd w:val="clear" w:color="auto" w:fill="92D050"/>
            <w:vAlign w:val="center"/>
          </w:tcPr>
          <w:p w:rsidR="001A5B38" w:rsidRPr="002D209A" w:rsidRDefault="001A5B38" w:rsidP="00F549F2">
            <w:pPr>
              <w:spacing w:before="0" w:after="0"/>
              <w:jc w:val="center"/>
              <w:rPr>
                <w:color w:val="000000"/>
                <w:sz w:val="20"/>
                <w:szCs w:val="20"/>
                <w:lang w:eastAsia="en-AU"/>
              </w:rPr>
            </w:pPr>
            <w:r w:rsidRPr="002D209A">
              <w:rPr>
                <w:color w:val="000000"/>
                <w:sz w:val="20"/>
                <w:szCs w:val="20"/>
                <w:lang w:eastAsia="en-AU"/>
              </w:rPr>
              <w:t>77</w:t>
            </w:r>
          </w:p>
        </w:tc>
        <w:tc>
          <w:tcPr>
            <w:tcW w:w="832" w:type="dxa"/>
            <w:tcBorders>
              <w:top w:val="single" w:sz="4" w:space="0" w:color="FFFFFF" w:themeColor="background1"/>
              <w:bottom w:val="single" w:sz="4" w:space="0" w:color="000000"/>
            </w:tcBorders>
            <w:shd w:val="clear" w:color="auto" w:fill="FFCC00"/>
            <w:vAlign w:val="center"/>
          </w:tcPr>
          <w:p w:rsidR="001A5B38" w:rsidRPr="002D209A" w:rsidRDefault="001A5B38" w:rsidP="00F549F2">
            <w:pPr>
              <w:spacing w:before="0" w:after="0"/>
              <w:jc w:val="center"/>
              <w:rPr>
                <w:color w:val="000000"/>
                <w:sz w:val="20"/>
                <w:szCs w:val="20"/>
                <w:lang w:eastAsia="en-AU"/>
              </w:rPr>
            </w:pPr>
            <w:r>
              <w:rPr>
                <w:color w:val="000000"/>
                <w:sz w:val="20"/>
                <w:szCs w:val="20"/>
              </w:rPr>
              <w:t>40</w:t>
            </w:r>
          </w:p>
        </w:tc>
      </w:tr>
      <w:tr w:rsidR="001A5B38" w:rsidRPr="002D209A" w:rsidTr="00F549F2">
        <w:trPr>
          <w:trHeight w:val="312"/>
          <w:jc w:val="center"/>
        </w:trPr>
        <w:tc>
          <w:tcPr>
            <w:tcW w:w="2942" w:type="dxa"/>
            <w:gridSpan w:val="2"/>
            <w:tcBorders>
              <w:top w:val="single" w:sz="4" w:space="0" w:color="000000"/>
              <w:bottom w:val="single" w:sz="4" w:space="0" w:color="000000"/>
            </w:tcBorders>
            <w:shd w:val="clear" w:color="auto" w:fill="auto"/>
            <w:noWrap/>
            <w:vAlign w:val="center"/>
          </w:tcPr>
          <w:p w:rsidR="001A5B38" w:rsidRPr="002D209A" w:rsidRDefault="001A5B38" w:rsidP="00D844A1">
            <w:pPr>
              <w:spacing w:before="0" w:after="0"/>
              <w:rPr>
                <w:b/>
                <w:color w:val="000000"/>
                <w:sz w:val="20"/>
                <w:szCs w:val="20"/>
                <w:lang w:eastAsia="en-AU"/>
              </w:rPr>
            </w:pPr>
            <w:r>
              <w:rPr>
                <w:b/>
                <w:color w:val="000000"/>
                <w:sz w:val="20"/>
                <w:szCs w:val="20"/>
                <w:lang w:eastAsia="en-AU"/>
              </w:rPr>
              <w:t>Seagrass Index</w:t>
            </w:r>
          </w:p>
        </w:tc>
        <w:tc>
          <w:tcPr>
            <w:tcW w:w="754" w:type="dxa"/>
            <w:tcBorders>
              <w:top w:val="single" w:sz="4" w:space="0" w:color="000000"/>
              <w:bottom w:val="single" w:sz="4" w:space="0" w:color="000000"/>
            </w:tcBorders>
            <w:shd w:val="clear" w:color="auto" w:fill="FFCC00"/>
            <w:noWrap/>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36</w:t>
            </w:r>
          </w:p>
        </w:tc>
        <w:tc>
          <w:tcPr>
            <w:tcW w:w="754" w:type="dxa"/>
            <w:tcBorders>
              <w:top w:val="single" w:sz="4" w:space="0" w:color="000000"/>
              <w:bottom w:val="single" w:sz="4" w:space="0" w:color="000000"/>
            </w:tcBorders>
            <w:shd w:val="clear" w:color="auto" w:fill="FFCC00"/>
            <w:noWrap/>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33</w:t>
            </w:r>
          </w:p>
        </w:tc>
        <w:tc>
          <w:tcPr>
            <w:tcW w:w="753" w:type="dxa"/>
            <w:tcBorders>
              <w:top w:val="single" w:sz="4" w:space="0" w:color="000000"/>
              <w:bottom w:val="single" w:sz="4" w:space="0" w:color="000000"/>
            </w:tcBorders>
            <w:shd w:val="clear" w:color="auto" w:fill="FFCC00"/>
            <w:noWrap/>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24</w:t>
            </w:r>
          </w:p>
        </w:tc>
        <w:tc>
          <w:tcPr>
            <w:tcW w:w="753" w:type="dxa"/>
            <w:tcBorders>
              <w:top w:val="single" w:sz="4" w:space="0" w:color="000000"/>
              <w:bottom w:val="single" w:sz="4" w:space="0" w:color="000000"/>
            </w:tcBorders>
            <w:shd w:val="clear" w:color="auto" w:fill="FFCC00"/>
            <w:noWrap/>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34</w:t>
            </w:r>
          </w:p>
        </w:tc>
        <w:tc>
          <w:tcPr>
            <w:tcW w:w="753" w:type="dxa"/>
            <w:tcBorders>
              <w:top w:val="single" w:sz="4" w:space="0" w:color="000000"/>
              <w:bottom w:val="single" w:sz="4" w:space="0" w:color="000000"/>
            </w:tcBorders>
            <w:shd w:val="clear" w:color="auto" w:fill="FFCC00"/>
            <w:noWrap/>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25</w:t>
            </w:r>
          </w:p>
        </w:tc>
        <w:tc>
          <w:tcPr>
            <w:tcW w:w="753" w:type="dxa"/>
            <w:tcBorders>
              <w:top w:val="single" w:sz="4" w:space="0" w:color="000000"/>
              <w:bottom w:val="single" w:sz="4" w:space="0" w:color="000000"/>
            </w:tcBorders>
            <w:shd w:val="clear" w:color="auto" w:fill="FF0000"/>
            <w:noWrap/>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11</w:t>
            </w:r>
          </w:p>
        </w:tc>
        <w:tc>
          <w:tcPr>
            <w:tcW w:w="753" w:type="dxa"/>
            <w:tcBorders>
              <w:top w:val="single" w:sz="4" w:space="0" w:color="000000"/>
              <w:bottom w:val="single" w:sz="4" w:space="0" w:color="000000"/>
            </w:tcBorders>
            <w:shd w:val="clear" w:color="auto" w:fill="FF0000"/>
            <w:noWrap/>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18</w:t>
            </w:r>
          </w:p>
        </w:tc>
        <w:tc>
          <w:tcPr>
            <w:tcW w:w="832" w:type="dxa"/>
            <w:tcBorders>
              <w:top w:val="single" w:sz="4" w:space="0" w:color="000000"/>
              <w:bottom w:val="single" w:sz="4" w:space="0" w:color="000000"/>
            </w:tcBorders>
            <w:shd w:val="clear" w:color="auto" w:fill="FF0000"/>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12</w:t>
            </w:r>
          </w:p>
        </w:tc>
        <w:tc>
          <w:tcPr>
            <w:tcW w:w="832" w:type="dxa"/>
            <w:tcBorders>
              <w:top w:val="single" w:sz="4" w:space="0" w:color="000000"/>
              <w:bottom w:val="single" w:sz="4" w:space="0" w:color="000000"/>
            </w:tcBorders>
            <w:shd w:val="clear" w:color="auto" w:fill="FFCC00"/>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29</w:t>
            </w:r>
          </w:p>
        </w:tc>
        <w:tc>
          <w:tcPr>
            <w:tcW w:w="832" w:type="dxa"/>
            <w:tcBorders>
              <w:top w:val="single" w:sz="4" w:space="0" w:color="000000"/>
              <w:bottom w:val="single" w:sz="4" w:space="0" w:color="000000"/>
            </w:tcBorders>
            <w:shd w:val="clear" w:color="auto" w:fill="FFCC00"/>
            <w:vAlign w:val="center"/>
          </w:tcPr>
          <w:p w:rsidR="001A5B38" w:rsidRPr="00423BA4" w:rsidRDefault="001A5B38" w:rsidP="00F549F2">
            <w:pPr>
              <w:spacing w:before="0" w:after="0"/>
              <w:jc w:val="center"/>
              <w:rPr>
                <w:b/>
                <w:color w:val="000000"/>
                <w:sz w:val="20"/>
                <w:szCs w:val="20"/>
                <w:lang w:eastAsia="en-AU"/>
              </w:rPr>
            </w:pPr>
            <w:r w:rsidRPr="006834BF">
              <w:rPr>
                <w:b/>
                <w:color w:val="000000"/>
                <w:sz w:val="20"/>
                <w:szCs w:val="20"/>
                <w:lang w:eastAsia="en-AU"/>
              </w:rPr>
              <w:t>25</w:t>
            </w:r>
          </w:p>
        </w:tc>
      </w:tr>
    </w:tbl>
    <w:p w:rsidR="001A5B38" w:rsidRDefault="001A5B38" w:rsidP="001A5B38">
      <w:pPr>
        <w:rPr>
          <w:color w:val="000000"/>
          <w:szCs w:val="22"/>
        </w:rPr>
      </w:pPr>
    </w:p>
    <w:p w:rsidR="0034611B" w:rsidRDefault="0034611B">
      <w:pPr>
        <w:spacing w:before="0" w:after="0"/>
        <w:rPr>
          <w:szCs w:val="22"/>
          <w:lang w:val="en-US"/>
        </w:rPr>
      </w:pPr>
      <w:r>
        <w:rPr>
          <w:szCs w:val="22"/>
          <w:lang w:val="en-US"/>
        </w:rPr>
        <w:br w:type="page"/>
      </w:r>
    </w:p>
    <w:p w:rsidR="0034611B" w:rsidRPr="001F473C" w:rsidRDefault="0034611B" w:rsidP="00926892">
      <w:pPr>
        <w:pStyle w:val="Heading1"/>
        <w:pageBreakBefore w:val="0"/>
        <w:numPr>
          <w:ilvl w:val="0"/>
          <w:numId w:val="9"/>
        </w:numPr>
        <w:rPr>
          <w:rFonts w:ascii="Century Gothic" w:hAnsi="Century Gothic"/>
          <w:color w:val="000000"/>
        </w:rPr>
      </w:pPr>
      <w:bookmarkStart w:id="583" w:name="_Toc431493788"/>
      <w:bookmarkStart w:id="584" w:name="_Toc462047372"/>
      <w:r w:rsidRPr="001F473C">
        <w:rPr>
          <w:rFonts w:ascii="Century Gothic" w:hAnsi="Century Gothic"/>
          <w:color w:val="000000"/>
        </w:rPr>
        <w:lastRenderedPageBreak/>
        <w:t>Conclusions</w:t>
      </w:r>
      <w:bookmarkEnd w:id="583"/>
      <w:bookmarkEnd w:id="584"/>
    </w:p>
    <w:p w:rsidR="00AD3D80" w:rsidRDefault="00AD3D80" w:rsidP="00AD3D80">
      <w:pPr>
        <w:rPr>
          <w:szCs w:val="22"/>
          <w:lang w:val="en-US"/>
        </w:rPr>
      </w:pPr>
      <w:bookmarkStart w:id="585" w:name="_Ref354905017"/>
      <w:bookmarkStart w:id="586" w:name="_Toc170191672"/>
      <w:bookmarkStart w:id="587" w:name="_Toc175991100"/>
      <w:bookmarkStart w:id="588" w:name="_Toc176079593"/>
      <w:bookmarkStart w:id="589" w:name="_Toc232845951"/>
      <w:r w:rsidRPr="007D65EC">
        <w:rPr>
          <w:szCs w:val="22"/>
          <w:lang w:val="en-US"/>
        </w:rPr>
        <w:t>In 2014-15, inshore seagrass across the GBR remain</w:t>
      </w:r>
      <w:r>
        <w:rPr>
          <w:szCs w:val="22"/>
          <w:lang w:val="en-US"/>
        </w:rPr>
        <w:t>ed</w:t>
      </w:r>
      <w:r w:rsidRPr="007D65EC">
        <w:rPr>
          <w:szCs w:val="22"/>
          <w:lang w:val="en-US"/>
        </w:rPr>
        <w:t xml:space="preserve"> in a vulnerable state, particularly in the Fitzroy and Wet Tropics, with weak resistance (low abundance and low diversity, or abundance dominated by </w:t>
      </w:r>
      <w:proofErr w:type="spellStart"/>
      <w:r w:rsidRPr="007D65EC">
        <w:rPr>
          <w:szCs w:val="22"/>
          <w:lang w:val="en-US"/>
        </w:rPr>
        <w:t>colonising</w:t>
      </w:r>
      <w:proofErr w:type="spellEnd"/>
      <w:r w:rsidRPr="007D65EC">
        <w:rPr>
          <w:szCs w:val="22"/>
          <w:lang w:val="en-US"/>
        </w:rPr>
        <w:t xml:space="preserve"> species) and a low capacity to recover (low seed bank and</w:t>
      </w:r>
      <w:r>
        <w:rPr>
          <w:szCs w:val="22"/>
          <w:lang w:val="en-US"/>
        </w:rPr>
        <w:t>/or</w:t>
      </w:r>
      <w:r w:rsidRPr="007D65EC">
        <w:rPr>
          <w:szCs w:val="22"/>
          <w:lang w:val="en-US"/>
        </w:rPr>
        <w:t xml:space="preserve"> low reproductive effort).</w:t>
      </w:r>
      <w:r>
        <w:rPr>
          <w:szCs w:val="22"/>
          <w:lang w:val="en-US"/>
        </w:rPr>
        <w:t xml:space="preserve"> </w:t>
      </w:r>
      <w:r w:rsidRPr="007D65EC">
        <w:rPr>
          <w:szCs w:val="22"/>
          <w:lang w:val="en-US"/>
        </w:rPr>
        <w:t xml:space="preserve">The relatively moderate climatic conditions during 2014-15 were more conducive for seagrass growth than in recent years. Discharge from most GBR rivers was at or below the long‐term median, </w:t>
      </w:r>
      <w:r>
        <w:rPr>
          <w:szCs w:val="22"/>
          <w:lang w:val="en-US"/>
        </w:rPr>
        <w:t xml:space="preserve">however </w:t>
      </w:r>
      <w:r w:rsidRPr="007D65EC">
        <w:rPr>
          <w:szCs w:val="22"/>
          <w:lang w:val="en-US"/>
        </w:rPr>
        <w:t>light availability was slightly lower at many locations</w:t>
      </w:r>
      <w:r>
        <w:rPr>
          <w:szCs w:val="22"/>
          <w:lang w:val="en-US"/>
        </w:rPr>
        <w:t>;</w:t>
      </w:r>
      <w:r w:rsidRPr="007D65EC">
        <w:rPr>
          <w:szCs w:val="22"/>
          <w:lang w:val="en-US"/>
        </w:rPr>
        <w:t xml:space="preserve"> particularly those </w:t>
      </w:r>
      <w:r>
        <w:rPr>
          <w:szCs w:val="22"/>
          <w:lang w:val="en-US"/>
        </w:rPr>
        <w:t xml:space="preserve">in </w:t>
      </w:r>
      <w:r w:rsidRPr="007D65EC">
        <w:rPr>
          <w:szCs w:val="22"/>
          <w:lang w:val="en-US"/>
        </w:rPr>
        <w:t xml:space="preserve">northern regions covered in green secondary waters for much of the wet season (December to April). </w:t>
      </w:r>
      <w:r>
        <w:rPr>
          <w:szCs w:val="22"/>
          <w:lang w:val="en-US"/>
        </w:rPr>
        <w:t xml:space="preserve">Also, </w:t>
      </w:r>
      <w:r w:rsidRPr="007D65EC">
        <w:rPr>
          <w:szCs w:val="22"/>
          <w:lang w:val="en-US"/>
        </w:rPr>
        <w:t xml:space="preserve">higher </w:t>
      </w:r>
      <w:r>
        <w:rPr>
          <w:szCs w:val="22"/>
          <w:lang w:val="en-US"/>
        </w:rPr>
        <w:t>w</w:t>
      </w:r>
      <w:r w:rsidRPr="007D65EC">
        <w:rPr>
          <w:szCs w:val="22"/>
          <w:lang w:val="en-US"/>
        </w:rPr>
        <w:t>ithin‐canopy seawater temperatures during 2014-15 coupled with the lower light availability, may have resulted in C limitation and less conducive conditions for seagrass growth in some meadows in central and northern GBR regions.</w:t>
      </w:r>
    </w:p>
    <w:p w:rsidR="00AD3D80" w:rsidRPr="006432BD" w:rsidRDefault="00AD3D80" w:rsidP="00AD3D80">
      <w:pPr>
        <w:autoSpaceDE w:val="0"/>
        <w:autoSpaceDN w:val="0"/>
        <w:adjustRightInd w:val="0"/>
        <w:rPr>
          <w:rFonts w:cs="TimesNewRoman"/>
          <w:szCs w:val="22"/>
        </w:rPr>
      </w:pPr>
      <w:r w:rsidRPr="006432BD">
        <w:rPr>
          <w:rFonts w:cs="TimesNewRoman"/>
          <w:szCs w:val="22"/>
        </w:rPr>
        <w:t>Long-term monitoring through the MMP and related programs</w:t>
      </w:r>
      <w:r>
        <w:rPr>
          <w:rFonts w:cs="TimesNewRoman"/>
          <w:szCs w:val="22"/>
        </w:rPr>
        <w:t xml:space="preserve">(e.g. </w:t>
      </w:r>
      <w:r w:rsidR="00AF4159">
        <w:rPr>
          <w:rFonts w:cs="TimesNewRoman"/>
          <w:szCs w:val="22"/>
        </w:rPr>
        <w:t>QPSMP</w:t>
      </w:r>
      <w:r>
        <w:rPr>
          <w:rFonts w:cs="TimesNewRoman"/>
          <w:szCs w:val="22"/>
        </w:rPr>
        <w:t>)</w:t>
      </w:r>
      <w:r w:rsidRPr="006432BD">
        <w:rPr>
          <w:rFonts w:cs="TimesNewRoman"/>
          <w:szCs w:val="22"/>
        </w:rPr>
        <w:t xml:space="preserve"> has demonstrated that t</w:t>
      </w:r>
      <w:r w:rsidRPr="006432BD">
        <w:rPr>
          <w:szCs w:val="22"/>
        </w:rPr>
        <w:t xml:space="preserve">he tropical seagrass ecosystems of the GBR are a mosaic of different habitat types comprised of multiple seagrass species in which timing and mechanisms that capture their dynamism (i.e. declines and subsequent recovery) are complex and spatially diverse. </w:t>
      </w:r>
      <w:r w:rsidRPr="006432BD">
        <w:rPr>
          <w:rFonts w:cs="TimesNewRoman"/>
          <w:szCs w:val="22"/>
        </w:rPr>
        <w:t xml:space="preserve">The report card of inshore seagrass state for the Great Barrier Reef shows that the declines </w:t>
      </w:r>
      <w:r>
        <w:rPr>
          <w:rFonts w:cs="TimesNewRoman"/>
          <w:szCs w:val="22"/>
        </w:rPr>
        <w:t>occurring in 2006 and then from</w:t>
      </w:r>
      <w:r w:rsidRPr="006432BD">
        <w:rPr>
          <w:rFonts w:cs="TimesNewRoman"/>
          <w:szCs w:val="22"/>
        </w:rPr>
        <w:t xml:space="preserve"> </w:t>
      </w:r>
      <w:r w:rsidRPr="00563289">
        <w:rPr>
          <w:rFonts w:cs="TimesNewRoman"/>
          <w:szCs w:val="22"/>
        </w:rPr>
        <w:t>200</w:t>
      </w:r>
      <w:r>
        <w:rPr>
          <w:rFonts w:cs="TimesNewRoman"/>
          <w:szCs w:val="22"/>
        </w:rPr>
        <w:t>9</w:t>
      </w:r>
      <w:r w:rsidRPr="00563289">
        <w:rPr>
          <w:rFonts w:cs="TimesNewRoman"/>
          <w:szCs w:val="22"/>
        </w:rPr>
        <w:t xml:space="preserve"> to 2012 (from Cooktown south) abated in late 2012</w:t>
      </w:r>
      <w:r w:rsidRPr="006432BD">
        <w:rPr>
          <w:rFonts w:cs="TimesNewRoman"/>
          <w:szCs w:val="22"/>
        </w:rPr>
        <w:t xml:space="preserve"> and seagrass state improved</w:t>
      </w:r>
      <w:r w:rsidR="004D56BE">
        <w:rPr>
          <w:rFonts w:cs="TimesNewRoman"/>
          <w:szCs w:val="22"/>
        </w:rPr>
        <w:t>;</w:t>
      </w:r>
      <w:r w:rsidRPr="006432BD">
        <w:rPr>
          <w:rFonts w:cs="TimesNewRoman"/>
          <w:szCs w:val="22"/>
        </w:rPr>
        <w:t xml:space="preserve"> but remained poor in 2014-15 (</w:t>
      </w:r>
      <w:r w:rsidRPr="006432BD">
        <w:rPr>
          <w:rFonts w:cs="TimesNewRoman"/>
          <w:szCs w:val="22"/>
        </w:rPr>
        <w:fldChar w:fldCharType="begin"/>
      </w:r>
      <w:r w:rsidRPr="006432BD">
        <w:rPr>
          <w:rFonts w:cs="TimesNewRoman"/>
          <w:szCs w:val="22"/>
        </w:rPr>
        <w:instrText xml:space="preserve"> REF _Ref382211978 \h  \* MERGEFORMAT </w:instrText>
      </w:r>
      <w:r w:rsidRPr="006432BD">
        <w:rPr>
          <w:rFonts w:cs="TimesNewRoman"/>
          <w:szCs w:val="22"/>
        </w:rPr>
      </w:r>
      <w:r w:rsidRPr="006432BD">
        <w:rPr>
          <w:rFonts w:cs="TimesNewRoman"/>
          <w:szCs w:val="22"/>
        </w:rPr>
        <w:fldChar w:fldCharType="separate"/>
      </w:r>
      <w:r w:rsidR="009C068F" w:rsidRPr="009C068F">
        <w:rPr>
          <w:szCs w:val="22"/>
        </w:rPr>
        <w:t xml:space="preserve">Figure </w:t>
      </w:r>
      <w:r w:rsidR="009C068F" w:rsidRPr="009C068F">
        <w:rPr>
          <w:noProof/>
          <w:szCs w:val="22"/>
        </w:rPr>
        <w:t>104</w:t>
      </w:r>
      <w:r w:rsidRPr="006432BD">
        <w:rPr>
          <w:rFonts w:cs="TimesNewRoman"/>
          <w:szCs w:val="22"/>
        </w:rPr>
        <w:fldChar w:fldCharType="end"/>
      </w:r>
      <w:r w:rsidRPr="006432BD">
        <w:rPr>
          <w:rFonts w:cs="TimesNewRoman"/>
          <w:szCs w:val="22"/>
        </w:rPr>
        <w:t xml:space="preserve">). </w:t>
      </w:r>
      <w:r>
        <w:rPr>
          <w:rFonts w:cs="TimesNewRoman"/>
          <w:szCs w:val="22"/>
        </w:rPr>
        <w:t>More specifically</w:t>
      </w:r>
      <w:r w:rsidRPr="006432BD">
        <w:rPr>
          <w:szCs w:val="22"/>
        </w:rPr>
        <w:t>, a</w:t>
      </w:r>
      <w:r w:rsidRPr="006432BD">
        <w:rPr>
          <w:rFonts w:cs="TimesNewRoman"/>
          <w:szCs w:val="22"/>
        </w:rPr>
        <w:t>lthough some locations in the Wet Tropics and Burdekin regions experienced declines in early 2006 as a consequence of TC Larry, most recovered within 1-2 years</w:t>
      </w:r>
      <w:r>
        <w:rPr>
          <w:rFonts w:cs="TimesNewRoman"/>
          <w:szCs w:val="22"/>
        </w:rPr>
        <w:t>;</w:t>
      </w:r>
      <w:r w:rsidRPr="006432BD">
        <w:rPr>
          <w:rFonts w:cs="TimesNewRoman"/>
          <w:szCs w:val="22"/>
        </w:rPr>
        <w:t xml:space="preserve"> with the exception of the coastal sites in southern Wet Tropics where recovery was protracted. In late 2008, locations in the northern Wet Tropics and Burdekin regions were in a moderate state of health with abundant seagrass and seed banks. In contrast, locations in the southern GBR in Mackay Whitsunday and Burnett Mary regions were in a poor state, with low abundance, reduced reproductive effort and small or absent seed banks. In 2009 with the onset of the La Niña, the decline in seagrass state steadily spread across the Burdekin region and to locations within the Fitzroy and Wet Tropics where discharges from large rivers and associated catchments occurred</w:t>
      </w:r>
      <w:r>
        <w:rPr>
          <w:rFonts w:cs="TimesNewRoman"/>
          <w:szCs w:val="22"/>
        </w:rPr>
        <w:t xml:space="preserve"> (</w:t>
      </w:r>
      <w:r w:rsidR="009E5562">
        <w:rPr>
          <w:rFonts w:cs="TimesNewRoman"/>
          <w:szCs w:val="22"/>
        </w:rPr>
        <w:fldChar w:fldCharType="begin"/>
      </w:r>
      <w:r w:rsidR="009E5562">
        <w:rPr>
          <w:rFonts w:cs="TimesNewRoman"/>
          <w:szCs w:val="22"/>
        </w:rPr>
        <w:instrText xml:space="preserve"> ADDIN EN.CITE &lt;EndNote&gt;&lt;Cite&gt;&lt;Author&gt;McKenzie&lt;/Author&gt;&lt;Year&gt;2010&lt;/Year&gt;&lt;RecNum&gt;9605&lt;/RecNum&gt;&lt;DisplayText&gt;McKenzie&lt;style face="italic"&gt; et al.&lt;/style&gt; 2010b; McKenzie&lt;style face="italic"&gt;, et al.&lt;/style&gt; 2012b&lt;/DisplayText&gt;&lt;record&gt;&lt;rec-number&gt;9605&lt;/rec-number&gt;&lt;foreign-keys&gt;&lt;key app="EN" db-id="0eve55x9y5vfd6e9dacxtew4eatve2dzds9a"&gt;9605&lt;/key&gt;&lt;/foreign-keys&gt;&lt;ref-type name="Report"&gt;27&lt;/ref-type&gt;&lt;contributors&gt;&lt;authors&gt;&lt;author&gt;McKenzie, Len J&lt;/author&gt;&lt;author&gt;Unsworth, R.K.F&lt;/author&gt;&lt;author&gt;Waycott, M&lt;/author&gt;&lt;/authors&gt;&lt;/contributors&gt;&lt;titles&gt;&lt;title&gt;Reef Rescue Marine Monitoring Program: Intertidal Seagrass, Annual Report for the sampling period 1st September 2009 – 31st May 2010&lt;/title&gt;&lt;/titles&gt;&lt;pages&gt;136&lt;/pages&gt;&lt;dates&gt;&lt;year&gt;2010&lt;/year&gt;&lt;/dates&gt;&lt;pub-location&gt;Cairns &lt;/pub-location&gt;&lt;publisher&gt; Fisheries Queensland&lt;/publisher&gt;&lt;urls&gt;&lt;/urls&gt;&lt;/record&gt;&lt;/Cite&gt;&lt;Cite&gt;&lt;Author&gt;McKenzie&lt;/Author&gt;&lt;Year&gt;2012&lt;/Year&gt;&lt;RecNum&gt;9287&lt;/RecNum&gt;&lt;record&gt;&lt;rec-number&gt;9287&lt;/rec-number&gt;&lt;foreign-keys&gt;&lt;key app="EN" db-id="0eve55x9y5vfd6e9dacxtew4eatve2dzds9a"&gt;9287&lt;/key&gt;&lt;/foreign-keys&gt;&lt;ref-type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9E5562">
        <w:rPr>
          <w:rFonts w:cs="TimesNewRoman"/>
          <w:szCs w:val="22"/>
        </w:rPr>
        <w:fldChar w:fldCharType="separate"/>
      </w:r>
      <w:hyperlink w:anchor="_ENREF_177" w:tooltip="McKenzie, 2010 #9605" w:history="1">
        <w:r w:rsidR="00E6043D">
          <w:rPr>
            <w:rFonts w:cs="TimesNewRoman"/>
            <w:noProof/>
            <w:szCs w:val="22"/>
          </w:rPr>
          <w:t>McKenzie</w:t>
        </w:r>
        <w:r w:rsidR="00E6043D" w:rsidRPr="009E5562">
          <w:rPr>
            <w:rFonts w:cs="TimesNewRoman"/>
            <w:i/>
            <w:noProof/>
            <w:szCs w:val="22"/>
          </w:rPr>
          <w:t xml:space="preserve"> et al.</w:t>
        </w:r>
        <w:r w:rsidR="00E6043D">
          <w:rPr>
            <w:rFonts w:cs="TimesNewRoman"/>
            <w:noProof/>
            <w:szCs w:val="22"/>
          </w:rPr>
          <w:t xml:space="preserve"> 2010b</w:t>
        </w:r>
      </w:hyperlink>
      <w:r w:rsidR="009E5562">
        <w:rPr>
          <w:rFonts w:cs="TimesNewRoman"/>
          <w:noProof/>
          <w:szCs w:val="22"/>
        </w:rPr>
        <w:t xml:space="preserve">; </w:t>
      </w:r>
      <w:hyperlink w:anchor="_ENREF_169" w:tooltip="McKenzie, 2012 #9287" w:history="1">
        <w:r w:rsidR="00E6043D">
          <w:rPr>
            <w:rFonts w:cs="TimesNewRoman"/>
            <w:noProof/>
            <w:szCs w:val="22"/>
          </w:rPr>
          <w:t>McKenzie</w:t>
        </w:r>
        <w:r w:rsidR="00E6043D" w:rsidRPr="009E5562">
          <w:rPr>
            <w:rFonts w:cs="TimesNewRoman"/>
            <w:i/>
            <w:noProof/>
            <w:szCs w:val="22"/>
          </w:rPr>
          <w:t>, et al.</w:t>
        </w:r>
        <w:r w:rsidR="00E6043D">
          <w:rPr>
            <w:rFonts w:cs="TimesNewRoman"/>
            <w:noProof/>
            <w:szCs w:val="22"/>
          </w:rPr>
          <w:t xml:space="preserve"> 2012b</w:t>
        </w:r>
      </w:hyperlink>
      <w:r w:rsidR="009E5562">
        <w:rPr>
          <w:rFonts w:cs="TimesNewRoman"/>
          <w:szCs w:val="22"/>
        </w:rPr>
        <w:fldChar w:fldCharType="end"/>
      </w:r>
      <w:r>
        <w:rPr>
          <w:rFonts w:cs="TimesNewRoman"/>
          <w:szCs w:val="22"/>
        </w:rPr>
        <w:t>)</w:t>
      </w:r>
      <w:r w:rsidRPr="006432BD">
        <w:rPr>
          <w:rFonts w:cs="TimesNewRoman"/>
          <w:szCs w:val="22"/>
        </w:rPr>
        <w:t>. The only locations of better seagrass state were those with relatively little catchment input, such as Gladstone Harbour and Shoalwater Bay (Fitzroy region), Green Island (Wet Tropics), and Archer Point (Cape York)</w:t>
      </w:r>
      <w:r w:rsidR="004D56BE">
        <w:rPr>
          <w:rFonts w:cs="TimesNewRoman"/>
          <w:szCs w:val="22"/>
        </w:rPr>
        <w:t xml:space="preserve"> (</w:t>
      </w:r>
      <w:hyperlink w:anchor="_ENREF_169" w:tooltip="McKenzie, 2012 #9287" w:history="1">
        <w:r w:rsidR="00E6043D">
          <w:rPr>
            <w:rFonts w:cs="TimesNewRoman"/>
            <w:szCs w:val="22"/>
          </w:rPr>
          <w:fldChar w:fldCharType="begin"/>
        </w:r>
        <w:r w:rsidR="00E6043D">
          <w:rPr>
            <w:rFonts w:cs="TimesNewRoman"/>
            <w:szCs w:val="22"/>
          </w:rPr>
          <w:instrText xml:space="preserve"> ADDIN EN.CITE &lt;EndNote&gt;&lt;Cite&gt;&lt;Author&gt;McKenzie&lt;/Author&gt;&lt;Year&gt;2012&lt;/Year&gt;&lt;RecNum&gt;9287&lt;/RecNum&gt;&lt;DisplayText&gt;McKenzie&lt;style face="italic"&gt;, et al.&lt;/style&gt; 2012b&lt;/DisplayText&gt;&lt;record&gt;&lt;rec-number&gt;9287&lt;/rec-number&gt;&lt;foreign-keys&gt;&lt;key app="EN" db-id="0eve55x9y5vfd6e9dacxtew4eatve2dzds9a"&gt;9287&lt;/key&gt;&lt;/foreign-keys&gt;&lt;ref-type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E6043D">
          <w:rPr>
            <w:rFonts w:cs="TimesNewRoman"/>
            <w:szCs w:val="22"/>
          </w:rPr>
          <w:fldChar w:fldCharType="separate"/>
        </w:r>
        <w:r w:rsidR="00E6043D">
          <w:rPr>
            <w:rFonts w:cs="TimesNewRoman"/>
            <w:noProof/>
            <w:szCs w:val="22"/>
          </w:rPr>
          <w:t>McKenzie</w:t>
        </w:r>
        <w:r w:rsidR="00E6043D" w:rsidRPr="009E5562">
          <w:rPr>
            <w:rFonts w:cs="TimesNewRoman"/>
            <w:i/>
            <w:noProof/>
            <w:szCs w:val="22"/>
          </w:rPr>
          <w:t>, et al.</w:t>
        </w:r>
        <w:r w:rsidR="00E6043D">
          <w:rPr>
            <w:rFonts w:cs="TimesNewRoman"/>
            <w:noProof/>
            <w:szCs w:val="22"/>
          </w:rPr>
          <w:t xml:space="preserve"> 2012b</w:t>
        </w:r>
        <w:r w:rsidR="00E6043D">
          <w:rPr>
            <w:rFonts w:cs="TimesNewRoman"/>
            <w:szCs w:val="22"/>
          </w:rPr>
          <w:fldChar w:fldCharType="end"/>
        </w:r>
      </w:hyperlink>
      <w:r w:rsidR="004D56BE">
        <w:rPr>
          <w:rFonts w:cs="TimesNewRoman"/>
          <w:szCs w:val="22"/>
        </w:rPr>
        <w:t>)</w:t>
      </w:r>
      <w:r w:rsidRPr="006432BD">
        <w:rPr>
          <w:rFonts w:cs="TimesNewRoman"/>
          <w:szCs w:val="22"/>
        </w:rPr>
        <w:t xml:space="preserve">. By 2010, seagrasses of the GBR were in a poor state with declining trajectories in seagrass abundance, reduced meadow extent, limited or absent seed production and increased epiphyte loads at most locations. These factors would have made the seagrass populations particularly vulnerable to large episodic disturbances, as demonstrated by the widespread and substantial losses documented after the floods and cyclones of early 2011. </w:t>
      </w:r>
    </w:p>
    <w:p w:rsidR="004D1734" w:rsidRDefault="004D1734" w:rsidP="004D1734">
      <w:pPr>
        <w:autoSpaceDE w:val="0"/>
        <w:autoSpaceDN w:val="0"/>
        <w:adjustRightInd w:val="0"/>
        <w:rPr>
          <w:rFonts w:cs="TimesNewRoman"/>
          <w:szCs w:val="22"/>
        </w:rPr>
      </w:pPr>
      <w:r w:rsidRPr="006432BD">
        <w:rPr>
          <w:rFonts w:cs="TimesNewRoman"/>
          <w:szCs w:val="22"/>
        </w:rPr>
        <w:t>Following the extreme weather events of early 2011, seagrass habitats across the GBR further declined, with severe losses reported from the Wet Tropics, Burdekin, Mackay Whitsunday and Burnett Mary regions. By 2011-12, the onset of seagrass recovery was observed across some regions, however a state change had occurred and colonising species dominated many habitats. The majority of meadows appeared to allocate resources to vegetative growth rather than reproduction, indicated by the lower reproductive effort and seed banks. In 2014-15, recovery continued to progress across most of the regions</w:t>
      </w:r>
      <w:r>
        <w:rPr>
          <w:rFonts w:cs="TimesNewRoman"/>
          <w:szCs w:val="22"/>
        </w:rPr>
        <w:t>, although some regions meadows</w:t>
      </w:r>
      <w:r w:rsidRPr="00E65DED">
        <w:rPr>
          <w:rFonts w:cs="TimesNewRoman"/>
          <w:color w:val="000000"/>
          <w:szCs w:val="22"/>
        </w:rPr>
        <w:t xml:space="preserve"> </w:t>
      </w:r>
      <w:r>
        <w:rPr>
          <w:rFonts w:cs="TimesNewRoman"/>
          <w:color w:val="000000"/>
          <w:szCs w:val="22"/>
        </w:rPr>
        <w:t>recovery has stalled as a consequence of localised disturbances (e.g. tropical cyclones)</w:t>
      </w:r>
      <w:r w:rsidRPr="006432BD">
        <w:rPr>
          <w:rFonts w:cs="TimesNewRoman"/>
          <w:szCs w:val="22"/>
        </w:rPr>
        <w:t>.</w:t>
      </w:r>
    </w:p>
    <w:p w:rsidR="004D1734" w:rsidRDefault="004D1734" w:rsidP="008208B2">
      <w:pPr>
        <w:autoSpaceDE w:val="0"/>
        <w:autoSpaceDN w:val="0"/>
        <w:adjustRightInd w:val="0"/>
        <w:rPr>
          <w:rFonts w:cs="TimesNewRoman"/>
          <w:szCs w:val="22"/>
        </w:rPr>
      </w:pPr>
      <w:r>
        <w:rPr>
          <w:rFonts w:cs="TimesNewRoman"/>
          <w:szCs w:val="22"/>
        </w:rPr>
        <w:t xml:space="preserve">The meadows of the GBR have been in a highly fluctuating state over the past decade, and this disturbance regime is seemingly typical of the region and makes the meadows highly dynamic (e.g. </w:t>
      </w:r>
      <w:r>
        <w:rPr>
          <w:rFonts w:cs="TimesNewRoman"/>
          <w:szCs w:val="22"/>
        </w:rPr>
        <w:fldChar w:fldCharType="begin">
          <w:fldData xml:space="preserve">PEVuZE5vdGU+PENpdGU+PEF1dGhvcj5CaXJjaDwvQXV0aG9yPjxZZWFyPjE5ODQ8L1llYXI+PFJl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</w:fldData>
        </w:fldChar>
      </w:r>
      <w:r w:rsidR="00957846">
        <w:rPr>
          <w:rFonts w:cs="TimesNewRoman"/>
          <w:szCs w:val="22"/>
        </w:rPr>
        <w:instrText xml:space="preserve"> ADDIN EN.CITE </w:instrText>
      </w:r>
      <w:r w:rsidR="00957846">
        <w:rPr>
          <w:rFonts w:cs="TimesNewRoman"/>
          <w:szCs w:val="22"/>
        </w:rPr>
        <w:fldChar w:fldCharType="begin">
          <w:fldData xml:space="preserve">PEVuZE5vdGU+PENpdGU+PEF1dGhvcj5CaXJjaDwvQXV0aG9yPjxZZWFyPjE5ODQ8L1llYXI+PFJl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</w:fldData>
        </w:fldChar>
      </w:r>
      <w:r w:rsidR="00957846">
        <w:rPr>
          <w:rFonts w:cs="TimesNewRoman"/>
          <w:szCs w:val="22"/>
        </w:rPr>
        <w:instrText xml:space="preserve"> ADDIN EN.CITE.DATA </w:instrText>
      </w:r>
      <w:r w:rsidR="00957846">
        <w:rPr>
          <w:rFonts w:cs="TimesNewRoman"/>
          <w:szCs w:val="22"/>
        </w:rPr>
      </w:r>
      <w:r w:rsidR="00957846">
        <w:rPr>
          <w:rFonts w:cs="TimesNewRoman"/>
          <w:szCs w:val="22"/>
        </w:rPr>
        <w:fldChar w:fldCharType="end"/>
      </w:r>
      <w:r>
        <w:rPr>
          <w:rFonts w:cs="TimesNewRoman"/>
          <w:szCs w:val="22"/>
        </w:rPr>
      </w:r>
      <w:r>
        <w:rPr>
          <w:rFonts w:cs="TimesNewRoman"/>
          <w:szCs w:val="22"/>
        </w:rPr>
        <w:fldChar w:fldCharType="separate"/>
      </w:r>
      <w:hyperlink w:anchor="_ENREF_13" w:tooltip="Birch, 1984 #177" w:history="1">
        <w:r w:rsidR="00E6043D">
          <w:rPr>
            <w:rFonts w:cs="TimesNewRoman"/>
            <w:noProof/>
            <w:szCs w:val="22"/>
          </w:rPr>
          <w:t>Birch and Birch 1984</w:t>
        </w:r>
      </w:hyperlink>
      <w:r>
        <w:rPr>
          <w:rFonts w:cs="TimesNewRoman"/>
          <w:noProof/>
          <w:szCs w:val="22"/>
        </w:rPr>
        <w:t xml:space="preserve">; </w:t>
      </w:r>
      <w:hyperlink w:anchor="_ENREF_200" w:tooltip="Preen, 1995 #950" w:history="1">
        <w:r w:rsidR="00E6043D">
          <w:rPr>
            <w:rFonts w:cs="TimesNewRoman"/>
            <w:noProof/>
            <w:szCs w:val="22"/>
          </w:rPr>
          <w:t>Preen</w:t>
        </w:r>
        <w:r w:rsidR="00E6043D" w:rsidRPr="009E5562">
          <w:rPr>
            <w:rFonts w:cs="TimesNewRoman"/>
            <w:i/>
            <w:noProof/>
            <w:szCs w:val="22"/>
          </w:rPr>
          <w:t xml:space="preserve"> et al.</w:t>
        </w:r>
        <w:r w:rsidR="00E6043D">
          <w:rPr>
            <w:rFonts w:cs="TimesNewRoman"/>
            <w:noProof/>
            <w:szCs w:val="22"/>
          </w:rPr>
          <w:t xml:space="preserve"> 1995</w:t>
        </w:r>
      </w:hyperlink>
      <w:r>
        <w:rPr>
          <w:rFonts w:cs="TimesNewRoman"/>
          <w:noProof/>
          <w:szCs w:val="22"/>
        </w:rPr>
        <w:t xml:space="preserve">; </w:t>
      </w:r>
      <w:hyperlink w:anchor="_ENREF_32" w:tooltip="Campbell, 2004 #2838" w:history="1">
        <w:r w:rsidR="00E6043D">
          <w:rPr>
            <w:rFonts w:cs="TimesNewRoman"/>
            <w:noProof/>
            <w:szCs w:val="22"/>
          </w:rPr>
          <w:t>Campbell and McKenzie 2004</w:t>
        </w:r>
      </w:hyperlink>
      <w:r>
        <w:rPr>
          <w:rFonts w:cs="TimesNewRoman"/>
          <w:noProof/>
          <w:szCs w:val="22"/>
        </w:rPr>
        <w:t xml:space="preserve">; </w:t>
      </w:r>
      <w:hyperlink w:anchor="_ENREF_238" w:tooltip="Waycott, 2007 #9133" w:history="1">
        <w:r w:rsidR="00E6043D">
          <w:rPr>
            <w:rFonts w:cs="TimesNewRoman"/>
            <w:noProof/>
            <w:szCs w:val="22"/>
          </w:rPr>
          <w:t>Waycott</w:t>
        </w:r>
        <w:r w:rsidR="00E6043D" w:rsidRPr="009E5562">
          <w:rPr>
            <w:rFonts w:cs="TimesNewRoman"/>
            <w:i/>
            <w:noProof/>
            <w:szCs w:val="22"/>
          </w:rPr>
          <w:t>, et al.</w:t>
        </w:r>
        <w:r w:rsidR="00E6043D">
          <w:rPr>
            <w:rFonts w:cs="TimesNewRoman"/>
            <w:noProof/>
            <w:szCs w:val="22"/>
          </w:rPr>
          <w:t xml:space="preserve"> 2007</w:t>
        </w:r>
      </w:hyperlink>
      <w:r>
        <w:rPr>
          <w:rFonts w:cs="TimesNewRoman"/>
          <w:szCs w:val="22"/>
        </w:rPr>
        <w:fldChar w:fldCharType="end"/>
      </w:r>
      <w:r>
        <w:rPr>
          <w:rFonts w:cs="TimesNewRoman"/>
          <w:szCs w:val="22"/>
        </w:rPr>
        <w:t>). By contrast, the meadows to the north in the Torres Strait, and to the south in Moreton Bay remain relatively stable over similar time frames (</w:t>
      </w:r>
      <w:r>
        <w:rPr>
          <w:rFonts w:cs="TimesNewRoman"/>
          <w:szCs w:val="22"/>
        </w:rPr>
        <w:fldChar w:fldCharType="begin">
          <w:fldData xml:space="preserve">PEVuZE5vdGU+PENpdGU+PEF1dGhvcj5Sb2VsZnNlbWE8L0F1dGhvcj48WWVhcj4yMDA5PC9ZZWFy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</w:fldData>
        </w:fldChar>
      </w:r>
      <w:r>
        <w:rPr>
          <w:rFonts w:cs="TimesNewRoman"/>
          <w:szCs w:val="22"/>
        </w:rPr>
        <w:instrText xml:space="preserve"> ADDIN EN.CITE </w:instrText>
      </w:r>
      <w:r>
        <w:rPr>
          <w:rFonts w:cs="TimesNewRoman"/>
          <w:szCs w:val="22"/>
        </w:rPr>
        <w:fldChar w:fldCharType="begin">
          <w:fldData xml:space="preserve">PEVuZE5vdGU+PENpdGU+PEF1dGhvcj5Sb2VsZnNlbWE8L0F1dGhvcj48WWVhcj4yMDA5PC9ZZWFy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</w:fldData>
        </w:fldChar>
      </w:r>
      <w:r>
        <w:rPr>
          <w:rFonts w:cs="TimesNewRoman"/>
          <w:szCs w:val="22"/>
        </w:rPr>
        <w:instrText xml:space="preserve"> ADDIN EN.CITE.DATA </w:instrText>
      </w:r>
      <w:r>
        <w:rPr>
          <w:rFonts w:cs="TimesNewRoman"/>
          <w:szCs w:val="22"/>
        </w:rPr>
      </w:r>
      <w:r>
        <w:rPr>
          <w:rFonts w:cs="TimesNewRoman"/>
          <w:szCs w:val="22"/>
        </w:rPr>
        <w:fldChar w:fldCharType="end"/>
      </w:r>
      <w:r>
        <w:rPr>
          <w:rFonts w:cs="TimesNewRoman"/>
          <w:szCs w:val="22"/>
        </w:rPr>
      </w:r>
      <w:r>
        <w:rPr>
          <w:rFonts w:cs="TimesNewRoman"/>
          <w:szCs w:val="22"/>
        </w:rPr>
        <w:fldChar w:fldCharType="separate"/>
      </w:r>
      <w:hyperlink w:anchor="_ENREF_210" w:tooltip="Roelfsema, 2009 #9468" w:history="1">
        <w:r w:rsidR="00E6043D">
          <w:rPr>
            <w:rFonts w:cs="TimesNewRoman"/>
            <w:noProof/>
            <w:szCs w:val="22"/>
          </w:rPr>
          <w:t>Roelfsema</w:t>
        </w:r>
        <w:r w:rsidR="00E6043D" w:rsidRPr="009E5562">
          <w:rPr>
            <w:rFonts w:cs="TimesNewRoman"/>
            <w:i/>
            <w:noProof/>
            <w:szCs w:val="22"/>
          </w:rPr>
          <w:t xml:space="preserve"> et al.</w:t>
        </w:r>
        <w:r w:rsidR="00E6043D">
          <w:rPr>
            <w:rFonts w:cs="TimesNewRoman"/>
            <w:noProof/>
            <w:szCs w:val="22"/>
          </w:rPr>
          <w:t xml:space="preserve"> 2009</w:t>
        </w:r>
      </w:hyperlink>
      <w:r>
        <w:rPr>
          <w:rFonts w:cs="TimesNewRoman"/>
          <w:noProof/>
          <w:szCs w:val="22"/>
        </w:rPr>
        <w:t xml:space="preserve">; </w:t>
      </w:r>
      <w:hyperlink w:anchor="_ENREF_180" w:tooltip="McKenzie, 2010 #9646" w:history="1">
        <w:r w:rsidR="00E6043D">
          <w:rPr>
            <w:rFonts w:cs="TimesNewRoman"/>
            <w:noProof/>
            <w:szCs w:val="22"/>
          </w:rPr>
          <w:t>McKenzie</w:t>
        </w:r>
        <w:r w:rsidR="00E6043D" w:rsidRPr="009E5562">
          <w:rPr>
            <w:rFonts w:cs="TimesNewRoman"/>
            <w:i/>
            <w:noProof/>
            <w:szCs w:val="22"/>
          </w:rPr>
          <w:t>, et al.</w:t>
        </w:r>
        <w:r w:rsidR="00E6043D">
          <w:rPr>
            <w:rFonts w:cs="TimesNewRoman"/>
            <w:noProof/>
            <w:szCs w:val="22"/>
          </w:rPr>
          <w:t xml:space="preserve"> 2010c</w:t>
        </w:r>
      </w:hyperlink>
      <w:r>
        <w:rPr>
          <w:rFonts w:cs="TimesNewRoman"/>
          <w:noProof/>
          <w:szCs w:val="22"/>
        </w:rPr>
        <w:t xml:space="preserve">; </w:t>
      </w:r>
      <w:hyperlink w:anchor="_ENREF_209" w:tooltip="Roelfsema, 2013 #10493" w:history="1">
        <w:r w:rsidR="00E6043D">
          <w:rPr>
            <w:rFonts w:cs="TimesNewRoman"/>
            <w:noProof/>
            <w:szCs w:val="22"/>
          </w:rPr>
          <w:t>Roelfsema</w:t>
        </w:r>
        <w:r w:rsidR="00E6043D" w:rsidRPr="009E5562">
          <w:rPr>
            <w:rFonts w:cs="TimesNewRoman"/>
            <w:i/>
            <w:noProof/>
            <w:szCs w:val="22"/>
          </w:rPr>
          <w:t xml:space="preserve"> et al.</w:t>
        </w:r>
        <w:r w:rsidR="00E6043D">
          <w:rPr>
            <w:rFonts w:cs="TimesNewRoman"/>
            <w:noProof/>
            <w:szCs w:val="22"/>
          </w:rPr>
          <w:t xml:space="preserve"> 2013</w:t>
        </w:r>
      </w:hyperlink>
      <w:r>
        <w:rPr>
          <w:rFonts w:cs="TimesNewRoman"/>
          <w:noProof/>
          <w:szCs w:val="22"/>
        </w:rPr>
        <w:t xml:space="preserve">; </w:t>
      </w:r>
      <w:hyperlink w:anchor="_ENREF_41" w:tooltip="Carter, 2014 #10496" w:history="1">
        <w:r w:rsidR="00E6043D">
          <w:rPr>
            <w:rFonts w:cs="TimesNewRoman"/>
            <w:noProof/>
            <w:szCs w:val="22"/>
          </w:rPr>
          <w:t>Carter</w:t>
        </w:r>
        <w:r w:rsidR="00E6043D" w:rsidRPr="009E5562">
          <w:rPr>
            <w:rFonts w:cs="TimesNewRoman"/>
            <w:i/>
            <w:noProof/>
            <w:szCs w:val="22"/>
          </w:rPr>
          <w:t xml:space="preserve"> et al.</w:t>
        </w:r>
        <w:r w:rsidR="00E6043D">
          <w:rPr>
            <w:rFonts w:cs="TimesNewRoman"/>
            <w:noProof/>
            <w:szCs w:val="22"/>
          </w:rPr>
          <w:t xml:space="preserve"> 2014b</w:t>
        </w:r>
      </w:hyperlink>
      <w:r>
        <w:rPr>
          <w:rFonts w:cs="TimesNewRoman"/>
          <w:noProof/>
          <w:szCs w:val="22"/>
        </w:rPr>
        <w:t xml:space="preserve">; </w:t>
      </w:r>
      <w:hyperlink w:anchor="_ENREF_40" w:tooltip="Carter, 2014 #10498" w:history="1">
        <w:r w:rsidR="00E6043D">
          <w:rPr>
            <w:rFonts w:cs="TimesNewRoman"/>
            <w:noProof/>
            <w:szCs w:val="22"/>
          </w:rPr>
          <w:t>Carter</w:t>
        </w:r>
        <w:r w:rsidR="00E6043D" w:rsidRPr="009E5562">
          <w:rPr>
            <w:rFonts w:cs="TimesNewRoman"/>
            <w:i/>
            <w:noProof/>
            <w:szCs w:val="22"/>
          </w:rPr>
          <w:t xml:space="preserve"> et al.</w:t>
        </w:r>
        <w:r w:rsidR="00E6043D">
          <w:rPr>
            <w:rFonts w:cs="TimesNewRoman"/>
            <w:noProof/>
            <w:szCs w:val="22"/>
          </w:rPr>
          <w:t xml:space="preserve"> 2014a</w:t>
        </w:r>
      </w:hyperlink>
      <w:r>
        <w:rPr>
          <w:rFonts w:cs="TimesNewRoman"/>
          <w:szCs w:val="22"/>
        </w:rPr>
        <w:fldChar w:fldCharType="end"/>
      </w:r>
      <w:r>
        <w:rPr>
          <w:rFonts w:cs="TimesNewRoman"/>
          <w:szCs w:val="22"/>
        </w:rPr>
        <w:t>).</w:t>
      </w:r>
    </w:p>
    <w:p w:rsidR="0034611B" w:rsidRDefault="0034611B" w:rsidP="0034611B">
      <w:pPr>
        <w:autoSpaceDE w:val="0"/>
        <w:autoSpaceDN w:val="0"/>
        <w:adjustRightInd w:val="0"/>
        <w:rPr>
          <w:rFonts w:cs="TimesNewRoman"/>
          <w:color w:val="000000"/>
          <w:szCs w:val="22"/>
        </w:rPr>
      </w:pPr>
      <w:r>
        <w:rPr>
          <w:rFonts w:cs="TimesNewRoman"/>
          <w:noProof/>
          <w:color w:val="000000"/>
          <w:szCs w:val="22"/>
          <w:lang w:eastAsia="en-AU"/>
        </w:rPr>
        <w:lastRenderedPageBreak/>
        <w:drawing>
          <wp:inline distT="0" distB="0" distL="0" distR="0" wp14:anchorId="25AD5E57" wp14:editId="0708E542">
            <wp:extent cx="5759450" cy="4010660"/>
            <wp:effectExtent l="0" t="0" r="0" b="8890"/>
            <wp:docPr id="292" name="Picture 292" descr="Summary of GBR MMP inshore seagrass state illustrating abundance of foundation / colonising species, seed banks and reproductive effort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ary figure_2015.pn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5759450" cy="4010660"/>
                    </a:xfrm>
                    <a:prstGeom prst="rect">
                      <a:avLst/>
                    </a:prstGeom>
                  </pic:spPr>
                </pic:pic>
              </a:graphicData>
            </a:graphic>
          </wp:inline>
        </w:drawing>
      </w:r>
    </w:p>
    <w:p w:rsidR="0034611B" w:rsidRPr="00A93D8C" w:rsidRDefault="0034611B" w:rsidP="0034611B">
      <w:pPr>
        <w:rPr>
          <w:i/>
          <w:vanish/>
          <w:specVanish/>
        </w:rPr>
      </w:pPr>
      <w:bookmarkStart w:id="590" w:name="_Ref382211978"/>
      <w:bookmarkStart w:id="591" w:name="_Toc431493912"/>
      <w:bookmarkStart w:id="592" w:name="_Toc462684944"/>
      <w:r w:rsidRPr="00326B1A">
        <w:t xml:space="preserve">Figure </w:t>
      </w:r>
      <w:fldSimple w:instr=" SEQ Figure \* ARABIC ">
        <w:r w:rsidR="009C068F">
          <w:rPr>
            <w:noProof/>
          </w:rPr>
          <w:t>104</w:t>
        </w:r>
      </w:fldSimple>
      <w:bookmarkEnd w:id="585"/>
      <w:bookmarkEnd w:id="590"/>
      <w:r w:rsidRPr="00326B1A">
        <w:t xml:space="preserve">. </w:t>
      </w:r>
      <w:r w:rsidRPr="00A93D8C">
        <w:rPr>
          <w:i/>
        </w:rPr>
        <w:t>Summary of GBR MMP inshore seagrass state illustrating abundance of foundation / colonising species, seed banks and reproductive effort from 2005 to 201</w:t>
      </w:r>
      <w:r>
        <w:rPr>
          <w:i/>
        </w:rPr>
        <w:t>5</w:t>
      </w:r>
      <w:r w:rsidRPr="00A93D8C">
        <w:rPr>
          <w:i/>
        </w:rPr>
        <w:t>.</w:t>
      </w:r>
      <w:bookmarkEnd w:id="591"/>
      <w:bookmarkEnd w:id="592"/>
      <w:r w:rsidRPr="00A93D8C">
        <w:rPr>
          <w:i/>
        </w:rPr>
        <w:t xml:space="preserve"> </w:t>
      </w:r>
    </w:p>
    <w:p w:rsidR="0034611B" w:rsidRPr="00A93D8C" w:rsidRDefault="0034611B" w:rsidP="0034611B">
      <w:r w:rsidRPr="00A93D8C">
        <w:rPr>
          <w:i/>
          <w:vanish/>
          <w:specVanish/>
        </w:rPr>
        <w:t xml:space="preserve"> </w:t>
      </w:r>
      <w:r w:rsidRPr="00A93D8C">
        <w:rPr>
          <w:i/>
          <w:specVanish/>
        </w:rPr>
        <w:t xml:space="preserve"> * colonising species are represented by the genus </w:t>
      </w:r>
      <w:proofErr w:type="spellStart"/>
      <w:r w:rsidRPr="00A93D8C">
        <w:rPr>
          <w:i/>
          <w:specVanish/>
        </w:rPr>
        <w:t>Halophila</w:t>
      </w:r>
      <w:proofErr w:type="spellEnd"/>
      <w:r w:rsidRPr="00A93D8C">
        <w:rPr>
          <w:i/>
          <w:specVanish/>
        </w:rPr>
        <w:t xml:space="preserve">, however, </w:t>
      </w:r>
      <w:proofErr w:type="spellStart"/>
      <w:r w:rsidRPr="00A93D8C">
        <w:rPr>
          <w:i/>
          <w:specVanish/>
        </w:rPr>
        <w:t>Zostera</w:t>
      </w:r>
      <w:proofErr w:type="spellEnd"/>
      <w:r w:rsidRPr="00A93D8C">
        <w:rPr>
          <w:i/>
          <w:specVanish/>
        </w:rPr>
        <w:t xml:space="preserve"> and </w:t>
      </w:r>
      <w:proofErr w:type="spellStart"/>
      <w:r w:rsidRPr="00A93D8C">
        <w:rPr>
          <w:i/>
          <w:specVanish/>
        </w:rPr>
        <w:t>Halodule</w:t>
      </w:r>
      <w:proofErr w:type="spellEnd"/>
      <w:r w:rsidRPr="00A93D8C">
        <w:rPr>
          <w:i/>
          <w:specVanish/>
        </w:rPr>
        <w:t xml:space="preserve"> can be both colonising and foundational species depending on meadow state. ^ not conducted in 2005.</w:t>
      </w:r>
      <w:r w:rsidRPr="00326B1A">
        <w:t xml:space="preserve"> </w:t>
      </w:r>
    </w:p>
    <w:p w:rsidR="00AD3D80" w:rsidRDefault="00E95A7B" w:rsidP="0034611B">
      <w:pPr>
        <w:autoSpaceDE w:val="0"/>
        <w:autoSpaceDN w:val="0"/>
        <w:adjustRightInd w:val="0"/>
        <w:rPr>
          <w:rFonts w:cs="TimesNewRoman"/>
          <w:szCs w:val="22"/>
        </w:rPr>
      </w:pPr>
      <w:r w:rsidRPr="004F2D53">
        <w:rPr>
          <w:szCs w:val="22"/>
        </w:rPr>
        <w:t>There was increasing evidence that water quality degradation within the seagrass meadows of the inshore GBR prior to the episodic disturbances of 2011 may have reduced their resilience. Light availability is one of the primary driving factors in seagrass growth and persistence</w:t>
      </w:r>
      <w:r>
        <w:rPr>
          <w:szCs w:val="22"/>
        </w:rPr>
        <w:t xml:space="preserve"> (</w:t>
      </w:r>
      <w:hyperlink w:anchor="_ENREF_61" w:tooltip="Collier, 2009 #9285" w:history="1">
        <w:r w:rsidR="00E6043D">
          <w:rPr>
            <w:szCs w:val="22"/>
          </w:rPr>
          <w:fldChar w:fldCharType="begin"/>
        </w:r>
        <w:r w:rsidR="00E6043D">
          <w:rPr>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E6043D">
          <w:rPr>
            <w:szCs w:val="22"/>
          </w:rPr>
          <w:fldChar w:fldCharType="separate"/>
        </w:r>
        <w:r w:rsidR="00E6043D">
          <w:rPr>
            <w:noProof/>
            <w:szCs w:val="22"/>
          </w:rPr>
          <w:t>Collier and Waycott 2009</w:t>
        </w:r>
        <w:r w:rsidR="00E6043D">
          <w:rPr>
            <w:szCs w:val="22"/>
          </w:rPr>
          <w:fldChar w:fldCharType="end"/>
        </w:r>
      </w:hyperlink>
      <w:r w:rsidR="00DD4F10">
        <w:rPr>
          <w:szCs w:val="22"/>
        </w:rPr>
        <w:t>;</w:t>
      </w:r>
      <w:r>
        <w:rPr>
          <w:szCs w:val="22"/>
        </w:rPr>
        <w:t xml:space="preserve"> </w:t>
      </w:r>
      <w:hyperlink w:anchor="_ENREF_20" w:tooltip="Brodie, 2013 #9501" w:history="1">
        <w:r w:rsidR="00E6043D">
          <w:rPr>
            <w:szCs w:val="22"/>
          </w:rPr>
          <w:fldChar w:fldCharType="begin"/>
        </w:r>
        <w:r w:rsidR="00E6043D">
          <w:rPr>
            <w:szCs w:val="22"/>
          </w:rPr>
          <w:instrText xml:space="preserve"> ADDIN EN.CITE &lt;EndNote&gt;&lt;Cite&gt;&lt;Author&gt;Brodie&lt;/Author&gt;&lt;Year&gt;2013&lt;/Year&gt;&lt;RecNum&gt;9501&lt;/RecNum&gt;&lt;DisplayText&gt;Brodie&lt;style face="italic"&gt;, et al.&lt;/style&gt; 2013b&lt;/DisplayText&gt;&lt;record&gt;&lt;rec-number&gt;9501&lt;/rec-number&gt;&lt;foreign-keys&gt;&lt;key app="EN" db-id="0eve55x9y5vfd6e9dacxtew4eatve2dzds9a"&gt;9501&lt;/key&gt;&lt;/foreign-keys&gt;&lt;ref-type name="Book"&gt;6&lt;/ref-type&gt;&lt;contributors&gt;&lt;authors&gt;&lt;author&gt;Brodie, J&lt;/author&gt;&lt;author&gt;Waterhouse, J&lt;/author&gt;&lt;author&gt;Schaffelke, B&lt;/author&gt;&lt;author&gt;Johnson, J&lt;/author&gt;&lt;author&gt;Kroon, F.&lt;/author&gt;&lt;author&gt;Thorburn, P.&lt;/author&gt;&lt;author&gt;Rolfe, J.&lt;/author&gt;&lt;author&gt;Lewis, S.&lt;/author&gt;&lt;author&gt;Warne, M.&lt;/author&gt;&lt;author&gt;Fabricius, K&lt;/author&gt;&lt;author&gt;McKenzie, Len J&lt;/author&gt;&lt;author&gt;Devlin, M. &lt;/author&gt;&lt;/authors&gt;&lt;/contributors&gt;&lt;titles&gt;&lt;title&gt;Reef Water Quality Scientific Consensus Statement 2013&lt;/title&gt;&lt;/titles&gt;&lt;pages&gt;10&lt;/pages&gt;&lt;dates&gt;&lt;year&gt;2013&lt;/year&gt;&lt;/dates&gt;&lt;pub-location&gt;Brisbane&lt;/pub-location&gt;&lt;publisher&gt;Department of the Premier and Cabinet, Queensland Government&lt;/publisher&gt;&lt;urls&gt;&lt;/urls&gt;&lt;/record&gt;&lt;/Cite&gt;&lt;/EndNote&gt;</w:instrText>
        </w:r>
        <w:r w:rsidR="00E6043D">
          <w:rPr>
            <w:szCs w:val="22"/>
          </w:rPr>
          <w:fldChar w:fldCharType="separate"/>
        </w:r>
        <w:r w:rsidR="00E6043D">
          <w:rPr>
            <w:noProof/>
            <w:szCs w:val="22"/>
          </w:rPr>
          <w:t>Brodie</w:t>
        </w:r>
        <w:r w:rsidR="00E6043D" w:rsidRPr="009E5562">
          <w:rPr>
            <w:i/>
            <w:noProof/>
            <w:szCs w:val="22"/>
          </w:rPr>
          <w:t>, et al.</w:t>
        </w:r>
        <w:r w:rsidR="00E6043D">
          <w:rPr>
            <w:noProof/>
            <w:szCs w:val="22"/>
          </w:rPr>
          <w:t xml:space="preserve"> 2013b</w:t>
        </w:r>
        <w:r w:rsidR="00E6043D">
          <w:rPr>
            <w:szCs w:val="22"/>
          </w:rPr>
          <w:fldChar w:fldCharType="end"/>
        </w:r>
      </w:hyperlink>
      <w:r w:rsidR="00DD4F10">
        <w:rPr>
          <w:szCs w:val="22"/>
        </w:rPr>
        <w:t xml:space="preserve">; </w:t>
      </w:r>
      <w:hyperlink w:anchor="_ENREF_70" w:tooltip="Collier, 2012 #9368" w:history="1">
        <w:r w:rsidR="009C068F" w:rsidRPr="009C068F">
          <w:rPr>
            <w:rStyle w:val="Hyperlink"/>
          </w:rPr>
          <w:t>_ENREF_70</w:t>
        </w:r>
      </w:hyperlink>
      <w:hyperlink w:anchor="_ENREF_69" w:tooltip="Collier, 2012 #9368" w:history="1">
        <w:r w:rsidR="00E6043D">
          <w:rPr>
            <w:szCs w:val="22"/>
          </w:rPr>
          <w:fldChar w:fldCharType="begin"/>
        </w:r>
        <w:r w:rsidR="00E6043D">
          <w:rPr>
            <w:szCs w:val="22"/>
          </w:rPr>
          <w:instrText xml:space="preserve"> ADDIN EN.CITE &lt;EndNote&gt;&lt;Cite&gt;&lt;Author&gt;Collier&lt;/Author&gt;&lt;Year&gt;2012&lt;/Year&gt;&lt;RecNum&gt;9368&lt;/RecNum&gt;&lt;DisplayText&gt;Collier&lt;style face="italic"&gt;, et al.&lt;/style&gt; 2012c&lt;/DisplayText&gt;&lt;record&gt;&lt;rec-number&gt;9368&lt;/rec-number&gt;&lt;foreign-keys&gt;&lt;key app="EN" db-id="0eve55x9y5vfd6e9dacxtew4eatve2dzds9a"&gt;9368&lt;/key&gt;&lt;/foreign-keys&gt;&lt;ref-type name="Journal Article"&gt;17&lt;/ref-type&gt;&lt;contributors&gt;&lt;authors&gt;&lt;author&gt;Collier, Catherine J.&lt;/author&gt;&lt;author&gt;Waycott, Michelle&lt;/author&gt;&lt;author&gt;Ospina, Ana Giraldo&lt;/author&gt;&lt;/authors&gt;&lt;/contributors&gt;&lt;titles&gt;&lt;title&gt;Responses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pub-dates&gt;&lt;date&gt;2012&lt;/date&gt;&lt;/pub-dates&gt;&lt;/dates&gt;&lt;isbn&gt;0025-326X&lt;/isbn&gt;&lt;accession-num&gt;WOS:000306249100023&lt;/accession-num&gt;&lt;urls&gt;&lt;related-urls&gt;&lt;url&gt;&amp;lt;Go to ISI&amp;gt;://WOS:000306249100023&lt;/url&gt;&lt;/related-urls&gt;&lt;/urls&gt;&lt;electronic-resource-num&gt;10.1016/j.marpolbul.2011.06.017&lt;/electronic-resource-num&gt;&lt;/record&gt;&lt;/Cite&gt;&lt;/EndNote&gt;</w:instrText>
        </w:r>
        <w:r w:rsidR="00E6043D">
          <w:rPr>
            <w:szCs w:val="22"/>
          </w:rPr>
          <w:fldChar w:fldCharType="separate"/>
        </w:r>
        <w:r w:rsidR="00E6043D">
          <w:rPr>
            <w:noProof/>
            <w:szCs w:val="22"/>
          </w:rPr>
          <w:t>Collier</w:t>
        </w:r>
        <w:r w:rsidR="00E6043D" w:rsidRPr="00DD4F10">
          <w:rPr>
            <w:i/>
            <w:noProof/>
            <w:szCs w:val="22"/>
          </w:rPr>
          <w:t>, et al.</w:t>
        </w:r>
        <w:r w:rsidR="00E6043D">
          <w:rPr>
            <w:noProof/>
            <w:szCs w:val="22"/>
          </w:rPr>
          <w:t xml:space="preserve"> 2012c</w:t>
        </w:r>
        <w:r w:rsidR="00E6043D">
          <w:rPr>
            <w:szCs w:val="22"/>
          </w:rPr>
          <w:fldChar w:fldCharType="end"/>
        </w:r>
      </w:hyperlink>
      <w:r>
        <w:rPr>
          <w:szCs w:val="22"/>
        </w:rPr>
        <w:t>)</w:t>
      </w:r>
      <w:r w:rsidRPr="004F2D53">
        <w:rPr>
          <w:szCs w:val="22"/>
        </w:rPr>
        <w:t xml:space="preserve">. </w:t>
      </w:r>
      <w:r>
        <w:rPr>
          <w:szCs w:val="22"/>
        </w:rPr>
        <w:t>S</w:t>
      </w:r>
      <w:r w:rsidRPr="004F2D53">
        <w:rPr>
          <w:szCs w:val="22"/>
        </w:rPr>
        <w:t xml:space="preserve">eagrasses can survive in highly turbid sites if restricted to shallow areas where light reaches the canopy </w:t>
      </w:r>
      <w:r>
        <w:rPr>
          <w:szCs w:val="22"/>
        </w:rPr>
        <w:t>around</w:t>
      </w:r>
      <w:r w:rsidRPr="004F2D53">
        <w:rPr>
          <w:szCs w:val="22"/>
        </w:rPr>
        <w:t xml:space="preserve"> low tide</w:t>
      </w:r>
      <w:r>
        <w:rPr>
          <w:szCs w:val="22"/>
        </w:rPr>
        <w:t xml:space="preserve"> (</w:t>
      </w:r>
      <w:hyperlink w:anchor="_ENREF_194" w:tooltip="Petrou, 2013 #9780" w:history="1">
        <w:r w:rsidR="00E6043D">
          <w:rPr>
            <w:szCs w:val="22"/>
          </w:rPr>
          <w:fldChar w:fldCharType="begin"/>
        </w:r>
        <w:r w:rsidR="00E6043D">
          <w:rPr>
            <w:szCs w:val="22"/>
          </w:rPr>
          <w:instrText xml:space="preserve"> ADDIN EN.CITE &lt;EndNote&gt;&lt;Cite&gt;&lt;Author&gt;Petrou&lt;/Author&gt;&lt;Year&gt;2013&lt;/Year&gt;&lt;RecNum&gt;9780&lt;/RecNum&gt;&lt;DisplayText&gt;Petrou&lt;style face="italic"&gt; et al.&lt;/style&gt; 2013&lt;/DisplayText&gt;&lt;record&gt;&lt;rec-number&gt;9780&lt;/rec-number&gt;&lt;foreign-keys&gt;&lt;key app="EN" db-id="0eve55x9y5vfd6e9dacxtew4eatve2dzds9a"&gt;9780&lt;/key&gt;&lt;/foreign-keys&gt;&lt;ref-type name="Journal Article"&gt;17&lt;/ref-type&gt;&lt;contributors&gt;&lt;authors&gt;&lt;author&gt;Petrou, K&lt;/author&gt;&lt;author&gt;Jimenez-Denness, I&lt;/author&gt;&lt;author&gt;Chartrand, K&lt;/author&gt;&lt;author&gt;McCormack, C&lt;/author&gt;&lt;author&gt;Rasheed, M&lt;/author&gt;&lt;author&gt;Ralph, PJ&lt;/author&gt;&lt;/authors&gt;&lt;/contributors&gt;&lt;titles&gt;&lt;title&gt;Seasonal heterogeneity in the photophysiological response to air exposure in two tropical intertidal seagrass species&lt;/title&gt;&lt;secondary-title&gt;Marine Ecology Progress Series&lt;/secondary-title&gt;&lt;/titles&gt;&lt;periodical&gt;&lt;full-title&gt;Marine Ecology Progress Series&lt;/full-title&gt;&lt;/periodical&gt;&lt;pages&gt;93-106&lt;/pages&gt;&lt;volume&gt;482&lt;/volume&gt;&lt;dates&gt;&lt;year&gt;2013&lt;/year&gt;&lt;pub-dates&gt;&lt;date&gt;May 22, 2013&lt;/date&gt;&lt;/pub-dates&gt;&lt;/dates&gt;&lt;urls&gt;&lt;related-urls&gt;&lt;url&gt;http://www.int-res.com/abstracts/meps/v482/p93-106/&lt;/url&gt;&lt;/related-urls&gt;&lt;/urls&gt;&lt;electronic-resource-num&gt;10.3354/meps10229&lt;/electronic-resource-num&gt;&lt;/record&gt;&lt;/Cite&gt;&lt;/EndNote&gt;</w:instrText>
        </w:r>
        <w:r w:rsidR="00E6043D">
          <w:rPr>
            <w:szCs w:val="22"/>
          </w:rPr>
          <w:fldChar w:fldCharType="separate"/>
        </w:r>
        <w:r w:rsidR="00E6043D">
          <w:rPr>
            <w:noProof/>
            <w:szCs w:val="22"/>
          </w:rPr>
          <w:t>Petrou</w:t>
        </w:r>
        <w:r w:rsidR="00E6043D" w:rsidRPr="009E5562">
          <w:rPr>
            <w:i/>
            <w:noProof/>
            <w:szCs w:val="22"/>
          </w:rPr>
          <w:t xml:space="preserve"> et al.</w:t>
        </w:r>
        <w:r w:rsidR="00E6043D">
          <w:rPr>
            <w:noProof/>
            <w:szCs w:val="22"/>
          </w:rPr>
          <w:t xml:space="preserve"> 2013</w:t>
        </w:r>
        <w:r w:rsidR="00E6043D">
          <w:rPr>
            <w:szCs w:val="22"/>
          </w:rPr>
          <w:fldChar w:fldCharType="end"/>
        </w:r>
      </w:hyperlink>
      <w:r>
        <w:rPr>
          <w:szCs w:val="22"/>
        </w:rPr>
        <w:t xml:space="preserve">). Despite this, declines in abundance at intertidal habitats up to 2011 were also likely caused in part by low light levels (e.g. </w:t>
      </w:r>
      <w:hyperlink w:anchor="_ENREF_195" w:tooltip="Petus, 2014 #9847" w:history="1">
        <w:r w:rsidR="00E6043D">
          <w:rPr>
            <w:szCs w:val="22"/>
          </w:rPr>
          <w:fldChar w:fldCharType="begin"/>
        </w:r>
        <w:r w:rsidR="00E6043D">
          <w:rPr>
            <w:szCs w:val="22"/>
          </w:rPr>
          <w:instrText xml:space="preserve"> ADDIN EN.CITE &lt;EndNote&gt;&lt;Cite&gt;&lt;Author&gt;Petus&lt;/Author&gt;&lt;Year&gt;2014&lt;/Year&gt;&lt;RecNum&gt;9847&lt;/RecNum&gt;&lt;DisplayText&gt;Petus&lt;style face="italic"&gt; et al.&lt;/style&gt; 2014&lt;/DisplayText&gt;&lt;record&gt;&lt;rec-number&gt;9847&lt;/rec-number&gt;&lt;foreign-keys&gt;&lt;key app="EN" db-id="0eve55x9y5vfd6e9dacxtew4eatve2dzds9a"&gt;9847&lt;/key&gt;&lt;/foreign-keys&gt;&lt;ref-type name="Journal Article"&gt;17&lt;/ref-type&gt;&lt;contributors&gt;&lt;authors&gt;&lt;author&gt;Petus, Caroline&lt;/author&gt;&lt;author&gt;da Silva, Eduardo Teixeira&lt;/author&gt;&lt;author&gt;Devlin, Michelle&lt;/author&gt;&lt;author&gt;Wenger, Amelia S.&lt;/author&gt;&lt;author&gt;Álvarez-Romero, Jorge G.&lt;/author&gt;&lt;/authors&gt;&lt;/contributors&gt;&lt;titles&gt;&lt;title&gt;Using MODIS data for mapping of water types within river plumes in the Great Barrier Reef, Australia: Towards the production of river plume risk maps for reef and seagrass ecosystems&lt;/title&gt;&lt;secondary-title&gt;Journal of Environmental Management&lt;/secondary-title&gt;&lt;/titles&gt;&lt;periodical&gt;&lt;full-title&gt;Journal of Environmental Management&lt;/full-title&gt;&lt;/periodical&gt;&lt;pages&gt;163-177&lt;/pages&gt;&lt;volume&gt;137&lt;/volume&gt;&lt;number&gt;0&lt;/number&gt;&lt;keywords&gt;&lt;keyword&gt;Water quality&lt;/keyword&gt;&lt;keyword&gt;River plume&lt;/keyword&gt;&lt;keyword&gt;Water types&lt;/keyword&gt;&lt;keyword&gt;Risk maps&lt;/keyword&gt;&lt;keyword&gt;Ecological impact&lt;/keyword&gt;&lt;keyword&gt;Monitoring&lt;/keyword&gt;&lt;keyword&gt;Great Barrier Reef&lt;/keyword&gt;&lt;/keywords&gt;&lt;dates&gt;&lt;year&gt;2014&lt;/year&gt;&lt;/dates&gt;&lt;isbn&gt;0301-4797&lt;/isbn&gt;&lt;urls&gt;&lt;related-urls&gt;&lt;url&gt;http://www.sciencedirect.com/science/article/pii/S0301479714000851&lt;/url&gt;&lt;/related-urls&gt;&lt;/urls&gt;&lt;electronic-resource-num&gt;http://dx.doi.org/10.1016/j.jenvman.2013.11.050&lt;/electronic-resource-num&gt;&lt;/record&gt;&lt;/Cite&gt;&lt;/EndNote&gt;</w:instrText>
        </w:r>
        <w:r w:rsidR="00E6043D">
          <w:rPr>
            <w:szCs w:val="22"/>
          </w:rPr>
          <w:fldChar w:fldCharType="separate"/>
        </w:r>
        <w:r w:rsidR="00E6043D">
          <w:rPr>
            <w:noProof/>
            <w:szCs w:val="22"/>
          </w:rPr>
          <w:t>Petus</w:t>
        </w:r>
        <w:r w:rsidR="00E6043D" w:rsidRPr="009E5562">
          <w:rPr>
            <w:i/>
            <w:noProof/>
            <w:szCs w:val="22"/>
          </w:rPr>
          <w:t xml:space="preserve"> et al.</w:t>
        </w:r>
        <w:r w:rsidR="00E6043D">
          <w:rPr>
            <w:noProof/>
            <w:szCs w:val="22"/>
          </w:rPr>
          <w:t xml:space="preserve"> 2014</w:t>
        </w:r>
        <w:r w:rsidR="00E6043D">
          <w:rPr>
            <w:szCs w:val="22"/>
          </w:rPr>
          <w:fldChar w:fldCharType="end"/>
        </w:r>
      </w:hyperlink>
      <w:r>
        <w:rPr>
          <w:szCs w:val="22"/>
        </w:rPr>
        <w:t>). Low light impacts in intertidal habitats may result from infrequent low tide exposure occurring in summer months when water can be very turbid coincident with high water temperatures which drives faster rates of decline (</w:t>
      </w:r>
      <w:hyperlink w:anchor="_ENREF_62" w:tooltip="Collier, 2016 #10625" w:history="1">
        <w:r w:rsidR="00E6043D">
          <w:rPr>
            <w:szCs w:val="22"/>
          </w:rPr>
          <w:fldChar w:fldCharType="begin"/>
        </w:r>
        <w:r w:rsidR="00E6043D">
          <w:rPr>
            <w:szCs w:val="22"/>
          </w:rPr>
          <w:instrText xml:space="preserve"> ADDIN EN.CITE &lt;EndNote&gt;&lt;Cite&gt;&lt;Author&gt;Collier&lt;/Author&gt;&lt;Year&gt;2016&lt;/Year&gt;&lt;RecNum&gt;10625&lt;/RecNum&gt;&lt;DisplayText&gt;Collier&lt;style face="italic"&gt;, et al.&lt;/style&gt; 2016a&lt;/DisplayText&gt;&lt;record&gt;&lt;rec-number&gt;10625&lt;/rec-number&gt;&lt;foreign-keys&gt;&lt;key app="EN" db-id="0eve55x9y5vfd6e9dacxtew4eatve2dzds9a"&gt;10625&lt;/key&gt;&lt;/foreign-keys&gt;&lt;ref-type name="Journal Article"&gt;17&lt;/ref-type&gt;&lt;contributors&gt;&lt;authors&gt;&lt;author&gt;Collier, C. J.&lt;/author&gt;&lt;author&gt;Adams, M. P.&lt;/author&gt;&lt;author&gt;Langlois, L.&lt;/author&gt;&lt;author&gt;Waycott, M.&lt;/author&gt;&lt;author&gt;O’Brien, K. R.&lt;/author&gt;&lt;author&gt;Maxwell, P. S.&lt;/author&gt;&lt;author&gt;McKenzie, L.&lt;/author&gt;&lt;/authors&gt;&lt;/contributors&gt;&lt;titles&gt;&lt;title&gt;Thresholds for morphological response to light reduction for four tropical seagrass species&lt;/title&gt;&lt;secondary-title&gt;Ecological Indicators&lt;/secondary-title&gt;&lt;/titles&gt;&lt;periodical&gt;&lt;full-title&gt;Ecological Indicators&lt;/full-title&gt;&lt;/periodical&gt;&lt;pages&gt;358-366&lt;/pages&gt;&lt;volume&gt;67&lt;/volume&gt;&lt;keywords&gt;&lt;keyword&gt;Great Barrier Reef&lt;/keyword&gt;&lt;keyword&gt;Water quality&lt;/keyword&gt;&lt;keyword&gt;Photosynthetic photon flux density (PPFD)&lt;/keyword&gt;&lt;keyword&gt;Light thresholds&lt;/keyword&gt;&lt;keyword&gt;Temperature&lt;/keyword&gt;&lt;/keywords&gt;&lt;dates&gt;&lt;year&gt;2016&lt;/year&gt;&lt;/dates&gt;&lt;isbn&gt;1470-160X&lt;/isbn&gt;&lt;urls&gt;&lt;related-urls&gt;&lt;url&gt;http://www.sciencedirect.com/science/article/pii/S1470160X16300711&lt;/url&gt;&lt;/related-urls&gt;&lt;/urls&gt;&lt;electronic-resource-num&gt;http://dx.doi.org/10.1016/j.ecolind.2016.02.050&lt;/electronic-resource-num&gt;&lt;/record&gt;&lt;/Cite&gt;&lt;/EndNote&gt;</w:instrText>
        </w:r>
        <w:r w:rsidR="00E6043D">
          <w:rPr>
            <w:szCs w:val="22"/>
          </w:rPr>
          <w:fldChar w:fldCharType="separate"/>
        </w:r>
        <w:r w:rsidR="00E6043D">
          <w:rPr>
            <w:noProof/>
            <w:szCs w:val="22"/>
          </w:rPr>
          <w:t>Collier</w:t>
        </w:r>
        <w:r w:rsidR="00E6043D" w:rsidRPr="00E6043D">
          <w:rPr>
            <w:i/>
            <w:noProof/>
            <w:szCs w:val="22"/>
          </w:rPr>
          <w:t>, et al.</w:t>
        </w:r>
        <w:r w:rsidR="00E6043D">
          <w:rPr>
            <w:noProof/>
            <w:szCs w:val="22"/>
          </w:rPr>
          <w:t xml:space="preserve"> 2016a</w:t>
        </w:r>
        <w:r w:rsidR="00E6043D">
          <w:rPr>
            <w:szCs w:val="22"/>
          </w:rPr>
          <w:fldChar w:fldCharType="end"/>
        </w:r>
      </w:hyperlink>
      <w:hyperlink w:anchor="_ENREF_59" w:tooltip="Collier, In Review #10494" w:history="1">
        <w:r w:rsidR="009C068F" w:rsidRPr="009C068F">
          <w:rPr>
            <w:rStyle w:val="Hyperlink"/>
          </w:rPr>
          <w:t>_ENREF_59</w:t>
        </w:r>
      </w:hyperlink>
      <w:r>
        <w:rPr>
          <w:szCs w:val="22"/>
        </w:rPr>
        <w:t>)</w:t>
      </w:r>
      <w:r w:rsidRPr="004F2D53">
        <w:rPr>
          <w:szCs w:val="22"/>
        </w:rPr>
        <w:t>. From 2009, reduced canopy light to low and limiting light levels was reported in seagrass meadows across the GBR, and, coincident with this, nutrients (N and P) increas</w:t>
      </w:r>
      <w:r>
        <w:rPr>
          <w:szCs w:val="22"/>
        </w:rPr>
        <w:t>ed</w:t>
      </w:r>
      <w:r w:rsidRPr="004F2D53">
        <w:rPr>
          <w:szCs w:val="22"/>
        </w:rPr>
        <w:t xml:space="preserve"> relative to plant requirements</w:t>
      </w:r>
    </w:p>
    <w:p w:rsidR="00B302A5" w:rsidRDefault="00B302A5" w:rsidP="004F2D53">
      <w:pPr>
        <w:autoSpaceDE w:val="0"/>
        <w:autoSpaceDN w:val="0"/>
        <w:adjustRightInd w:val="0"/>
        <w:rPr>
          <w:szCs w:val="22"/>
        </w:rPr>
      </w:pPr>
      <w:r w:rsidRPr="004F2D53">
        <w:rPr>
          <w:szCs w:val="22"/>
        </w:rPr>
        <w:t>Water quality variables (e.g. turbidity, chlorophyll-</w:t>
      </w:r>
      <w:r w:rsidRPr="004F2D53">
        <w:rPr>
          <w:i/>
          <w:szCs w:val="22"/>
        </w:rPr>
        <w:t>a</w:t>
      </w:r>
      <w:r w:rsidRPr="004F2D53">
        <w:rPr>
          <w:szCs w:val="22"/>
        </w:rPr>
        <w:t xml:space="preserve"> and CDOM) are the primary light attenuating factors </w:t>
      </w:r>
      <w:r>
        <w:rPr>
          <w:szCs w:val="22"/>
        </w:rPr>
        <w:t>and exposure of inshore seagrass meadows to these has been captured by plume exposure (as frequency of exposure to primary (brown, turbid), and secondary (green)) for each NRM (</w:t>
      </w:r>
      <w:hyperlink w:anchor="_ENREF_151" w:tooltip="Lønborg, 2015 #10475" w:history="1">
        <w:r w:rsidR="00E6043D">
          <w:rPr>
            <w:rFonts w:asciiTheme="minorHAnsi" w:eastAsiaTheme="minorHAnsi" w:hAnsiTheme="minorHAnsi" w:cs="Helvetica"/>
            <w:szCs w:val="22"/>
            <w:lang w:val="en-US"/>
          </w:rPr>
          <w:fldChar w:fldCharType="begin"/>
        </w:r>
        <w:r w:rsidR="00E6043D">
          <w:rPr>
            <w:rFonts w:asciiTheme="minorHAnsi" w:eastAsiaTheme="minorHAnsi" w:hAnsiTheme="minorHAnsi" w:cs="Helvetica"/>
            <w:szCs w:val="22"/>
            <w:lang w:val="en-US"/>
          </w:rPr>
          <w:instrText xml:space="preserve"> ADDIN EN.CITE &lt;EndNote&gt;&lt;Cite&gt;&lt;Author&gt;Lønborg&lt;/Author&gt;&lt;Year&gt;2015&lt;/Year&gt;&lt;RecNum&gt;10475&lt;/RecNum&gt;&lt;DisplayText&gt;Lønborg&lt;style face="italic"&gt;, et al.&lt;/style&gt; 2015&lt;/DisplayText&gt;&lt;record&gt;&lt;rec-number&gt;10475&lt;/rec-number&gt;&lt;foreign-keys&gt;&lt;key app="EN" db-id="0eve55x9y5vfd6e9dacxtew4eatve2dzds9a"&gt;10475&lt;/key&gt;&lt;/foreign-keys&gt;&lt;ref-type name="Book"&gt;6&lt;/ref-type&gt;&lt;contributors&gt;&lt;authors&gt;&lt;author&gt;Lønborg, C&lt;/author&gt;&lt;author&gt;Devlin, M&lt;/author&gt;&lt;author&gt;Brinkman, R&lt;/author&gt;&lt;author&gt;Costello, P&lt;/author&gt;&lt;author&gt;da Silva, E&lt;/author&gt;&lt;author&gt;Davidson, J&lt;/author&gt;&lt;author&gt;Gunn, K&lt;/author&gt;&lt;author&gt;Logan, M&lt;/author&gt;&lt;author&gt;Petus, C&lt;/author&gt;&lt;author&gt;Schaffelke, B&lt;/author&gt;&lt;author&gt;Skuza, M&lt;/author&gt;&lt;author&gt;Tonin, H&lt;/author&gt;&lt;author&gt;Tracey, D&lt;/author&gt;&lt;author&gt;Wright, M&lt;/author&gt;&lt;author&gt;Zagorskis, I &lt;/author&gt;&lt;/authors&gt;&lt;/contributors&gt;&lt;titles&gt;&lt;title&gt;Reef Rescue Marine Monitoring Program. Annual Report of AIMS and JCU Activities 2014 to 2015– Inshore water quality monitoring. Report for the Great Barrier Reef Marine Park Authority.&lt;/title&gt;&lt;/titles&gt;&lt;dates&gt;&lt;year&gt;2015&lt;/year&gt;&lt;/dates&gt;&lt;pub-location&gt;Townsville&lt;/pub-location&gt;&lt;publisher&gt;Australian Institute of Marine Science and JCU TropWATER&lt;/publisher&gt;&lt;urls&gt;&lt;/urls&gt;&lt;/record&gt;&lt;/Cite&gt;&lt;/EndNote&gt;</w:instrText>
        </w:r>
        <w:r w:rsidR="00E6043D">
          <w:rPr>
            <w:rFonts w:asciiTheme="minorHAnsi" w:eastAsiaTheme="minorHAnsi" w:hAnsiTheme="minorHAnsi" w:cs="Helvetica"/>
            <w:szCs w:val="22"/>
            <w:lang w:val="en-US"/>
          </w:rPr>
          <w:fldChar w:fldCharType="separate"/>
        </w:r>
        <w:r w:rsidR="00E6043D">
          <w:rPr>
            <w:rFonts w:asciiTheme="minorHAnsi" w:eastAsiaTheme="minorHAnsi" w:hAnsiTheme="minorHAnsi" w:cs="Helvetica"/>
            <w:noProof/>
            <w:szCs w:val="22"/>
            <w:lang w:val="en-US"/>
          </w:rPr>
          <w:t>Lønborg</w:t>
        </w:r>
        <w:r w:rsidR="00E6043D" w:rsidRPr="009E5562">
          <w:rPr>
            <w:rFonts w:asciiTheme="minorHAnsi" w:eastAsiaTheme="minorHAnsi" w:hAnsiTheme="minorHAnsi" w:cs="Helvetica"/>
            <w:i/>
            <w:noProof/>
            <w:szCs w:val="22"/>
            <w:lang w:val="en-US"/>
          </w:rPr>
          <w:t>, et al.</w:t>
        </w:r>
        <w:r w:rsidR="00E6043D">
          <w:rPr>
            <w:rFonts w:asciiTheme="minorHAnsi" w:eastAsiaTheme="minorHAnsi" w:hAnsiTheme="minorHAnsi" w:cs="Helvetica"/>
            <w:noProof/>
            <w:szCs w:val="22"/>
            <w:lang w:val="en-US"/>
          </w:rPr>
          <w:t xml:space="preserve"> 2015</w:t>
        </w:r>
        <w:r w:rsidR="00E6043D">
          <w:rPr>
            <w:rFonts w:asciiTheme="minorHAnsi" w:eastAsiaTheme="minorHAnsi" w:hAnsiTheme="minorHAnsi" w:cs="Helvetica"/>
            <w:szCs w:val="22"/>
            <w:lang w:val="en-US"/>
          </w:rPr>
          <w:fldChar w:fldCharType="end"/>
        </w:r>
      </w:hyperlink>
      <w:r>
        <w:rPr>
          <w:szCs w:val="22"/>
        </w:rPr>
        <w:t>). Further, there is a correlation between frequency of exposure to primary or secondary water and changes in seagrass abundance (</w:t>
      </w:r>
      <w:r w:rsidR="009E5562">
        <w:rPr>
          <w:szCs w:val="22"/>
        </w:rPr>
        <w:fldChar w:fldCharType="begin">
          <w:fldData xml:space="preserve">PEVuZE5vdGU+PENpdGU+PEF1dGhvcj5QZXR1czwvQXV0aG9yPjxZZWFyPjIwMTQ8L1llYXI+PFJl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</w:fldData>
        </w:fldChar>
      </w:r>
      <w:r w:rsidR="00527C29">
        <w:rPr>
          <w:szCs w:val="22"/>
        </w:rPr>
        <w:instrText xml:space="preserve"> ADDIN EN.CITE </w:instrText>
      </w:r>
      <w:r w:rsidR="00527C29">
        <w:rPr>
          <w:szCs w:val="22"/>
        </w:rPr>
        <w:fldChar w:fldCharType="begin">
          <w:fldData xml:space="preserve">PEVuZE5vdGU+PENpdGU+PEF1dGhvcj5QZXR1czwvQXV0aG9yPjxZZWFyPjIwMTQ8L1llYXI+PFJl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</w:fldData>
        </w:fldChar>
      </w:r>
      <w:r w:rsidR="00527C29">
        <w:rPr>
          <w:szCs w:val="22"/>
        </w:rPr>
        <w:instrText xml:space="preserve"> ADDIN EN.CITE.DATA </w:instrText>
      </w:r>
      <w:r w:rsidR="00527C29">
        <w:rPr>
          <w:szCs w:val="22"/>
        </w:rPr>
      </w:r>
      <w:r w:rsidR="00527C29">
        <w:rPr>
          <w:szCs w:val="22"/>
        </w:rPr>
        <w:fldChar w:fldCharType="end"/>
      </w:r>
      <w:r w:rsidR="009E5562">
        <w:rPr>
          <w:szCs w:val="22"/>
        </w:rPr>
      </w:r>
      <w:r w:rsidR="009E5562">
        <w:rPr>
          <w:szCs w:val="22"/>
        </w:rPr>
        <w:fldChar w:fldCharType="separate"/>
      </w:r>
      <w:hyperlink w:anchor="_ENREF_195" w:tooltip="Petus, 2014 #9847" w:history="1">
        <w:r w:rsidR="00E6043D">
          <w:rPr>
            <w:noProof/>
            <w:szCs w:val="22"/>
          </w:rPr>
          <w:t>Petus</w:t>
        </w:r>
        <w:r w:rsidR="00E6043D" w:rsidRPr="00527C29">
          <w:rPr>
            <w:i/>
            <w:noProof/>
            <w:szCs w:val="22"/>
          </w:rPr>
          <w:t>, et al.</w:t>
        </w:r>
        <w:r w:rsidR="00E6043D">
          <w:rPr>
            <w:noProof/>
            <w:szCs w:val="22"/>
          </w:rPr>
          <w:t xml:space="preserve"> 2014</w:t>
        </w:r>
      </w:hyperlink>
      <w:r w:rsidR="00527C29">
        <w:rPr>
          <w:noProof/>
          <w:szCs w:val="22"/>
        </w:rPr>
        <w:t xml:space="preserve">; </w:t>
      </w:r>
      <w:hyperlink w:anchor="_ENREF_196" w:tooltip="Petus, 2016 #10580" w:history="1">
        <w:r w:rsidR="00E6043D">
          <w:rPr>
            <w:noProof/>
            <w:szCs w:val="22"/>
          </w:rPr>
          <w:t>Petus</w:t>
        </w:r>
        <w:r w:rsidR="00E6043D" w:rsidRPr="00527C29">
          <w:rPr>
            <w:i/>
            <w:noProof/>
            <w:szCs w:val="22"/>
          </w:rPr>
          <w:t>, et al.</w:t>
        </w:r>
        <w:r w:rsidR="00E6043D">
          <w:rPr>
            <w:noProof/>
            <w:szCs w:val="22"/>
          </w:rPr>
          <w:t xml:space="preserve"> 2016</w:t>
        </w:r>
      </w:hyperlink>
      <w:r w:rsidR="009E5562">
        <w:rPr>
          <w:szCs w:val="22"/>
        </w:rPr>
        <w:fldChar w:fldCharType="end"/>
      </w:r>
      <w:r>
        <w:rPr>
          <w:szCs w:val="22"/>
        </w:rPr>
        <w:t>, see also Chapter 6). Seagrasses are also sensitive to chronic exposure to low herbicide concentrations, which also enter the GBR with flood waters (</w:t>
      </w:r>
      <w:hyperlink w:anchor="_ENREF_190" w:tooltip="Negri, 2015 #10179" w:history="1">
        <w:r w:rsidR="00E6043D">
          <w:rPr>
            <w:szCs w:val="22"/>
          </w:rPr>
          <w:fldChar w:fldCharType="begin"/>
        </w:r>
        <w:r w:rsidR="00E6043D">
          <w:rPr>
            <w:szCs w:val="22"/>
          </w:rPr>
          <w:instrText xml:space="preserve"> ADDIN EN.CITE &lt;EndNote&gt;&lt;Cite&gt;&lt;Author&gt;Negri&lt;/Author&gt;&lt;Year&gt;2015&lt;/Year&gt;&lt;RecNum&gt;10179&lt;/RecNum&gt;&lt;DisplayText&gt;Negri&lt;style face="italic"&gt; et al.&lt;/style&gt; 2015&lt;/DisplayText&gt;&lt;record&gt;&lt;rec-number&gt;10179&lt;/rec-number&gt;&lt;foreign-keys&gt;&lt;key app="EN" db-id="0eve55x9y5vfd6e9dacxtew4eatve2dzds9a"&gt;10179&lt;/key&gt;&lt;/foreign-keys&gt;&lt;ref-type name="Journal Article"&gt;17&lt;/ref-type&gt;&lt;contributors&gt;&lt;authors&gt;&lt;author&gt;Negri, Andrew P.&lt;/author&gt;&lt;author&gt;Flores, Florita&lt;/author&gt;&lt;author&gt;Mercurio, Phil&lt;/author&gt;&lt;author&gt;Mueller, Jochen F.&lt;/author&gt;&lt;author&gt;Collier, Catherine J.&lt;/author&gt;&lt;/authors&gt;&lt;/contributors&gt;&lt;titles&gt;&lt;title&gt;Lethal and sub-lethal chronic effects of the herbicide diuron on seagrass&lt;/title&gt;&lt;secondary-title&gt;Aquatic Toxicology&lt;/secondary-title&gt;&lt;/titles&gt;&lt;periodical&gt;&lt;full-title&gt;Aquatic Toxicology&lt;/full-title&gt;&lt;/periodical&gt;&lt;pages&gt;73–83&lt;/pages&gt;&lt;volume&gt;165&lt;/volume&gt;&lt;dates&gt;&lt;year&gt;2015&lt;/year&gt;&lt;/dates&gt;&lt;isbn&gt;0166-445X&lt;/isbn&gt;&lt;urls&gt;&lt;related-urls&gt;&lt;url&gt;http://www.sciencedirect.com/science/article/pii/S0166445X15001459&lt;/url&gt;&lt;/related-urls&gt;&lt;/urls&gt;&lt;electronic-resource-num&gt;http://dx.doi.org/10.1016/j.aquatox.2015.05.007&lt;/electronic-resource-num&gt;&lt;/record&gt;&lt;/Cite&gt;&lt;/EndNote&gt;</w:instrText>
        </w:r>
        <w:r w:rsidR="00E6043D">
          <w:rPr>
            <w:szCs w:val="22"/>
          </w:rPr>
          <w:fldChar w:fldCharType="separate"/>
        </w:r>
        <w:r w:rsidR="00E6043D">
          <w:rPr>
            <w:noProof/>
            <w:szCs w:val="22"/>
          </w:rPr>
          <w:t>Negri</w:t>
        </w:r>
        <w:r w:rsidR="00E6043D" w:rsidRPr="009E5562">
          <w:rPr>
            <w:i/>
            <w:noProof/>
            <w:szCs w:val="22"/>
          </w:rPr>
          <w:t xml:space="preserve"> et al.</w:t>
        </w:r>
        <w:r w:rsidR="00E6043D">
          <w:rPr>
            <w:noProof/>
            <w:szCs w:val="22"/>
          </w:rPr>
          <w:t xml:space="preserve"> 2015</w:t>
        </w:r>
        <w:r w:rsidR="00E6043D">
          <w:rPr>
            <w:szCs w:val="22"/>
          </w:rPr>
          <w:fldChar w:fldCharType="end"/>
        </w:r>
      </w:hyperlink>
      <w:r>
        <w:rPr>
          <w:szCs w:val="22"/>
        </w:rPr>
        <w:t>). The concentrations leading to measurable effects are rarely detected in the GBR (</w:t>
      </w:r>
      <w:hyperlink w:anchor="_ENREF_19" w:tooltip="Brodie, 2013 #9504" w:history="1">
        <w:r w:rsidR="00E6043D">
          <w:rPr>
            <w:szCs w:val="22"/>
          </w:rPr>
          <w:fldChar w:fldCharType="begin"/>
        </w:r>
        <w:r w:rsidR="00E6043D">
          <w:rPr>
            <w:szCs w:val="22"/>
          </w:rPr>
          <w:instrText xml:space="preserve"> ADDIN EN.CITE &lt;EndNote&gt;&lt;Cite&gt;&lt;Author&gt;Brodie&lt;/Author&gt;&lt;Year&gt;2013&lt;/Year&gt;&lt;RecNum&gt;9504&lt;/RecNum&gt;&lt;DisplayText&gt;Brodie&lt;style face="italic"&gt; et al.&lt;/style&gt; 2013a&lt;/DisplayText&gt;&lt;record&gt;&lt;rec-number&gt;9504&lt;/rec-number&gt;&lt;foreign-keys&gt;&lt;key app="EN" db-id="0eve55x9y5vfd6e9dacxtew4eatve2dzds9a"&gt;9504&lt;/key&gt;&lt;/foreign-keys&gt;&lt;ref-type name="Book Section"&gt;5&lt;/ref-type&gt;&lt;contributors&gt;&lt;authors&gt;&lt;author&gt;Brodie, J&lt;/author&gt;&lt;author&gt;Waterhouse, J&lt;/author&gt;&lt;author&gt;Schaffelke, B&lt;/author&gt;&lt;author&gt;Furnas, M&lt;/author&gt;&lt;author&gt;Maynard, J&lt;/author&gt;&lt;author&gt;Collier, C&lt;/author&gt;&lt;author&gt;Lewis, S&lt;/author&gt;&lt;author&gt;Warne, M&lt;/author&gt;&lt;author&gt;Fabricius, K&lt;/author&gt;&lt;author&gt;Devlin, M&lt;/author&gt;&lt;author&gt;McKenzie, Len J&lt;/author&gt;&lt;author&gt;Yorkston, H&lt;/author&gt;&lt;author&gt;Randall, L&lt;/author&gt;&lt;author&gt;Bennett, J&lt;/author&gt;&lt;/authors&gt;&lt;/contributors&gt;&lt;titles&gt;&lt;title&gt;Relative risks to the Great Barrier Reef from degraded water quality&lt;/title&gt;&lt;secondary-title&gt;Synthesis of evidence to support the Reef Water Quality Scientific Consensus Statement 2013&lt;/secondary-title&gt;&lt;/titles&gt;&lt;pages&gt;58&lt;/pages&gt;&lt;section&gt;3&lt;/section&gt;&lt;dates&gt;&lt;year&gt;2013&lt;/year&gt;&lt;/dates&gt;&lt;pub-location&gt;Brisbane&lt;/pub-location&gt;&lt;publisher&gt;Department of the Premier and Cabinet, Queensland Government&lt;/publisher&gt;&lt;urls&gt;&lt;/urls&gt;&lt;/record&gt;&lt;/Cite&gt;&lt;/EndNote&gt;</w:instrText>
        </w:r>
        <w:r w:rsidR="00E6043D">
          <w:rPr>
            <w:szCs w:val="22"/>
          </w:rPr>
          <w:fldChar w:fldCharType="separate"/>
        </w:r>
        <w:r w:rsidR="00E6043D">
          <w:rPr>
            <w:noProof/>
            <w:szCs w:val="22"/>
          </w:rPr>
          <w:t>Brodie</w:t>
        </w:r>
        <w:r w:rsidR="00E6043D" w:rsidRPr="009E5562">
          <w:rPr>
            <w:i/>
            <w:noProof/>
            <w:szCs w:val="22"/>
          </w:rPr>
          <w:t xml:space="preserve"> et al.</w:t>
        </w:r>
        <w:r w:rsidR="00E6043D">
          <w:rPr>
            <w:noProof/>
            <w:szCs w:val="22"/>
          </w:rPr>
          <w:t xml:space="preserve"> 2013a</w:t>
        </w:r>
        <w:r w:rsidR="00E6043D">
          <w:rPr>
            <w:szCs w:val="22"/>
          </w:rPr>
          <w:fldChar w:fldCharType="end"/>
        </w:r>
      </w:hyperlink>
      <w:r>
        <w:rPr>
          <w:szCs w:val="22"/>
        </w:rPr>
        <w:t>), however cumulative impacts (e.g. reduced photosynthetic C uptake caused by herbicides and low light) may occur. K</w:t>
      </w:r>
      <w:r w:rsidRPr="004F2D53">
        <w:rPr>
          <w:szCs w:val="22"/>
        </w:rPr>
        <w:t xml:space="preserve">nowing the cause </w:t>
      </w:r>
      <w:r>
        <w:rPr>
          <w:szCs w:val="22"/>
        </w:rPr>
        <w:t xml:space="preserve">and source </w:t>
      </w:r>
      <w:r w:rsidRPr="004F2D53">
        <w:rPr>
          <w:szCs w:val="22"/>
        </w:rPr>
        <w:t xml:space="preserve">of </w:t>
      </w:r>
      <w:r>
        <w:rPr>
          <w:szCs w:val="22"/>
        </w:rPr>
        <w:t>environmental pressure</w:t>
      </w:r>
      <w:r w:rsidRPr="004F2D53">
        <w:rPr>
          <w:szCs w:val="22"/>
        </w:rPr>
        <w:t xml:space="preserve"> enables targeted management to reduce impacts on seagrass meadows. Therefore, direct water quality measures </w:t>
      </w:r>
      <w:r>
        <w:rPr>
          <w:szCs w:val="22"/>
        </w:rPr>
        <w:t xml:space="preserve">(e.g. turbidity) </w:t>
      </w:r>
      <w:r w:rsidRPr="004F2D53">
        <w:rPr>
          <w:szCs w:val="22"/>
        </w:rPr>
        <w:t xml:space="preserve">and light are complimentary </w:t>
      </w:r>
      <w:r w:rsidRPr="004F2D53">
        <w:rPr>
          <w:szCs w:val="22"/>
        </w:rPr>
        <w:lastRenderedPageBreak/>
        <w:t xml:space="preserve">indicators, each with their own benefits to the interpretation of monitoring data, and management of water quality impacts. Direct measurement of water quality is not routinely incorporated into the </w:t>
      </w:r>
      <w:r>
        <w:rPr>
          <w:szCs w:val="22"/>
        </w:rPr>
        <w:t xml:space="preserve">inshore seagrass monitoring </w:t>
      </w:r>
      <w:r w:rsidRPr="004F2D53">
        <w:rPr>
          <w:szCs w:val="22"/>
        </w:rPr>
        <w:t>program</w:t>
      </w:r>
      <w:r>
        <w:rPr>
          <w:szCs w:val="22"/>
        </w:rPr>
        <w:t>, although turbidity monitoring had been undertaken at 3 sites in the past, but has been removed for cost-effectiveness</w:t>
      </w:r>
      <w:r w:rsidRPr="004F2D53">
        <w:rPr>
          <w:szCs w:val="22"/>
        </w:rPr>
        <w:t>.</w:t>
      </w:r>
    </w:p>
    <w:p w:rsidR="00B302A5" w:rsidRPr="004F2D53" w:rsidRDefault="00B302A5" w:rsidP="00B302A5">
      <w:pPr>
        <w:autoSpaceDE w:val="0"/>
        <w:autoSpaceDN w:val="0"/>
        <w:adjustRightInd w:val="0"/>
        <w:rPr>
          <w:szCs w:val="22"/>
        </w:rPr>
      </w:pPr>
      <w:r w:rsidRPr="004F2D53">
        <w:rPr>
          <w:szCs w:val="22"/>
        </w:rPr>
        <w:t xml:space="preserve">The current monitoring program includes indicators that represent various stages of impact/stress, including early warning indicators (tissue nutrients) through to advanced levels of impact (changes in meadow area, or localised loss). Findings from the MMP have demonstrated a cascade of seagrass </w:t>
      </w:r>
      <w:r w:rsidRPr="00B302A5">
        <w:rPr>
          <w:szCs w:val="22"/>
        </w:rPr>
        <w:t>population responses, particularly between 2009 and 2011, to stressors analogous to the stress</w:t>
      </w:r>
      <w:r w:rsidRPr="004F2D53">
        <w:rPr>
          <w:szCs w:val="22"/>
        </w:rPr>
        <w:t xml:space="preserve"> response model, including: </w:t>
      </w:r>
    </w:p>
    <w:p w:rsidR="00B302A5" w:rsidRPr="004F2D53" w:rsidRDefault="00B302A5" w:rsidP="00B302A5">
      <w:pPr>
        <w:numPr>
          <w:ilvl w:val="0"/>
          <w:numId w:val="8"/>
        </w:numPr>
        <w:autoSpaceDE w:val="0"/>
        <w:autoSpaceDN w:val="0"/>
        <w:adjustRightInd w:val="0"/>
        <w:rPr>
          <w:szCs w:val="22"/>
        </w:rPr>
      </w:pPr>
      <w:r w:rsidRPr="004F2D53">
        <w:rPr>
          <w:szCs w:val="22"/>
        </w:rPr>
        <w:t xml:space="preserve">leaf tissue N and P increasing above global averages </w:t>
      </w:r>
      <w:r w:rsidR="008208B2">
        <w:rPr>
          <w:szCs w:val="22"/>
        </w:rPr>
        <w:t>(</w:t>
      </w:r>
      <w:hyperlink w:anchor="_ENREF_96" w:tooltip="Duarte, 1990 #1954" w:history="1">
        <w:r w:rsidR="00E6043D">
          <w:rPr>
            <w:szCs w:val="22"/>
          </w:rPr>
          <w:fldChar w:fldCharType="begin"/>
        </w:r>
        <w:r w:rsidR="00E6043D">
          <w:rPr>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E6043D">
          <w:rPr>
            <w:szCs w:val="22"/>
          </w:rPr>
          <w:fldChar w:fldCharType="separate"/>
        </w:r>
        <w:r w:rsidR="00E6043D">
          <w:rPr>
            <w:noProof/>
            <w:szCs w:val="22"/>
          </w:rPr>
          <w:t>Duarte 1990</w:t>
        </w:r>
        <w:r w:rsidR="00E6043D">
          <w:rPr>
            <w:szCs w:val="22"/>
          </w:rPr>
          <w:fldChar w:fldCharType="end"/>
        </w:r>
      </w:hyperlink>
      <w:r w:rsidR="008208B2">
        <w:rPr>
          <w:szCs w:val="22"/>
        </w:rPr>
        <w:t xml:space="preserve">) </w:t>
      </w:r>
      <w:r w:rsidRPr="004F2D53">
        <w:rPr>
          <w:szCs w:val="22"/>
        </w:rPr>
        <w:t xml:space="preserve">in all habitats from 2006 and 2010 respectively, and in surplus to C, possibly indicating N enrichment; </w:t>
      </w:r>
    </w:p>
    <w:p w:rsidR="00B302A5" w:rsidRPr="004F2D53" w:rsidRDefault="00B302A5" w:rsidP="00B302A5">
      <w:pPr>
        <w:numPr>
          <w:ilvl w:val="0"/>
          <w:numId w:val="8"/>
        </w:numPr>
        <w:autoSpaceDE w:val="0"/>
        <w:autoSpaceDN w:val="0"/>
        <w:adjustRightInd w:val="0"/>
        <w:rPr>
          <w:szCs w:val="22"/>
        </w:rPr>
      </w:pPr>
      <w:r w:rsidRPr="004F2D53">
        <w:rPr>
          <w:szCs w:val="22"/>
        </w:rPr>
        <w:t>variable reproductive effort and seed banks indicating low capacity to recover from loss;</w:t>
      </w:r>
    </w:p>
    <w:p w:rsidR="00B302A5" w:rsidRPr="004F2D53" w:rsidRDefault="00B302A5" w:rsidP="00B302A5">
      <w:pPr>
        <w:numPr>
          <w:ilvl w:val="0"/>
          <w:numId w:val="8"/>
        </w:numPr>
        <w:autoSpaceDE w:val="0"/>
        <w:autoSpaceDN w:val="0"/>
        <w:adjustRightInd w:val="0"/>
        <w:rPr>
          <w:szCs w:val="22"/>
        </w:rPr>
      </w:pPr>
      <w:r w:rsidRPr="004F2D53">
        <w:rPr>
          <w:szCs w:val="22"/>
        </w:rPr>
        <w:t>decreased abundance and extent from 2009 to 2011, when they reached minima;</w:t>
      </w:r>
    </w:p>
    <w:p w:rsidR="00B302A5" w:rsidRPr="004F2D53" w:rsidRDefault="00B302A5" w:rsidP="00B302A5">
      <w:pPr>
        <w:numPr>
          <w:ilvl w:val="0"/>
          <w:numId w:val="8"/>
        </w:numPr>
        <w:autoSpaceDE w:val="0"/>
        <w:autoSpaceDN w:val="0"/>
        <w:adjustRightInd w:val="0"/>
        <w:rPr>
          <w:szCs w:val="22"/>
        </w:rPr>
      </w:pPr>
      <w:r w:rsidRPr="004F2D53">
        <w:rPr>
          <w:szCs w:val="22"/>
        </w:rPr>
        <w:t>change in population state from foundation species to colonising species, possibly reducing ecosystem resistance.</w:t>
      </w:r>
    </w:p>
    <w:p w:rsidR="00473371" w:rsidRPr="00473371" w:rsidRDefault="00473371" w:rsidP="004F2D53">
      <w:pPr>
        <w:autoSpaceDE w:val="0"/>
        <w:autoSpaceDN w:val="0"/>
        <w:adjustRightInd w:val="0"/>
        <w:rPr>
          <w:rFonts w:cs="TimesNewRoman"/>
          <w:szCs w:val="22"/>
        </w:rPr>
      </w:pPr>
    </w:p>
    <w:p w:rsidR="004F2D53" w:rsidRPr="00F46A6C" w:rsidRDefault="00DB576B" w:rsidP="004F2D53">
      <w:pPr>
        <w:autoSpaceDE w:val="0"/>
        <w:autoSpaceDN w:val="0"/>
        <w:adjustRightInd w:val="0"/>
        <w:rPr>
          <w:rFonts w:asciiTheme="majorHAnsi" w:hAnsiTheme="majorHAnsi"/>
          <w:b/>
          <w:i/>
          <w:color w:val="365F91"/>
          <w:sz w:val="24"/>
        </w:rPr>
      </w:pPr>
      <w:r>
        <w:rPr>
          <w:rFonts w:asciiTheme="majorHAnsi" w:hAnsiTheme="majorHAnsi" w:cs="TimesNewRoman"/>
          <w:b/>
          <w:i/>
          <w:color w:val="365F91"/>
          <w:sz w:val="24"/>
        </w:rPr>
        <w:t>Future i</w:t>
      </w:r>
      <w:r w:rsidR="00473371" w:rsidRPr="00F46A6C">
        <w:rPr>
          <w:rFonts w:asciiTheme="majorHAnsi" w:hAnsiTheme="majorHAnsi" w:cs="TimesNewRoman"/>
          <w:b/>
          <w:i/>
          <w:color w:val="365F91"/>
          <w:sz w:val="24"/>
        </w:rPr>
        <w:t>mprovements to inshore seagrass report card</w:t>
      </w:r>
    </w:p>
    <w:p w:rsidR="00B302A5" w:rsidRDefault="00B302A5" w:rsidP="00B302A5">
      <w:pPr>
        <w:autoSpaceDE w:val="0"/>
        <w:autoSpaceDN w:val="0"/>
        <w:adjustRightInd w:val="0"/>
        <w:rPr>
          <w:rFonts w:cs="TimesNewRoman"/>
          <w:szCs w:val="22"/>
        </w:rPr>
      </w:pPr>
      <w:r>
        <w:rPr>
          <w:rFonts w:cs="TimesNewRoman"/>
          <w:szCs w:val="22"/>
        </w:rPr>
        <w:t>As the data collected in the MMP and associated monitoring programs has accumulated, our understanding of environmental drivers and ecological responses is being continually refined. This expanding knowledge base can be used to make i</w:t>
      </w:r>
      <w:r w:rsidRPr="00AA6C76">
        <w:rPr>
          <w:rFonts w:cs="TimesNewRoman"/>
          <w:szCs w:val="22"/>
        </w:rPr>
        <w:t>mprovements to the MMP report card</w:t>
      </w:r>
      <w:r>
        <w:rPr>
          <w:rFonts w:cs="TimesNewRoman"/>
          <w:szCs w:val="22"/>
        </w:rPr>
        <w:t xml:space="preserve">. Ongoing improvements in monitoring, reporting and management are central to successful adaptive management , which sits at the core of Reef 2050 Long term sustainability plan (Commonwealth of Australia, 2015) </w:t>
      </w:r>
    </w:p>
    <w:p w:rsidR="00371C3C" w:rsidRDefault="00B302A5" w:rsidP="00371C3C">
      <w:pPr>
        <w:autoSpaceDE w:val="0"/>
        <w:autoSpaceDN w:val="0"/>
        <w:adjustRightInd w:val="0"/>
        <w:rPr>
          <w:rFonts w:cs="TimesNewRoman"/>
          <w:color w:val="000000"/>
          <w:szCs w:val="22"/>
        </w:rPr>
      </w:pPr>
      <w:r w:rsidRPr="004E4950">
        <w:rPr>
          <w:rFonts w:cs="TimesNewRoman"/>
          <w:szCs w:val="22"/>
        </w:rPr>
        <w:t>Community structure (species composition) is an important feature conferring resilience, both resistance (as some species are more resistant to stress than others), and recovery (as some species may rapidly recover and pave the way for meadow development).</w:t>
      </w:r>
      <w:r>
        <w:rPr>
          <w:rFonts w:cs="TimesNewRoman"/>
          <w:szCs w:val="22"/>
        </w:rPr>
        <w:t xml:space="preserve"> </w:t>
      </w:r>
      <w:r>
        <w:rPr>
          <w:rFonts w:cs="TimesNewRoman"/>
          <w:color w:val="000000"/>
          <w:szCs w:val="22"/>
        </w:rPr>
        <w:t xml:space="preserve">This year (2014-15) was the first monitoring period </w:t>
      </w:r>
      <w:r>
        <w:rPr>
          <w:rFonts w:asciiTheme="minorHAnsi" w:hAnsiTheme="minorHAnsi"/>
          <w:szCs w:val="22"/>
        </w:rPr>
        <w:t>g</w:t>
      </w:r>
      <w:r w:rsidRPr="007E2477">
        <w:rPr>
          <w:rFonts w:asciiTheme="minorHAnsi" w:hAnsiTheme="minorHAnsi"/>
          <w:szCs w:val="22"/>
        </w:rPr>
        <w:t>rouping or classifying species based on their life-history trait</w:t>
      </w:r>
      <w:r w:rsidR="004B2B65">
        <w:rPr>
          <w:rFonts w:asciiTheme="minorHAnsi" w:hAnsiTheme="minorHAnsi"/>
          <w:szCs w:val="22"/>
        </w:rPr>
        <w:t>s</w:t>
      </w:r>
      <w:r>
        <w:rPr>
          <w:rFonts w:asciiTheme="minorHAnsi" w:hAnsiTheme="minorHAnsi"/>
          <w:szCs w:val="22"/>
        </w:rPr>
        <w:t xml:space="preserve"> was trialled to assist with </w:t>
      </w:r>
      <w:r w:rsidRPr="007E2477">
        <w:rPr>
          <w:rFonts w:asciiTheme="minorHAnsi" w:hAnsiTheme="minorHAnsi"/>
          <w:szCs w:val="22"/>
        </w:rPr>
        <w:t>interpreting species presence/absence and even changes in species composition in an ecologically meaningful way</w:t>
      </w:r>
      <w:r>
        <w:rPr>
          <w:rFonts w:asciiTheme="minorHAnsi" w:hAnsiTheme="minorHAnsi"/>
          <w:szCs w:val="22"/>
        </w:rPr>
        <w:t xml:space="preserve">. </w:t>
      </w:r>
      <w:r w:rsidRPr="007E2477">
        <w:rPr>
          <w:rFonts w:asciiTheme="minorHAnsi" w:hAnsiTheme="minorHAnsi"/>
          <w:szCs w:val="22"/>
        </w:rPr>
        <w:t>The three groupings, in terms of disturbance response,</w:t>
      </w:r>
      <w:r>
        <w:rPr>
          <w:rFonts w:asciiTheme="minorHAnsi" w:hAnsiTheme="minorHAnsi"/>
          <w:szCs w:val="22"/>
        </w:rPr>
        <w:t xml:space="preserve"> are colonis</w:t>
      </w:r>
      <w:r w:rsidRPr="007E2477">
        <w:rPr>
          <w:rFonts w:asciiTheme="minorHAnsi" w:hAnsiTheme="minorHAnsi"/>
          <w:szCs w:val="22"/>
        </w:rPr>
        <w:t>ing, opportunistic and persistent.</w:t>
      </w:r>
      <w:r>
        <w:rPr>
          <w:rFonts w:asciiTheme="minorHAnsi" w:hAnsiTheme="minorHAnsi"/>
          <w:szCs w:val="22"/>
        </w:rPr>
        <w:t xml:space="preserve"> For this first year, a broad </w:t>
      </w:r>
      <w:r>
        <w:t xml:space="preserve">subjective </w:t>
      </w:r>
      <w:r>
        <w:rPr>
          <w:rFonts w:asciiTheme="minorHAnsi" w:hAnsiTheme="minorHAnsi"/>
          <w:szCs w:val="22"/>
        </w:rPr>
        <w:t xml:space="preserve">approach was used to classify species </w:t>
      </w:r>
      <w:r w:rsidR="00DB576B">
        <w:rPr>
          <w:rFonts w:asciiTheme="minorHAnsi" w:hAnsiTheme="minorHAnsi"/>
          <w:szCs w:val="22"/>
        </w:rPr>
        <w:t xml:space="preserve">at all sites </w:t>
      </w:r>
      <w:r>
        <w:rPr>
          <w:rFonts w:asciiTheme="minorHAnsi" w:hAnsiTheme="minorHAnsi"/>
          <w:szCs w:val="22"/>
        </w:rPr>
        <w:t>at different stages of meadow recovery as displayin</w:t>
      </w:r>
      <w:r w:rsidR="00DB576B">
        <w:rPr>
          <w:rFonts w:asciiTheme="minorHAnsi" w:hAnsiTheme="minorHAnsi"/>
          <w:szCs w:val="22"/>
        </w:rPr>
        <w:t>g the attributes of a coloniser</w:t>
      </w:r>
      <w:r>
        <w:rPr>
          <w:rFonts w:asciiTheme="minorHAnsi" w:hAnsiTheme="minorHAnsi"/>
          <w:szCs w:val="22"/>
        </w:rPr>
        <w:t xml:space="preserve">. Only the proportion of colonisers was presented in the results as the focus of discussions since 2011 has been on meadow recovery. However, as meadows across the GBR continue to recover, it is expected they will move to a more enduring state; except those in deeper waters (where only the colonising species </w:t>
      </w:r>
      <w:proofErr w:type="spellStart"/>
      <w:r w:rsidRPr="001E3937">
        <w:rPr>
          <w:rFonts w:asciiTheme="minorHAnsi" w:hAnsiTheme="minorHAnsi"/>
          <w:i/>
          <w:szCs w:val="22"/>
        </w:rPr>
        <w:t>Halophila</w:t>
      </w:r>
      <w:proofErr w:type="spellEnd"/>
      <w:r>
        <w:rPr>
          <w:rFonts w:asciiTheme="minorHAnsi" w:hAnsiTheme="minorHAnsi"/>
          <w:szCs w:val="22"/>
        </w:rPr>
        <w:t xml:space="preserve"> inhabit). It is anticipated that using the t</w:t>
      </w:r>
      <w:r w:rsidRPr="00946FF6">
        <w:rPr>
          <w:rFonts w:cs="TimesNewRoman"/>
          <w:color w:val="000000"/>
          <w:szCs w:val="22"/>
        </w:rPr>
        <w:t>raits</w:t>
      </w:r>
      <w:r>
        <w:rPr>
          <w:rFonts w:cs="TimesNewRoman"/>
          <w:color w:val="000000"/>
          <w:szCs w:val="22"/>
        </w:rPr>
        <w:t>-</w:t>
      </w:r>
      <w:r w:rsidRPr="00946FF6">
        <w:rPr>
          <w:rFonts w:cs="TimesNewRoman"/>
          <w:color w:val="000000"/>
          <w:szCs w:val="22"/>
        </w:rPr>
        <w:t>based approach to sp</w:t>
      </w:r>
      <w:r>
        <w:rPr>
          <w:rFonts w:cs="TimesNewRoman"/>
          <w:color w:val="000000"/>
          <w:szCs w:val="22"/>
        </w:rPr>
        <w:t>ecies</w:t>
      </w:r>
      <w:r w:rsidRPr="00946FF6">
        <w:rPr>
          <w:rFonts w:cs="TimesNewRoman"/>
          <w:color w:val="000000"/>
          <w:szCs w:val="22"/>
        </w:rPr>
        <w:t xml:space="preserve"> comp</w:t>
      </w:r>
      <w:r>
        <w:rPr>
          <w:rFonts w:cs="TimesNewRoman"/>
          <w:color w:val="000000"/>
          <w:szCs w:val="22"/>
        </w:rPr>
        <w:t xml:space="preserve">osition, will provide an improved understanding of species diversity and ecosystem function. Once this is quantified, it may be possible to identify a </w:t>
      </w:r>
      <w:r>
        <w:rPr>
          <w:rFonts w:asciiTheme="minorHAnsi" w:hAnsiTheme="minorHAnsi"/>
          <w:szCs w:val="22"/>
        </w:rPr>
        <w:t xml:space="preserve">“tipping point” or threshold indicative of a declining trajectory. The broad </w:t>
      </w:r>
      <w:r>
        <w:t xml:space="preserve">subjective </w:t>
      </w:r>
      <w:r>
        <w:rPr>
          <w:rFonts w:asciiTheme="minorHAnsi" w:hAnsiTheme="minorHAnsi"/>
          <w:szCs w:val="22"/>
        </w:rPr>
        <w:t>approach to species classification was trialled at paired intertidal and subtidal reefs sites in the Burdekin region. These sites have declined and almost fully recovered within the decade of MMP monitoring (</w:t>
      </w:r>
      <w:r>
        <w:rPr>
          <w:rFonts w:asciiTheme="minorHAnsi" w:hAnsiTheme="minorHAnsi"/>
          <w:szCs w:val="22"/>
        </w:rPr>
        <w:fldChar w:fldCharType="begin"/>
      </w:r>
      <w:r>
        <w:rPr>
          <w:rFonts w:asciiTheme="minorHAnsi" w:hAnsiTheme="minorHAnsi"/>
          <w:szCs w:val="22"/>
        </w:rPr>
        <w:instrText xml:space="preserve"> REF _Ref442689110 \h </w:instrText>
      </w:r>
      <w:r>
        <w:rPr>
          <w:rFonts w:asciiTheme="minorHAnsi" w:hAnsiTheme="minorHAnsi"/>
          <w:szCs w:val="22"/>
        </w:rPr>
      </w:r>
      <w:r>
        <w:rPr>
          <w:rFonts w:asciiTheme="minorHAnsi" w:hAnsiTheme="minorHAnsi"/>
          <w:szCs w:val="22"/>
        </w:rPr>
        <w:fldChar w:fldCharType="separate"/>
      </w:r>
      <w:r w:rsidR="009C068F">
        <w:t xml:space="preserve">Figure </w:t>
      </w:r>
      <w:r w:rsidR="009C068F">
        <w:rPr>
          <w:noProof/>
        </w:rPr>
        <w:t>105</w:t>
      </w:r>
      <w:r>
        <w:rPr>
          <w:rFonts w:asciiTheme="minorHAnsi" w:hAnsiTheme="minorHAnsi"/>
          <w:szCs w:val="22"/>
        </w:rPr>
        <w:fldChar w:fldCharType="end"/>
      </w:r>
      <w:r>
        <w:rPr>
          <w:rFonts w:asciiTheme="minorHAnsi" w:hAnsiTheme="minorHAnsi"/>
          <w:szCs w:val="22"/>
        </w:rPr>
        <w:t>).</w:t>
      </w:r>
    </w:p>
    <w:p w:rsidR="00371C3C" w:rsidRDefault="00371C3C" w:rsidP="00371C3C">
      <w:pPr>
        <w:keepNext/>
        <w:widowControl w:val="0"/>
        <w:autoSpaceDE w:val="0"/>
        <w:autoSpaceDN w:val="0"/>
        <w:adjustRightInd w:val="0"/>
        <w:spacing w:after="0"/>
        <w:jc w:val="center"/>
        <w:rPr>
          <w:rFonts w:cs="TimesNewRoman"/>
          <w:color w:val="000000"/>
          <w:szCs w:val="22"/>
        </w:rPr>
      </w:pPr>
      <w:r>
        <w:rPr>
          <w:rFonts w:cs="TimesNewRoman"/>
          <w:noProof/>
          <w:color w:val="000000"/>
          <w:szCs w:val="22"/>
          <w:lang w:eastAsia="en-AU"/>
        </w:rPr>
        <w:lastRenderedPageBreak/>
        <w:drawing>
          <wp:inline distT="0" distB="0" distL="0" distR="0" wp14:anchorId="7B4FCA8C" wp14:editId="3F1A5831">
            <wp:extent cx="4320000" cy="2098800"/>
            <wp:effectExtent l="0" t="0" r="4445" b="0"/>
            <wp:docPr id="143" name="Picture 143" descr="Panel of two line graphs shoiwng abundance of species displaying colonising, opportunistic or persistent life history traits relative to maximum at intertidal reef habitat (Cockle Bay) and subtidal reef habitat (Picnic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COP_plot_Jan16.pn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4320000" cy="2098800"/>
                    </a:xfrm>
                    <a:prstGeom prst="rect">
                      <a:avLst/>
                    </a:prstGeom>
                  </pic:spPr>
                </pic:pic>
              </a:graphicData>
            </a:graphic>
          </wp:inline>
        </w:drawing>
      </w:r>
    </w:p>
    <w:p w:rsidR="00371C3C" w:rsidRPr="00556019" w:rsidRDefault="00371C3C" w:rsidP="00371C3C">
      <w:pPr>
        <w:rPr>
          <w:rFonts w:cs="TimesNewRoman"/>
          <w:i/>
          <w:color w:val="000000"/>
          <w:szCs w:val="22"/>
        </w:rPr>
      </w:pPr>
      <w:bookmarkStart w:id="593" w:name="_Ref442689110"/>
      <w:bookmarkStart w:id="594" w:name="_Toc462684945"/>
      <w:r>
        <w:t xml:space="preserve">Figure </w:t>
      </w:r>
      <w:fldSimple w:instr=" SEQ Figure \* ARABIC ">
        <w:r w:rsidR="009C068F">
          <w:rPr>
            <w:noProof/>
          </w:rPr>
          <w:t>105</w:t>
        </w:r>
      </w:fldSimple>
      <w:bookmarkEnd w:id="593"/>
      <w:r>
        <w:t xml:space="preserve">. </w:t>
      </w:r>
      <w:r w:rsidRPr="00556019">
        <w:rPr>
          <w:i/>
        </w:rPr>
        <w:t xml:space="preserve">Plot of abundance of species </w:t>
      </w:r>
      <w:r w:rsidR="00D2786A">
        <w:rPr>
          <w:i/>
        </w:rPr>
        <w:t xml:space="preserve">displaying colonising, opportunistic or persistent life history traits </w:t>
      </w:r>
      <w:r w:rsidRPr="00556019">
        <w:rPr>
          <w:i/>
        </w:rPr>
        <w:t>relative to maximum</w:t>
      </w:r>
      <w:r>
        <w:rPr>
          <w:i/>
        </w:rPr>
        <w:t>: a. intertidal reef habitat (Cockle Bay) and b. subtidal reef habitat (Picnic Bay).</w:t>
      </w:r>
      <w:bookmarkEnd w:id="594"/>
    </w:p>
    <w:p w:rsidR="00B302A5" w:rsidRDefault="00B302A5" w:rsidP="00B302A5">
      <w:pPr>
        <w:autoSpaceDE w:val="0"/>
        <w:autoSpaceDN w:val="0"/>
        <w:adjustRightInd w:val="0"/>
        <w:rPr>
          <w:rFonts w:cs="TimesNewRoman"/>
          <w:szCs w:val="22"/>
        </w:rPr>
      </w:pPr>
      <w:r>
        <w:rPr>
          <w:rFonts w:cs="TimesNewRoman"/>
          <w:color w:val="000000"/>
          <w:szCs w:val="22"/>
        </w:rPr>
        <w:t xml:space="preserve">The temporal patterns in the relative abundance of each colonising, opportunistic and persistent species grouping show a clear progression during meadow recovery and more importantly during meadow </w:t>
      </w:r>
      <w:r w:rsidRPr="00AA6C76">
        <w:rPr>
          <w:rFonts w:cs="TimesNewRoman"/>
          <w:szCs w:val="22"/>
        </w:rPr>
        <w:t>deterioration</w:t>
      </w:r>
      <w:r>
        <w:rPr>
          <w:rFonts w:cs="TimesNewRoman"/>
          <w:szCs w:val="22"/>
        </w:rPr>
        <w:t xml:space="preserve"> while in a disturbance phase. This suggests a model where during recovery, each of the </w:t>
      </w:r>
      <w:r w:rsidRPr="00F26200">
        <w:rPr>
          <w:rFonts w:cs="TimesNewRoman"/>
          <w:szCs w:val="22"/>
        </w:rPr>
        <w:t xml:space="preserve">species groupings based on life history traits </w:t>
      </w:r>
      <w:r>
        <w:rPr>
          <w:rFonts w:cs="TimesNewRoman"/>
          <w:szCs w:val="22"/>
        </w:rPr>
        <w:t>dominates from transitory to enduring meadow form, but during deterioration, each contributes varying amounts (</w:t>
      </w:r>
      <w:r>
        <w:rPr>
          <w:rFonts w:cs="TimesNewRoman"/>
          <w:szCs w:val="22"/>
        </w:rPr>
        <w:fldChar w:fldCharType="begin"/>
      </w:r>
      <w:r>
        <w:rPr>
          <w:rFonts w:cs="TimesNewRoman"/>
          <w:szCs w:val="22"/>
        </w:rPr>
        <w:instrText xml:space="preserve"> REF _Ref442689637 \h </w:instrText>
      </w:r>
      <w:r>
        <w:rPr>
          <w:rFonts w:cs="TimesNewRoman"/>
          <w:szCs w:val="22"/>
        </w:rPr>
      </w:r>
      <w:r>
        <w:rPr>
          <w:rFonts w:cs="TimesNewRoman"/>
          <w:szCs w:val="22"/>
        </w:rPr>
        <w:fldChar w:fldCharType="separate"/>
      </w:r>
      <w:r w:rsidR="009C068F">
        <w:t xml:space="preserve">Figure </w:t>
      </w:r>
      <w:r w:rsidR="009C068F">
        <w:rPr>
          <w:noProof/>
        </w:rPr>
        <w:t>106</w:t>
      </w:r>
      <w:r>
        <w:rPr>
          <w:rFonts w:cs="TimesNewRoman"/>
          <w:szCs w:val="22"/>
        </w:rPr>
        <w:fldChar w:fldCharType="end"/>
      </w:r>
      <w:r>
        <w:rPr>
          <w:rFonts w:cs="TimesNewRoman"/>
          <w:szCs w:val="22"/>
        </w:rPr>
        <w:t xml:space="preserve">). In future, </w:t>
      </w:r>
      <w:r w:rsidR="00BD1830">
        <w:rPr>
          <w:rFonts w:cs="TimesNewRoman"/>
          <w:szCs w:val="22"/>
        </w:rPr>
        <w:t xml:space="preserve">species composition </w:t>
      </w:r>
      <w:r>
        <w:rPr>
          <w:rFonts w:cs="TimesNewRoman"/>
          <w:szCs w:val="22"/>
        </w:rPr>
        <w:t xml:space="preserve">may be </w:t>
      </w:r>
      <w:r w:rsidR="00BD1830">
        <w:rPr>
          <w:rFonts w:cs="TimesNewRoman"/>
          <w:szCs w:val="22"/>
        </w:rPr>
        <w:t xml:space="preserve">one of the attributes used </w:t>
      </w:r>
      <w:r>
        <w:rPr>
          <w:rFonts w:cs="TimesNewRoman"/>
          <w:szCs w:val="22"/>
        </w:rPr>
        <w:t xml:space="preserve">to identify meadow deterioration. Determining the contributions of species groups will be greatly assisted by using a more rigorous classification such as using </w:t>
      </w:r>
      <w:r w:rsidRPr="00AA55CE">
        <w:rPr>
          <w:rFonts w:cs="TimesNewRoman"/>
          <w:szCs w:val="22"/>
        </w:rPr>
        <w:t>morphological traits</w:t>
      </w:r>
      <w:r>
        <w:rPr>
          <w:rFonts w:cs="TimesNewRoman"/>
          <w:szCs w:val="22"/>
        </w:rPr>
        <w:t>, particularly for species which display traits across a duality of groups (see case study 1, chapter 6). As m</w:t>
      </w:r>
      <w:r w:rsidRPr="00AA55CE">
        <w:rPr>
          <w:rFonts w:cs="TimesNewRoman"/>
          <w:szCs w:val="22"/>
        </w:rPr>
        <w:t>orphological traits</w:t>
      </w:r>
      <w:r>
        <w:rPr>
          <w:rFonts w:cs="TimesNewRoman"/>
          <w:szCs w:val="22"/>
        </w:rPr>
        <w:t xml:space="preserve"> can depend on </w:t>
      </w:r>
      <w:r w:rsidRPr="00AA55CE">
        <w:rPr>
          <w:rFonts w:cs="TimesNewRoman"/>
          <w:szCs w:val="22"/>
        </w:rPr>
        <w:t xml:space="preserve">meadow phase </w:t>
      </w:r>
      <w:r>
        <w:rPr>
          <w:rFonts w:cs="TimesNewRoman"/>
          <w:szCs w:val="22"/>
        </w:rPr>
        <w:t xml:space="preserve">(e.g. </w:t>
      </w:r>
      <w:r w:rsidRPr="00AA55CE">
        <w:rPr>
          <w:rFonts w:cs="TimesNewRoman"/>
          <w:szCs w:val="22"/>
        </w:rPr>
        <w:t>expansion/recovery after loss)</w:t>
      </w:r>
      <w:r>
        <w:rPr>
          <w:rFonts w:cs="TimesNewRoman"/>
          <w:szCs w:val="22"/>
        </w:rPr>
        <w:t xml:space="preserve"> </w:t>
      </w:r>
      <w:r w:rsidRPr="00AA55CE">
        <w:rPr>
          <w:rFonts w:cs="TimesNewRoman"/>
          <w:szCs w:val="22"/>
        </w:rPr>
        <w:t xml:space="preserve">or </w:t>
      </w:r>
      <w:r>
        <w:rPr>
          <w:rFonts w:cs="TimesNewRoman"/>
          <w:szCs w:val="22"/>
        </w:rPr>
        <w:t xml:space="preserve">the </w:t>
      </w:r>
      <w:r w:rsidRPr="00AA55CE">
        <w:rPr>
          <w:rFonts w:cs="TimesNewRoman"/>
          <w:szCs w:val="22"/>
        </w:rPr>
        <w:t>environment within which they persist</w:t>
      </w:r>
      <w:r>
        <w:rPr>
          <w:rFonts w:cs="TimesNewRoman"/>
          <w:szCs w:val="22"/>
        </w:rPr>
        <w:t xml:space="preserve">, classification could also be coupled with other environmental measures such as sediment grain size and level of sediment disturbance (i.e. rippling). For example, </w:t>
      </w:r>
      <w:proofErr w:type="spellStart"/>
      <w:r w:rsidRPr="000408B8">
        <w:rPr>
          <w:rFonts w:cs="TimesNewRoman"/>
          <w:i/>
          <w:szCs w:val="22"/>
        </w:rPr>
        <w:t>Zostera</w:t>
      </w:r>
      <w:proofErr w:type="spellEnd"/>
      <w:r w:rsidRPr="000408B8">
        <w:rPr>
          <w:rFonts w:cs="TimesNewRoman"/>
          <w:i/>
          <w:szCs w:val="22"/>
        </w:rPr>
        <w:t xml:space="preserve"> </w:t>
      </w:r>
      <w:proofErr w:type="spellStart"/>
      <w:r w:rsidRPr="000408B8">
        <w:rPr>
          <w:rFonts w:cs="TimesNewRoman"/>
          <w:i/>
          <w:szCs w:val="22"/>
        </w:rPr>
        <w:t>muelleri</w:t>
      </w:r>
      <w:proofErr w:type="spellEnd"/>
      <w:r>
        <w:rPr>
          <w:rFonts w:cs="TimesNewRoman"/>
          <w:szCs w:val="22"/>
        </w:rPr>
        <w:t xml:space="preserve"> displays the morphological traits of a coloniser when in </w:t>
      </w:r>
      <w:r w:rsidRPr="00946FF6">
        <w:rPr>
          <w:rFonts w:cs="TimesNewRoman"/>
          <w:color w:val="000000"/>
          <w:szCs w:val="22"/>
        </w:rPr>
        <w:t>ripp</w:t>
      </w:r>
      <w:r>
        <w:rPr>
          <w:rFonts w:cs="TimesNewRoman"/>
          <w:color w:val="000000"/>
          <w:szCs w:val="22"/>
        </w:rPr>
        <w:t>l</w:t>
      </w:r>
      <w:r w:rsidRPr="00946FF6">
        <w:rPr>
          <w:rFonts w:cs="TimesNewRoman"/>
          <w:color w:val="000000"/>
          <w:szCs w:val="22"/>
        </w:rPr>
        <w:t>ed sands</w:t>
      </w:r>
      <w:r>
        <w:rPr>
          <w:rFonts w:cs="TimesNewRoman"/>
          <w:color w:val="000000"/>
          <w:szCs w:val="22"/>
        </w:rPr>
        <w:t>, as opposed to an opportunist when in settled muds (personal observation).</w:t>
      </w:r>
    </w:p>
    <w:p w:rsidR="00AA55CE" w:rsidRDefault="00AA55CE" w:rsidP="00AA55CE">
      <w:pPr>
        <w:autoSpaceDE w:val="0"/>
        <w:autoSpaceDN w:val="0"/>
        <w:adjustRightInd w:val="0"/>
        <w:rPr>
          <w:rFonts w:cs="TimesNewRoman"/>
          <w:szCs w:val="22"/>
        </w:rPr>
      </w:pPr>
    </w:p>
    <w:p w:rsidR="00946FF6" w:rsidRDefault="00946FF6" w:rsidP="00946FF6">
      <w:pPr>
        <w:keepNext/>
        <w:widowControl w:val="0"/>
        <w:autoSpaceDE w:val="0"/>
        <w:autoSpaceDN w:val="0"/>
        <w:adjustRightInd w:val="0"/>
        <w:spacing w:after="0"/>
        <w:jc w:val="center"/>
        <w:rPr>
          <w:rFonts w:cs="TimesNewRoman"/>
          <w:color w:val="000000"/>
          <w:szCs w:val="22"/>
        </w:rPr>
      </w:pPr>
      <w:r>
        <w:rPr>
          <w:rFonts w:cs="TimesNewRoman"/>
          <w:noProof/>
          <w:color w:val="000000"/>
          <w:szCs w:val="22"/>
          <w:lang w:eastAsia="en-AU"/>
        </w:rPr>
        <w:drawing>
          <wp:inline distT="0" distB="0" distL="0" distR="0" wp14:anchorId="70B6290A" wp14:editId="17514B4A">
            <wp:extent cx="4320000" cy="1954800"/>
            <wp:effectExtent l="0" t="0" r="4445" b="7620"/>
            <wp:docPr id="82" name="Picture 82" descr="Proposed model of species groupings based on life history traits, relating to meadow form during recovery and disturbance pha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C-O-P_model_Feb16.pn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4320000" cy="1954800"/>
                    </a:xfrm>
                    <a:prstGeom prst="rect">
                      <a:avLst/>
                    </a:prstGeom>
                  </pic:spPr>
                </pic:pic>
              </a:graphicData>
            </a:graphic>
          </wp:inline>
        </w:drawing>
      </w:r>
    </w:p>
    <w:p w:rsidR="00946FF6" w:rsidRPr="00556019" w:rsidRDefault="00946FF6" w:rsidP="00946FF6">
      <w:pPr>
        <w:rPr>
          <w:rFonts w:cs="TimesNewRoman"/>
          <w:i/>
          <w:color w:val="000000"/>
          <w:szCs w:val="22"/>
        </w:rPr>
      </w:pPr>
      <w:bookmarkStart w:id="595" w:name="_Ref442689637"/>
      <w:bookmarkStart w:id="596" w:name="_Toc462684946"/>
      <w:r>
        <w:t xml:space="preserve">Figure </w:t>
      </w:r>
      <w:fldSimple w:instr=" SEQ Figure \* ARABIC ">
        <w:r w:rsidR="009C068F">
          <w:rPr>
            <w:noProof/>
          </w:rPr>
          <w:t>106</w:t>
        </w:r>
      </w:fldSimple>
      <w:bookmarkEnd w:id="595"/>
      <w:r>
        <w:t xml:space="preserve">. </w:t>
      </w:r>
      <w:r w:rsidRPr="00556019">
        <w:rPr>
          <w:i/>
        </w:rPr>
        <w:t xml:space="preserve">Model of species </w:t>
      </w:r>
      <w:r w:rsidR="00F26200">
        <w:rPr>
          <w:i/>
        </w:rPr>
        <w:t>groupings based on life history traits, relating to meadow form during recovery and disturbance phases.</w:t>
      </w:r>
      <w:bookmarkEnd w:id="596"/>
    </w:p>
    <w:p w:rsidR="00B302A5" w:rsidRDefault="00B302A5" w:rsidP="00F648EB">
      <w:pPr>
        <w:autoSpaceDE w:val="0"/>
        <w:autoSpaceDN w:val="0"/>
        <w:adjustRightInd w:val="0"/>
        <w:rPr>
          <w:rFonts w:cs="TimesNewRoman"/>
          <w:color w:val="000000"/>
          <w:szCs w:val="22"/>
        </w:rPr>
      </w:pPr>
      <w:r>
        <w:rPr>
          <w:rFonts w:cs="TimesNewRoman"/>
          <w:color w:val="000000"/>
          <w:szCs w:val="22"/>
        </w:rPr>
        <w:t xml:space="preserve">Other important </w:t>
      </w:r>
      <w:r w:rsidRPr="00F651B3">
        <w:rPr>
          <w:rFonts w:cs="TimesNewRoman"/>
          <w:color w:val="000000"/>
          <w:szCs w:val="22"/>
        </w:rPr>
        <w:t xml:space="preserve">attributes of seagrasses </w:t>
      </w:r>
      <w:r>
        <w:rPr>
          <w:rFonts w:cs="TimesNewRoman"/>
          <w:color w:val="000000"/>
          <w:szCs w:val="22"/>
        </w:rPr>
        <w:t xml:space="preserve">currently not included in the MMP report card </w:t>
      </w:r>
      <w:r w:rsidRPr="00F651B3">
        <w:rPr>
          <w:rFonts w:cs="TimesNewRoman"/>
          <w:color w:val="000000"/>
          <w:szCs w:val="22"/>
        </w:rPr>
        <w:t xml:space="preserve">that </w:t>
      </w:r>
      <w:r>
        <w:rPr>
          <w:rFonts w:cs="TimesNewRoman"/>
          <w:color w:val="000000"/>
          <w:szCs w:val="22"/>
        </w:rPr>
        <w:t>support resilience include</w:t>
      </w:r>
      <w:r w:rsidRPr="00F651B3">
        <w:rPr>
          <w:rFonts w:cs="TimesNewRoman"/>
          <w:color w:val="000000"/>
          <w:szCs w:val="22"/>
        </w:rPr>
        <w:t>: storage reserves</w:t>
      </w:r>
      <w:r w:rsidR="00DB576B">
        <w:rPr>
          <w:rFonts w:cs="TimesNewRoman"/>
          <w:color w:val="000000"/>
          <w:szCs w:val="22"/>
        </w:rPr>
        <w:t xml:space="preserve"> (</w:t>
      </w:r>
      <w:r w:rsidR="00DB576B" w:rsidRPr="00DB576B">
        <w:rPr>
          <w:rFonts w:cs="TimesNewRoman"/>
          <w:color w:val="000000"/>
          <w:szCs w:val="22"/>
        </w:rPr>
        <w:t>non-structural carbohydrates</w:t>
      </w:r>
      <w:r w:rsidR="00DB576B">
        <w:rPr>
          <w:rFonts w:cs="TimesNewRoman"/>
          <w:color w:val="000000"/>
          <w:szCs w:val="22"/>
        </w:rPr>
        <w:t>)</w:t>
      </w:r>
      <w:r w:rsidRPr="00F651B3">
        <w:rPr>
          <w:rFonts w:cs="TimesNewRoman"/>
          <w:color w:val="000000"/>
          <w:szCs w:val="22"/>
        </w:rPr>
        <w:t>, continuity (or spatial extent)</w:t>
      </w:r>
      <w:r>
        <w:rPr>
          <w:rFonts w:cs="TimesNewRoman"/>
          <w:color w:val="000000"/>
          <w:szCs w:val="22"/>
        </w:rPr>
        <w:t>,</w:t>
      </w:r>
      <w:r w:rsidRPr="00F651B3">
        <w:rPr>
          <w:rFonts w:cs="TimesNewRoman"/>
          <w:color w:val="000000"/>
          <w:szCs w:val="22"/>
        </w:rPr>
        <w:t xml:space="preserve"> and genetic diversity (</w:t>
      </w:r>
      <w:proofErr w:type="spellStart"/>
      <w:r w:rsidRPr="00F651B3">
        <w:rPr>
          <w:rFonts w:cs="TimesNewRoman"/>
          <w:color w:val="000000"/>
          <w:szCs w:val="22"/>
        </w:rPr>
        <w:t>Unsworth</w:t>
      </w:r>
      <w:proofErr w:type="spellEnd"/>
      <w:r w:rsidRPr="00F651B3">
        <w:rPr>
          <w:rFonts w:cs="TimesNewRoman"/>
          <w:color w:val="000000"/>
          <w:szCs w:val="22"/>
        </w:rPr>
        <w:t>, et al. 2015).</w:t>
      </w:r>
      <w:r>
        <w:rPr>
          <w:rFonts w:cs="TimesNewRoman"/>
          <w:color w:val="000000"/>
          <w:szCs w:val="22"/>
        </w:rPr>
        <w:t xml:space="preserve"> </w:t>
      </w:r>
    </w:p>
    <w:p w:rsidR="00F648EB" w:rsidRDefault="00B302A5" w:rsidP="00F648EB">
      <w:pPr>
        <w:autoSpaceDE w:val="0"/>
        <w:autoSpaceDN w:val="0"/>
        <w:adjustRightInd w:val="0"/>
        <w:rPr>
          <w:rFonts w:cs="TimesNewRoman"/>
          <w:color w:val="000000"/>
          <w:szCs w:val="22"/>
        </w:rPr>
      </w:pPr>
      <w:r>
        <w:rPr>
          <w:rFonts w:cs="TimesNewRoman"/>
          <w:color w:val="000000"/>
          <w:szCs w:val="22"/>
        </w:rPr>
        <w:t xml:space="preserve">An analysis of storage reserves from 4 paired intertidal and subtidal MMP sites (8 sites in total) collected from 2008 to 2015 was recently undertaken for a NESP-funded project investigating </w:t>
      </w:r>
      <w:r>
        <w:rPr>
          <w:rFonts w:cs="TimesNewRoman"/>
          <w:color w:val="000000"/>
          <w:szCs w:val="22"/>
        </w:rPr>
        <w:lastRenderedPageBreak/>
        <w:t>complimentary indicators of resilience (</w:t>
      </w:r>
      <w:hyperlink w:anchor="_ENREF_63" w:tooltip="Collier, 2016 #10495" w:history="1">
        <w:r w:rsidR="00E6043D">
          <w:rPr>
            <w:rFonts w:cs="TimesNewRoman"/>
            <w:color w:val="000000"/>
            <w:szCs w:val="22"/>
          </w:rPr>
          <w:fldChar w:fldCharType="begin"/>
        </w:r>
        <w:r w:rsidR="00E6043D">
          <w:rPr>
            <w:rFonts w:cs="TimesNewRoman"/>
            <w:color w:val="000000"/>
            <w:szCs w:val="22"/>
          </w:rPr>
          <w:instrText xml:space="preserve"> ADDIN EN.CITE &lt;EndNote&gt;&lt;Cite&gt;&lt;Author&gt;Collier&lt;/Author&gt;&lt;Year&gt;2016&lt;/Year&gt;&lt;RecNum&gt;10495&lt;/RecNum&gt;&lt;DisplayText&gt;Collier&lt;style face="italic"&gt; et al.&lt;/style&gt; 2016b&lt;/DisplayText&gt;&lt;record&gt;&lt;rec-number&gt;10495&lt;/rec-number&gt;&lt;foreign-keys&gt;&lt;key app="EN" db-id="0eve55x9y5vfd6e9dacxtew4eatve2dzds9a"&gt;10495&lt;/key&gt;&lt;/foreign-keys&gt;&lt;ref-type name="Book"&gt;6&lt;/ref-type&gt;&lt;contributors&gt;&lt;authors&gt;&lt;author&gt;Collier, Catherine J&lt;/author&gt;&lt;author&gt;Langlois, Lucas&lt;/author&gt;&lt;author&gt;Zemoi, Rahel&lt;/author&gt;&lt;author&gt;Martin, Katherine&lt;/author&gt;&lt;author&gt;McKenzie, Len J&lt;/author&gt;&lt;/authors&gt;&lt;/contributors&gt;&lt;titles&gt;&lt;title&gt;Developing and refining biological indicators for condition assessments in an integrated monitoring program. Report to the National Environmental Science Programme&lt;/title&gt;&lt;/titles&gt;&lt;pages&gt;31&lt;/pages&gt;&lt;dates&gt;&lt;year&gt;2016&lt;/year&gt;&lt;/dates&gt;&lt;pub-location&gt;Cairns&lt;/pub-location&gt;&lt;publisher&gt;Reef and Rainforest Research Centre Limited&lt;/publisher&gt;&lt;urls&gt;&lt;/urls&gt;&lt;/record&gt;&lt;/Cite&gt;&lt;/EndNote&gt;</w:instrText>
        </w:r>
        <w:r w:rsidR="00E6043D">
          <w:rPr>
            <w:rFonts w:cs="TimesNewRoman"/>
            <w:color w:val="000000"/>
            <w:szCs w:val="22"/>
          </w:rPr>
          <w:fldChar w:fldCharType="separate"/>
        </w:r>
        <w:r w:rsidR="00E6043D">
          <w:rPr>
            <w:rFonts w:cs="TimesNewRoman"/>
            <w:noProof/>
            <w:color w:val="000000"/>
            <w:szCs w:val="22"/>
          </w:rPr>
          <w:t>Collier</w:t>
        </w:r>
        <w:r w:rsidR="00E6043D" w:rsidRPr="00E6043D">
          <w:rPr>
            <w:rFonts w:cs="TimesNewRoman"/>
            <w:i/>
            <w:noProof/>
            <w:color w:val="000000"/>
            <w:szCs w:val="22"/>
          </w:rPr>
          <w:t xml:space="preserve"> et al.</w:t>
        </w:r>
        <w:r w:rsidR="00E6043D">
          <w:rPr>
            <w:rFonts w:cs="TimesNewRoman"/>
            <w:noProof/>
            <w:color w:val="000000"/>
            <w:szCs w:val="22"/>
          </w:rPr>
          <w:t xml:space="preserve"> 2016b</w:t>
        </w:r>
        <w:r w:rsidR="00E6043D">
          <w:rPr>
            <w:rFonts w:cs="TimesNewRoman"/>
            <w:color w:val="000000"/>
            <w:szCs w:val="22"/>
          </w:rPr>
          <w:fldChar w:fldCharType="end"/>
        </w:r>
      </w:hyperlink>
      <w:r>
        <w:rPr>
          <w:rFonts w:cs="TimesNewRoman"/>
          <w:color w:val="000000"/>
          <w:szCs w:val="22"/>
        </w:rPr>
        <w:t>). Storage reserves are the sugars and starches stored in rhizomes, which accumulate under favourable conditions (typically in spring/summer) and decline when plant carbon budgets are depleted (e.g. low light events) (</w:t>
      </w:r>
      <w:r w:rsidR="009E5562">
        <w:rPr>
          <w:rFonts w:cs="TimesNewRoman"/>
          <w:color w:val="000000"/>
          <w:szCs w:val="22"/>
        </w:rPr>
        <w:fldChar w:fldCharType="begin">
          <w:fldData xml:space="preserve">PEVuZE5vdGU+PENpdGU+PEF1dGhvcj5BbGNvdmVycm88L0F1dGhvcj48WWVhcj4yMDAxPC9ZZWFy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</w:fldData>
        </w:fldChar>
      </w:r>
      <w:r w:rsidR="009E5562">
        <w:rPr>
          <w:rFonts w:cs="TimesNewRoman"/>
          <w:color w:val="000000"/>
          <w:szCs w:val="22"/>
        </w:rPr>
        <w:instrText xml:space="preserve"> ADDIN EN.CITE </w:instrText>
      </w:r>
      <w:r w:rsidR="009E5562">
        <w:rPr>
          <w:rFonts w:cs="TimesNewRoman"/>
          <w:color w:val="000000"/>
          <w:szCs w:val="22"/>
        </w:rPr>
        <w:fldChar w:fldCharType="begin">
          <w:fldData xml:space="preserve">PEVuZE5vdGU+PENpdGU+PEF1dGhvcj5BbGNvdmVycm88L0F1dGhvcj48WWVhcj4yMDAxPC9ZZWFy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</w:fldData>
        </w:fldChar>
      </w:r>
      <w:r w:rsidR="009E5562">
        <w:rPr>
          <w:rFonts w:cs="TimesNewRoman"/>
          <w:color w:val="000000"/>
          <w:szCs w:val="22"/>
        </w:rPr>
        <w:instrText xml:space="preserve"> ADDIN EN.CITE.DATA </w:instrText>
      </w:r>
      <w:r w:rsidR="009E5562">
        <w:rPr>
          <w:rFonts w:cs="TimesNewRoman"/>
          <w:color w:val="000000"/>
          <w:szCs w:val="22"/>
        </w:rPr>
      </w:r>
      <w:r w:rsidR="009E5562">
        <w:rPr>
          <w:rFonts w:cs="TimesNewRoman"/>
          <w:color w:val="000000"/>
          <w:szCs w:val="22"/>
        </w:rPr>
        <w:fldChar w:fldCharType="end"/>
      </w:r>
      <w:r w:rsidR="009E5562">
        <w:rPr>
          <w:rFonts w:cs="TimesNewRoman"/>
          <w:color w:val="000000"/>
          <w:szCs w:val="22"/>
        </w:rPr>
      </w:r>
      <w:r w:rsidR="009E5562">
        <w:rPr>
          <w:rFonts w:cs="TimesNewRoman"/>
          <w:color w:val="000000"/>
          <w:szCs w:val="22"/>
        </w:rPr>
        <w:fldChar w:fldCharType="separate"/>
      </w:r>
      <w:hyperlink w:anchor="_ENREF_3" w:tooltip="Alcoverro, 2001 #2571" w:history="1">
        <w:r w:rsidR="00E6043D">
          <w:rPr>
            <w:rFonts w:cs="TimesNewRoman"/>
            <w:noProof/>
            <w:color w:val="000000"/>
            <w:szCs w:val="22"/>
          </w:rPr>
          <w:t>Alcoverro</w:t>
        </w:r>
        <w:r w:rsidR="00E6043D" w:rsidRPr="009E5562">
          <w:rPr>
            <w:rFonts w:cs="TimesNewRoman"/>
            <w:i/>
            <w:noProof/>
            <w:color w:val="000000"/>
            <w:szCs w:val="22"/>
          </w:rPr>
          <w:t xml:space="preserve"> et al.</w:t>
        </w:r>
        <w:r w:rsidR="00E6043D">
          <w:rPr>
            <w:rFonts w:cs="TimesNewRoman"/>
            <w:noProof/>
            <w:color w:val="000000"/>
            <w:szCs w:val="22"/>
          </w:rPr>
          <w:t xml:space="preserve"> 2001</w:t>
        </w:r>
      </w:hyperlink>
      <w:r w:rsidR="009E5562">
        <w:rPr>
          <w:rFonts w:cs="TimesNewRoman"/>
          <w:noProof/>
          <w:color w:val="000000"/>
          <w:szCs w:val="22"/>
        </w:rPr>
        <w:t xml:space="preserve">; </w:t>
      </w:r>
      <w:hyperlink w:anchor="_ENREF_64" w:tooltip="Collier, 2009 #9490" w:history="1">
        <w:r w:rsidR="00E6043D">
          <w:rPr>
            <w:rFonts w:cs="TimesNewRoman"/>
            <w:noProof/>
            <w:color w:val="000000"/>
            <w:szCs w:val="22"/>
          </w:rPr>
          <w:t>Collier</w:t>
        </w:r>
        <w:r w:rsidR="00E6043D" w:rsidRPr="009E5562">
          <w:rPr>
            <w:rFonts w:cs="TimesNewRoman"/>
            <w:i/>
            <w:noProof/>
            <w:color w:val="000000"/>
            <w:szCs w:val="22"/>
          </w:rPr>
          <w:t>, et al.</w:t>
        </w:r>
        <w:r w:rsidR="00E6043D">
          <w:rPr>
            <w:rFonts w:cs="TimesNewRoman"/>
            <w:noProof/>
            <w:color w:val="000000"/>
            <w:szCs w:val="22"/>
          </w:rPr>
          <w:t xml:space="preserve"> 2009</w:t>
        </w:r>
      </w:hyperlink>
      <w:r w:rsidR="009E5562">
        <w:rPr>
          <w:rFonts w:cs="TimesNewRoman"/>
          <w:color w:val="000000"/>
          <w:szCs w:val="22"/>
        </w:rPr>
        <w:fldChar w:fldCharType="end"/>
      </w:r>
      <w:r>
        <w:rPr>
          <w:rFonts w:cs="TimesNewRoman"/>
          <w:color w:val="000000"/>
          <w:szCs w:val="22"/>
        </w:rPr>
        <w:t xml:space="preserve">). Total storage reserve content of the </w:t>
      </w:r>
      <w:r w:rsidR="00BD1830">
        <w:rPr>
          <w:rFonts w:cs="TimesNewRoman"/>
          <w:color w:val="000000"/>
          <w:szCs w:val="22"/>
        </w:rPr>
        <w:t>plant</w:t>
      </w:r>
      <w:r>
        <w:rPr>
          <w:rFonts w:cs="TimesNewRoman"/>
          <w:color w:val="000000"/>
          <w:szCs w:val="22"/>
        </w:rPr>
        <w:t xml:space="preserve"> was correlated to meadow abundance and condition. Therefore, as for species composition, storage reserves could also be used to identify meadow trajectory. This requires validation for other habitats and species, and ongoing investigation of reserves as a complimentary indicator will be facilitated by the application of more cost effective </w:t>
      </w:r>
      <w:r w:rsidR="00BD1830">
        <w:rPr>
          <w:rFonts w:cs="TimesNewRoman"/>
          <w:color w:val="000000"/>
          <w:szCs w:val="22"/>
        </w:rPr>
        <w:t>analysis protocols (e.g. NIR).</w:t>
      </w:r>
    </w:p>
    <w:p w:rsidR="00B302A5" w:rsidRDefault="00B302A5" w:rsidP="00B302A5">
      <w:pPr>
        <w:autoSpaceDE w:val="0"/>
        <w:autoSpaceDN w:val="0"/>
        <w:adjustRightInd w:val="0"/>
        <w:rPr>
          <w:szCs w:val="22"/>
        </w:rPr>
      </w:pPr>
      <w:r>
        <w:rPr>
          <w:rFonts w:cs="TimesNewRoman"/>
          <w:color w:val="000000"/>
          <w:szCs w:val="22"/>
        </w:rPr>
        <w:t>Spatial extent (</w:t>
      </w:r>
      <w:r w:rsidRPr="00B47F5A">
        <w:rPr>
          <w:szCs w:val="22"/>
        </w:rPr>
        <w:t>within a 100m radius of monitoring sites</w:t>
      </w:r>
      <w:r>
        <w:rPr>
          <w:szCs w:val="22"/>
        </w:rPr>
        <w:t xml:space="preserve"> ≈ 5.5 hectares</w:t>
      </w:r>
      <w:r>
        <w:rPr>
          <w:rFonts w:cs="TimesNewRoman"/>
          <w:color w:val="000000"/>
          <w:szCs w:val="22"/>
        </w:rPr>
        <w:t xml:space="preserve">) </w:t>
      </w:r>
      <w:r w:rsidR="00BD1830">
        <w:rPr>
          <w:rFonts w:cs="TimesNewRoman"/>
          <w:color w:val="000000"/>
          <w:szCs w:val="22"/>
        </w:rPr>
        <w:t xml:space="preserve">currently </w:t>
      </w:r>
      <w:r>
        <w:rPr>
          <w:rFonts w:cs="TimesNewRoman"/>
          <w:color w:val="000000"/>
          <w:szCs w:val="22"/>
        </w:rPr>
        <w:t xml:space="preserve">provides a narrative </w:t>
      </w:r>
      <w:r w:rsidR="00BD1830">
        <w:rPr>
          <w:rFonts w:cs="TimesNewRoman"/>
          <w:color w:val="000000"/>
          <w:szCs w:val="22"/>
        </w:rPr>
        <w:t xml:space="preserve">in the MMP </w:t>
      </w:r>
      <w:r>
        <w:rPr>
          <w:rFonts w:cs="TimesNewRoman"/>
          <w:color w:val="000000"/>
          <w:szCs w:val="22"/>
        </w:rPr>
        <w:t>regarding</w:t>
      </w:r>
      <w:r w:rsidRPr="00B47F5A">
        <w:rPr>
          <w:szCs w:val="22"/>
        </w:rPr>
        <w:t xml:space="preserve"> </w:t>
      </w:r>
      <w:r>
        <w:rPr>
          <w:szCs w:val="22"/>
        </w:rPr>
        <w:t xml:space="preserve">whether </w:t>
      </w:r>
      <w:r w:rsidRPr="00B47F5A">
        <w:rPr>
          <w:szCs w:val="22"/>
        </w:rPr>
        <w:t>changes in abundance were a consequence of the meadow edges</w:t>
      </w:r>
      <w:r>
        <w:rPr>
          <w:szCs w:val="22"/>
        </w:rPr>
        <w:t xml:space="preserve"> moving, </w:t>
      </w:r>
      <w:r w:rsidR="00BD1830">
        <w:rPr>
          <w:szCs w:val="22"/>
        </w:rPr>
        <w:t>giving rise to an increased area of bare substrate</w:t>
      </w:r>
      <w:r>
        <w:rPr>
          <w:szCs w:val="22"/>
        </w:rPr>
        <w:t xml:space="preserve">. Meadow extent also </w:t>
      </w:r>
      <w:r w:rsidRPr="00B47F5A">
        <w:rPr>
          <w:szCs w:val="22"/>
        </w:rPr>
        <w:t>indicate</w:t>
      </w:r>
      <w:r>
        <w:rPr>
          <w:szCs w:val="22"/>
        </w:rPr>
        <w:t>s</w:t>
      </w:r>
      <w:r w:rsidRPr="00B47F5A">
        <w:rPr>
          <w:szCs w:val="22"/>
        </w:rPr>
        <w:t xml:space="preserve"> if </w:t>
      </w:r>
      <w:r>
        <w:rPr>
          <w:szCs w:val="22"/>
        </w:rPr>
        <w:t>meadows are in expansion mode, and as for indicators described above, this provides information on meadow trajectory (decline vs recovery)</w:t>
      </w:r>
      <w:r w:rsidRPr="00D924CD">
        <w:rPr>
          <w:szCs w:val="22"/>
        </w:rPr>
        <w:t>.</w:t>
      </w:r>
      <w:r>
        <w:rPr>
          <w:szCs w:val="22"/>
        </w:rPr>
        <w:t xml:space="preserve"> Spatial extent data could be examined in further detail to determine </w:t>
      </w:r>
      <w:r w:rsidR="00BD1830">
        <w:rPr>
          <w:szCs w:val="22"/>
        </w:rPr>
        <w:t xml:space="preserve">a metrics for </w:t>
      </w:r>
      <w:r>
        <w:rPr>
          <w:szCs w:val="22"/>
        </w:rPr>
        <w:t xml:space="preserve">landscape structure, specifically as continuous, aggregated patches, isolated patches, or isolated shoots. </w:t>
      </w:r>
    </w:p>
    <w:p w:rsidR="009625DF" w:rsidRDefault="00B302A5" w:rsidP="00B302A5">
      <w:pPr>
        <w:autoSpaceDE w:val="0"/>
        <w:autoSpaceDN w:val="0"/>
        <w:adjustRightInd w:val="0"/>
        <w:rPr>
          <w:rFonts w:cs="TimesNewRoman"/>
          <w:color w:val="000000"/>
          <w:szCs w:val="22"/>
        </w:rPr>
      </w:pPr>
      <w:r>
        <w:rPr>
          <w:rFonts w:cs="TimesNewRoman"/>
          <w:color w:val="000000"/>
          <w:szCs w:val="22"/>
        </w:rPr>
        <w:t>Genetic diversity investigations as part of the Great Barrier Reef Foundation project “</w:t>
      </w:r>
      <w:r w:rsidRPr="001606E0">
        <w:rPr>
          <w:rFonts w:cs="TimesNewRoman"/>
          <w:color w:val="000000"/>
          <w:szCs w:val="22"/>
        </w:rPr>
        <w:t>Seagrass growth and diversity: attributes of a resilient GBR</w:t>
      </w:r>
      <w:r>
        <w:rPr>
          <w:rFonts w:cs="TimesNewRoman"/>
          <w:color w:val="000000"/>
          <w:szCs w:val="22"/>
        </w:rPr>
        <w:t xml:space="preserve">” are providing some insight with regard to </w:t>
      </w:r>
      <w:r w:rsidRPr="001606E0">
        <w:rPr>
          <w:rFonts w:cs="TimesNewRoman"/>
          <w:color w:val="000000"/>
          <w:szCs w:val="22"/>
        </w:rPr>
        <w:t xml:space="preserve">clonal richness </w:t>
      </w:r>
      <w:r>
        <w:rPr>
          <w:rFonts w:cs="TimesNewRoman"/>
          <w:color w:val="000000"/>
          <w:szCs w:val="22"/>
        </w:rPr>
        <w:t>and</w:t>
      </w:r>
      <w:r w:rsidRPr="001606E0">
        <w:rPr>
          <w:rFonts w:cs="TimesNewRoman"/>
          <w:color w:val="000000"/>
          <w:szCs w:val="22"/>
        </w:rPr>
        <w:t xml:space="preserve"> gene flow among populations within the GBR</w:t>
      </w:r>
      <w:r>
        <w:rPr>
          <w:rFonts w:cs="TimesNewRoman"/>
          <w:color w:val="000000"/>
          <w:szCs w:val="22"/>
        </w:rPr>
        <w:t xml:space="preserve"> (</w:t>
      </w:r>
      <w:hyperlink w:anchor="_ENREF_60" w:tooltip="Collier, 2015 #10491" w:history="1">
        <w:r w:rsidR="00E6043D">
          <w:rPr>
            <w:rFonts w:cs="TimesNewRoman"/>
            <w:color w:val="000000"/>
            <w:szCs w:val="22"/>
          </w:rPr>
          <w:fldChar w:fldCharType="begin"/>
        </w:r>
        <w:r w:rsidR="00E6043D">
          <w:rPr>
            <w:rFonts w:cs="TimesNewRoman"/>
            <w:color w:val="000000"/>
            <w:szCs w:val="22"/>
          </w:rPr>
          <w:instrText xml:space="preserve"> ADDIN EN.CITE &lt;EndNote&gt;&lt;Cite&gt;&lt;Author&gt;Collier&lt;/Author&gt;&lt;Year&gt;2015&lt;/Year&gt;&lt;RecNum&gt;10491&lt;/RecNum&gt;&lt;DisplayText&gt;Collier&lt;style face="italic"&gt; et al.&lt;/style&gt; 2015&lt;/DisplayText&gt;&lt;record&gt;&lt;rec-number&gt;10491&lt;/rec-number&gt;&lt;foreign-keys&gt;&lt;key app="EN" db-id="0eve55x9y5vfd6e9dacxtew4eatve2dzds9a"&gt;10491&lt;/key&gt;&lt;/foreign-keys&gt;&lt;ref-type name="Book"&gt;6&lt;/ref-type&gt;&lt;contributors&gt;&lt;authors&gt;&lt;author&gt;Collier, Catherine&lt;/author&gt;&lt;author&gt;van Dijk, JK&lt;/author&gt;&lt;author&gt;Adams, Matthew&lt;/author&gt;&lt;author&gt;O’Brien, Kate&lt;/author&gt;&lt;author&gt;Waycott, Michelle&lt;/author&gt;&lt;author&gt;McKenzie, Len&lt;/author&gt;&lt;author&gt;Uthicke, Sven&lt;/author&gt;&lt;author&gt;Johansson, Charlotte&lt;/author&gt;&lt;author&gt;Xiang, Yan Ow&lt;/author&gt;&lt;author&gt;Langlois, Lucas&lt;/author&gt;&lt;author&gt;Phinn, Stuart&lt;/author&gt;&lt;author&gt;Roelfsema, Chris&lt;/author&gt;&lt;/authors&gt;&lt;/contributors&gt;&lt;titles&gt;&lt;title&gt;Seagrass growth and diversity: attributes of a resilient GBR. Annual Report 2015 to the Great Barrier Reef Foundation&lt;/title&gt;&lt;/titles&gt;&lt;pages&gt;11&lt;/pages&gt;&lt;dates&gt;&lt;year&gt;2015&lt;/year&gt;&lt;/dates&gt;&lt;pub-location&gt;Brisbane&lt;/pub-location&gt;&lt;publisher&gt;Great Barrier Reef Foundation&lt;/publisher&gt;&lt;urls&gt;&lt;/urls&gt;&lt;/record&gt;&lt;/Cite&gt;&lt;/EndNote&gt;</w:instrText>
        </w:r>
        <w:r w:rsidR="00E6043D">
          <w:rPr>
            <w:rFonts w:cs="TimesNewRoman"/>
            <w:color w:val="000000"/>
            <w:szCs w:val="22"/>
          </w:rPr>
          <w:fldChar w:fldCharType="separate"/>
        </w:r>
        <w:r w:rsidR="00E6043D">
          <w:rPr>
            <w:rFonts w:cs="TimesNewRoman"/>
            <w:noProof/>
            <w:color w:val="000000"/>
            <w:szCs w:val="22"/>
          </w:rPr>
          <w:t>Collier</w:t>
        </w:r>
        <w:r w:rsidR="00E6043D" w:rsidRPr="009E5562">
          <w:rPr>
            <w:rFonts w:cs="TimesNewRoman"/>
            <w:i/>
            <w:noProof/>
            <w:color w:val="000000"/>
            <w:szCs w:val="22"/>
          </w:rPr>
          <w:t xml:space="preserve"> et al.</w:t>
        </w:r>
        <w:r w:rsidR="00E6043D">
          <w:rPr>
            <w:rFonts w:cs="TimesNewRoman"/>
            <w:noProof/>
            <w:color w:val="000000"/>
            <w:szCs w:val="22"/>
          </w:rPr>
          <w:t xml:space="preserve"> 2015</w:t>
        </w:r>
        <w:r w:rsidR="00E6043D">
          <w:rPr>
            <w:rFonts w:cs="TimesNewRoman"/>
            <w:color w:val="000000"/>
            <w:szCs w:val="22"/>
          </w:rPr>
          <w:fldChar w:fldCharType="end"/>
        </w:r>
      </w:hyperlink>
      <w:r>
        <w:rPr>
          <w:rFonts w:cs="TimesNewRoman"/>
          <w:color w:val="000000"/>
          <w:szCs w:val="22"/>
        </w:rPr>
        <w:t xml:space="preserve">). However, </w:t>
      </w:r>
      <w:r w:rsidR="003A51B1">
        <w:rPr>
          <w:rFonts w:cs="TimesNewRoman"/>
          <w:color w:val="000000"/>
          <w:szCs w:val="22"/>
        </w:rPr>
        <w:t xml:space="preserve">whether a metric for genetic diversity can be developed for inclusion in the report card is unclear, </w:t>
      </w:r>
      <w:r w:rsidR="009625DF">
        <w:rPr>
          <w:rFonts w:cs="TimesNewRoman"/>
          <w:color w:val="000000"/>
          <w:szCs w:val="22"/>
        </w:rPr>
        <w:t xml:space="preserve">as </w:t>
      </w:r>
      <w:r w:rsidR="003A51B1">
        <w:rPr>
          <w:rFonts w:cs="TimesNewRoman"/>
          <w:color w:val="000000"/>
          <w:szCs w:val="22"/>
        </w:rPr>
        <w:t xml:space="preserve">it is early stages for such investigations. Other genetic techniques are being explored </w:t>
      </w:r>
      <w:r w:rsidR="009625DF">
        <w:rPr>
          <w:rFonts w:cs="TimesNewRoman"/>
          <w:color w:val="000000"/>
          <w:szCs w:val="22"/>
        </w:rPr>
        <w:t>through gene expression anal</w:t>
      </w:r>
      <w:r w:rsidR="009625DF" w:rsidRPr="009625DF">
        <w:rPr>
          <w:rFonts w:cs="TimesNewRoman"/>
          <w:color w:val="000000"/>
          <w:szCs w:val="22"/>
        </w:rPr>
        <w:t>ysis tools</w:t>
      </w:r>
      <w:r w:rsidR="009625DF">
        <w:rPr>
          <w:rFonts w:cs="TimesNewRoman"/>
          <w:color w:val="000000"/>
          <w:szCs w:val="22"/>
        </w:rPr>
        <w:t xml:space="preserve"> to identify </w:t>
      </w:r>
      <w:r w:rsidR="009625DF" w:rsidRPr="009625DF">
        <w:rPr>
          <w:rFonts w:cs="TimesNewRoman"/>
          <w:color w:val="000000"/>
          <w:szCs w:val="22"/>
        </w:rPr>
        <w:t>chronic seagrass stress</w:t>
      </w:r>
      <w:r w:rsidR="009625DF">
        <w:rPr>
          <w:rFonts w:cs="TimesNewRoman"/>
          <w:color w:val="000000"/>
          <w:szCs w:val="22"/>
        </w:rPr>
        <w:t xml:space="preserve">, particularly in response to </w:t>
      </w:r>
      <w:r w:rsidR="009625DF" w:rsidRPr="009625DF">
        <w:rPr>
          <w:rFonts w:cs="TimesNewRoman"/>
          <w:color w:val="000000"/>
          <w:szCs w:val="22"/>
        </w:rPr>
        <w:t>eutrophication and low light</w:t>
      </w:r>
      <w:r w:rsidR="009625DF">
        <w:rPr>
          <w:rFonts w:cs="TimesNewRoman"/>
          <w:color w:val="000000"/>
          <w:szCs w:val="22"/>
        </w:rPr>
        <w:t xml:space="preserve"> (</w:t>
      </w:r>
      <w:hyperlink w:anchor="_ENREF_154" w:tooltip="Macreadie, 2014 #10297" w:history="1">
        <w:r w:rsidR="00E6043D">
          <w:rPr>
            <w:rFonts w:cs="TimesNewRoman"/>
            <w:color w:val="000000"/>
            <w:szCs w:val="22"/>
          </w:rPr>
          <w:fldChar w:fldCharType="begin"/>
        </w:r>
        <w:r w:rsidR="00E6043D">
          <w:rPr>
            <w:rFonts w:cs="TimesNewRoman"/>
            <w:color w:val="000000"/>
            <w:szCs w:val="22"/>
          </w:rPr>
          <w:instrText xml:space="preserve"> ADDIN EN.CITE &lt;EndNote&gt;&lt;Cite&gt;&lt;Author&gt;Macreadie&lt;/Author&gt;&lt;Year&gt;2014&lt;/Year&gt;&lt;RecNum&gt;10297&lt;/RecNum&gt;&lt;DisplayText&gt;Macreadie&lt;style face="italic"&gt; et al.&lt;/style&gt; 2014&lt;/DisplayText&gt;&lt;record&gt;&lt;rec-number&gt;10297&lt;/rec-number&gt;&lt;foreign-keys&gt;&lt;key app="EN" db-id="0eve55x9y5vfd6e9dacxtew4eatve2dzds9a"&gt;10297&lt;/key&gt;&lt;/foreign-keys&gt;&lt;ref-type name="Journal Article"&gt;17&lt;/ref-type&gt;&lt;contributors&gt;&lt;authors&gt;&lt;author&gt;Macreadie, P. I.&lt;/author&gt;&lt;author&gt;Schliep, M. T.&lt;/author&gt;&lt;author&gt;Rasheed, M. A.&lt;/author&gt;&lt;author&gt;Chartrand, K. M.&lt;/author&gt;&lt;author&gt;Ralph, P. J.&lt;/author&gt;&lt;/authors&gt;&lt;/contributors&gt;&lt;titles&gt;&lt;title&gt;Molecular indicators of chronic seagrass stress: A new era in the management of seagrass ecosystems?&lt;/title&gt;&lt;secondary-title&gt;Ecological Indicators&lt;/secondary-title&gt;&lt;/titles&gt;&lt;periodical&gt;&lt;full-title&gt;Ecological Indicators&lt;/full-title&gt;&lt;/periodical&gt;&lt;pages&gt;279-281&lt;/pages&gt;&lt;volume&gt;38&lt;/volume&gt;&lt;dates&gt;&lt;year&gt;2014&lt;/year&gt;&lt;/dates&gt;&lt;isbn&gt;1470-160X&lt;/isbn&gt;&lt;urls&gt;&lt;related-urls&gt;&lt;url&gt;http://www.sciencedirect.com/science/article/pii/S1470160X13004779&lt;/url&gt;&lt;/related-urls&gt;&lt;/urls&gt;&lt;electronic-resource-num&gt;http://dx.doi.org/10.1016/j.ecolind.2013.11.017&lt;/electronic-resource-num&gt;&lt;/record&gt;&lt;/Cite&gt;&lt;/EndNote&gt;</w:instrText>
        </w:r>
        <w:r w:rsidR="00E6043D">
          <w:rPr>
            <w:rFonts w:cs="TimesNewRoman"/>
            <w:color w:val="000000"/>
            <w:szCs w:val="22"/>
          </w:rPr>
          <w:fldChar w:fldCharType="separate"/>
        </w:r>
        <w:r w:rsidR="00E6043D">
          <w:rPr>
            <w:rFonts w:cs="TimesNewRoman"/>
            <w:noProof/>
            <w:color w:val="000000"/>
            <w:szCs w:val="22"/>
          </w:rPr>
          <w:t>Macreadie</w:t>
        </w:r>
        <w:r w:rsidR="00E6043D" w:rsidRPr="009E5562">
          <w:rPr>
            <w:rFonts w:cs="TimesNewRoman"/>
            <w:i/>
            <w:noProof/>
            <w:color w:val="000000"/>
            <w:szCs w:val="22"/>
          </w:rPr>
          <w:t xml:space="preserve"> et al.</w:t>
        </w:r>
        <w:r w:rsidR="00E6043D">
          <w:rPr>
            <w:rFonts w:cs="TimesNewRoman"/>
            <w:noProof/>
            <w:color w:val="000000"/>
            <w:szCs w:val="22"/>
          </w:rPr>
          <w:t xml:space="preserve"> 2014</w:t>
        </w:r>
        <w:r w:rsidR="00E6043D">
          <w:rPr>
            <w:rFonts w:cs="TimesNewRoman"/>
            <w:color w:val="000000"/>
            <w:szCs w:val="22"/>
          </w:rPr>
          <w:fldChar w:fldCharType="end"/>
        </w:r>
      </w:hyperlink>
      <w:r w:rsidR="009625DF">
        <w:rPr>
          <w:rFonts w:cs="TimesNewRoman"/>
          <w:color w:val="000000"/>
          <w:szCs w:val="22"/>
        </w:rPr>
        <w:t xml:space="preserve">). </w:t>
      </w:r>
    </w:p>
    <w:p w:rsidR="00B302A5" w:rsidRDefault="00B302A5" w:rsidP="00B302A5">
      <w:pPr>
        <w:autoSpaceDE w:val="0"/>
        <w:autoSpaceDN w:val="0"/>
        <w:adjustRightInd w:val="0"/>
        <w:rPr>
          <w:rFonts w:cs="TimesNewRoman"/>
          <w:color w:val="000000"/>
          <w:szCs w:val="22"/>
        </w:rPr>
      </w:pPr>
      <w:r>
        <w:rPr>
          <w:rFonts w:cs="TimesNewRoman"/>
          <w:color w:val="000000"/>
          <w:szCs w:val="22"/>
        </w:rPr>
        <w:t xml:space="preserve">Revision of metrics and indicators as described above are relatively incremental and do not require any substantial change to the overall approach or cost of undertaking monitoring. The seagrass team at JCU is engaged in a number of research programs investigating other potential indicators of GBR seagrass status and resilience. Furthermore, engagement with the wider scientific community provides the opportunity to keep up to date with latest scientific findings. Research outputs in conjunction with accumulating monitoring data provide the impetus for ongoing review of monitoring protocols in-keeping with the adaptive management framework. However, considerable changes to monitoring and reporting protocols can only happen at the discretion of the </w:t>
      </w:r>
      <w:r w:rsidR="00911050" w:rsidRPr="00911050">
        <w:rPr>
          <w:rFonts w:cs="TimesNewRoman"/>
          <w:color w:val="000000"/>
          <w:szCs w:val="22"/>
        </w:rPr>
        <w:t>Intergovernmental Operational Committee</w:t>
      </w:r>
      <w:r w:rsidR="00911050">
        <w:rPr>
          <w:rFonts w:cs="TimesNewRoman"/>
          <w:color w:val="000000"/>
          <w:szCs w:val="22"/>
        </w:rPr>
        <w:t>,</w:t>
      </w:r>
      <w:r w:rsidR="00911050" w:rsidRPr="00911050">
        <w:rPr>
          <w:rFonts w:cs="TimesNewRoman"/>
          <w:color w:val="000000"/>
          <w:szCs w:val="22"/>
        </w:rPr>
        <w:t xml:space="preserve"> under advisement from the Independent </w:t>
      </w:r>
      <w:r w:rsidRPr="00911050">
        <w:rPr>
          <w:rFonts w:cs="TimesNewRoman"/>
          <w:color w:val="000000"/>
          <w:szCs w:val="22"/>
        </w:rPr>
        <w:t>Scientific panel</w:t>
      </w:r>
      <w:r w:rsidR="00911050" w:rsidRPr="00911050">
        <w:rPr>
          <w:rFonts w:cs="TimesNewRoman"/>
          <w:color w:val="000000"/>
          <w:szCs w:val="22"/>
        </w:rPr>
        <w:t>,</w:t>
      </w:r>
      <w:r w:rsidRPr="00911050">
        <w:rPr>
          <w:rFonts w:cs="TimesNewRoman"/>
          <w:color w:val="000000"/>
          <w:szCs w:val="22"/>
        </w:rPr>
        <w:t xml:space="preserve"> who </w:t>
      </w:r>
      <w:r w:rsidR="00911050" w:rsidRPr="00911050">
        <w:t xml:space="preserve">provide implementation direction </w:t>
      </w:r>
      <w:r w:rsidR="00911050" w:rsidRPr="00911050">
        <w:rPr>
          <w:rFonts w:cs="TimesNewRoman"/>
          <w:color w:val="000000"/>
          <w:szCs w:val="22"/>
        </w:rPr>
        <w:t>in Reef Plan</w:t>
      </w:r>
      <w:r w:rsidRPr="00911050">
        <w:rPr>
          <w:rFonts w:cs="TimesNewRoman"/>
          <w:color w:val="000000"/>
          <w:szCs w:val="22"/>
        </w:rPr>
        <w:t>.</w:t>
      </w:r>
    </w:p>
    <w:p w:rsidR="000C39C5" w:rsidRDefault="000C39C5" w:rsidP="00473371">
      <w:pPr>
        <w:autoSpaceDE w:val="0"/>
        <w:autoSpaceDN w:val="0"/>
        <w:adjustRightInd w:val="0"/>
        <w:rPr>
          <w:rFonts w:cs="TimesNewRoman"/>
          <w:color w:val="000000"/>
          <w:szCs w:val="22"/>
        </w:rPr>
      </w:pPr>
    </w:p>
    <w:p w:rsidR="00473371" w:rsidRPr="00F46A6C" w:rsidRDefault="00473371" w:rsidP="00473371">
      <w:pPr>
        <w:autoSpaceDE w:val="0"/>
        <w:autoSpaceDN w:val="0"/>
        <w:adjustRightInd w:val="0"/>
        <w:rPr>
          <w:rFonts w:asciiTheme="majorHAnsi" w:hAnsiTheme="majorHAnsi" w:cs="TimesNewRoman"/>
          <w:b/>
          <w:i/>
          <w:color w:val="365F91"/>
          <w:sz w:val="24"/>
        </w:rPr>
      </w:pPr>
      <w:r w:rsidRPr="00F46A6C">
        <w:rPr>
          <w:rFonts w:asciiTheme="majorHAnsi" w:hAnsiTheme="majorHAnsi" w:cs="TimesNewRoman"/>
          <w:b/>
          <w:i/>
          <w:color w:val="365F91"/>
          <w:sz w:val="24"/>
        </w:rPr>
        <w:t>Integration of other datasets.</w:t>
      </w:r>
    </w:p>
    <w:p w:rsidR="00B302A5" w:rsidRDefault="00B302A5" w:rsidP="00B302A5">
      <w:pPr>
        <w:autoSpaceDE w:val="0"/>
        <w:autoSpaceDN w:val="0"/>
        <w:adjustRightInd w:val="0"/>
        <w:rPr>
          <w:rFonts w:cs="TimesNewRoman"/>
          <w:color w:val="000000"/>
          <w:szCs w:val="22"/>
        </w:rPr>
      </w:pPr>
      <w:r>
        <w:rPr>
          <w:rFonts w:cs="TimesNewRoman"/>
          <w:color w:val="000000"/>
          <w:szCs w:val="22"/>
        </w:rPr>
        <w:t xml:space="preserve">2014-15 was the first year data from other seagrass monitoring in the GBR was integrated into the report card. Abundance data from 8 long-term Seagrass-Watch monitoring sites in the </w:t>
      </w:r>
      <w:r w:rsidR="00B1185C">
        <w:rPr>
          <w:rFonts w:cs="TimesNewRoman"/>
          <w:color w:val="000000"/>
          <w:szCs w:val="22"/>
        </w:rPr>
        <w:t xml:space="preserve">Cape York, </w:t>
      </w:r>
      <w:r>
        <w:rPr>
          <w:rFonts w:cs="TimesNewRoman"/>
          <w:color w:val="000000"/>
          <w:szCs w:val="22"/>
        </w:rPr>
        <w:t>Burdekin, Mackay Whitsunday and Burnett Mary regions were included. As the MMP and Seagrass-Watch programs use the same methodologies, data integration was seamless.</w:t>
      </w:r>
    </w:p>
    <w:p w:rsidR="00B302A5" w:rsidRDefault="00B302A5" w:rsidP="00B302A5">
      <w:pPr>
        <w:autoSpaceDE w:val="0"/>
        <w:autoSpaceDN w:val="0"/>
        <w:adjustRightInd w:val="0"/>
        <w:rPr>
          <w:szCs w:val="22"/>
        </w:rPr>
      </w:pPr>
      <w:r>
        <w:rPr>
          <w:szCs w:val="22"/>
        </w:rPr>
        <w:t>As the current MMP inshore seagrass monitoring locations are</w:t>
      </w:r>
      <w:r w:rsidRPr="00145B89">
        <w:rPr>
          <w:szCs w:val="22"/>
        </w:rPr>
        <w:t xml:space="preserve"> predominately lower littoral </w:t>
      </w:r>
      <w:r>
        <w:rPr>
          <w:szCs w:val="22"/>
        </w:rPr>
        <w:t xml:space="preserve">meadows </w:t>
      </w:r>
      <w:r w:rsidRPr="00145B89">
        <w:rPr>
          <w:szCs w:val="22"/>
        </w:rPr>
        <w:t xml:space="preserve">(only exposed to air at the lowest of low tides), </w:t>
      </w:r>
      <w:r>
        <w:rPr>
          <w:szCs w:val="22"/>
        </w:rPr>
        <w:t>and only</w:t>
      </w:r>
      <w:r w:rsidRPr="00145B89">
        <w:rPr>
          <w:szCs w:val="22"/>
        </w:rPr>
        <w:t xml:space="preserve"> four locations </w:t>
      </w:r>
      <w:r>
        <w:rPr>
          <w:szCs w:val="22"/>
        </w:rPr>
        <w:t xml:space="preserve">to date are </w:t>
      </w:r>
      <w:r w:rsidRPr="00145B89">
        <w:rPr>
          <w:szCs w:val="22"/>
        </w:rPr>
        <w:t>shallow subtidal meadows</w:t>
      </w:r>
      <w:r>
        <w:rPr>
          <w:szCs w:val="22"/>
        </w:rPr>
        <w:t xml:space="preserve">, in 2015-16 additional monitoring has been established with </w:t>
      </w:r>
      <w:r w:rsidRPr="00E52299">
        <w:rPr>
          <w:szCs w:val="22"/>
        </w:rPr>
        <w:t xml:space="preserve">Queensland Parks &amp; Wildlife Service </w:t>
      </w:r>
      <w:r>
        <w:rPr>
          <w:szCs w:val="22"/>
        </w:rPr>
        <w:t>(</w:t>
      </w:r>
      <w:r w:rsidRPr="00E52299">
        <w:rPr>
          <w:szCs w:val="22"/>
        </w:rPr>
        <w:t>Department of National Parks, Sport and Racing</w:t>
      </w:r>
      <w:r>
        <w:rPr>
          <w:szCs w:val="22"/>
        </w:rPr>
        <w:t>) at 7 subtidal locations using drop-cameras. These will include locations in Cape York (</w:t>
      </w:r>
      <w:r w:rsidRPr="00380266">
        <w:rPr>
          <w:szCs w:val="22"/>
        </w:rPr>
        <w:t>Margaret Bay</w:t>
      </w:r>
      <w:r>
        <w:rPr>
          <w:szCs w:val="22"/>
        </w:rPr>
        <w:t xml:space="preserve">, </w:t>
      </w:r>
      <w:r w:rsidRPr="00380266">
        <w:rPr>
          <w:szCs w:val="22"/>
        </w:rPr>
        <w:t>Lloyd Bay, Flinders Group</w:t>
      </w:r>
      <w:r>
        <w:rPr>
          <w:szCs w:val="22"/>
        </w:rPr>
        <w:t xml:space="preserve">, </w:t>
      </w:r>
      <w:r w:rsidRPr="00380266">
        <w:rPr>
          <w:szCs w:val="22"/>
        </w:rPr>
        <w:t>Bathurst Bay</w:t>
      </w:r>
      <w:r>
        <w:rPr>
          <w:szCs w:val="22"/>
        </w:rPr>
        <w:t>), Wet Tropics (</w:t>
      </w:r>
      <w:r w:rsidRPr="00380266">
        <w:rPr>
          <w:szCs w:val="22"/>
        </w:rPr>
        <w:t>Missionary Bay</w:t>
      </w:r>
      <w:r>
        <w:rPr>
          <w:szCs w:val="22"/>
        </w:rPr>
        <w:t>), and Mackay Whitsunday (</w:t>
      </w:r>
      <w:r w:rsidRPr="00380266">
        <w:rPr>
          <w:szCs w:val="22"/>
        </w:rPr>
        <w:t>Tongue Bay, Newry Bay</w:t>
      </w:r>
      <w:r>
        <w:rPr>
          <w:szCs w:val="22"/>
        </w:rPr>
        <w:t>). If successful, additional sites are planned for Fitzroy and the Burnett Mary regions.</w:t>
      </w:r>
    </w:p>
    <w:p w:rsidR="00B302A5" w:rsidRPr="00613679" w:rsidRDefault="00B302A5" w:rsidP="00B302A5">
      <w:pPr>
        <w:autoSpaceDE w:val="0"/>
        <w:autoSpaceDN w:val="0"/>
        <w:adjustRightInd w:val="0"/>
        <w:rPr>
          <w:rFonts w:cs="TimesNewRoman"/>
          <w:color w:val="000000"/>
          <w:szCs w:val="22"/>
        </w:rPr>
      </w:pPr>
      <w:r>
        <w:rPr>
          <w:szCs w:val="22"/>
        </w:rPr>
        <w:t>The only other seagrass monitoring program of significance in the Great Barrier Reef WHA is the QPSMP which monitors seagrass at a number of industrial ports from Cairns in the north to Gladstone in the south (</w:t>
      </w:r>
      <w:r w:rsidR="009E5562">
        <w:rPr>
          <w:szCs w:val="22"/>
        </w:rPr>
        <w:fldChar w:fldCharType="begin">
          <w:fldData xml:space="preserve">PEVuZE5vdGU+PENpdGU+PEF1dGhvcj5NY0tlbm5hPC9BdXRob3I+PFllYXI+MjAxNTwvWWVhcj48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==
</w:fldData>
        </w:fldChar>
      </w:r>
      <w:r w:rsidR="009E5562">
        <w:rPr>
          <w:szCs w:val="22"/>
        </w:rPr>
        <w:instrText xml:space="preserve"> ADDIN EN.CITE </w:instrText>
      </w:r>
      <w:r w:rsidR="009E5562">
        <w:rPr>
          <w:szCs w:val="22"/>
        </w:rPr>
        <w:fldChar w:fldCharType="begin">
          <w:fldData xml:space="preserve">PEVuZE5vdGU+PENpdGU+PEF1dGhvcj5NY0tlbm5hPC9BdXRob3I+PFllYXI+MjAxNTwvWWVhcj48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==
</w:fldData>
        </w:fldChar>
      </w:r>
      <w:r w:rsidR="009E5562">
        <w:rPr>
          <w:szCs w:val="22"/>
        </w:rPr>
        <w:instrText xml:space="preserve"> ADDIN EN.CITE.DATA </w:instrText>
      </w:r>
      <w:r w:rsidR="009E5562">
        <w:rPr>
          <w:szCs w:val="22"/>
        </w:rPr>
      </w:r>
      <w:r w:rsidR="009E5562">
        <w:rPr>
          <w:szCs w:val="22"/>
        </w:rPr>
        <w:fldChar w:fldCharType="end"/>
      </w:r>
      <w:r w:rsidR="009E5562">
        <w:rPr>
          <w:szCs w:val="22"/>
        </w:rPr>
      </w:r>
      <w:r w:rsidR="009E5562">
        <w:rPr>
          <w:szCs w:val="22"/>
        </w:rPr>
        <w:fldChar w:fldCharType="separate"/>
      </w:r>
      <w:hyperlink w:anchor="_ENREF_37" w:tooltip="Carter, 2015 #10486" w:history="1">
        <w:r w:rsidR="00E6043D">
          <w:rPr>
            <w:noProof/>
            <w:szCs w:val="22"/>
          </w:rPr>
          <w:t>Carter</w:t>
        </w:r>
        <w:r w:rsidR="00E6043D" w:rsidRPr="009E5562">
          <w:rPr>
            <w:i/>
            <w:noProof/>
            <w:szCs w:val="22"/>
          </w:rPr>
          <w:t>, et al.</w:t>
        </w:r>
        <w:r w:rsidR="00E6043D">
          <w:rPr>
            <w:noProof/>
            <w:szCs w:val="22"/>
          </w:rPr>
          <w:t xml:space="preserve"> 2015a</w:t>
        </w:r>
      </w:hyperlink>
      <w:r w:rsidR="009E5562">
        <w:rPr>
          <w:noProof/>
          <w:szCs w:val="22"/>
        </w:rPr>
        <w:t xml:space="preserve">; </w:t>
      </w:r>
      <w:hyperlink w:anchor="_ENREF_81" w:tooltip="Davies, 2015 #10489" w:history="1">
        <w:r w:rsidR="00E6043D">
          <w:rPr>
            <w:noProof/>
            <w:szCs w:val="22"/>
          </w:rPr>
          <w:t>Davies</w:t>
        </w:r>
        <w:r w:rsidR="00E6043D" w:rsidRPr="009E5562">
          <w:rPr>
            <w:i/>
            <w:noProof/>
            <w:szCs w:val="22"/>
          </w:rPr>
          <w:t>, et al.</w:t>
        </w:r>
        <w:r w:rsidR="00E6043D">
          <w:rPr>
            <w:noProof/>
            <w:szCs w:val="22"/>
          </w:rPr>
          <w:t xml:space="preserve"> 2015</w:t>
        </w:r>
      </w:hyperlink>
      <w:r w:rsidR="009E5562">
        <w:rPr>
          <w:noProof/>
          <w:szCs w:val="22"/>
        </w:rPr>
        <w:t xml:space="preserve">; </w:t>
      </w:r>
      <w:hyperlink w:anchor="_ENREF_130" w:tooltip="Jarvis, 2015 #10499" w:history="1">
        <w:r w:rsidR="00E6043D">
          <w:rPr>
            <w:noProof/>
            <w:szCs w:val="22"/>
          </w:rPr>
          <w:t>Jarvis</w:t>
        </w:r>
        <w:r w:rsidR="00E6043D" w:rsidRPr="009E5562">
          <w:rPr>
            <w:i/>
            <w:noProof/>
            <w:szCs w:val="22"/>
          </w:rPr>
          <w:t xml:space="preserve"> et al.</w:t>
        </w:r>
        <w:r w:rsidR="00E6043D">
          <w:rPr>
            <w:noProof/>
            <w:szCs w:val="22"/>
          </w:rPr>
          <w:t xml:space="preserve"> 2015</w:t>
        </w:r>
      </w:hyperlink>
      <w:r w:rsidR="009E5562">
        <w:rPr>
          <w:noProof/>
          <w:szCs w:val="22"/>
        </w:rPr>
        <w:t xml:space="preserve">; </w:t>
      </w:r>
      <w:hyperlink w:anchor="_ENREF_159" w:tooltip="McKenna, 2015 #10490" w:history="1">
        <w:r w:rsidR="00E6043D">
          <w:rPr>
            <w:noProof/>
            <w:szCs w:val="22"/>
          </w:rPr>
          <w:t xml:space="preserve">McKenna and </w:t>
        </w:r>
        <w:r w:rsidR="00E6043D">
          <w:rPr>
            <w:noProof/>
            <w:szCs w:val="22"/>
          </w:rPr>
          <w:lastRenderedPageBreak/>
          <w:t>Rasheed 2015</w:t>
        </w:r>
      </w:hyperlink>
      <w:r w:rsidR="009E5562">
        <w:rPr>
          <w:noProof/>
          <w:szCs w:val="22"/>
        </w:rPr>
        <w:t xml:space="preserve">; </w:t>
      </w:r>
      <w:hyperlink w:anchor="_ENREF_160" w:tooltip="McKenna, 2015 #10488" w:history="1">
        <w:r w:rsidR="00E6043D">
          <w:rPr>
            <w:noProof/>
            <w:szCs w:val="22"/>
          </w:rPr>
          <w:t>McKenna</w:t>
        </w:r>
        <w:r w:rsidR="00E6043D" w:rsidRPr="009E5562">
          <w:rPr>
            <w:i/>
            <w:noProof/>
            <w:szCs w:val="22"/>
          </w:rPr>
          <w:t>, et al.</w:t>
        </w:r>
        <w:r w:rsidR="00E6043D">
          <w:rPr>
            <w:noProof/>
            <w:szCs w:val="22"/>
          </w:rPr>
          <w:t xml:space="preserve"> 2015</w:t>
        </w:r>
      </w:hyperlink>
      <w:r w:rsidR="009E5562">
        <w:rPr>
          <w:noProof/>
          <w:szCs w:val="22"/>
        </w:rPr>
        <w:t xml:space="preserve">; </w:t>
      </w:r>
      <w:hyperlink w:anchor="_ENREF_246" w:tooltip="York, 2015 #10487" w:history="1">
        <w:r w:rsidR="00E6043D">
          <w:rPr>
            <w:noProof/>
            <w:szCs w:val="22"/>
          </w:rPr>
          <w:t>York</w:t>
        </w:r>
        <w:r w:rsidR="00E6043D" w:rsidRPr="009E5562">
          <w:rPr>
            <w:i/>
            <w:noProof/>
            <w:szCs w:val="22"/>
          </w:rPr>
          <w:t>, et al.</w:t>
        </w:r>
        <w:r w:rsidR="00E6043D">
          <w:rPr>
            <w:noProof/>
            <w:szCs w:val="22"/>
          </w:rPr>
          <w:t xml:space="preserve"> 2015</w:t>
        </w:r>
      </w:hyperlink>
      <w:r w:rsidR="009E5562">
        <w:rPr>
          <w:szCs w:val="22"/>
        </w:rPr>
        <w:fldChar w:fldCharType="end"/>
      </w:r>
      <w:r>
        <w:rPr>
          <w:szCs w:val="22"/>
        </w:rPr>
        <w:t xml:space="preserve">). The monitoring approach implemented through the QPSMP, however, differs from the MMP. The QPSMP uses a visual estimate of above ground biomass method to assess abundance and monitoring is focussed on representative meadows </w:t>
      </w:r>
      <w:r w:rsidR="00911050">
        <w:rPr>
          <w:szCs w:val="22"/>
        </w:rPr>
        <w:t>(</w:t>
      </w:r>
      <w:r w:rsidR="009E5562">
        <w:rPr>
          <w:szCs w:val="22"/>
        </w:rPr>
        <w:fldChar w:fldCharType="begin">
          <w:fldData xml:space="preserve">PEVuZE5vdGU+PENpdGU+PEF1dGhvcj5NY0tlbm5hPC9BdXRob3I+PFllYXI+MjAxNTwvWWVhcj48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</w:fldData>
        </w:fldChar>
      </w:r>
      <w:r w:rsidR="009E5562">
        <w:rPr>
          <w:szCs w:val="22"/>
        </w:rPr>
        <w:instrText xml:space="preserve"> ADDIN EN.CITE </w:instrText>
      </w:r>
      <w:r w:rsidR="009E5562">
        <w:rPr>
          <w:szCs w:val="22"/>
        </w:rPr>
        <w:fldChar w:fldCharType="begin">
          <w:fldData xml:space="preserve">PEVuZE5vdGU+PENpdGU+PEF1dGhvcj5NY0tlbm5hPC9BdXRob3I+PFllYXI+MjAxNTwvWWVhcj48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</w:fldData>
        </w:fldChar>
      </w:r>
      <w:r w:rsidR="009E5562">
        <w:rPr>
          <w:szCs w:val="22"/>
        </w:rPr>
        <w:instrText xml:space="preserve"> ADDIN EN.CITE.DATA </w:instrText>
      </w:r>
      <w:r w:rsidR="009E5562">
        <w:rPr>
          <w:szCs w:val="22"/>
        </w:rPr>
      </w:r>
      <w:r w:rsidR="009E5562">
        <w:rPr>
          <w:szCs w:val="22"/>
        </w:rPr>
        <w:fldChar w:fldCharType="end"/>
      </w:r>
      <w:r w:rsidR="009E5562">
        <w:rPr>
          <w:szCs w:val="22"/>
        </w:rPr>
      </w:r>
      <w:r w:rsidR="009E5562">
        <w:rPr>
          <w:szCs w:val="22"/>
        </w:rPr>
        <w:fldChar w:fldCharType="separate"/>
      </w:r>
      <w:hyperlink w:anchor="_ENREF_37" w:tooltip="Carter, 2015 #10486" w:history="1">
        <w:r w:rsidR="00E6043D">
          <w:rPr>
            <w:noProof/>
            <w:szCs w:val="22"/>
          </w:rPr>
          <w:t>Carter</w:t>
        </w:r>
        <w:r w:rsidR="00E6043D" w:rsidRPr="009E5562">
          <w:rPr>
            <w:i/>
            <w:noProof/>
            <w:szCs w:val="22"/>
          </w:rPr>
          <w:t>, et al.</w:t>
        </w:r>
        <w:r w:rsidR="00E6043D">
          <w:rPr>
            <w:noProof/>
            <w:szCs w:val="22"/>
          </w:rPr>
          <w:t xml:space="preserve"> 2015a</w:t>
        </w:r>
      </w:hyperlink>
      <w:r w:rsidR="009E5562">
        <w:rPr>
          <w:noProof/>
          <w:szCs w:val="22"/>
        </w:rPr>
        <w:t xml:space="preserve">; </w:t>
      </w:r>
      <w:hyperlink w:anchor="_ENREF_81" w:tooltip="Davies, 2015 #10489" w:history="1">
        <w:r w:rsidR="00E6043D">
          <w:rPr>
            <w:noProof/>
            <w:szCs w:val="22"/>
          </w:rPr>
          <w:t>Davies</w:t>
        </w:r>
        <w:r w:rsidR="00E6043D" w:rsidRPr="009E5562">
          <w:rPr>
            <w:i/>
            <w:noProof/>
            <w:szCs w:val="22"/>
          </w:rPr>
          <w:t>, et al.</w:t>
        </w:r>
        <w:r w:rsidR="00E6043D">
          <w:rPr>
            <w:noProof/>
            <w:szCs w:val="22"/>
          </w:rPr>
          <w:t xml:space="preserve"> 2015</w:t>
        </w:r>
      </w:hyperlink>
      <w:r w:rsidR="009E5562">
        <w:rPr>
          <w:noProof/>
          <w:szCs w:val="22"/>
        </w:rPr>
        <w:t xml:space="preserve">; </w:t>
      </w:r>
      <w:hyperlink w:anchor="_ENREF_130" w:tooltip="Jarvis, 2015 #10499" w:history="1">
        <w:r w:rsidR="00E6043D">
          <w:rPr>
            <w:noProof/>
            <w:szCs w:val="22"/>
          </w:rPr>
          <w:t>Jarvis</w:t>
        </w:r>
        <w:r w:rsidR="00E6043D" w:rsidRPr="009E5562">
          <w:rPr>
            <w:i/>
            <w:noProof/>
            <w:szCs w:val="22"/>
          </w:rPr>
          <w:t>, et al.</w:t>
        </w:r>
        <w:r w:rsidR="00E6043D">
          <w:rPr>
            <w:noProof/>
            <w:szCs w:val="22"/>
          </w:rPr>
          <w:t xml:space="preserve"> 2015</w:t>
        </w:r>
      </w:hyperlink>
      <w:r w:rsidR="009E5562">
        <w:rPr>
          <w:noProof/>
          <w:szCs w:val="22"/>
        </w:rPr>
        <w:t xml:space="preserve">; </w:t>
      </w:r>
      <w:hyperlink w:anchor="_ENREF_159" w:tooltip="McKenna, 2015 #10490" w:history="1">
        <w:r w:rsidR="00E6043D">
          <w:rPr>
            <w:noProof/>
            <w:szCs w:val="22"/>
          </w:rPr>
          <w:t>McKenna and Rasheed 2015</w:t>
        </w:r>
      </w:hyperlink>
      <w:r w:rsidR="009E5562">
        <w:rPr>
          <w:noProof/>
          <w:szCs w:val="22"/>
        </w:rPr>
        <w:t xml:space="preserve">; </w:t>
      </w:r>
      <w:hyperlink w:anchor="_ENREF_160" w:tooltip="McKenna, 2015 #10488" w:history="1">
        <w:r w:rsidR="00E6043D">
          <w:rPr>
            <w:noProof/>
            <w:szCs w:val="22"/>
          </w:rPr>
          <w:t>McKenna</w:t>
        </w:r>
        <w:r w:rsidR="00E6043D" w:rsidRPr="009E5562">
          <w:rPr>
            <w:i/>
            <w:noProof/>
            <w:szCs w:val="22"/>
          </w:rPr>
          <w:t>, et al.</w:t>
        </w:r>
        <w:r w:rsidR="00E6043D">
          <w:rPr>
            <w:noProof/>
            <w:szCs w:val="22"/>
          </w:rPr>
          <w:t xml:space="preserve"> 2015</w:t>
        </w:r>
      </w:hyperlink>
      <w:r w:rsidR="009E5562">
        <w:rPr>
          <w:noProof/>
          <w:szCs w:val="22"/>
        </w:rPr>
        <w:t xml:space="preserve">; </w:t>
      </w:r>
      <w:hyperlink w:anchor="_ENREF_246" w:tooltip="York, 2015 #10487" w:history="1">
        <w:r w:rsidR="00E6043D">
          <w:rPr>
            <w:noProof/>
            <w:szCs w:val="22"/>
          </w:rPr>
          <w:t>York</w:t>
        </w:r>
        <w:r w:rsidR="00E6043D" w:rsidRPr="009E5562">
          <w:rPr>
            <w:i/>
            <w:noProof/>
            <w:szCs w:val="22"/>
          </w:rPr>
          <w:t>, et al.</w:t>
        </w:r>
        <w:r w:rsidR="00E6043D">
          <w:rPr>
            <w:noProof/>
            <w:szCs w:val="22"/>
          </w:rPr>
          <w:t xml:space="preserve"> 2015</w:t>
        </w:r>
      </w:hyperlink>
      <w:r w:rsidR="009E5562">
        <w:rPr>
          <w:szCs w:val="22"/>
        </w:rPr>
        <w:fldChar w:fldCharType="end"/>
      </w:r>
      <w:r w:rsidR="00911050">
        <w:rPr>
          <w:szCs w:val="22"/>
        </w:rPr>
        <w:t>)</w:t>
      </w:r>
      <w:r>
        <w:rPr>
          <w:szCs w:val="22"/>
        </w:rPr>
        <w:t xml:space="preserve">. The program has also developed its own report card based on </w:t>
      </w:r>
      <w:r w:rsidR="00506EE6">
        <w:rPr>
          <w:szCs w:val="22"/>
        </w:rPr>
        <w:t>subjective conditions of three indicators (</w:t>
      </w:r>
      <w:r>
        <w:rPr>
          <w:szCs w:val="22"/>
        </w:rPr>
        <w:t>abundance, meadow area and species composition</w:t>
      </w:r>
      <w:r w:rsidR="00506EE6">
        <w:rPr>
          <w:szCs w:val="22"/>
        </w:rPr>
        <w:t>)</w:t>
      </w:r>
      <w:r>
        <w:rPr>
          <w:szCs w:val="22"/>
        </w:rPr>
        <w:t xml:space="preserve"> (</w:t>
      </w:r>
      <w:r w:rsidR="009E5562">
        <w:rPr>
          <w:szCs w:val="22"/>
        </w:rPr>
        <w:fldChar w:fldCharType="begin"/>
      </w:r>
      <w:r w:rsidR="009E5562">
        <w:rPr>
          <w:szCs w:val="22"/>
        </w:rPr>
        <w:instrText xml:space="preserve"> ADDIN EN.CITE &lt;EndNote&gt;&lt;Cite&gt;&lt;Author&gt;Bryant&lt;/Author&gt;&lt;Year&gt;2014&lt;/Year&gt;&lt;RecNum&gt;10500&lt;/RecNum&gt;&lt;DisplayText&gt;Bryant&lt;style face="italic"&gt; et al.&lt;/style&gt; 2014b; Carter&lt;style face="italic"&gt; et al.&lt;/style&gt; 2015b&lt;/DisplayText&gt;&lt;record&gt;&lt;rec-number&gt;10500&lt;/rec-number&gt;&lt;foreign-keys&gt;&lt;key app="EN" db-id="0eve55x9y5vfd6e9dacxtew4eatve2dzds9a"&gt;10500&lt;/key&gt;&lt;/foreign-keys&gt;&lt;ref-type name="Book"&gt;6&lt;/ref-type&gt;&lt;contributors&gt;&lt;authors&gt;&lt;author&gt;Bryant, CV&lt;/author&gt;&lt;author&gt;Jarvis, JC&lt;/author&gt;&lt;author&gt;York, PH&lt;/author&gt;&lt;author&gt;Rasheed, MA&lt;/author&gt;&lt;/authors&gt;&lt;/contributors&gt;&lt;titles&gt;&lt;title&gt;Gladstone Healthy Harbour Partnership Pilot Report Card: ISP011 Seagrass Final Report – October 2014, TropWATER Report No. 14/53&lt;/title&gt;&lt;/titles&gt;&lt;pages&gt;78&lt;/pages&gt;&lt;dates&gt;&lt;year&gt;2014&lt;/year&gt;&lt;/dates&gt;&lt;pub-location&gt;Cairns&lt;/pub-location&gt;&lt;publisher&gt;Centre for Tropical Water &amp;amp; Aquatic Ecosystem Research, James Cook University&lt;/publisher&gt;&lt;urls&gt;&lt;/urls&gt;&lt;/record&gt;&lt;/Cite&gt;&lt;Cite&gt;&lt;Author&gt;Carter&lt;/Author&gt;&lt;Year&gt;2015&lt;/Year&gt;&lt;RecNum&gt;10501&lt;/RecNum&gt;&lt;record&gt;&lt;rec-number&gt;10501&lt;/rec-number&gt;&lt;foreign-keys&gt;&lt;key app="EN" db-id="0eve55x9y5vfd6e9dacxtew4eatve2dzds9a"&gt;10501&lt;/key&gt;&lt;/foreign-keys&gt;&lt;ref-type name="Book"&gt;6&lt;/ref-type&gt;&lt;contributors&gt;&lt;authors&gt;&lt;author&gt;Carter, AB&lt;/author&gt;&lt;author&gt;Jarvis, JC&lt;/author&gt;&lt;author&gt;Bryant, CV&lt;/author&gt;&lt;author&gt;Rasheed, MA&lt;/author&gt;&lt;/authors&gt;&lt;/contributors&gt;&lt;titles&gt;&lt;title&gt;Development of seagrass indicators for the Gladstone Healthy Harbour Partnership Report Card, ISP011: Seagrass. TropWATER Report No 15/29&lt;/title&gt;&lt;/titles&gt;&lt;pages&gt;71&lt;/pages&gt;&lt;dates&gt;&lt;year&gt;2015&lt;/year&gt;&lt;/dates&gt;&lt;pub-location&gt;Cairns&lt;/pub-location&gt;&lt;publisher&gt;Centre for Tropical Water &amp;amp; Aquatic Ecosystem Research, James Cook University&lt;/publisher&gt;&lt;urls&gt;&lt;/urls&gt;&lt;/record&gt;&lt;/Cite&gt;&lt;/EndNote&gt;</w:instrText>
      </w:r>
      <w:r w:rsidR="009E5562">
        <w:rPr>
          <w:szCs w:val="22"/>
        </w:rPr>
        <w:fldChar w:fldCharType="separate"/>
      </w:r>
      <w:hyperlink w:anchor="_ENREF_24" w:tooltip="Bryant, 2014 #10500" w:history="1">
        <w:r w:rsidR="00E6043D">
          <w:rPr>
            <w:noProof/>
            <w:szCs w:val="22"/>
          </w:rPr>
          <w:t>Bryant</w:t>
        </w:r>
        <w:r w:rsidR="00E6043D" w:rsidRPr="009E5562">
          <w:rPr>
            <w:i/>
            <w:noProof/>
            <w:szCs w:val="22"/>
          </w:rPr>
          <w:t xml:space="preserve"> et al.</w:t>
        </w:r>
        <w:r w:rsidR="00E6043D">
          <w:rPr>
            <w:noProof/>
            <w:szCs w:val="22"/>
          </w:rPr>
          <w:t xml:space="preserve"> 2014b</w:t>
        </w:r>
      </w:hyperlink>
      <w:r w:rsidR="009E5562">
        <w:rPr>
          <w:noProof/>
          <w:szCs w:val="22"/>
        </w:rPr>
        <w:t xml:space="preserve">; </w:t>
      </w:r>
      <w:hyperlink w:anchor="_ENREF_38" w:tooltip="Carter, 2015 #10501" w:history="1">
        <w:r w:rsidR="00E6043D">
          <w:rPr>
            <w:noProof/>
            <w:szCs w:val="22"/>
          </w:rPr>
          <w:t>Carter</w:t>
        </w:r>
        <w:r w:rsidR="00E6043D" w:rsidRPr="009E5562">
          <w:rPr>
            <w:i/>
            <w:noProof/>
            <w:szCs w:val="22"/>
          </w:rPr>
          <w:t xml:space="preserve"> et al.</w:t>
        </w:r>
        <w:r w:rsidR="00E6043D">
          <w:rPr>
            <w:noProof/>
            <w:szCs w:val="22"/>
          </w:rPr>
          <w:t xml:space="preserve"> 2015b</w:t>
        </w:r>
      </w:hyperlink>
      <w:r w:rsidR="009E5562">
        <w:rPr>
          <w:szCs w:val="22"/>
        </w:rPr>
        <w:fldChar w:fldCharType="end"/>
      </w:r>
      <w:r>
        <w:rPr>
          <w:szCs w:val="22"/>
        </w:rPr>
        <w:t xml:space="preserve">). Prior to any integration of abundance and species data with the MMP, the QPSMP data will require examination regarding: standardisation (e.g. calibration of % cover and transformed visual estimates of biomass); </w:t>
      </w:r>
      <w:r>
        <w:rPr>
          <w:rFonts w:cs="TimesNewRoman"/>
          <w:color w:val="000000"/>
          <w:szCs w:val="22"/>
        </w:rPr>
        <w:t xml:space="preserve">robustness of the methods (particularly in relation to any modifications), and; data confidence in relation to </w:t>
      </w:r>
      <w:r>
        <w:rPr>
          <w:szCs w:val="22"/>
        </w:rPr>
        <w:t xml:space="preserve">levels of </w:t>
      </w:r>
      <w:r w:rsidRPr="00613679">
        <w:rPr>
          <w:rFonts w:cs="TimesNewRoman"/>
          <w:color w:val="000000"/>
          <w:szCs w:val="22"/>
        </w:rPr>
        <w:t>uncertainty</w:t>
      </w:r>
      <w:r>
        <w:rPr>
          <w:rFonts w:cs="TimesNewRoman"/>
          <w:color w:val="000000"/>
          <w:szCs w:val="22"/>
        </w:rPr>
        <w:t xml:space="preserve"> and sensitivity. </w:t>
      </w:r>
      <w:r w:rsidR="00AF4159">
        <w:rPr>
          <w:rFonts w:cs="TimesNewRoman"/>
          <w:color w:val="000000"/>
          <w:szCs w:val="22"/>
        </w:rPr>
        <w:t xml:space="preserve">Integration of the QPSMP data will fill critical information gaps on the status of seagrass within estuarine and coastal locations currently not covered by the MMP in the enclosed and open coastal water bodies in the Wet Tropics, Burdekin, and Mackay Whitsunday NRM regions. </w:t>
      </w:r>
    </w:p>
    <w:p w:rsidR="00B302A5" w:rsidRDefault="00B302A5" w:rsidP="00B302A5">
      <w:pPr>
        <w:autoSpaceDE w:val="0"/>
        <w:autoSpaceDN w:val="0"/>
        <w:adjustRightInd w:val="0"/>
        <w:rPr>
          <w:rFonts w:cs="TimesNewRoman"/>
          <w:color w:val="000000"/>
          <w:szCs w:val="22"/>
        </w:rPr>
      </w:pPr>
      <w:r>
        <w:rPr>
          <w:rFonts w:cs="TimesNewRoman"/>
          <w:color w:val="000000"/>
          <w:szCs w:val="22"/>
        </w:rPr>
        <w:t>Integration of other datasets may also improve the MMP report card by expanding reporting to all GBR water bodies.</w:t>
      </w:r>
      <w:r w:rsidRPr="00E52299">
        <w:rPr>
          <w:szCs w:val="22"/>
        </w:rPr>
        <w:t xml:space="preserve"> </w:t>
      </w:r>
      <w:r>
        <w:rPr>
          <w:szCs w:val="22"/>
        </w:rPr>
        <w:t xml:space="preserve">Current seagrass monitoring in the GBR is predominately within the enclosed coastal and open coastal water bodies. The only monitoring locations which fall within the </w:t>
      </w:r>
      <w:proofErr w:type="spellStart"/>
      <w:r>
        <w:rPr>
          <w:szCs w:val="22"/>
        </w:rPr>
        <w:t>midshelf</w:t>
      </w:r>
      <w:proofErr w:type="spellEnd"/>
      <w:r>
        <w:rPr>
          <w:szCs w:val="22"/>
        </w:rPr>
        <w:t xml:space="preserve"> water body are in the Wet Tropics NRM region (Low Isles and Green Island). It is estimated that 63% of the seagrass mapped in the GBRWHA occurs in the </w:t>
      </w:r>
      <w:proofErr w:type="spellStart"/>
      <w:r>
        <w:rPr>
          <w:szCs w:val="22"/>
        </w:rPr>
        <w:t>midshelf</w:t>
      </w:r>
      <w:proofErr w:type="spellEnd"/>
      <w:r>
        <w:rPr>
          <w:szCs w:val="22"/>
        </w:rPr>
        <w:t xml:space="preserve"> water body and 24% in the offshore (from </w:t>
      </w:r>
      <w:hyperlink w:anchor="_ENREF_180" w:tooltip="McKenzie, 2010 #9646" w:history="1">
        <w:r w:rsidR="00E6043D">
          <w:rPr>
            <w:szCs w:val="22"/>
          </w:rPr>
          <w:fldChar w:fldCharType="begin"/>
        </w:r>
        <w:r w:rsidR="00E6043D">
          <w:rPr>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Pr>
            <w:szCs w:val="22"/>
          </w:rPr>
          <w:fldChar w:fldCharType="separate"/>
        </w:r>
        <w:r w:rsidR="00E6043D">
          <w:rPr>
            <w:noProof/>
            <w:szCs w:val="22"/>
          </w:rPr>
          <w:t>McKenzie</w:t>
        </w:r>
        <w:r w:rsidR="00E6043D" w:rsidRPr="009E5562">
          <w:rPr>
            <w:i/>
            <w:noProof/>
            <w:szCs w:val="22"/>
          </w:rPr>
          <w:t>, et al.</w:t>
        </w:r>
        <w:r w:rsidR="00E6043D">
          <w:rPr>
            <w:noProof/>
            <w:szCs w:val="22"/>
          </w:rPr>
          <w:t xml:space="preserve"> 2010c</w:t>
        </w:r>
        <w:r w:rsidR="00E6043D">
          <w:rPr>
            <w:szCs w:val="22"/>
          </w:rPr>
          <w:fldChar w:fldCharType="end"/>
        </w:r>
      </w:hyperlink>
      <w:r>
        <w:rPr>
          <w:szCs w:val="22"/>
        </w:rPr>
        <w:t xml:space="preserve">). Currently no existing programs monitor seagrass in the </w:t>
      </w:r>
      <w:proofErr w:type="spellStart"/>
      <w:r>
        <w:rPr>
          <w:szCs w:val="22"/>
        </w:rPr>
        <w:t>midshelf</w:t>
      </w:r>
      <w:proofErr w:type="spellEnd"/>
      <w:r>
        <w:rPr>
          <w:szCs w:val="22"/>
        </w:rPr>
        <w:t xml:space="preserve"> or offshore water bodies of Cape York, Burdekin, Fitzroy or Burnett Mary regions (NB: no seagrass has been mapped in the </w:t>
      </w:r>
      <w:proofErr w:type="spellStart"/>
      <w:r>
        <w:rPr>
          <w:szCs w:val="22"/>
        </w:rPr>
        <w:t>midself</w:t>
      </w:r>
      <w:proofErr w:type="spellEnd"/>
      <w:r>
        <w:rPr>
          <w:szCs w:val="22"/>
        </w:rPr>
        <w:t xml:space="preserve"> or offshore waters of Mackay Whitsunday). Integration with other programs such as “Eye on the Reef” (GBRMPA) may provide </w:t>
      </w:r>
      <w:r w:rsidR="00AF4159">
        <w:rPr>
          <w:szCs w:val="22"/>
        </w:rPr>
        <w:t>opportunities to collect critical data</w:t>
      </w:r>
      <w:r>
        <w:rPr>
          <w:szCs w:val="22"/>
        </w:rPr>
        <w:t>, particularly if subtidal drop-camera or similar approaches can be adopted.</w:t>
      </w:r>
    </w:p>
    <w:p w:rsidR="00E52299" w:rsidRDefault="00E52299" w:rsidP="00E52299">
      <w:pPr>
        <w:autoSpaceDE w:val="0"/>
        <w:autoSpaceDN w:val="0"/>
        <w:adjustRightInd w:val="0"/>
        <w:rPr>
          <w:rFonts w:cs="TimesNewRoman"/>
          <w:color w:val="000000"/>
          <w:szCs w:val="22"/>
        </w:rPr>
      </w:pPr>
    </w:p>
    <w:p w:rsidR="0094657E" w:rsidRPr="00F46A6C" w:rsidRDefault="00F46A6C" w:rsidP="0094657E">
      <w:pPr>
        <w:autoSpaceDE w:val="0"/>
        <w:autoSpaceDN w:val="0"/>
        <w:adjustRightInd w:val="0"/>
        <w:rPr>
          <w:rFonts w:asciiTheme="majorHAnsi" w:hAnsiTheme="majorHAnsi" w:cs="TimesNewRoman"/>
          <w:b/>
          <w:i/>
          <w:color w:val="365F91"/>
          <w:sz w:val="24"/>
        </w:rPr>
      </w:pPr>
      <w:r w:rsidRPr="00F46A6C">
        <w:rPr>
          <w:rFonts w:asciiTheme="majorHAnsi" w:hAnsiTheme="majorHAnsi" w:cs="TimesNewRoman"/>
          <w:b/>
          <w:i/>
          <w:color w:val="365F91"/>
          <w:sz w:val="24"/>
        </w:rPr>
        <w:t>Outlook</w:t>
      </w:r>
    </w:p>
    <w:p w:rsidR="00B302A5" w:rsidRPr="007E2477" w:rsidRDefault="00B302A5" w:rsidP="00B302A5">
      <w:pPr>
        <w:rPr>
          <w:szCs w:val="22"/>
        </w:rPr>
      </w:pPr>
      <w:bookmarkStart w:id="597" w:name="_Ref271623063"/>
      <w:bookmarkEnd w:id="586"/>
      <w:bookmarkEnd w:id="587"/>
      <w:bookmarkEnd w:id="588"/>
      <w:bookmarkEnd w:id="589"/>
      <w:r w:rsidRPr="007E2477">
        <w:rPr>
          <w:szCs w:val="22"/>
        </w:rPr>
        <w:t>Recovery of seagrass populations from the declines experienced in 2011 may take many years and there are a number of factors that will facilitate recovery, including seed banks, connectivity and improvement in environmental conditions such as light available for photosynthesis. It was estimated that recovery of meadows may be slow (&gt;5 years) in the southern Wet Tropics, moderate (2-5 years) in the Burdekin and fair (1-3 years) in the Fitzroy regions (</w:t>
      </w:r>
      <w:hyperlink w:anchor="_ENREF_167" w:tooltip="McKenzie, 2013 #9650" w:history="1">
        <w:r w:rsidR="00E6043D" w:rsidRPr="007E2477">
          <w:rPr>
            <w:szCs w:val="22"/>
          </w:rPr>
          <w:fldChar w:fldCharType="begin"/>
        </w:r>
        <w:r w:rsidR="00E6043D" w:rsidRPr="007E2477">
          <w:rPr>
            <w:szCs w:val="22"/>
          </w:rPr>
          <w:instrText xml:space="preserve"> ADDIN EN.CITE &lt;EndNote&gt;&lt;Cite&gt;&lt;Author&gt;McKenzie&lt;/Author&gt;&lt;Year&gt;2013&lt;/Year&gt;&lt;RecNum&gt;9650&lt;/RecNum&gt;&lt;DisplayText&gt;McKenzie&lt;style face="italic"&gt;, et al.&lt;/style&gt; 2013&lt;/DisplayText&gt;&lt;record&gt;&lt;rec-number&gt;9650&lt;/rec-number&gt;&lt;foreign-keys&gt;&lt;key app="EN" db-id="0eve55x9y5vfd6e9dacxtew4eatve2dzds9a"&gt;9650&lt;/key&gt;&lt;/foreign-keys&gt;&lt;ref-type name="Book"&gt;6&lt;/ref-type&gt;&lt;contributors&gt;&lt;authors&gt;&lt;author&gt;McKenzie, Len J&lt;/author&gt;&lt;author&gt;Collier, C&lt;/author&gt;&lt;author&gt;Waycott, M&lt;/author&gt;&lt;/authors&gt;&lt;/contributors&gt;&lt;titles&gt;&lt;title&gt;Reef Rescue Marine Monitoring Program - Inshore Seagrass, Annual Report for the sampling period 1st July 2011 – 31st May 2012&lt;/title&gt;&lt;/titles&gt;&lt;pages&gt;192&lt;/pages&gt;&lt;dates&gt;&lt;year&gt;2013&lt;/year&gt;&lt;/dates&gt;&lt;pub-location&gt;Cairns&lt;/pub-location&gt;&lt;publisher&gt;TropWATER, James Cook University&lt;/publisher&gt;&lt;urls&gt;&lt;/urls&gt;&lt;/record&gt;&lt;/Cite&gt;&lt;/EndNote&gt;</w:instrText>
        </w:r>
        <w:r w:rsidR="00E6043D" w:rsidRPr="007E2477">
          <w:rPr>
            <w:szCs w:val="22"/>
          </w:rPr>
          <w:fldChar w:fldCharType="separate"/>
        </w:r>
        <w:r w:rsidR="00E6043D" w:rsidRPr="007E2477">
          <w:rPr>
            <w:noProof/>
            <w:szCs w:val="22"/>
          </w:rPr>
          <w:t>McKenzie</w:t>
        </w:r>
        <w:r w:rsidR="00E6043D" w:rsidRPr="007E2477">
          <w:rPr>
            <w:i/>
            <w:noProof/>
            <w:szCs w:val="22"/>
          </w:rPr>
          <w:t>, et al.</w:t>
        </w:r>
        <w:r w:rsidR="00E6043D" w:rsidRPr="007E2477">
          <w:rPr>
            <w:noProof/>
            <w:szCs w:val="22"/>
          </w:rPr>
          <w:t xml:space="preserve"> 2013</w:t>
        </w:r>
        <w:r w:rsidR="00E6043D" w:rsidRPr="007E2477">
          <w:rPr>
            <w:szCs w:val="22"/>
          </w:rPr>
          <w:fldChar w:fldCharType="end"/>
        </w:r>
      </w:hyperlink>
      <w:r w:rsidRPr="007E2477">
        <w:rPr>
          <w:szCs w:val="22"/>
        </w:rPr>
        <w:t xml:space="preserve">). Current rates of recovery, as well as examples taken from previous localised impacts (Birch and Birch, 1984; Campbell and McKenzie 2004b) indicate that a return to a moderate or good condition could take slightly longer than initially predicted at some locations and could occur within 2 more years (i.e. &gt; 5years from impact), providing conditions remain favourable. </w:t>
      </w:r>
    </w:p>
    <w:p w:rsidR="00B302A5" w:rsidRPr="00442CC4" w:rsidRDefault="00B302A5" w:rsidP="00B302A5">
      <w:pPr>
        <w:autoSpaceDE w:val="0"/>
        <w:autoSpaceDN w:val="0"/>
        <w:adjustRightInd w:val="0"/>
        <w:rPr>
          <w:szCs w:val="22"/>
        </w:rPr>
      </w:pPr>
      <w:r w:rsidRPr="00442CC4">
        <w:rPr>
          <w:szCs w:val="22"/>
        </w:rPr>
        <w:t xml:space="preserve">The capacity of seagrass meadows to naturally recover community structure following disturbance will involve the </w:t>
      </w:r>
      <w:r>
        <w:rPr>
          <w:szCs w:val="22"/>
        </w:rPr>
        <w:t>maintenance of favourable environmental conditions including</w:t>
      </w:r>
      <w:r w:rsidRPr="00442CC4">
        <w:rPr>
          <w:szCs w:val="22"/>
        </w:rPr>
        <w:t xml:space="preserve"> light availability, nutrient loads and </w:t>
      </w:r>
      <w:r>
        <w:rPr>
          <w:szCs w:val="22"/>
        </w:rPr>
        <w:t>the absence of major physical disturbances. For example,</w:t>
      </w:r>
      <w:r w:rsidRPr="00442CC4">
        <w:rPr>
          <w:szCs w:val="22"/>
        </w:rPr>
        <w:t xml:space="preserve"> the </w:t>
      </w:r>
      <w:r>
        <w:rPr>
          <w:szCs w:val="22"/>
        </w:rPr>
        <w:t>low and variable</w:t>
      </w:r>
      <w:r w:rsidRPr="00442CC4">
        <w:rPr>
          <w:szCs w:val="22"/>
        </w:rPr>
        <w:t xml:space="preserve"> light availability across the GBR habitats </w:t>
      </w:r>
      <w:r>
        <w:rPr>
          <w:szCs w:val="22"/>
        </w:rPr>
        <w:t>in 2014-15 may</w:t>
      </w:r>
      <w:r w:rsidRPr="00442CC4">
        <w:rPr>
          <w:szCs w:val="22"/>
        </w:rPr>
        <w:t xml:space="preserve"> have slowed recovery, which in turn may reduce capacity to produce a viable seed banks in some locations (</w:t>
      </w:r>
      <w:hyperlink w:anchor="_ENREF_233" w:tooltip="van Katwijk, 2010 #9240" w:history="1">
        <w:r w:rsidR="00E6043D" w:rsidRPr="00442CC4">
          <w:rPr>
            <w:szCs w:val="22"/>
          </w:rPr>
          <w:fldChar w:fldCharType="begin"/>
        </w:r>
        <w:r w:rsidR="00E6043D" w:rsidRPr="00442CC4">
          <w:rPr>
            <w:szCs w:val="22"/>
          </w:rPr>
          <w:instrText xml:space="preserve"> ADDIN EN.CITE &lt;EndNote&gt;&lt;Cite&gt;&lt;Author&gt;van Katwijk&lt;/Author&gt;&lt;Year&gt;2010&lt;/Year&gt;&lt;RecNum&gt;9240&lt;/RecNum&gt;&lt;DisplayText&gt;van Katwijk&lt;style face="italic"&gt; et al.&lt;/style&gt; 2010&lt;/DisplayText&gt;&lt;record&gt;&lt;rec-number&gt;9240&lt;/rec-number&gt;&lt;foreign-keys&gt;&lt;key app="EN" db-id="0eve55x9y5vfd6e9dacxtew4eatve2dzds9a"&gt;9240&lt;/key&gt;&lt;/foreign-keys&gt;&lt;ref-type name="Journal Article"&gt;17&lt;/ref-type&gt;&lt;contributors&gt;&lt;authors&gt;&lt;author&gt;van Katwijk, M. M.&lt;/author&gt;&lt;author&gt;Bos, A. R.&lt;/author&gt;&lt;author&gt;Hermus, D. C. R.&lt;/author&gt;&lt;author&gt;Suykerbuyk, W.&lt;/author&gt;&lt;/authors&gt;&lt;/contributors&gt;&lt;titles&gt;&lt;title&gt;Sediment modification by seagrass beds: Muddification and sandification induced by plant cover and environmental conditions&lt;/title&gt;&lt;secondary-title&gt;Estuarine Coastal And Shelf Science&lt;/secondary-title&gt;&lt;/titles&gt;&lt;periodical&gt;&lt;full-title&gt;Estuarine Coastal And Shelf Science&lt;/full-title&gt;&lt;/periodical&gt;&lt;pages&gt;175-181&lt;/pages&gt;&lt;volume&gt;89&lt;/volume&gt;&lt;number&gt;2&lt;/number&gt;&lt;dates&gt;&lt;year&gt;2010&lt;/year&gt;&lt;pub-dates&gt;&lt;date&gt;Sep&lt;/date&gt;&lt;/pub-dates&gt;&lt;/dates&gt;&lt;isbn&gt;0272-7714&lt;/isbn&gt;&lt;accession-num&gt;WOS:000281501000006&lt;/accession-num&gt;&lt;urls&gt;&lt;related-urls&gt;&lt;url&gt;&amp;lt;Go to ISI&amp;gt;://WOS:000281501000006&lt;/url&gt;&lt;/related-urls&gt;&lt;/urls&gt;&lt;electronic-resource-num&gt;10.1016/j.ecss.2010.06.008&lt;/electronic-resource-num&gt;&lt;/record&gt;&lt;/Cite&gt;&lt;/EndNote&gt;</w:instrText>
        </w:r>
        <w:r w:rsidR="00E6043D" w:rsidRPr="00442CC4">
          <w:rPr>
            <w:szCs w:val="22"/>
          </w:rPr>
          <w:fldChar w:fldCharType="separate"/>
        </w:r>
        <w:r w:rsidR="00E6043D" w:rsidRPr="00442CC4">
          <w:rPr>
            <w:noProof/>
            <w:szCs w:val="22"/>
          </w:rPr>
          <w:t>van Katwijk</w:t>
        </w:r>
        <w:r w:rsidR="00E6043D" w:rsidRPr="00442CC4">
          <w:rPr>
            <w:i/>
            <w:noProof/>
            <w:szCs w:val="22"/>
          </w:rPr>
          <w:t xml:space="preserve"> et al.</w:t>
        </w:r>
        <w:r w:rsidR="00E6043D" w:rsidRPr="00442CC4">
          <w:rPr>
            <w:noProof/>
            <w:szCs w:val="22"/>
          </w:rPr>
          <w:t xml:space="preserve"> 2010</w:t>
        </w:r>
        <w:r w:rsidR="00E6043D" w:rsidRPr="00442CC4">
          <w:rPr>
            <w:szCs w:val="22"/>
          </w:rPr>
          <w:fldChar w:fldCharType="end"/>
        </w:r>
      </w:hyperlink>
      <w:r w:rsidRPr="00442CC4">
        <w:rPr>
          <w:szCs w:val="22"/>
        </w:rPr>
        <w:t xml:space="preserve">). </w:t>
      </w:r>
      <w:r>
        <w:rPr>
          <w:szCs w:val="22"/>
        </w:rPr>
        <w:t>Absence of a seed bank at some sites and poor reproductive effort across the GBR, has left</w:t>
      </w:r>
      <w:r w:rsidRPr="00442CC4">
        <w:rPr>
          <w:szCs w:val="22"/>
        </w:rPr>
        <w:t xml:space="preserve"> </w:t>
      </w:r>
      <w:r>
        <w:rPr>
          <w:szCs w:val="22"/>
        </w:rPr>
        <w:t xml:space="preserve">most of the MMP </w:t>
      </w:r>
      <w:r w:rsidRPr="00442CC4">
        <w:rPr>
          <w:szCs w:val="22"/>
        </w:rPr>
        <w:t>meadows vulnerable to further environmental perturbations.</w:t>
      </w:r>
    </w:p>
    <w:bookmarkEnd w:id="597"/>
    <w:p w:rsidR="00BC6384" w:rsidRPr="001606E0" w:rsidRDefault="00BC6384" w:rsidP="003E1D94">
      <w:pPr>
        <w:rPr>
          <w:szCs w:val="22"/>
          <w:lang w:val="en-US"/>
        </w:rPr>
      </w:pPr>
    </w:p>
    <w:p w:rsidR="00394578" w:rsidRDefault="00394578">
      <w:pPr>
        <w:spacing w:before="0" w:after="0"/>
        <w:rPr>
          <w:szCs w:val="22"/>
          <w:lang w:val="en-US"/>
        </w:rPr>
      </w:pPr>
      <w:r>
        <w:rPr>
          <w:szCs w:val="22"/>
          <w:lang w:val="en-US"/>
        </w:rPr>
        <w:br w:type="page"/>
      </w:r>
    </w:p>
    <w:p w:rsidR="00CB0F9D" w:rsidRDefault="00CB0F9D" w:rsidP="00CB0F9D">
      <w:pPr>
        <w:rPr>
          <w:color w:val="000000"/>
        </w:rPr>
      </w:pPr>
    </w:p>
    <w:p w:rsidR="00CB0F9D" w:rsidRPr="00FB7EC4" w:rsidRDefault="00CB0F9D" w:rsidP="00926892">
      <w:pPr>
        <w:pStyle w:val="Heading1"/>
        <w:pageBreakBefore w:val="0"/>
        <w:numPr>
          <w:ilvl w:val="0"/>
          <w:numId w:val="9"/>
        </w:numPr>
        <w:rPr>
          <w:rFonts w:ascii="Century Gothic" w:hAnsi="Century Gothic"/>
          <w:color w:val="000000"/>
        </w:rPr>
      </w:pPr>
      <w:bookmarkStart w:id="598" w:name="_Toc462047373"/>
      <w:r>
        <w:rPr>
          <w:rFonts w:ascii="Century Gothic" w:hAnsi="Century Gothic"/>
          <w:color w:val="000000"/>
        </w:rPr>
        <w:t>Case study 1</w:t>
      </w:r>
      <w:r w:rsidRPr="00FB7EC4">
        <w:rPr>
          <w:rFonts w:ascii="Century Gothic" w:hAnsi="Century Gothic"/>
          <w:color w:val="000000"/>
        </w:rPr>
        <w:t xml:space="preserve">. </w:t>
      </w:r>
      <w:r>
        <w:rPr>
          <w:rFonts w:ascii="Century Gothic" w:hAnsi="Century Gothic"/>
          <w:color w:val="000000"/>
        </w:rPr>
        <w:t>Using life history traits to classify seagrass species – a preliminary assessment</w:t>
      </w:r>
      <w:r w:rsidRPr="00CB0F9D">
        <w:rPr>
          <w:rFonts w:ascii="Century Gothic" w:hAnsi="Century Gothic"/>
          <w:color w:val="000000"/>
        </w:rPr>
        <w:t>.</w:t>
      </w:r>
      <w:bookmarkEnd w:id="598"/>
    </w:p>
    <w:p w:rsidR="00CB0F9D" w:rsidRDefault="00CB0F9D" w:rsidP="00CB0F9D">
      <w:pPr>
        <w:rPr>
          <w:color w:val="000000"/>
        </w:rPr>
      </w:pPr>
    </w:p>
    <w:p w:rsidR="00744C57" w:rsidRDefault="00CB0F9D" w:rsidP="00CB0F9D">
      <w:pPr>
        <w:rPr>
          <w:color w:val="000000"/>
        </w:rPr>
      </w:pPr>
      <w:r w:rsidRPr="008261A5">
        <w:rPr>
          <w:color w:val="000000"/>
        </w:rPr>
        <w:t>Seagrasses are a collective group of submerged angiosperms from six distinct lineages, thus they are a biological group of species (~72 in total) rather than an evolutionary group (</w:t>
      </w:r>
      <w:r w:rsidR="00644A84">
        <w:rPr>
          <w:color w:val="000000"/>
        </w:rPr>
        <w:fldChar w:fldCharType="begin">
          <w:fldData xml:space="preserve">PEVuZE5vdGU+PENpdGU+PEF1dGhvcj5MZXM8L0F1dGhvcj48WWVhcj4xOTk3PC9ZZWFyPjxSZWNO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</w:fldData>
        </w:fldChar>
      </w:r>
      <w:r w:rsidR="00644A84">
        <w:rPr>
          <w:color w:val="000000"/>
        </w:rPr>
        <w:instrText xml:space="preserve"> ADDIN EN.CITE </w:instrText>
      </w:r>
      <w:r w:rsidR="00644A84">
        <w:rPr>
          <w:color w:val="000000"/>
        </w:rPr>
        <w:fldChar w:fldCharType="begin">
          <w:fldData xml:space="preserve">PEVuZE5vdGU+PENpdGU+PEF1dGhvcj5MZXM8L0F1dGhvcj48WWVhcj4xOTk3PC9ZZWFyPjxSZWNO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</w:fldData>
        </w:fldChar>
      </w:r>
      <w:r w:rsidR="00644A84">
        <w:rPr>
          <w:color w:val="000000"/>
        </w:rPr>
        <w:instrText xml:space="preserve"> ADDIN EN.CITE.DATA </w:instrText>
      </w:r>
      <w:r w:rsidR="00644A84">
        <w:rPr>
          <w:color w:val="000000"/>
        </w:rPr>
      </w:r>
      <w:r w:rsidR="00644A84">
        <w:rPr>
          <w:color w:val="000000"/>
        </w:rPr>
        <w:fldChar w:fldCharType="end"/>
      </w:r>
      <w:r w:rsidR="00644A84">
        <w:rPr>
          <w:color w:val="000000"/>
        </w:rPr>
      </w:r>
      <w:r w:rsidR="00644A84">
        <w:rPr>
          <w:color w:val="000000"/>
        </w:rPr>
        <w:fldChar w:fldCharType="separate"/>
      </w:r>
      <w:hyperlink w:anchor="_ENREF_148" w:tooltip="Les, 1997 #8431" w:history="1">
        <w:r w:rsidR="00E6043D">
          <w:rPr>
            <w:noProof/>
            <w:color w:val="000000"/>
          </w:rPr>
          <w:t>Les</w:t>
        </w:r>
        <w:r w:rsidR="00E6043D" w:rsidRPr="00644A84">
          <w:rPr>
            <w:i/>
            <w:noProof/>
            <w:color w:val="000000"/>
          </w:rPr>
          <w:t xml:space="preserve"> et al.</w:t>
        </w:r>
        <w:r w:rsidR="00E6043D">
          <w:rPr>
            <w:noProof/>
            <w:color w:val="000000"/>
          </w:rPr>
          <w:t xml:space="preserve"> 1997</w:t>
        </w:r>
      </w:hyperlink>
      <w:r w:rsidR="00644A84">
        <w:rPr>
          <w:noProof/>
          <w:color w:val="000000"/>
        </w:rPr>
        <w:t xml:space="preserve">; </w:t>
      </w:r>
      <w:hyperlink w:anchor="_ENREF_219" w:tooltip="Short, 2011 #9371" w:history="1">
        <w:r w:rsidR="00E6043D">
          <w:rPr>
            <w:noProof/>
            <w:color w:val="000000"/>
          </w:rPr>
          <w:t>Short</w:t>
        </w:r>
        <w:r w:rsidR="00E6043D" w:rsidRPr="00644A84">
          <w:rPr>
            <w:i/>
            <w:noProof/>
            <w:color w:val="000000"/>
          </w:rPr>
          <w:t xml:space="preserve"> et al.</w:t>
        </w:r>
        <w:r w:rsidR="00E6043D">
          <w:rPr>
            <w:noProof/>
            <w:color w:val="000000"/>
          </w:rPr>
          <w:t xml:space="preserve"> 2011</w:t>
        </w:r>
      </w:hyperlink>
      <w:r w:rsidR="00644A84">
        <w:rPr>
          <w:color w:val="000000"/>
        </w:rPr>
        <w:fldChar w:fldCharType="end"/>
      </w:r>
      <w:r w:rsidRPr="008261A5">
        <w:rPr>
          <w:color w:val="000000"/>
        </w:rPr>
        <w:t xml:space="preserve">). Within this grouping, species from different families can share similar traits, grow under similar conditions, and have similar ecological function, while taxonomically related species can have very different functional roles. </w:t>
      </w:r>
    </w:p>
    <w:p w:rsidR="00744C57" w:rsidRPr="00227E53" w:rsidRDefault="00744C57" w:rsidP="00744C57">
      <w:pPr>
        <w:rPr>
          <w:color w:val="000000"/>
          <w:szCs w:val="22"/>
        </w:rPr>
      </w:pPr>
      <w:r w:rsidRPr="00357C17">
        <w:rPr>
          <w:color w:val="000000"/>
          <w:szCs w:val="22"/>
        </w:rPr>
        <w:t xml:space="preserve">Plants have a range of adaptive features </w:t>
      </w:r>
      <w:r w:rsidRPr="005B62F4">
        <w:rPr>
          <w:rFonts w:asciiTheme="minorHAnsi" w:hAnsiTheme="minorHAnsi"/>
          <w:color w:val="000000"/>
          <w:szCs w:val="22"/>
        </w:rPr>
        <w:t>incorporated into life histories, which can be distinguished along a continuum of strategies (</w:t>
      </w:r>
      <w:hyperlink w:anchor="_ENREF_114" w:tooltip="Gadgil, 1972 #8212" w:history="1">
        <w:r w:rsidR="00E6043D" w:rsidRPr="005B62F4">
          <w:rPr>
            <w:rFonts w:asciiTheme="minorHAnsi" w:hAnsiTheme="minorHAnsi"/>
            <w:color w:val="000000"/>
            <w:szCs w:val="22"/>
          </w:rPr>
          <w:fldChar w:fldCharType="begin"/>
        </w:r>
        <w:r w:rsidR="00E6043D" w:rsidRPr="005B62F4">
          <w:rPr>
            <w:rFonts w:asciiTheme="minorHAnsi" w:hAnsiTheme="minorHAnsi"/>
            <w:color w:val="000000"/>
            <w:szCs w:val="22"/>
          </w:rPr>
          <w:instrText xml:space="preserve"> ADDIN EN.CITE &lt;EndNote&gt;&lt;Cite&gt;&lt;Author&gt;Gadgil&lt;/Author&gt;&lt;Year&gt;1972&lt;/Year&gt;&lt;RecNum&gt;8212&lt;/RecNum&gt;&lt;DisplayText&gt;Gadgil and Solbrig 1972&lt;/DisplayText&gt;&lt;record&gt;&lt;rec-number&gt;8212&lt;/rec-number&gt;&lt;foreign-keys&gt;&lt;key app="EN" db-id="0eve55x9y5vfd6e9dacxtew4eatve2dzds9a"&gt;8212&lt;/key&gt;&lt;/foreign-keys&gt;&lt;ref-type name="Journal Article"&gt;17&lt;/ref-type&gt;&lt;contributors&gt;&lt;authors&gt;&lt;author&gt;Gadgil, M.&lt;/author&gt;&lt;author&gt;Solbrig, O.T.&lt;/author&gt;&lt;/authors&gt;&lt;/contributors&gt;&lt;titles&gt;&lt;title&gt;The concept of r- and K-selection: evidence from wild flowers and some theoretical considerations&lt;/title&gt;&lt;secondary-title&gt;American Naturalist&lt;/secondary-title&gt;&lt;/titles&gt;&lt;pages&gt;14-31&lt;/pages&gt;&lt;volume&gt;106&lt;/volume&gt;&lt;dates&gt;&lt;year&gt;1972&lt;/year&gt;&lt;/dates&gt;&lt;urls&gt;&lt;/urls&gt;&lt;/record&gt;&lt;/Cite&gt;&lt;/EndNote&gt;</w:instrText>
        </w:r>
        <w:r w:rsidR="00E6043D" w:rsidRPr="005B62F4">
          <w:rPr>
            <w:rFonts w:asciiTheme="minorHAnsi" w:hAnsiTheme="minorHAnsi"/>
            <w:color w:val="000000"/>
            <w:szCs w:val="22"/>
          </w:rPr>
          <w:fldChar w:fldCharType="separate"/>
        </w:r>
        <w:r w:rsidR="00E6043D" w:rsidRPr="005B62F4">
          <w:rPr>
            <w:rFonts w:asciiTheme="minorHAnsi" w:hAnsiTheme="minorHAnsi"/>
            <w:noProof/>
            <w:color w:val="000000"/>
            <w:szCs w:val="22"/>
          </w:rPr>
          <w:t>Gadgil and Solbrig 1972</w:t>
        </w:r>
        <w:r w:rsidR="00E6043D" w:rsidRPr="005B62F4">
          <w:rPr>
            <w:rFonts w:asciiTheme="minorHAnsi" w:hAnsiTheme="minorHAnsi"/>
            <w:color w:val="000000"/>
            <w:szCs w:val="22"/>
          </w:rPr>
          <w:fldChar w:fldCharType="end"/>
        </w:r>
      </w:hyperlink>
      <w:r w:rsidRPr="005B62F4">
        <w:rPr>
          <w:rFonts w:asciiTheme="minorHAnsi" w:hAnsiTheme="minorHAnsi"/>
          <w:color w:val="000000"/>
          <w:szCs w:val="22"/>
        </w:rPr>
        <w:t xml:space="preserve">). At the extremes of the continuum are the </w:t>
      </w:r>
      <w:r w:rsidRPr="005B62F4">
        <w:rPr>
          <w:rFonts w:asciiTheme="minorHAnsi" w:hAnsiTheme="minorHAnsi"/>
          <w:szCs w:val="22"/>
        </w:rPr>
        <w:t>species having either persistent or ephemeral traits along with an opportunistic, intermediate group</w:t>
      </w:r>
      <w:r w:rsidRPr="005B62F4">
        <w:rPr>
          <w:rFonts w:asciiTheme="minorHAnsi" w:hAnsiTheme="minorHAnsi"/>
          <w:color w:val="000000"/>
          <w:szCs w:val="22"/>
        </w:rPr>
        <w:t xml:space="preserve"> as </w:t>
      </w:r>
      <w:r>
        <w:rPr>
          <w:rFonts w:asciiTheme="minorHAnsi" w:hAnsiTheme="minorHAnsi"/>
          <w:color w:val="000000"/>
          <w:szCs w:val="22"/>
        </w:rPr>
        <w:t xml:space="preserve">broadly </w:t>
      </w:r>
      <w:r w:rsidRPr="005B62F4">
        <w:rPr>
          <w:rFonts w:asciiTheme="minorHAnsi" w:hAnsiTheme="minorHAnsi"/>
          <w:color w:val="000000"/>
          <w:szCs w:val="22"/>
        </w:rPr>
        <w:t xml:space="preserve">defined by </w:t>
      </w:r>
      <w:proofErr w:type="spellStart"/>
      <w:r w:rsidRPr="005B62F4">
        <w:rPr>
          <w:rFonts w:asciiTheme="minorHAnsi" w:hAnsiTheme="minorHAnsi"/>
          <w:color w:val="000000"/>
          <w:szCs w:val="22"/>
        </w:rPr>
        <w:t>Kilminister</w:t>
      </w:r>
      <w:proofErr w:type="spellEnd"/>
      <w:r w:rsidRPr="005B62F4">
        <w:rPr>
          <w:rFonts w:asciiTheme="minorHAnsi" w:hAnsiTheme="minorHAnsi"/>
          <w:color w:val="000000"/>
          <w:szCs w:val="22"/>
        </w:rPr>
        <w:t xml:space="preserve"> (</w:t>
      </w:r>
      <w:hyperlink w:anchor="_ENREF_133" w:tooltip="Kilminster, 2015 #10294" w:history="1">
        <w:r w:rsidR="00E6043D">
          <w:rPr>
            <w:rFonts w:asciiTheme="minorHAnsi" w:hAnsiTheme="minorHAnsi"/>
            <w:color w:val="000000"/>
            <w:szCs w:val="22"/>
          </w:rPr>
          <w:fldChar w:fldCharType="begin"/>
        </w:r>
        <w:r w:rsidR="00E6043D">
          <w:rPr>
            <w:rFonts w:asciiTheme="minorHAnsi" w:hAnsiTheme="minorHAnsi"/>
            <w:color w:val="000000"/>
            <w:szCs w:val="22"/>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E6043D">
          <w:rPr>
            <w:rFonts w:asciiTheme="minorHAnsi" w:hAnsiTheme="minorHAnsi"/>
            <w:color w:val="000000"/>
            <w:szCs w:val="22"/>
          </w:rPr>
          <w:fldChar w:fldCharType="separate"/>
        </w:r>
        <w:r w:rsidR="00E6043D">
          <w:rPr>
            <w:rFonts w:asciiTheme="minorHAnsi" w:hAnsiTheme="minorHAnsi"/>
            <w:noProof/>
            <w:color w:val="000000"/>
            <w:szCs w:val="22"/>
          </w:rPr>
          <w:t>Kilminster</w:t>
        </w:r>
        <w:r w:rsidR="00E6043D" w:rsidRPr="00D821F1">
          <w:rPr>
            <w:rFonts w:asciiTheme="minorHAnsi" w:hAnsiTheme="minorHAnsi"/>
            <w:i/>
            <w:noProof/>
            <w:color w:val="000000"/>
            <w:szCs w:val="22"/>
          </w:rPr>
          <w:t>, et al.</w:t>
        </w:r>
        <w:r w:rsidR="00E6043D">
          <w:rPr>
            <w:rFonts w:asciiTheme="minorHAnsi" w:hAnsiTheme="minorHAnsi"/>
            <w:noProof/>
            <w:color w:val="000000"/>
            <w:szCs w:val="22"/>
          </w:rPr>
          <w:t xml:space="preserve"> 2015</w:t>
        </w:r>
        <w:r w:rsidR="00E6043D">
          <w:rPr>
            <w:rFonts w:asciiTheme="minorHAnsi" w:hAnsiTheme="minorHAnsi"/>
            <w:color w:val="000000"/>
            <w:szCs w:val="22"/>
          </w:rPr>
          <w:fldChar w:fldCharType="end"/>
        </w:r>
      </w:hyperlink>
      <w:r w:rsidRPr="005B62F4">
        <w:rPr>
          <w:rFonts w:asciiTheme="minorHAnsi" w:hAnsiTheme="minorHAnsi"/>
          <w:color w:val="000000"/>
          <w:szCs w:val="22"/>
        </w:rPr>
        <w:t>)</w:t>
      </w:r>
      <w:r w:rsidR="00B47F5A">
        <w:rPr>
          <w:rFonts w:asciiTheme="minorHAnsi" w:hAnsiTheme="minorHAnsi"/>
          <w:color w:val="000000"/>
          <w:szCs w:val="22"/>
        </w:rPr>
        <w:t xml:space="preserve"> (</w:t>
      </w:r>
      <w:r w:rsidR="00B47F5A">
        <w:rPr>
          <w:rFonts w:asciiTheme="minorHAnsi" w:hAnsiTheme="minorHAnsi"/>
          <w:color w:val="000000"/>
          <w:szCs w:val="22"/>
        </w:rPr>
        <w:fldChar w:fldCharType="begin"/>
      </w:r>
      <w:r w:rsidR="00B47F5A">
        <w:rPr>
          <w:rFonts w:asciiTheme="minorHAnsi" w:hAnsiTheme="minorHAnsi"/>
          <w:color w:val="000000"/>
          <w:szCs w:val="22"/>
        </w:rPr>
        <w:instrText xml:space="preserve"> REF _Ref442552717 \h </w:instrText>
      </w:r>
      <w:r w:rsidR="00B47F5A">
        <w:rPr>
          <w:rFonts w:asciiTheme="minorHAnsi" w:hAnsiTheme="minorHAnsi"/>
          <w:color w:val="000000"/>
          <w:szCs w:val="22"/>
        </w:rPr>
      </w:r>
      <w:r w:rsidR="00B47F5A">
        <w:rPr>
          <w:rFonts w:asciiTheme="minorHAnsi" w:hAnsiTheme="minorHAnsi"/>
          <w:color w:val="000000"/>
          <w:szCs w:val="22"/>
        </w:rPr>
        <w:fldChar w:fldCharType="separate"/>
      </w:r>
      <w:r w:rsidR="009C068F">
        <w:t xml:space="preserve">Figure </w:t>
      </w:r>
      <w:r w:rsidR="009C068F">
        <w:rPr>
          <w:noProof/>
        </w:rPr>
        <w:t>107</w:t>
      </w:r>
      <w:r w:rsidR="00B47F5A">
        <w:rPr>
          <w:rFonts w:asciiTheme="minorHAnsi" w:hAnsiTheme="minorHAnsi"/>
          <w:color w:val="000000"/>
          <w:szCs w:val="22"/>
        </w:rPr>
        <w:fldChar w:fldCharType="end"/>
      </w:r>
      <w:r w:rsidR="00B47F5A">
        <w:rPr>
          <w:rFonts w:asciiTheme="minorHAnsi" w:hAnsiTheme="minorHAnsi"/>
          <w:color w:val="000000"/>
          <w:szCs w:val="22"/>
        </w:rPr>
        <w:t>)</w:t>
      </w:r>
      <w:r w:rsidRPr="005B62F4">
        <w:rPr>
          <w:rFonts w:asciiTheme="minorHAnsi" w:hAnsiTheme="minorHAnsi"/>
          <w:color w:val="000000"/>
          <w:szCs w:val="22"/>
        </w:rPr>
        <w:t xml:space="preserve">. Plants species with the </w:t>
      </w:r>
      <w:r>
        <w:rPr>
          <w:rFonts w:asciiTheme="minorHAnsi" w:hAnsiTheme="minorHAnsi"/>
          <w:color w:val="000000"/>
          <w:szCs w:val="22"/>
        </w:rPr>
        <w:t xml:space="preserve">ephemeral </w:t>
      </w:r>
      <w:r w:rsidRPr="005B62F4">
        <w:rPr>
          <w:rFonts w:asciiTheme="minorHAnsi" w:hAnsiTheme="minorHAnsi"/>
          <w:color w:val="000000"/>
          <w:szCs w:val="22"/>
        </w:rPr>
        <w:t>traits that are thought to characterise colonists are the generalist species - ruderal species or weeds - colonise highly disturbed</w:t>
      </w:r>
      <w:r w:rsidRPr="005918BE">
        <w:rPr>
          <w:color w:val="000000"/>
          <w:szCs w:val="22"/>
        </w:rPr>
        <w:t xml:space="preserve"> sites, common in abundance, relying on fast and adaptable clonal growth, regular and </w:t>
      </w:r>
      <w:r w:rsidRPr="00227E53">
        <w:rPr>
          <w:rFonts w:asciiTheme="minorHAnsi" w:hAnsiTheme="minorHAnsi"/>
          <w:color w:val="000000"/>
          <w:szCs w:val="22"/>
        </w:rPr>
        <w:t>flexible sexual reproduction and a persistent, abundant seed bank (</w:t>
      </w:r>
      <w:r w:rsidRPr="00227E53">
        <w:rPr>
          <w:rFonts w:asciiTheme="minorHAnsi" w:hAnsiTheme="minorHAnsi"/>
          <w:color w:val="000000"/>
          <w:szCs w:val="22"/>
        </w:rPr>
        <w:fldChar w:fldCharType="begin"/>
      </w:r>
      <w:r w:rsidRPr="00227E53">
        <w:rPr>
          <w:rFonts w:asciiTheme="minorHAnsi" w:hAnsiTheme="minorHAnsi"/>
          <w:color w:val="000000"/>
          <w:szCs w:val="22"/>
        </w:rPr>
        <w:instrText xml:space="preserve"> ADDIN EN.CITE &lt;EndNote&gt;&lt;Cite&gt;&lt;Author&gt;Grime&lt;/Author&gt;&lt;Year&gt;1979&lt;/Year&gt;&lt;RecNum&gt;9712&lt;/RecNum&gt;&lt;DisplayText&gt;MacArthur and Wilson 1967; Grime 1979&lt;/DisplayText&gt;&lt;record&gt;&lt;rec-number&gt;9712&lt;/rec-number&gt;&lt;foreign-keys&gt;&lt;key app="EN" db-id="0eve55x9y5vfd6e9dacxtew4eatve2dzds9a"&gt;9712&lt;/key&gt;&lt;/foreign-keys&gt;&lt;ref-type name="Book"&gt;6&lt;/ref-type&gt;&lt;contributors&gt;&lt;authors&gt;&lt;author&gt;Grime, J P&lt;/author&gt;&lt;/authors&gt;&lt;/contributors&gt;&lt;titles&gt;&lt;title&gt;Plant Strategies and Vegetation Processes&lt;/title&gt;&lt;/titles&gt;&lt;dates&gt;&lt;year&gt;1979&lt;/year&gt;&lt;/dates&gt;&lt;pub-location&gt;Chichester. UK.&lt;/pub-location&gt;&lt;publisher&gt;John Wiley&lt;/publisher&gt;&lt;urls&gt;&lt;/urls&gt;&lt;/record&gt;&lt;/Cite&gt;&lt;Cite&gt;&lt;Author&gt;MacArthur&lt;/Author&gt;&lt;Year&gt;1967&lt;/Year&gt;&lt;RecNum&gt;7595&lt;/RecNum&gt;&lt;record&gt;&lt;rec-number&gt;7595&lt;/rec-number&gt;&lt;foreign-keys&gt;&lt;key app="EN" db-id="0eve55x9y5vfd6e9dacxtew4eatve2dzds9a"&gt;7595&lt;/key&gt;&lt;/foreign-keys&gt;&lt;ref-type name="Book"&gt;6&lt;/ref-type&gt;&lt;contributors&gt;&lt;authors&gt;&lt;author&gt;MacArthur, R H&lt;/author&gt;&lt;author&gt;Wilson, E O&lt;/author&gt;&lt;/authors&gt;&lt;/contributors&gt;&lt;titles&gt;&lt;title&gt;The theory of island biogeography&lt;/title&gt;&lt;/titles&gt;&lt;pages&gt;203&lt;/pages&gt;&lt;dates&gt;&lt;year&gt;1967&lt;/year&gt;&lt;/dates&gt;&lt;pub-location&gt;Princeton, NJ USA&lt;/pub-location&gt;&lt;publisher&gt;Princeton University Press&lt;/publisher&gt;&lt;urls&gt;&lt;/urls&gt;&lt;/record&gt;&lt;/Cite&gt;&lt;/EndNote&gt;</w:instrText>
      </w:r>
      <w:r w:rsidRPr="00227E53">
        <w:rPr>
          <w:rFonts w:asciiTheme="minorHAnsi" w:hAnsiTheme="minorHAnsi"/>
          <w:color w:val="000000"/>
          <w:szCs w:val="22"/>
        </w:rPr>
        <w:fldChar w:fldCharType="separate"/>
      </w:r>
      <w:hyperlink w:anchor="_ENREF_152" w:tooltip="MacArthur, 1967 #7595" w:history="1">
        <w:r w:rsidR="00E6043D" w:rsidRPr="00227E53">
          <w:rPr>
            <w:rFonts w:asciiTheme="minorHAnsi" w:hAnsiTheme="minorHAnsi"/>
            <w:noProof/>
            <w:color w:val="000000"/>
            <w:szCs w:val="22"/>
          </w:rPr>
          <w:t>MacArthur and Wilson 1967</w:t>
        </w:r>
      </w:hyperlink>
      <w:r w:rsidRPr="00227E53">
        <w:rPr>
          <w:rFonts w:asciiTheme="minorHAnsi" w:hAnsiTheme="minorHAnsi"/>
          <w:noProof/>
          <w:color w:val="000000"/>
          <w:szCs w:val="22"/>
        </w:rPr>
        <w:t xml:space="preserve">; </w:t>
      </w:r>
      <w:hyperlink w:anchor="_ENREF_119" w:tooltip="Grime, 1979 #9712" w:history="1">
        <w:r w:rsidR="00E6043D" w:rsidRPr="00227E53">
          <w:rPr>
            <w:rFonts w:asciiTheme="minorHAnsi" w:hAnsiTheme="minorHAnsi"/>
            <w:noProof/>
            <w:color w:val="000000"/>
            <w:szCs w:val="22"/>
          </w:rPr>
          <w:t>Grime 1979</w:t>
        </w:r>
      </w:hyperlink>
      <w:r w:rsidRPr="00227E53">
        <w:rPr>
          <w:rFonts w:asciiTheme="minorHAnsi" w:hAnsiTheme="minorHAnsi"/>
          <w:color w:val="000000"/>
          <w:szCs w:val="22"/>
        </w:rPr>
        <w:fldChar w:fldCharType="end"/>
      </w:r>
      <w:r w:rsidRPr="00227E53">
        <w:rPr>
          <w:rFonts w:asciiTheme="minorHAnsi" w:hAnsiTheme="minorHAnsi"/>
          <w:color w:val="000000"/>
          <w:szCs w:val="22"/>
        </w:rPr>
        <w:t>). Seagrass colonist species have</w:t>
      </w:r>
      <w:r w:rsidRPr="00227E53">
        <w:rPr>
          <w:rFonts w:asciiTheme="minorHAnsi" w:hAnsiTheme="minorHAnsi"/>
          <w:szCs w:val="22"/>
        </w:rPr>
        <w:t xml:space="preserve"> rapidly fluctuating total standing abundance, </w:t>
      </w:r>
      <w:proofErr w:type="spellStart"/>
      <w:r w:rsidRPr="00227E53">
        <w:rPr>
          <w:rFonts w:asciiTheme="minorHAnsi" w:hAnsiTheme="minorHAnsi"/>
          <w:szCs w:val="22"/>
        </w:rPr>
        <w:t>ramets</w:t>
      </w:r>
      <w:proofErr w:type="spellEnd"/>
      <w:r w:rsidRPr="00227E53">
        <w:rPr>
          <w:rFonts w:asciiTheme="minorHAnsi" w:hAnsiTheme="minorHAnsi"/>
          <w:szCs w:val="22"/>
        </w:rPr>
        <w:t xml:space="preserve"> have short </w:t>
      </w:r>
      <w:r w:rsidRPr="001C66FD">
        <w:rPr>
          <w:rFonts w:asciiTheme="minorHAnsi" w:hAnsiTheme="minorHAnsi"/>
          <w:szCs w:val="22"/>
        </w:rPr>
        <w:t xml:space="preserve">turnover times (&lt; months), and they place a high level of reproductive effort into the production of seeds and the ability to build up a seed bank even a short-lived one </w:t>
      </w:r>
      <w:r w:rsidRPr="001C66FD">
        <w:rPr>
          <w:rFonts w:asciiTheme="minorHAnsi" w:hAnsiTheme="minorHAnsi"/>
          <w:color w:val="000000"/>
          <w:szCs w:val="22"/>
        </w:rPr>
        <w:t>(</w:t>
      </w:r>
      <w:hyperlink w:anchor="_ENREF_133" w:tooltip="Kilminster, 2015 #10294" w:history="1">
        <w:r w:rsidR="00E6043D">
          <w:rPr>
            <w:rFonts w:asciiTheme="minorHAnsi" w:hAnsiTheme="minorHAnsi"/>
            <w:color w:val="000000"/>
            <w:szCs w:val="22"/>
          </w:rPr>
          <w:fldChar w:fldCharType="begin"/>
        </w:r>
        <w:r w:rsidR="00E6043D">
          <w:rPr>
            <w:rFonts w:asciiTheme="minorHAnsi" w:hAnsiTheme="minorHAnsi"/>
            <w:color w:val="000000"/>
            <w:szCs w:val="22"/>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E6043D">
          <w:rPr>
            <w:rFonts w:asciiTheme="minorHAnsi" w:hAnsiTheme="minorHAnsi"/>
            <w:color w:val="000000"/>
            <w:szCs w:val="22"/>
          </w:rPr>
          <w:fldChar w:fldCharType="separate"/>
        </w:r>
        <w:r w:rsidR="00E6043D">
          <w:rPr>
            <w:rFonts w:asciiTheme="minorHAnsi" w:hAnsiTheme="minorHAnsi"/>
            <w:noProof/>
            <w:color w:val="000000"/>
            <w:szCs w:val="22"/>
          </w:rPr>
          <w:t>Kilminster</w:t>
        </w:r>
        <w:r w:rsidR="00E6043D" w:rsidRPr="00D821F1">
          <w:rPr>
            <w:rFonts w:asciiTheme="minorHAnsi" w:hAnsiTheme="minorHAnsi"/>
            <w:i/>
            <w:noProof/>
            <w:color w:val="000000"/>
            <w:szCs w:val="22"/>
          </w:rPr>
          <w:t>, et al.</w:t>
        </w:r>
        <w:r w:rsidR="00E6043D">
          <w:rPr>
            <w:rFonts w:asciiTheme="minorHAnsi" w:hAnsiTheme="minorHAnsi"/>
            <w:noProof/>
            <w:color w:val="000000"/>
            <w:szCs w:val="22"/>
          </w:rPr>
          <w:t xml:space="preserve"> 2015</w:t>
        </w:r>
        <w:r w:rsidR="00E6043D">
          <w:rPr>
            <w:rFonts w:asciiTheme="minorHAnsi" w:hAnsiTheme="minorHAnsi"/>
            <w:color w:val="000000"/>
            <w:szCs w:val="22"/>
          </w:rPr>
          <w:fldChar w:fldCharType="end"/>
        </w:r>
      </w:hyperlink>
      <w:r w:rsidRPr="001C66FD">
        <w:rPr>
          <w:rFonts w:asciiTheme="minorHAnsi" w:hAnsiTheme="minorHAnsi"/>
          <w:color w:val="000000"/>
          <w:szCs w:val="22"/>
        </w:rPr>
        <w:t>)</w:t>
      </w:r>
      <w:r w:rsidRPr="001C66FD">
        <w:rPr>
          <w:rFonts w:asciiTheme="minorHAnsi" w:hAnsiTheme="minorHAnsi"/>
          <w:szCs w:val="22"/>
        </w:rPr>
        <w:t>. In contrast, i</w:t>
      </w:r>
      <w:r w:rsidRPr="001C66FD">
        <w:rPr>
          <w:color w:val="000000"/>
          <w:szCs w:val="22"/>
        </w:rPr>
        <w:t>n stable or predictable environments, the ability to compete successfully for limited resources is crucial and more successful populations of organisms tend to be very constant and close to the maximum that the environment can bear. These species allocate resources to vegetative adaptation to resist stress or competition and are classified as persistent. Persistent seagrasses are</w:t>
      </w:r>
      <w:r>
        <w:rPr>
          <w:color w:val="000000"/>
          <w:szCs w:val="22"/>
        </w:rPr>
        <w:t xml:space="preserve"> characterised by long </w:t>
      </w:r>
      <w:r w:rsidRPr="00227E53">
        <w:rPr>
          <w:color w:val="000000"/>
          <w:szCs w:val="22"/>
        </w:rPr>
        <w:t xml:space="preserve">lived </w:t>
      </w:r>
      <w:proofErr w:type="spellStart"/>
      <w:r w:rsidRPr="00227E53">
        <w:rPr>
          <w:color w:val="000000"/>
          <w:szCs w:val="22"/>
        </w:rPr>
        <w:t>ramets</w:t>
      </w:r>
      <w:proofErr w:type="spellEnd"/>
      <w:r w:rsidRPr="00227E53">
        <w:rPr>
          <w:color w:val="000000"/>
          <w:szCs w:val="22"/>
        </w:rPr>
        <w:t xml:space="preserve"> (months-years) and </w:t>
      </w:r>
      <w:proofErr w:type="spellStart"/>
      <w:r w:rsidRPr="00227E53">
        <w:rPr>
          <w:color w:val="000000"/>
          <w:szCs w:val="22"/>
        </w:rPr>
        <w:t>clonality</w:t>
      </w:r>
      <w:proofErr w:type="spellEnd"/>
      <w:r w:rsidRPr="00227E53">
        <w:rPr>
          <w:color w:val="000000"/>
          <w:szCs w:val="22"/>
        </w:rPr>
        <w:t xml:space="preserve"> from long lived genets, stabilising and/or sediment trapping growth, high standing </w:t>
      </w:r>
      <w:r>
        <w:rPr>
          <w:color w:val="000000"/>
          <w:szCs w:val="22"/>
        </w:rPr>
        <w:t>abundance/b</w:t>
      </w:r>
      <w:r w:rsidRPr="00227E53">
        <w:rPr>
          <w:color w:val="000000"/>
          <w:szCs w:val="22"/>
        </w:rPr>
        <w:t xml:space="preserve">iomass, </w:t>
      </w:r>
      <w:r>
        <w:rPr>
          <w:color w:val="000000"/>
          <w:szCs w:val="22"/>
        </w:rPr>
        <w:t xml:space="preserve">and </w:t>
      </w:r>
      <w:r w:rsidRPr="00227E53">
        <w:rPr>
          <w:color w:val="000000"/>
          <w:szCs w:val="22"/>
        </w:rPr>
        <w:t xml:space="preserve">reproductive effort for seed production </w:t>
      </w:r>
      <w:r>
        <w:rPr>
          <w:color w:val="000000"/>
          <w:szCs w:val="22"/>
        </w:rPr>
        <w:t>does</w:t>
      </w:r>
      <w:r w:rsidRPr="00227E53">
        <w:rPr>
          <w:color w:val="000000"/>
          <w:szCs w:val="22"/>
        </w:rPr>
        <w:t xml:space="preserve"> not compromis</w:t>
      </w:r>
      <w:r>
        <w:rPr>
          <w:color w:val="000000"/>
          <w:szCs w:val="22"/>
        </w:rPr>
        <w:t>e</w:t>
      </w:r>
      <w:r w:rsidRPr="00227E53">
        <w:rPr>
          <w:color w:val="000000"/>
          <w:szCs w:val="22"/>
        </w:rPr>
        <w:t xml:space="preserve"> vegetative growth, </w:t>
      </w:r>
      <w:r>
        <w:rPr>
          <w:color w:val="000000"/>
          <w:szCs w:val="22"/>
        </w:rPr>
        <w:t xml:space="preserve">i.e. </w:t>
      </w:r>
      <w:r w:rsidRPr="00227E53">
        <w:rPr>
          <w:color w:val="000000"/>
          <w:szCs w:val="22"/>
        </w:rPr>
        <w:t>seeds that typically do not form a seed bank</w:t>
      </w:r>
      <w:r>
        <w:rPr>
          <w:color w:val="000000"/>
          <w:szCs w:val="22"/>
        </w:rPr>
        <w:t xml:space="preserve"> </w:t>
      </w:r>
      <w:r w:rsidRPr="00227E53">
        <w:rPr>
          <w:rFonts w:asciiTheme="minorHAnsi" w:hAnsiTheme="minorHAnsi"/>
          <w:color w:val="000000"/>
          <w:szCs w:val="22"/>
        </w:rPr>
        <w:t>(</w:t>
      </w:r>
      <w:hyperlink w:anchor="_ENREF_133" w:tooltip="Kilminster, 2015 #10294" w:history="1">
        <w:r w:rsidR="00E6043D">
          <w:rPr>
            <w:rFonts w:asciiTheme="minorHAnsi" w:hAnsiTheme="minorHAnsi"/>
            <w:color w:val="000000"/>
            <w:szCs w:val="22"/>
          </w:rPr>
          <w:fldChar w:fldCharType="begin"/>
        </w:r>
        <w:r w:rsidR="00E6043D">
          <w:rPr>
            <w:rFonts w:asciiTheme="minorHAnsi" w:hAnsiTheme="minorHAnsi"/>
            <w:color w:val="000000"/>
            <w:szCs w:val="22"/>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E6043D">
          <w:rPr>
            <w:rFonts w:asciiTheme="minorHAnsi" w:hAnsiTheme="minorHAnsi"/>
            <w:color w:val="000000"/>
            <w:szCs w:val="22"/>
          </w:rPr>
          <w:fldChar w:fldCharType="separate"/>
        </w:r>
        <w:r w:rsidR="00E6043D">
          <w:rPr>
            <w:rFonts w:asciiTheme="minorHAnsi" w:hAnsiTheme="minorHAnsi"/>
            <w:noProof/>
            <w:color w:val="000000"/>
            <w:szCs w:val="22"/>
          </w:rPr>
          <w:t>Kilminster</w:t>
        </w:r>
        <w:r w:rsidR="00E6043D" w:rsidRPr="00D821F1">
          <w:rPr>
            <w:rFonts w:asciiTheme="minorHAnsi" w:hAnsiTheme="minorHAnsi"/>
            <w:i/>
            <w:noProof/>
            <w:color w:val="000000"/>
            <w:szCs w:val="22"/>
          </w:rPr>
          <w:t>, et al.</w:t>
        </w:r>
        <w:r w:rsidR="00E6043D">
          <w:rPr>
            <w:rFonts w:asciiTheme="minorHAnsi" w:hAnsiTheme="minorHAnsi"/>
            <w:noProof/>
            <w:color w:val="000000"/>
            <w:szCs w:val="22"/>
          </w:rPr>
          <w:t xml:space="preserve"> 2015</w:t>
        </w:r>
        <w:r w:rsidR="00E6043D">
          <w:rPr>
            <w:rFonts w:asciiTheme="minorHAnsi" w:hAnsiTheme="minorHAnsi"/>
            <w:color w:val="000000"/>
            <w:szCs w:val="22"/>
          </w:rPr>
          <w:fldChar w:fldCharType="end"/>
        </w:r>
      </w:hyperlink>
      <w:r w:rsidRPr="00227E53">
        <w:rPr>
          <w:rFonts w:asciiTheme="minorHAnsi" w:hAnsiTheme="minorHAnsi"/>
          <w:color w:val="000000"/>
          <w:szCs w:val="22"/>
        </w:rPr>
        <w:t>)</w:t>
      </w:r>
      <w:r w:rsidRPr="00227E53">
        <w:rPr>
          <w:color w:val="000000"/>
          <w:szCs w:val="22"/>
        </w:rPr>
        <w:t xml:space="preserve">. Typical persistent seagrasses are members of the genera </w:t>
      </w:r>
      <w:proofErr w:type="spellStart"/>
      <w:r w:rsidRPr="004F7213">
        <w:rPr>
          <w:i/>
          <w:color w:val="000000"/>
          <w:szCs w:val="22"/>
        </w:rPr>
        <w:t>Thalassia</w:t>
      </w:r>
      <w:proofErr w:type="spellEnd"/>
      <w:r>
        <w:rPr>
          <w:color w:val="000000"/>
          <w:szCs w:val="22"/>
        </w:rPr>
        <w:t xml:space="preserve"> and</w:t>
      </w:r>
      <w:r w:rsidRPr="00227E53">
        <w:rPr>
          <w:color w:val="000000"/>
          <w:szCs w:val="22"/>
        </w:rPr>
        <w:t xml:space="preserve"> </w:t>
      </w:r>
      <w:proofErr w:type="spellStart"/>
      <w:r w:rsidRPr="004F7213">
        <w:rPr>
          <w:i/>
          <w:color w:val="000000"/>
          <w:szCs w:val="22"/>
        </w:rPr>
        <w:t>Enhalus</w:t>
      </w:r>
      <w:proofErr w:type="spellEnd"/>
      <w:r w:rsidRPr="00227E53">
        <w:rPr>
          <w:color w:val="000000"/>
          <w:szCs w:val="22"/>
        </w:rPr>
        <w:t xml:space="preserve">. </w:t>
      </w:r>
      <w:r>
        <w:rPr>
          <w:color w:val="000000"/>
          <w:szCs w:val="22"/>
        </w:rPr>
        <w:t>However, a</w:t>
      </w:r>
      <w:r w:rsidRPr="00227E53">
        <w:rPr>
          <w:color w:val="000000"/>
          <w:szCs w:val="22"/>
        </w:rPr>
        <w:t xml:space="preserve"> number of groups of species combine core elements of both extremes of these strategies and these opportunistic seagrasses have both the ability to colonise, produce seeds or seedlings and also have the ability to gain significant, persisting biomass and </w:t>
      </w:r>
      <w:proofErr w:type="spellStart"/>
      <w:r w:rsidRPr="00227E53">
        <w:rPr>
          <w:color w:val="000000"/>
          <w:szCs w:val="22"/>
        </w:rPr>
        <w:t>clonality</w:t>
      </w:r>
      <w:proofErr w:type="spellEnd"/>
      <w:r w:rsidRPr="00227E53">
        <w:rPr>
          <w:color w:val="000000"/>
          <w:szCs w:val="22"/>
        </w:rPr>
        <w:t>, while also rapidly recovering from seed (or new recruits) when necessary</w:t>
      </w:r>
      <w:r>
        <w:rPr>
          <w:color w:val="000000"/>
          <w:szCs w:val="22"/>
        </w:rPr>
        <w:t xml:space="preserve"> </w:t>
      </w:r>
      <w:r w:rsidRPr="00227E53">
        <w:rPr>
          <w:rFonts w:asciiTheme="minorHAnsi" w:hAnsiTheme="minorHAnsi"/>
          <w:color w:val="000000"/>
          <w:szCs w:val="22"/>
        </w:rPr>
        <w:t>(</w:t>
      </w:r>
      <w:hyperlink w:anchor="_ENREF_133" w:tooltip="Kilminster, 2015 #10294" w:history="1">
        <w:r w:rsidR="00E6043D">
          <w:rPr>
            <w:rFonts w:asciiTheme="minorHAnsi" w:hAnsiTheme="minorHAnsi"/>
            <w:color w:val="000000"/>
            <w:szCs w:val="22"/>
          </w:rPr>
          <w:fldChar w:fldCharType="begin"/>
        </w:r>
        <w:r w:rsidR="00E6043D">
          <w:rPr>
            <w:rFonts w:asciiTheme="minorHAnsi" w:hAnsiTheme="minorHAnsi"/>
            <w:color w:val="000000"/>
            <w:szCs w:val="22"/>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E6043D">
          <w:rPr>
            <w:rFonts w:asciiTheme="minorHAnsi" w:hAnsiTheme="minorHAnsi"/>
            <w:color w:val="000000"/>
            <w:szCs w:val="22"/>
          </w:rPr>
          <w:fldChar w:fldCharType="separate"/>
        </w:r>
        <w:r w:rsidR="00E6043D">
          <w:rPr>
            <w:rFonts w:asciiTheme="minorHAnsi" w:hAnsiTheme="minorHAnsi"/>
            <w:noProof/>
            <w:color w:val="000000"/>
            <w:szCs w:val="22"/>
          </w:rPr>
          <w:t>Kilminster</w:t>
        </w:r>
        <w:r w:rsidR="00E6043D" w:rsidRPr="00D821F1">
          <w:rPr>
            <w:rFonts w:asciiTheme="minorHAnsi" w:hAnsiTheme="minorHAnsi"/>
            <w:i/>
            <w:noProof/>
            <w:color w:val="000000"/>
            <w:szCs w:val="22"/>
          </w:rPr>
          <w:t>, et al.</w:t>
        </w:r>
        <w:r w:rsidR="00E6043D">
          <w:rPr>
            <w:rFonts w:asciiTheme="minorHAnsi" w:hAnsiTheme="minorHAnsi"/>
            <w:noProof/>
            <w:color w:val="000000"/>
            <w:szCs w:val="22"/>
          </w:rPr>
          <w:t xml:space="preserve"> 2015</w:t>
        </w:r>
        <w:r w:rsidR="00E6043D">
          <w:rPr>
            <w:rFonts w:asciiTheme="minorHAnsi" w:hAnsiTheme="minorHAnsi"/>
            <w:color w:val="000000"/>
            <w:szCs w:val="22"/>
          </w:rPr>
          <w:fldChar w:fldCharType="end"/>
        </w:r>
      </w:hyperlink>
      <w:r w:rsidRPr="00227E53">
        <w:rPr>
          <w:rFonts w:asciiTheme="minorHAnsi" w:hAnsiTheme="minorHAnsi"/>
          <w:color w:val="000000"/>
          <w:szCs w:val="22"/>
        </w:rPr>
        <w:t>)</w:t>
      </w:r>
      <w:r w:rsidRPr="00227E53">
        <w:rPr>
          <w:color w:val="000000"/>
          <w:szCs w:val="22"/>
        </w:rPr>
        <w:t xml:space="preserve">. </w:t>
      </w:r>
    </w:p>
    <w:p w:rsidR="00744C57" w:rsidRDefault="00744C57" w:rsidP="00744C57">
      <w:pPr>
        <w:rPr>
          <w:color w:val="000000"/>
          <w:szCs w:val="22"/>
        </w:rPr>
      </w:pPr>
      <w:proofErr w:type="spellStart"/>
      <w:r w:rsidRPr="00357C17">
        <w:rPr>
          <w:i/>
          <w:color w:val="000000"/>
          <w:szCs w:val="22"/>
        </w:rPr>
        <w:t>Thalassia</w:t>
      </w:r>
      <w:proofErr w:type="spellEnd"/>
      <w:r>
        <w:rPr>
          <w:i/>
          <w:color w:val="000000"/>
          <w:szCs w:val="22"/>
        </w:rPr>
        <w:t xml:space="preserve"> </w:t>
      </w:r>
      <w:proofErr w:type="spellStart"/>
      <w:r>
        <w:rPr>
          <w:i/>
          <w:color w:val="000000"/>
          <w:szCs w:val="22"/>
        </w:rPr>
        <w:t>hemprichii</w:t>
      </w:r>
      <w:proofErr w:type="spellEnd"/>
      <w:r w:rsidRPr="00357C17">
        <w:rPr>
          <w:color w:val="000000"/>
          <w:szCs w:val="22"/>
        </w:rPr>
        <w:t xml:space="preserve"> </w:t>
      </w:r>
      <w:r>
        <w:rPr>
          <w:color w:val="000000"/>
          <w:szCs w:val="22"/>
        </w:rPr>
        <w:t xml:space="preserve">and </w:t>
      </w:r>
      <w:proofErr w:type="spellStart"/>
      <w:r w:rsidRPr="000F5B66">
        <w:rPr>
          <w:i/>
          <w:color w:val="000000"/>
          <w:szCs w:val="22"/>
        </w:rPr>
        <w:t>Enhalus</w:t>
      </w:r>
      <w:proofErr w:type="spellEnd"/>
      <w:r w:rsidRPr="000F5B66">
        <w:rPr>
          <w:i/>
          <w:color w:val="000000"/>
          <w:szCs w:val="22"/>
        </w:rPr>
        <w:t xml:space="preserve"> </w:t>
      </w:r>
      <w:proofErr w:type="spellStart"/>
      <w:r w:rsidRPr="000F5B66">
        <w:rPr>
          <w:i/>
          <w:color w:val="000000"/>
          <w:szCs w:val="22"/>
        </w:rPr>
        <w:t>acoroides</w:t>
      </w:r>
      <w:proofErr w:type="spellEnd"/>
      <w:r>
        <w:rPr>
          <w:color w:val="000000"/>
          <w:szCs w:val="22"/>
        </w:rPr>
        <w:t xml:space="preserve"> </w:t>
      </w:r>
      <w:r w:rsidRPr="00357C17">
        <w:rPr>
          <w:color w:val="000000"/>
          <w:szCs w:val="22"/>
        </w:rPr>
        <w:t xml:space="preserve">are considered to be a </w:t>
      </w:r>
      <w:r>
        <w:rPr>
          <w:color w:val="000000"/>
          <w:szCs w:val="22"/>
        </w:rPr>
        <w:t>persistent species</w:t>
      </w:r>
      <w:r w:rsidRPr="00357C17">
        <w:rPr>
          <w:color w:val="000000"/>
          <w:szCs w:val="22"/>
        </w:rPr>
        <w:t>, being perennial and using the carbohydrate reserve in their rhizomes for maintenance if their leaves are removed (</w:t>
      </w:r>
      <w:hyperlink w:anchor="_ENREF_82" w:tooltip="Dawes, 1981 #5006" w:history="1">
        <w:r w:rsidR="00E6043D">
          <w:rPr>
            <w:color w:val="000000"/>
            <w:szCs w:val="22"/>
          </w:rPr>
          <w:fldChar w:fldCharType="begin"/>
        </w:r>
        <w:r w:rsidR="00E6043D">
          <w:rPr>
            <w:color w:val="000000"/>
            <w:szCs w:val="22"/>
          </w:rPr>
          <w:instrText xml:space="preserve"> ADDIN EN.CITE &lt;EndNote&gt;&lt;Cite&gt;&lt;Author&gt;Dawes&lt;/Author&gt;&lt;Year&gt;1981&lt;/Year&gt;&lt;RecNum&gt;5006&lt;/RecNum&gt;&lt;DisplayText&gt;Dawes 1981&lt;/DisplayText&gt;&lt;record&gt;&lt;rec-number&gt;5006&lt;/rec-number&gt;&lt;foreign-keys&gt;&lt;key app="EN" db-id="0eve55x9y5vfd6e9dacxtew4eatve2dzds9a"&gt;5006&lt;/key&gt;&lt;/foreign-keys&gt;&lt;ref-type name="Book"&gt;6&lt;/ref-type&gt;&lt;contributors&gt;&lt;authors&gt;&lt;author&gt;Dawes, Clinton J&lt;/author&gt;&lt;/authors&gt;&lt;/contributors&gt;&lt;titles&gt;&lt;title&gt;Marine botany&lt;/title&gt;&lt;/titles&gt;&lt;pages&gt;628&lt;/pages&gt;&lt;keywords&gt;&lt;keyword&gt;seagrasses protogynous monoecious taxa&lt;/keyword&gt;&lt;/keywords&gt;&lt;dates&gt;&lt;year&gt;1981&lt;/year&gt;&lt;/dates&gt;&lt;pub-location&gt;New York, NY&lt;/pub-location&gt;&lt;publisher&gt;John Wiley &amp;amp; Sons, Inc&lt;/publisher&gt;&lt;label&gt;XF&lt;/label&gt;&lt;urls&gt;&lt;/urls&gt;&lt;/record&gt;&lt;/Cite&gt;&lt;/EndNote&gt;</w:instrText>
        </w:r>
        <w:r w:rsidR="00E6043D">
          <w:rPr>
            <w:color w:val="000000"/>
            <w:szCs w:val="22"/>
          </w:rPr>
          <w:fldChar w:fldCharType="separate"/>
        </w:r>
        <w:r w:rsidR="00E6043D">
          <w:rPr>
            <w:noProof/>
            <w:color w:val="000000"/>
            <w:szCs w:val="22"/>
          </w:rPr>
          <w:t>Dawes 1981</w:t>
        </w:r>
        <w:r w:rsidR="00E6043D">
          <w:rPr>
            <w:color w:val="000000"/>
            <w:szCs w:val="22"/>
          </w:rPr>
          <w:fldChar w:fldCharType="end"/>
        </w:r>
      </w:hyperlink>
      <w:r w:rsidRPr="00357C17">
        <w:rPr>
          <w:color w:val="000000"/>
          <w:szCs w:val="22"/>
        </w:rPr>
        <w:t xml:space="preserve">). Conversely, </w:t>
      </w:r>
      <w:proofErr w:type="spellStart"/>
      <w:r w:rsidRPr="00357C17">
        <w:rPr>
          <w:i/>
          <w:color w:val="000000"/>
          <w:szCs w:val="22"/>
        </w:rPr>
        <w:t>Halophila</w:t>
      </w:r>
      <w:proofErr w:type="spellEnd"/>
      <w:r w:rsidRPr="00357C17">
        <w:rPr>
          <w:i/>
          <w:color w:val="000000"/>
          <w:szCs w:val="22"/>
        </w:rPr>
        <w:t xml:space="preserve"> </w:t>
      </w:r>
      <w:proofErr w:type="spellStart"/>
      <w:r w:rsidRPr="00357C17">
        <w:rPr>
          <w:i/>
          <w:color w:val="000000"/>
          <w:szCs w:val="22"/>
        </w:rPr>
        <w:t>ovalis</w:t>
      </w:r>
      <w:proofErr w:type="spellEnd"/>
      <w:r w:rsidRPr="00357C17">
        <w:rPr>
          <w:color w:val="000000"/>
          <w:szCs w:val="22"/>
        </w:rPr>
        <w:t xml:space="preserve"> displays characteristics of a</w:t>
      </w:r>
      <w:r>
        <w:rPr>
          <w:color w:val="000000"/>
          <w:szCs w:val="22"/>
        </w:rPr>
        <w:t xml:space="preserve"> colonising species </w:t>
      </w:r>
      <w:r w:rsidRPr="00357C17">
        <w:rPr>
          <w:color w:val="000000"/>
          <w:szCs w:val="22"/>
        </w:rPr>
        <w:t>with high reproductive output and little investment in competition or maintenance (</w:t>
      </w:r>
      <w:hyperlink w:anchor="_ENREF_204" w:tooltip="Rasheed, 2004 #8683" w:history="1">
        <w:r w:rsidR="00E6043D">
          <w:rPr>
            <w:color w:val="000000"/>
            <w:szCs w:val="22"/>
          </w:rPr>
          <w:fldChar w:fldCharType="begin"/>
        </w:r>
        <w:r w:rsidR="00E6043D">
          <w:rPr>
            <w:color w:val="000000"/>
            <w:szCs w:val="22"/>
          </w:rPr>
          <w:instrText xml:space="preserve"> ADDIN EN.CITE &lt;EndNote&gt;&lt;Cite&gt;&lt;Author&gt;Rasheed&lt;/Author&gt;&lt;Year&gt;2004&lt;/Year&gt;&lt;RecNum&gt;8683&lt;/RecNum&gt;&lt;DisplayText&gt;Rasheed 2004&lt;/DisplayText&gt;&lt;record&gt;&lt;rec-number&gt;8683&lt;/rec-number&gt;&lt;foreign-keys&gt;&lt;key app="EN" db-id="0eve55x9y5vfd6e9dacxtew4eatve2dzds9a"&gt;8683&lt;/key&gt;&lt;/foreign-keys&gt;&lt;ref-type name="Journal Article"&gt;17&lt;/ref-type&gt;&lt;contributors&gt;&lt;authors&gt;&lt;author&gt;Rasheed, Michael A&lt;/author&gt;&lt;/authors&gt;&lt;/contributors&gt;&lt;titles&gt;&lt;title&gt;Recovery and succession in a multi-species tropical seagrass meadow following experimental disturbance: the role of sexual and asexual reproduction&lt;/title&gt;&lt;secondary-title&gt;Journal of Experimental Marine Biology and Ecology&lt;/secondary-title&gt;&lt;/titles&gt;&lt;periodical&gt;&lt;full-title&gt;Journal of Experimental Marine Biology and Ecology&lt;/full-title&gt;&lt;/periodical&gt;&lt;pages&gt;13-45&lt;/pages&gt;&lt;volume&gt;310&lt;/volume&gt;&lt;dates&gt;&lt;year&gt;2004&lt;/year&gt;&lt;/dates&gt;&lt;urls&gt;&lt;/urls&gt;&lt;/record&gt;&lt;/Cite&gt;&lt;/EndNote&gt;</w:instrText>
        </w:r>
        <w:r w:rsidR="00E6043D">
          <w:rPr>
            <w:color w:val="000000"/>
            <w:szCs w:val="22"/>
          </w:rPr>
          <w:fldChar w:fldCharType="separate"/>
        </w:r>
        <w:r w:rsidR="00E6043D">
          <w:rPr>
            <w:noProof/>
            <w:color w:val="000000"/>
            <w:szCs w:val="22"/>
          </w:rPr>
          <w:t>Rasheed 2004</w:t>
        </w:r>
        <w:r w:rsidR="00E6043D">
          <w:rPr>
            <w:color w:val="000000"/>
            <w:szCs w:val="22"/>
          </w:rPr>
          <w:fldChar w:fldCharType="end"/>
        </w:r>
      </w:hyperlink>
      <w:r w:rsidRPr="00357C17">
        <w:rPr>
          <w:color w:val="000000"/>
          <w:szCs w:val="22"/>
        </w:rPr>
        <w:t xml:space="preserve">). However, </w:t>
      </w:r>
      <w:r w:rsidRPr="00357C17">
        <w:rPr>
          <w:i/>
          <w:color w:val="000000"/>
          <w:szCs w:val="22"/>
        </w:rPr>
        <w:t>Z</w:t>
      </w:r>
      <w:r>
        <w:rPr>
          <w:i/>
          <w:color w:val="000000"/>
          <w:szCs w:val="22"/>
        </w:rPr>
        <w:t xml:space="preserve">. </w:t>
      </w:r>
      <w:proofErr w:type="spellStart"/>
      <w:r>
        <w:rPr>
          <w:i/>
          <w:color w:val="000000"/>
          <w:szCs w:val="22"/>
        </w:rPr>
        <w:t>muelleri</w:t>
      </w:r>
      <w:proofErr w:type="spellEnd"/>
      <w:r w:rsidRPr="00357C17">
        <w:rPr>
          <w:color w:val="000000"/>
          <w:szCs w:val="22"/>
        </w:rPr>
        <w:t xml:space="preserve">, and also </w:t>
      </w:r>
      <w:r>
        <w:rPr>
          <w:i/>
          <w:color w:val="000000"/>
          <w:szCs w:val="22"/>
        </w:rPr>
        <w:t xml:space="preserve">H. </w:t>
      </w:r>
      <w:proofErr w:type="spellStart"/>
      <w:r>
        <w:rPr>
          <w:i/>
          <w:color w:val="000000"/>
          <w:szCs w:val="22"/>
        </w:rPr>
        <w:t>uninervis</w:t>
      </w:r>
      <w:proofErr w:type="spellEnd"/>
      <w:r w:rsidRPr="00357C17">
        <w:rPr>
          <w:color w:val="000000"/>
          <w:szCs w:val="22"/>
        </w:rPr>
        <w:t xml:space="preserve">, </w:t>
      </w:r>
      <w:proofErr w:type="spellStart"/>
      <w:r w:rsidRPr="000F5B66">
        <w:rPr>
          <w:i/>
          <w:color w:val="000000"/>
          <w:szCs w:val="22"/>
        </w:rPr>
        <w:t>Cymodocea</w:t>
      </w:r>
      <w:proofErr w:type="spellEnd"/>
      <w:r>
        <w:rPr>
          <w:color w:val="000000"/>
          <w:szCs w:val="22"/>
        </w:rPr>
        <w:t xml:space="preserve"> </w:t>
      </w:r>
      <w:proofErr w:type="spellStart"/>
      <w:r>
        <w:rPr>
          <w:color w:val="000000"/>
          <w:szCs w:val="22"/>
        </w:rPr>
        <w:t>spp</w:t>
      </w:r>
      <w:proofErr w:type="spellEnd"/>
      <w:r w:rsidRPr="00227E53">
        <w:rPr>
          <w:color w:val="000000"/>
          <w:szCs w:val="22"/>
        </w:rPr>
        <w:t xml:space="preserve">, and </w:t>
      </w:r>
      <w:proofErr w:type="spellStart"/>
      <w:r w:rsidRPr="000F5B66">
        <w:rPr>
          <w:i/>
          <w:color w:val="000000"/>
          <w:szCs w:val="22"/>
        </w:rPr>
        <w:t>Syringodium</w:t>
      </w:r>
      <w:proofErr w:type="spellEnd"/>
      <w:r w:rsidRPr="00357C17">
        <w:rPr>
          <w:color w:val="000000"/>
          <w:szCs w:val="22"/>
        </w:rPr>
        <w:t xml:space="preserve"> </w:t>
      </w:r>
      <w:r>
        <w:rPr>
          <w:color w:val="000000"/>
          <w:szCs w:val="22"/>
        </w:rPr>
        <w:t xml:space="preserve">can be </w:t>
      </w:r>
      <w:r w:rsidRPr="004F7213">
        <w:rPr>
          <w:color w:val="000000"/>
          <w:szCs w:val="22"/>
        </w:rPr>
        <w:t>classified into more than category</w:t>
      </w:r>
      <w:r>
        <w:rPr>
          <w:color w:val="000000"/>
          <w:szCs w:val="22"/>
        </w:rPr>
        <w:t>,</w:t>
      </w:r>
      <w:r w:rsidRPr="004F7213">
        <w:rPr>
          <w:color w:val="000000"/>
          <w:szCs w:val="22"/>
        </w:rPr>
        <w:t xml:space="preserve"> </w:t>
      </w:r>
      <w:r>
        <w:rPr>
          <w:color w:val="000000"/>
          <w:szCs w:val="22"/>
        </w:rPr>
        <w:t>as they can acting as both colonising and opportunistic species</w:t>
      </w:r>
      <w:r w:rsidRPr="00357C17">
        <w:rPr>
          <w:color w:val="000000"/>
          <w:szCs w:val="22"/>
        </w:rPr>
        <w:t xml:space="preserve"> during meadow expansion/recovery phase (after loss)</w:t>
      </w:r>
      <w:r>
        <w:rPr>
          <w:color w:val="000000"/>
          <w:szCs w:val="22"/>
        </w:rPr>
        <w:t>,</w:t>
      </w:r>
      <w:r w:rsidRPr="00357C17">
        <w:rPr>
          <w:color w:val="000000"/>
          <w:szCs w:val="22"/>
        </w:rPr>
        <w:t xml:space="preserve"> </w:t>
      </w:r>
      <w:r>
        <w:rPr>
          <w:color w:val="000000"/>
          <w:szCs w:val="22"/>
        </w:rPr>
        <w:t>or</w:t>
      </w:r>
      <w:r w:rsidRPr="00357C17">
        <w:rPr>
          <w:color w:val="000000"/>
          <w:szCs w:val="22"/>
        </w:rPr>
        <w:t xml:space="preserve"> depending on the environment within which they persist (</w:t>
      </w:r>
      <w:hyperlink w:anchor="_ENREF_120" w:tooltip="Harrison, 1979 #3970" w:history="1">
        <w:r w:rsidR="00E6043D">
          <w:rPr>
            <w:color w:val="000000"/>
            <w:szCs w:val="22"/>
          </w:rPr>
          <w:fldChar w:fldCharType="begin"/>
        </w:r>
        <w:r w:rsidR="00E6043D">
          <w:rPr>
            <w:color w:val="000000"/>
            <w:szCs w:val="22"/>
          </w:rPr>
          <w:instrText xml:space="preserve"> ADDIN EN.CITE &lt;EndNote&gt;&lt;Cite&gt;&lt;Author&gt;Harrison&lt;/Author&gt;&lt;Year&gt;1979&lt;/Year&gt;&lt;RecNum&gt;3970&lt;/RecNum&gt;&lt;DisplayText&gt;Harrison 1979&lt;/DisplayText&gt;&lt;record&gt;&lt;rec-number&gt;3970&lt;/rec-number&gt;&lt;foreign-keys&gt;&lt;key app="EN" db-id="0eve55x9y5vfd6e9dacxtew4eatve2dzds9a"&gt;3970&lt;/key&gt;&lt;/foreign-keys&gt;&lt;ref-type name="Journal Article"&gt;17&lt;/ref-type&gt;&lt;contributors&gt;&lt;authors&gt;&lt;author&gt;Harrison, Paul Garth&lt;/author&gt;&lt;/authors&gt;&lt;/contributors&gt;&lt;titles&gt;&lt;title&gt;&lt;style face="normal" font="default" size="100%"&gt;Reproductive strategies in intertidal populations of two co-occurring seagrasses (&lt;/style&gt;&lt;style face="italic" font="default" size="100%"&gt;Zostera&lt;/style&gt;&lt;style face="normal" font="default" size="100%"&gt; spp.)&lt;/style&gt;&lt;/title&gt;&lt;secondary-title&gt;Canadian Journal of Botany&lt;/secondary-title&gt;&lt;/titles&gt;&lt;periodical&gt;&lt;full-title&gt;Canadian Journal of Botany&lt;/full-title&gt;&lt;/periodical&gt;&lt;pages&gt;2635-2638&lt;/pages&gt;&lt;volume&gt;57&lt;/volume&gt;&lt;dates&gt;&lt;year&gt;1979&lt;/year&gt;&lt;/dates&gt;&lt;urls&gt;&lt;/urls&gt;&lt;custom1&gt;357&lt;/custom1&gt;&lt;custom2&gt;580.5p1&lt;/custom2&gt;&lt;/record&gt;&lt;/Cite&gt;&lt;/EndNote&gt;</w:instrText>
        </w:r>
        <w:r w:rsidR="00E6043D">
          <w:rPr>
            <w:color w:val="000000"/>
            <w:szCs w:val="22"/>
          </w:rPr>
          <w:fldChar w:fldCharType="separate"/>
        </w:r>
        <w:r w:rsidR="00E6043D">
          <w:rPr>
            <w:noProof/>
            <w:color w:val="000000"/>
            <w:szCs w:val="22"/>
          </w:rPr>
          <w:t>Harrison 1979</w:t>
        </w:r>
        <w:r w:rsidR="00E6043D">
          <w:rPr>
            <w:color w:val="000000"/>
            <w:szCs w:val="22"/>
          </w:rPr>
          <w:fldChar w:fldCharType="end"/>
        </w:r>
      </w:hyperlink>
      <w:r>
        <w:rPr>
          <w:color w:val="000000"/>
          <w:szCs w:val="22"/>
        </w:rPr>
        <w:t xml:space="preserve">). </w:t>
      </w:r>
    </w:p>
    <w:p w:rsidR="00CB0F9D" w:rsidRPr="00B47F5A" w:rsidRDefault="00CB0F9D" w:rsidP="00CB0F9D">
      <w:r w:rsidRPr="00B47F5A">
        <w:t xml:space="preserve">Grouping or classifying species based on their life-history traits is a useful way of interpreting species presence/absence and even changes in species composition in an ecologically meaningful way. </w:t>
      </w:r>
      <w:r w:rsidR="00B47F5A" w:rsidRPr="00B47F5A">
        <w:t>This is particularly useful in terms of disturbance response. However, for species which can be both colonising and opportunistic, or opportunistic and persistent, t</w:t>
      </w:r>
      <w:r w:rsidRPr="00B47F5A">
        <w:t xml:space="preserve">his classification duality presents a challenge when applying the scheme in monitoring and reporting as a category must be chosen for each species. </w:t>
      </w:r>
    </w:p>
    <w:p w:rsidR="00CB0F9D" w:rsidRPr="008261A5" w:rsidRDefault="00CB0F9D" w:rsidP="00CB0F9D">
      <w:pPr>
        <w:keepNext/>
        <w:widowControl w:val="0"/>
        <w:rPr>
          <w:color w:val="000000"/>
        </w:rPr>
      </w:pPr>
      <w:r>
        <w:rPr>
          <w:noProof/>
          <w:color w:val="000000"/>
          <w:lang w:eastAsia="en-AU"/>
        </w:rPr>
        <w:lastRenderedPageBreak/>
        <w:drawing>
          <wp:inline distT="0" distB="0" distL="0" distR="0" wp14:anchorId="24C203AA" wp14:editId="421369EC">
            <wp:extent cx="5759450" cy="3956050"/>
            <wp:effectExtent l="0" t="0" r="0" b="6350"/>
            <wp:docPr id="151" name="Picture 151" descr="Illustration of species classification based on response to disturbance. Species can be classified as colonising, opportunistic or persistent depending on life history traits (adapted from Kilminster et al.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Llife history traits.png"/>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5759450" cy="3956050"/>
                    </a:xfrm>
                    <a:prstGeom prst="rect">
                      <a:avLst/>
                    </a:prstGeom>
                  </pic:spPr>
                </pic:pic>
              </a:graphicData>
            </a:graphic>
          </wp:inline>
        </w:drawing>
      </w:r>
    </w:p>
    <w:p w:rsidR="00CB0F9D" w:rsidRPr="0061638E" w:rsidRDefault="00CB0F9D" w:rsidP="00CB0F9D">
      <w:pPr>
        <w:rPr>
          <w:i/>
        </w:rPr>
      </w:pPr>
      <w:bookmarkStart w:id="599" w:name="_Ref442552717"/>
      <w:bookmarkStart w:id="600" w:name="_Toc462684947"/>
      <w:r>
        <w:t xml:space="preserve">Figure </w:t>
      </w:r>
      <w:fldSimple w:instr=" SEQ Figure \* ARABIC ">
        <w:r w:rsidR="009C068F">
          <w:rPr>
            <w:noProof/>
          </w:rPr>
          <w:t>107</w:t>
        </w:r>
      </w:fldSimple>
      <w:bookmarkEnd w:id="599"/>
      <w:r>
        <w:t xml:space="preserve">. </w:t>
      </w:r>
      <w:r w:rsidRPr="0061638E">
        <w:rPr>
          <w:i/>
        </w:rPr>
        <w:t xml:space="preserve">Species classification based on response to disturbance. Species can be classified as colonising, opportunistic or persistent depending on life history traits. (adapted from </w:t>
      </w:r>
      <w:proofErr w:type="spellStart"/>
      <w:r w:rsidRPr="0061638E">
        <w:rPr>
          <w:i/>
        </w:rPr>
        <w:t>Kilminster</w:t>
      </w:r>
      <w:proofErr w:type="spellEnd"/>
      <w:r w:rsidRPr="0061638E">
        <w:rPr>
          <w:i/>
        </w:rPr>
        <w:t xml:space="preserve"> et al. 2015)</w:t>
      </w:r>
      <w:bookmarkEnd w:id="600"/>
    </w:p>
    <w:p w:rsidR="00CB0F9D" w:rsidRPr="008261A5" w:rsidRDefault="00CB0F9D" w:rsidP="00CB0F9D">
      <w:pPr>
        <w:rPr>
          <w:color w:val="000000"/>
        </w:rPr>
      </w:pPr>
      <w:r w:rsidRPr="008261A5">
        <w:rPr>
          <w:color w:val="000000"/>
        </w:rPr>
        <w:t xml:space="preserve">The aim of this preliminary </w:t>
      </w:r>
      <w:r>
        <w:rPr>
          <w:color w:val="000000"/>
        </w:rPr>
        <w:t>analysis</w:t>
      </w:r>
      <w:r w:rsidRPr="008261A5">
        <w:rPr>
          <w:color w:val="000000"/>
        </w:rPr>
        <w:t xml:space="preserve"> was to determine whether morphological traits of seagrasses can be used as a means to classify species, in the context of their prevailing life history. If so, a traits-based approach to species classification could be used for species that can fall into more th</w:t>
      </w:r>
      <w:r>
        <w:rPr>
          <w:color w:val="000000"/>
        </w:rPr>
        <w:t>an one species category (colonis</w:t>
      </w:r>
      <w:r w:rsidRPr="008261A5">
        <w:rPr>
          <w:color w:val="000000"/>
        </w:rPr>
        <w:t xml:space="preserve">ing, opportunistic, </w:t>
      </w:r>
      <w:r>
        <w:rPr>
          <w:color w:val="000000"/>
        </w:rPr>
        <w:t xml:space="preserve">or </w:t>
      </w:r>
      <w:r w:rsidRPr="008261A5">
        <w:rPr>
          <w:color w:val="000000"/>
        </w:rPr>
        <w:t>persistent)</w:t>
      </w:r>
      <w:r>
        <w:rPr>
          <w:color w:val="000000"/>
        </w:rPr>
        <w:t>, a</w:t>
      </w:r>
      <w:r w:rsidRPr="008261A5">
        <w:rPr>
          <w:color w:val="000000"/>
        </w:rPr>
        <w:t>nd the classification could change based on changing life history traits. Morphological traits including internode length and leaf width have been routinely measured during MMP sampling. Internode length is a measure of the space between leaf scars, and is therefore the length of rhizome that grows during the production of a new leaf</w:t>
      </w:r>
      <w:r>
        <w:rPr>
          <w:color w:val="000000"/>
        </w:rPr>
        <w:t xml:space="preserve"> (</w:t>
      </w:r>
      <w:r w:rsidR="00B47F5A">
        <w:rPr>
          <w:color w:val="000000"/>
        </w:rPr>
        <w:fldChar w:fldCharType="begin"/>
      </w:r>
      <w:r w:rsidR="00B47F5A">
        <w:rPr>
          <w:color w:val="000000"/>
        </w:rPr>
        <w:instrText xml:space="preserve"> REF _Ref442552743 \h </w:instrText>
      </w:r>
      <w:r w:rsidR="00B47F5A">
        <w:rPr>
          <w:color w:val="000000"/>
        </w:rPr>
      </w:r>
      <w:r w:rsidR="00B47F5A">
        <w:rPr>
          <w:color w:val="000000"/>
        </w:rPr>
        <w:fldChar w:fldCharType="separate"/>
      </w:r>
      <w:r w:rsidR="009C068F">
        <w:t xml:space="preserve">Figure </w:t>
      </w:r>
      <w:r w:rsidR="009C068F">
        <w:rPr>
          <w:noProof/>
        </w:rPr>
        <w:t>108</w:t>
      </w:r>
      <w:r w:rsidR="00B47F5A">
        <w:rPr>
          <w:color w:val="000000"/>
        </w:rPr>
        <w:fldChar w:fldCharType="end"/>
      </w:r>
      <w:r>
        <w:rPr>
          <w:color w:val="000000"/>
        </w:rPr>
        <w:t>)</w:t>
      </w:r>
      <w:r w:rsidRPr="008261A5">
        <w:rPr>
          <w:color w:val="000000"/>
        </w:rPr>
        <w:t>. New leaf production occurs every 12 – 20 days under good growing conditions (</w:t>
      </w:r>
      <w:hyperlink w:anchor="_ENREF_69" w:tooltip="Collier, 2012 #9368" w:history="1">
        <w:r w:rsidR="00E6043D">
          <w:rPr>
            <w:color w:val="000000"/>
          </w:rPr>
          <w:fldChar w:fldCharType="begin">
            <w:fldData xml:space="preserve">PEVuZE5vdGU+PENpdGU+PEF1dGhvcj5Db2xsaWVyPC9BdXRob3I+PFllYXI+MjAxMjwvWWVhcj48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=
</w:fldData>
          </w:fldChar>
        </w:r>
        <w:r w:rsidR="00E6043D">
          <w:rPr>
            <w:color w:val="000000"/>
          </w:rPr>
          <w:instrText xml:space="preserve"> ADDIN EN.CITE </w:instrText>
        </w:r>
        <w:r w:rsidR="00E6043D">
          <w:rPr>
            <w:color w:val="000000"/>
          </w:rPr>
          <w:fldChar w:fldCharType="begin">
            <w:fldData xml:space="preserve">PEVuZE5vdGU+PENpdGU+PEF1dGhvcj5Db2xsaWVyPC9BdXRob3I+PFllYXI+MjAxMjwvWWVhcj48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=
</w:fldData>
          </w:fldChar>
        </w:r>
        <w:r w:rsidR="00E6043D">
          <w:rPr>
            <w:color w:val="000000"/>
          </w:rPr>
          <w:instrText xml:space="preserve"> ADDIN EN.CITE.DATA </w:instrText>
        </w:r>
        <w:r w:rsidR="00E6043D">
          <w:rPr>
            <w:color w:val="000000"/>
          </w:rPr>
        </w:r>
        <w:r w:rsidR="00E6043D">
          <w:rPr>
            <w:color w:val="000000"/>
          </w:rPr>
          <w:fldChar w:fldCharType="end"/>
        </w:r>
        <w:r w:rsidR="00E6043D">
          <w:rPr>
            <w:color w:val="000000"/>
          </w:rPr>
        </w:r>
        <w:r w:rsidR="00E6043D">
          <w:rPr>
            <w:color w:val="000000"/>
          </w:rPr>
          <w:fldChar w:fldCharType="separate"/>
        </w:r>
        <w:r w:rsidR="00E6043D">
          <w:rPr>
            <w:noProof/>
            <w:color w:val="000000"/>
          </w:rPr>
          <w:t>Collier</w:t>
        </w:r>
        <w:r w:rsidR="00E6043D" w:rsidRPr="009E5562">
          <w:rPr>
            <w:i/>
            <w:noProof/>
            <w:color w:val="000000"/>
          </w:rPr>
          <w:t>, et al.</w:t>
        </w:r>
        <w:r w:rsidR="00E6043D">
          <w:rPr>
            <w:noProof/>
            <w:color w:val="000000"/>
          </w:rPr>
          <w:t xml:space="preserve"> 2012c</w:t>
        </w:r>
        <w:r w:rsidR="00E6043D">
          <w:rPr>
            <w:color w:val="000000"/>
          </w:rPr>
          <w:fldChar w:fldCharType="end"/>
        </w:r>
      </w:hyperlink>
      <w:r w:rsidRPr="008261A5">
        <w:rPr>
          <w:color w:val="000000"/>
        </w:rPr>
        <w:t>).  A rapidly expanding, colonizing plant can have long internodes and fast rates of rhizome extension (</w:t>
      </w:r>
      <w:r w:rsidR="00644A84">
        <w:rPr>
          <w:color w:val="000000"/>
        </w:rPr>
        <w:fldChar w:fldCharType="begin"/>
      </w:r>
      <w:r w:rsidR="00644A84">
        <w:rPr>
          <w:color w:val="000000"/>
        </w:rPr>
        <w:instrText xml:space="preserve"> ADDIN EN.CITE &lt;EndNote&gt;&lt;Cite&gt;&lt;Author&gt;McMahon&lt;/Author&gt;&lt;Year&gt;2005&lt;/Year&gt;&lt;RecNum&gt;7315&lt;/RecNum&gt;&lt;DisplayText&gt;Duarte and Sand-Jensen 1990; McMahon 2005&lt;/DisplayText&gt;&lt;record&gt;&lt;rec-number&gt;7315&lt;/rec-number&gt;&lt;foreign-keys&gt;&lt;key app="EN" db-id="0eve55x9y5vfd6e9dacxtew4eatve2dzds9a"&gt;7315&lt;/key&gt;&lt;/foreign-keys&gt;&lt;ref-type name="Thesis"&gt;32&lt;/ref-type&gt;&lt;contributors&gt;&lt;authors&gt;&lt;author&gt;McMahon, K.&lt;/author&gt;&lt;/authors&gt;&lt;tertiary-authors&gt;&lt;author&gt;Waycott, M&lt;/author&gt;&lt;author&gt;Lovelock, C&lt;/author&gt;&lt;author&gt;Duke, N C&lt;/author&gt;&lt;author&gt;Udy, J&lt;/author&gt;&lt;/tertiary-authors&gt;&lt;/contributors&gt;&lt;titles&gt;&lt;title&gt;Recovery of subtropical seagrasses from natural disturbance&lt;/title&gt;&lt;secondary-title&gt;Centre for Marine Studies&lt;/secondary-title&gt;&lt;short-title&gt;Seagrass recivery from disturbance&lt;/short-title&gt;&lt;/titles&gt;&lt;pages&gt;236&lt;/pages&gt;&lt;dates&gt;&lt;year&gt;2005&lt;/year&gt;&lt;/dates&gt;&lt;pub-location&gt;Bribane&lt;/pub-location&gt;&lt;publisher&gt;University of Queensland&lt;/publisher&gt;&lt;work-type&gt;PhD&lt;/work-type&gt;&lt;urls&gt;&lt;/urls&gt;&lt;/record&gt;&lt;/Cite&gt;&lt;Cite&gt;&lt;Author&gt;Duarte&lt;/Author&gt;&lt;Year&gt;1990&lt;/Year&gt;&lt;RecNum&gt;1444&lt;/RecNum&gt;&lt;record&gt;&lt;rec-number&gt;1444&lt;/rec-number&gt;&lt;foreign-keys&gt;&lt;key app="EN" db-id="0eve55x9y5vfd6e9dacxtew4eatve2dzds9a"&gt;1444&lt;/key&gt;&lt;/foreign-keys&gt;&lt;ref-type name="Journal Article"&gt;17&lt;/ref-type&gt;&lt;contributors&gt;&lt;authors&gt;&lt;author&gt;Duarte, C. M.&lt;/author&gt;&lt;author&gt;Sand-Jensen, K.&lt;/author&gt;&lt;/authors&gt;&lt;/contributors&gt;&lt;titles&gt;&lt;title&gt;&lt;style face="normal" font="default" size="100%"&gt;Seagrass colonization: Patch formation and patch growth in &lt;/style&gt;&lt;style face="italic" font="default" size="100%"&gt;Cymodocea nodosa&lt;/style&gt;&lt;/title&gt;&lt;secondary-title&gt;Marine Ecology Progress Series&lt;/secondary-title&gt;&lt;alt-title&gt;Mar. Ecol. Prog. Ser.&lt;/alt-title&gt;&lt;/titles&gt;&lt;periodical&gt;&lt;full-title&gt;Marine Ecology Progress Series&lt;/full-title&gt;&lt;/periodical&gt;&lt;pages&gt;193-200&lt;/pages&gt;&lt;volume&gt;65&lt;/volume&gt;&lt;number&gt;2&lt;/number&gt;&lt;keywords&gt;&lt;keyword&gt;SEAGRASS&lt;/keyword&gt;&lt;/keywords&gt;&lt;dates&gt;&lt;year&gt;1990&lt;/year&gt;&lt;/dates&gt;&lt;label&gt;1529&lt;/label&gt;&lt;urls&gt;&lt;/urls&gt;&lt;custom1&gt;Annex&lt;/custom1&gt;&lt;/record&gt;&lt;/Cite&gt;&lt;/EndNote&gt;</w:instrText>
      </w:r>
      <w:r w:rsidR="00644A84">
        <w:rPr>
          <w:color w:val="000000"/>
        </w:rPr>
        <w:fldChar w:fldCharType="separate"/>
      </w:r>
      <w:hyperlink w:anchor="_ENREF_97" w:tooltip="Duarte, 1990 #1444" w:history="1">
        <w:r w:rsidR="00E6043D">
          <w:rPr>
            <w:noProof/>
            <w:color w:val="000000"/>
          </w:rPr>
          <w:t>Duarte and Sand-Jensen 1990</w:t>
        </w:r>
      </w:hyperlink>
      <w:r w:rsidR="00644A84">
        <w:rPr>
          <w:noProof/>
          <w:color w:val="000000"/>
        </w:rPr>
        <w:t xml:space="preserve">; </w:t>
      </w:r>
      <w:hyperlink w:anchor="_ENREF_182" w:tooltip="McMahon, 2005 #7315" w:history="1">
        <w:r w:rsidR="00E6043D">
          <w:rPr>
            <w:noProof/>
            <w:color w:val="000000"/>
          </w:rPr>
          <w:t>McMahon 2005</w:t>
        </w:r>
      </w:hyperlink>
      <w:r w:rsidR="00644A84">
        <w:rPr>
          <w:color w:val="000000"/>
        </w:rPr>
        <w:fldChar w:fldCharType="end"/>
      </w:r>
      <w:r w:rsidRPr="008261A5">
        <w:rPr>
          <w:color w:val="000000"/>
        </w:rPr>
        <w:t>). Wide leaves are generally expected for larger species that form established or persistent communities (</w:t>
      </w:r>
      <w:hyperlink w:anchor="_ENREF_182" w:tooltip="McMahon, 2005 #7315" w:history="1">
        <w:r w:rsidR="00E6043D">
          <w:rPr>
            <w:color w:val="000000"/>
          </w:rPr>
          <w:fldChar w:fldCharType="begin"/>
        </w:r>
        <w:r w:rsidR="00E6043D">
          <w:rPr>
            <w:color w:val="000000"/>
          </w:rPr>
          <w:instrText xml:space="preserve"> ADDIN EN.CITE &lt;EndNote&gt;&lt;Cite&gt;&lt;Author&gt;McMahon&lt;/Author&gt;&lt;Year&gt;2005&lt;/Year&gt;&lt;RecNum&gt;7315&lt;/RecNum&gt;&lt;DisplayText&gt;McMahon 2005&lt;/DisplayText&gt;&lt;record&gt;&lt;rec-number&gt;7315&lt;/rec-number&gt;&lt;foreign-keys&gt;&lt;key app="EN" db-id="0eve55x9y5vfd6e9dacxtew4eatve2dzds9a"&gt;7315&lt;/key&gt;&lt;/foreign-keys&gt;&lt;ref-type name="Thesis"&gt;32&lt;/ref-type&gt;&lt;contributors&gt;&lt;authors&gt;&lt;author&gt;McMahon, K.&lt;/author&gt;&lt;/authors&gt;&lt;tertiary-authors&gt;&lt;author&gt;Waycott, M&lt;/author&gt;&lt;author&gt;Lovelock, C&lt;/author&gt;&lt;author&gt;Duke, N C&lt;/author&gt;&lt;author&gt;Udy, J&lt;/author&gt;&lt;/tertiary-authors&gt;&lt;/contributors&gt;&lt;titles&gt;&lt;title&gt;Recovery of subtropical seagrasses from natural disturbance&lt;/title&gt;&lt;secondary-title&gt;Centre for Marine Studies&lt;/secondary-title&gt;&lt;short-title&gt;Seagrass recivery from disturbance&lt;/short-title&gt;&lt;/titles&gt;&lt;pages&gt;236&lt;/pages&gt;&lt;dates&gt;&lt;year&gt;2005&lt;/year&gt;&lt;/dates&gt;&lt;pub-location&gt;Bribane&lt;/pub-location&gt;&lt;publisher&gt;University of Queensland&lt;/publisher&gt;&lt;work-type&gt;PhD&lt;/work-type&gt;&lt;urls&gt;&lt;/urls&gt;&lt;/record&gt;&lt;/Cite&gt;&lt;/EndNote&gt;</w:instrText>
        </w:r>
        <w:r w:rsidR="00E6043D">
          <w:rPr>
            <w:color w:val="000000"/>
          </w:rPr>
          <w:fldChar w:fldCharType="separate"/>
        </w:r>
        <w:r w:rsidR="00E6043D">
          <w:rPr>
            <w:noProof/>
            <w:color w:val="000000"/>
          </w:rPr>
          <w:t>McMahon 2005</w:t>
        </w:r>
        <w:r w:rsidR="00E6043D">
          <w:rPr>
            <w:color w:val="000000"/>
          </w:rPr>
          <w:fldChar w:fldCharType="end"/>
        </w:r>
      </w:hyperlink>
      <w:r w:rsidRPr="008261A5">
        <w:rPr>
          <w:color w:val="000000"/>
        </w:rPr>
        <w:t xml:space="preserve">). These traits were measured once per year on samples that were routinely collected for the analysis of reproductive effort typically in the late dry and late monsoon season sampling. The following text outlines an initial exploration of this data for two of the dominant species in the GBR. </w:t>
      </w:r>
    </w:p>
    <w:p w:rsidR="00CB0F9D" w:rsidRDefault="00CB0F9D" w:rsidP="00CB0F9D">
      <w:pPr>
        <w:rPr>
          <w:noProof/>
          <w:color w:val="000000"/>
          <w:lang w:eastAsia="en-AU"/>
        </w:rPr>
      </w:pPr>
    </w:p>
    <w:p w:rsidR="00CB0F9D" w:rsidRPr="008261A5" w:rsidRDefault="00CB0F9D" w:rsidP="00CB0F9D">
      <w:pPr>
        <w:jc w:val="center"/>
        <w:rPr>
          <w:color w:val="000000"/>
        </w:rPr>
      </w:pPr>
      <w:r>
        <w:rPr>
          <w:noProof/>
          <w:color w:val="000000"/>
          <w:lang w:eastAsia="en-AU"/>
        </w:rPr>
        <w:lastRenderedPageBreak/>
        <w:drawing>
          <wp:inline distT="0" distB="0" distL="0" distR="0" wp14:anchorId="7DD3626A" wp14:editId="31737AFD">
            <wp:extent cx="3502159" cy="3959360"/>
            <wp:effectExtent l="0" t="0" r="3175" b="3175"/>
            <wp:docPr id="152" name="Picture 152" descr="Illustration showing morphological traits, including internode length and leaf width have been routinely measured and have been used in a traits-based exploration of species classific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zostera capricorni.pn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3502159" cy="3959360"/>
                    </a:xfrm>
                    <a:prstGeom prst="rect">
                      <a:avLst/>
                    </a:prstGeom>
                  </pic:spPr>
                </pic:pic>
              </a:graphicData>
            </a:graphic>
          </wp:inline>
        </w:drawing>
      </w:r>
    </w:p>
    <w:p w:rsidR="00CB0F9D" w:rsidRPr="00A23C55" w:rsidRDefault="00CB0F9D" w:rsidP="00CB0F9D">
      <w:pPr>
        <w:rPr>
          <w:i/>
        </w:rPr>
      </w:pPr>
      <w:bookmarkStart w:id="601" w:name="_Ref442552743"/>
      <w:bookmarkStart w:id="602" w:name="_Toc462684948"/>
      <w:r>
        <w:t xml:space="preserve">Figure </w:t>
      </w:r>
      <w:fldSimple w:instr=" SEQ Figure \* ARABIC ">
        <w:r w:rsidR="009C068F">
          <w:rPr>
            <w:noProof/>
          </w:rPr>
          <w:t>108</w:t>
        </w:r>
      </w:fldSimple>
      <w:bookmarkEnd w:id="601"/>
      <w:r>
        <w:t xml:space="preserve">.  </w:t>
      </w:r>
      <w:r w:rsidRPr="00A23C55">
        <w:rPr>
          <w:i/>
        </w:rPr>
        <w:t>Morphological traits, including internode length and leaf width have been routinely measured and have been used in a traits-based exploration of species classification.</w:t>
      </w:r>
      <w:bookmarkEnd w:id="602"/>
      <w:r w:rsidRPr="00A23C55">
        <w:rPr>
          <w:i/>
        </w:rPr>
        <w:t xml:space="preserve"> </w:t>
      </w:r>
    </w:p>
    <w:p w:rsidR="00CB0F9D" w:rsidRPr="008261A5" w:rsidRDefault="00CB0F9D" w:rsidP="00CB0F9D">
      <w:pPr>
        <w:rPr>
          <w:color w:val="000000"/>
        </w:rPr>
      </w:pPr>
    </w:p>
    <w:p w:rsidR="00CB0F9D" w:rsidRPr="008261A5" w:rsidRDefault="00CB0F9D" w:rsidP="00CB0F9D">
      <w:pPr>
        <w:rPr>
          <w:color w:val="000000"/>
        </w:rPr>
      </w:pPr>
      <w:r w:rsidRPr="008261A5">
        <w:rPr>
          <w:color w:val="000000"/>
        </w:rPr>
        <w:t xml:space="preserve">The morphology (internode length and leaf width) of </w:t>
      </w:r>
      <w:r w:rsidRPr="00C2462D">
        <w:rPr>
          <w:i/>
          <w:color w:val="000000"/>
        </w:rPr>
        <w:t xml:space="preserve">Z. </w:t>
      </w:r>
      <w:proofErr w:type="spellStart"/>
      <w:r w:rsidRPr="00C2462D">
        <w:rPr>
          <w:i/>
          <w:color w:val="000000"/>
        </w:rPr>
        <w:t>muelleri</w:t>
      </w:r>
      <w:proofErr w:type="spellEnd"/>
      <w:r w:rsidRPr="008261A5">
        <w:rPr>
          <w:color w:val="000000"/>
        </w:rPr>
        <w:t xml:space="preserve"> was tested for differences among sites, regions, habitats and year using Multi-dimensional Scaling (MDS) in Primer-e (v6). Morphology was not distinctly clustered based on habitat and/or NRM</w:t>
      </w:r>
      <w:r>
        <w:rPr>
          <w:color w:val="000000"/>
        </w:rPr>
        <w:t>,</w:t>
      </w:r>
      <w:r w:rsidRPr="008261A5">
        <w:rPr>
          <w:color w:val="000000"/>
        </w:rPr>
        <w:t xml:space="preserve"> as all habitats separating to the right of the MDS plot, were also contained in the cluster to the left (</w:t>
      </w:r>
      <w:r w:rsidR="00955221">
        <w:rPr>
          <w:color w:val="000000"/>
        </w:rPr>
        <w:fldChar w:fldCharType="begin"/>
      </w:r>
      <w:r w:rsidR="00955221">
        <w:rPr>
          <w:color w:val="000000"/>
        </w:rPr>
        <w:instrText xml:space="preserve"> REF _Ref442552858 \h </w:instrText>
      </w:r>
      <w:r w:rsidR="00955221">
        <w:rPr>
          <w:color w:val="000000"/>
        </w:rPr>
      </w:r>
      <w:r w:rsidR="00955221">
        <w:rPr>
          <w:color w:val="000000"/>
        </w:rPr>
        <w:fldChar w:fldCharType="separate"/>
      </w:r>
      <w:r w:rsidR="009C068F">
        <w:t xml:space="preserve">Figure </w:t>
      </w:r>
      <w:r w:rsidR="009C068F">
        <w:rPr>
          <w:noProof/>
        </w:rPr>
        <w:t>109</w:t>
      </w:r>
      <w:r w:rsidR="00955221">
        <w:rPr>
          <w:color w:val="000000"/>
        </w:rPr>
        <w:fldChar w:fldCharType="end"/>
      </w:r>
      <w:r w:rsidRPr="008261A5">
        <w:rPr>
          <w:color w:val="000000"/>
        </w:rPr>
        <w:t>). However, there was a clear separation based on year; the years before extreme climatic events (pre-2011) had considerably smaller morphological traits, while post-2011, internodes were longer and leaves were wider (</w:t>
      </w:r>
      <w:r w:rsidR="00955221">
        <w:rPr>
          <w:color w:val="000000"/>
        </w:rPr>
        <w:fldChar w:fldCharType="begin"/>
      </w:r>
      <w:r w:rsidR="00955221">
        <w:rPr>
          <w:color w:val="000000"/>
        </w:rPr>
        <w:instrText xml:space="preserve"> REF _Ref442552858 \h </w:instrText>
      </w:r>
      <w:r w:rsidR="00955221">
        <w:rPr>
          <w:color w:val="000000"/>
        </w:rPr>
      </w:r>
      <w:r w:rsidR="00955221">
        <w:rPr>
          <w:color w:val="000000"/>
        </w:rPr>
        <w:fldChar w:fldCharType="separate"/>
      </w:r>
      <w:r w:rsidR="009C068F">
        <w:t xml:space="preserve">Figure </w:t>
      </w:r>
      <w:r w:rsidR="009C068F">
        <w:rPr>
          <w:noProof/>
        </w:rPr>
        <w:t>109</w:t>
      </w:r>
      <w:r w:rsidR="00955221">
        <w:rPr>
          <w:color w:val="000000"/>
        </w:rPr>
        <w:fldChar w:fldCharType="end"/>
      </w:r>
      <w:r w:rsidR="00955221">
        <w:rPr>
          <w:color w:val="000000"/>
        </w:rPr>
        <w:t xml:space="preserve">, </w:t>
      </w:r>
      <w:r w:rsidR="00955221">
        <w:rPr>
          <w:color w:val="000000"/>
        </w:rPr>
        <w:fldChar w:fldCharType="begin"/>
      </w:r>
      <w:r w:rsidR="00955221">
        <w:rPr>
          <w:color w:val="000000"/>
        </w:rPr>
        <w:instrText xml:space="preserve"> REF _Ref442552929 \h </w:instrText>
      </w:r>
      <w:r w:rsidR="00955221">
        <w:rPr>
          <w:color w:val="000000"/>
        </w:rPr>
      </w:r>
      <w:r w:rsidR="00955221">
        <w:rPr>
          <w:color w:val="000000"/>
        </w:rPr>
        <w:fldChar w:fldCharType="separate"/>
      </w:r>
      <w:r w:rsidR="009C068F">
        <w:t xml:space="preserve">Figure </w:t>
      </w:r>
      <w:r w:rsidR="009C068F">
        <w:rPr>
          <w:noProof/>
        </w:rPr>
        <w:t>110</w:t>
      </w:r>
      <w:r w:rsidR="00955221">
        <w:rPr>
          <w:color w:val="000000"/>
        </w:rPr>
        <w:fldChar w:fldCharType="end"/>
      </w:r>
      <w:r w:rsidRPr="008261A5">
        <w:rPr>
          <w:color w:val="000000"/>
        </w:rPr>
        <w:t>). This is consistent with the hypothesis that meadows were in a growth and meadow expansion phase post-2011 whereby they were spreading across the seascape, with large internode length. In recovering meadows at Hervey Bay, rhizome internode length was also largest in meadows that were recently disturbed, and therefore in early stages of recovery, while more mature meadows had shorter internodes (</w:t>
      </w:r>
      <w:hyperlink w:anchor="_ENREF_182" w:tooltip="McMahon, 2005 #7315" w:history="1">
        <w:r w:rsidR="00E6043D">
          <w:rPr>
            <w:color w:val="000000"/>
          </w:rPr>
          <w:fldChar w:fldCharType="begin"/>
        </w:r>
        <w:r w:rsidR="00E6043D">
          <w:rPr>
            <w:color w:val="000000"/>
          </w:rPr>
          <w:instrText xml:space="preserve"> ADDIN EN.CITE &lt;EndNote&gt;&lt;Cite&gt;&lt;Author&gt;McMahon&lt;/Author&gt;&lt;Year&gt;2005&lt;/Year&gt;&lt;RecNum&gt;7315&lt;/RecNum&gt;&lt;DisplayText&gt;McMahon 2005&lt;/DisplayText&gt;&lt;record&gt;&lt;rec-number&gt;7315&lt;/rec-number&gt;&lt;foreign-keys&gt;&lt;key app="EN" db-id="0eve55x9y5vfd6e9dacxtew4eatve2dzds9a"&gt;7315&lt;/key&gt;&lt;/foreign-keys&gt;&lt;ref-type name="Thesis"&gt;32&lt;/ref-type&gt;&lt;contributors&gt;&lt;authors&gt;&lt;author&gt;McMahon, K.&lt;/author&gt;&lt;/authors&gt;&lt;tertiary-authors&gt;&lt;author&gt;Waycott, M&lt;/author&gt;&lt;author&gt;Lovelock, C&lt;/author&gt;&lt;author&gt;Duke, N C&lt;/author&gt;&lt;author&gt;Udy, J&lt;/author&gt;&lt;/tertiary-authors&gt;&lt;/contributors&gt;&lt;titles&gt;&lt;title&gt;Recovery of subtropical seagrasses from natural disturbance&lt;/title&gt;&lt;secondary-title&gt;Centre for Marine Studies&lt;/secondary-title&gt;&lt;short-title&gt;Seagrass recivery from disturbance&lt;/short-title&gt;&lt;/titles&gt;&lt;pages&gt;236&lt;/pages&gt;&lt;dates&gt;&lt;year&gt;2005&lt;/year&gt;&lt;/dates&gt;&lt;pub-location&gt;Bribane&lt;/pub-location&gt;&lt;publisher&gt;University of Queensland&lt;/publisher&gt;&lt;work-type&gt;PhD&lt;/work-type&gt;&lt;urls&gt;&lt;/urls&gt;&lt;/record&gt;&lt;/Cite&gt;&lt;/EndNote&gt;</w:instrText>
        </w:r>
        <w:r w:rsidR="00E6043D">
          <w:rPr>
            <w:color w:val="000000"/>
          </w:rPr>
          <w:fldChar w:fldCharType="separate"/>
        </w:r>
        <w:r w:rsidR="00E6043D">
          <w:rPr>
            <w:noProof/>
            <w:color w:val="000000"/>
          </w:rPr>
          <w:t>McMahon 2005</w:t>
        </w:r>
        <w:r w:rsidR="00E6043D">
          <w:rPr>
            <w:color w:val="000000"/>
          </w:rPr>
          <w:fldChar w:fldCharType="end"/>
        </w:r>
      </w:hyperlink>
      <w:r w:rsidRPr="008261A5">
        <w:rPr>
          <w:color w:val="000000"/>
        </w:rPr>
        <w:t>). In contrast, in Hervey Bay, leaf width tended to increase with meadow development (</w:t>
      </w:r>
      <w:hyperlink w:anchor="_ENREF_182" w:tooltip="McMahon, 2005 #7315" w:history="1">
        <w:r w:rsidR="00E6043D">
          <w:rPr>
            <w:color w:val="000000"/>
          </w:rPr>
          <w:fldChar w:fldCharType="begin"/>
        </w:r>
        <w:r w:rsidR="00E6043D">
          <w:rPr>
            <w:color w:val="000000"/>
          </w:rPr>
          <w:instrText xml:space="preserve"> ADDIN EN.CITE &lt;EndNote&gt;&lt;Cite&gt;&lt;Author&gt;McMahon&lt;/Author&gt;&lt;Year&gt;2005&lt;/Year&gt;&lt;RecNum&gt;7315&lt;/RecNum&gt;&lt;DisplayText&gt;McMahon 2005&lt;/DisplayText&gt;&lt;record&gt;&lt;rec-number&gt;7315&lt;/rec-number&gt;&lt;foreign-keys&gt;&lt;key app="EN" db-id="0eve55x9y5vfd6e9dacxtew4eatve2dzds9a"&gt;7315&lt;/key&gt;&lt;/foreign-keys&gt;&lt;ref-type name="Thesis"&gt;32&lt;/ref-type&gt;&lt;contributors&gt;&lt;authors&gt;&lt;author&gt;McMahon, K.&lt;/author&gt;&lt;/authors&gt;&lt;tertiary-authors&gt;&lt;author&gt;Waycott, M&lt;/author&gt;&lt;author&gt;Lovelock, C&lt;/author&gt;&lt;author&gt;Duke, N C&lt;/author&gt;&lt;author&gt;Udy, J&lt;/author&gt;&lt;/tertiary-authors&gt;&lt;/contributors&gt;&lt;titles&gt;&lt;title&gt;Recovery of subtropical seagrasses from natural disturbance&lt;/title&gt;&lt;secondary-title&gt;Centre for Marine Studies&lt;/secondary-title&gt;&lt;short-title&gt;Seagrass recivery from disturbance&lt;/short-title&gt;&lt;/titles&gt;&lt;pages&gt;236&lt;/pages&gt;&lt;dates&gt;&lt;year&gt;2005&lt;/year&gt;&lt;/dates&gt;&lt;pub-location&gt;Bribane&lt;/pub-location&gt;&lt;publisher&gt;University of Queensland&lt;/publisher&gt;&lt;work-type&gt;PhD&lt;/work-type&gt;&lt;urls&gt;&lt;/urls&gt;&lt;/record&gt;&lt;/Cite&gt;&lt;/EndNote&gt;</w:instrText>
        </w:r>
        <w:r w:rsidR="00E6043D">
          <w:rPr>
            <w:color w:val="000000"/>
          </w:rPr>
          <w:fldChar w:fldCharType="separate"/>
        </w:r>
        <w:r w:rsidR="00E6043D">
          <w:rPr>
            <w:noProof/>
            <w:color w:val="000000"/>
          </w:rPr>
          <w:t>McMahon 2005</w:t>
        </w:r>
        <w:r w:rsidR="00E6043D">
          <w:rPr>
            <w:color w:val="000000"/>
          </w:rPr>
          <w:fldChar w:fldCharType="end"/>
        </w:r>
      </w:hyperlink>
      <w:r w:rsidRPr="008261A5">
        <w:rPr>
          <w:color w:val="000000"/>
        </w:rPr>
        <w:t xml:space="preserve">), which is the reverse of that reported here.  The rapid appearance of wide-leaved </w:t>
      </w:r>
      <w:r w:rsidRPr="00955221">
        <w:rPr>
          <w:i/>
          <w:color w:val="000000"/>
        </w:rPr>
        <w:t xml:space="preserve">Z. </w:t>
      </w:r>
      <w:proofErr w:type="spellStart"/>
      <w:r w:rsidRPr="00955221">
        <w:rPr>
          <w:i/>
          <w:color w:val="000000"/>
        </w:rPr>
        <w:t>muelleri</w:t>
      </w:r>
      <w:proofErr w:type="spellEnd"/>
      <w:r w:rsidRPr="008261A5">
        <w:rPr>
          <w:color w:val="000000"/>
        </w:rPr>
        <w:t xml:space="preserve"> post-2011 may indicate that meadows went quickly into a transitory mode with long internode lengths and wide leaf widths similar to the intermediate meadows described in McMahon (2005). During the recovery phase, there has also been considerably greater variation in traits and the cause of this variability warrants further enquiry.</w:t>
      </w:r>
    </w:p>
    <w:p w:rsidR="00CB0F9D" w:rsidRPr="008261A5" w:rsidRDefault="00CB0F9D" w:rsidP="00CB0F9D">
      <w:pPr>
        <w:rPr>
          <w:color w:val="000000"/>
        </w:rPr>
      </w:pPr>
    </w:p>
    <w:p w:rsidR="00CB0F9D" w:rsidRPr="008261A5" w:rsidRDefault="00CB0F9D" w:rsidP="00CB0F9D">
      <w:pPr>
        <w:rPr>
          <w:color w:val="000000"/>
        </w:rPr>
      </w:pPr>
      <w:r>
        <w:rPr>
          <w:noProof/>
          <w:color w:val="000000"/>
          <w:lang w:eastAsia="en-AU"/>
        </w:rPr>
        <w:lastRenderedPageBreak/>
        <w:drawing>
          <wp:inline distT="0" distB="0" distL="0" distR="0" wp14:anchorId="364206C4" wp14:editId="1E0A524A">
            <wp:extent cx="5759450" cy="1943100"/>
            <wp:effectExtent l="0" t="0" r="0" b="0"/>
            <wp:docPr id="153" name="Picture 153" descr="Multidimensional scaling plot of Zostera muelleri morphological traits (leaf width and internode length) showing the level of similarity (clustering) by habitat within each NRM region and pooled across reg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Zostera Habitat_NRM_Fig.png"/>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5759450" cy="1943100"/>
                    </a:xfrm>
                    <a:prstGeom prst="rect">
                      <a:avLst/>
                    </a:prstGeom>
                  </pic:spPr>
                </pic:pic>
              </a:graphicData>
            </a:graphic>
          </wp:inline>
        </w:drawing>
      </w:r>
    </w:p>
    <w:p w:rsidR="00CB0F9D" w:rsidRPr="00A23C55" w:rsidRDefault="00CB0F9D" w:rsidP="00CB0F9D">
      <w:pPr>
        <w:rPr>
          <w:i/>
        </w:rPr>
      </w:pPr>
      <w:bookmarkStart w:id="603" w:name="_Ref442552858"/>
      <w:bookmarkStart w:id="604" w:name="_Toc462684949"/>
      <w:r>
        <w:t xml:space="preserve">Figure </w:t>
      </w:r>
      <w:fldSimple w:instr=" SEQ Figure \* ARABIC ">
        <w:r w:rsidR="009C068F">
          <w:rPr>
            <w:noProof/>
          </w:rPr>
          <w:t>109</w:t>
        </w:r>
      </w:fldSimple>
      <w:bookmarkEnd w:id="603"/>
      <w:r>
        <w:t xml:space="preserve">.  </w:t>
      </w:r>
      <w:r w:rsidRPr="00A23C55">
        <w:rPr>
          <w:i/>
        </w:rPr>
        <w:t xml:space="preserve">MDS of </w:t>
      </w:r>
      <w:proofErr w:type="spellStart"/>
      <w:r w:rsidRPr="00C2462D">
        <w:t>Zostera</w:t>
      </w:r>
      <w:proofErr w:type="spellEnd"/>
      <w:r w:rsidRPr="00C2462D">
        <w:t xml:space="preserve"> </w:t>
      </w:r>
      <w:proofErr w:type="spellStart"/>
      <w:r w:rsidRPr="00C2462D">
        <w:t>muelleri</w:t>
      </w:r>
      <w:proofErr w:type="spellEnd"/>
      <w:r w:rsidRPr="00A23C55">
        <w:rPr>
          <w:i/>
        </w:rPr>
        <w:t xml:space="preserve"> morphological traits (leaf width and internode length) plotted by: a. habitat (estuarine, reef, coastal) within each NRM region (CY, WT, B, MW, F, BM) and</w:t>
      </w:r>
      <w:r>
        <w:rPr>
          <w:i/>
        </w:rPr>
        <w:t>;</w:t>
      </w:r>
      <w:r w:rsidRPr="00A23C55">
        <w:rPr>
          <w:i/>
        </w:rPr>
        <w:t xml:space="preserve"> b. habitat only.</w:t>
      </w:r>
      <w:bookmarkEnd w:id="604"/>
      <w:r w:rsidRPr="00A23C55">
        <w:rPr>
          <w:i/>
        </w:rPr>
        <w:t xml:space="preserve"> </w:t>
      </w:r>
    </w:p>
    <w:p w:rsidR="00CB0F9D" w:rsidRPr="008261A5" w:rsidRDefault="00CB0F9D" w:rsidP="00CB0F9D">
      <w:pPr>
        <w:rPr>
          <w:color w:val="000000"/>
        </w:rPr>
      </w:pPr>
      <w:r>
        <w:rPr>
          <w:noProof/>
          <w:color w:val="000000"/>
          <w:lang w:eastAsia="en-AU"/>
        </w:rPr>
        <w:drawing>
          <wp:inline distT="0" distB="0" distL="0" distR="0" wp14:anchorId="0D03A67F" wp14:editId="6016FFCC">
            <wp:extent cx="5759450" cy="1844675"/>
            <wp:effectExtent l="0" t="0" r="0" b="3175"/>
            <wp:docPr id="154" name="Picture 154" descr="Panel of two plots, the first being a multidimensional scaling plot of Zostera muelleri leaf width and internode length plotted over time and the second a temporal dot/scatter plot for all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Zostera year_morphology_fig.png"/>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5759450" cy="1844675"/>
                    </a:xfrm>
                    <a:prstGeom prst="rect">
                      <a:avLst/>
                    </a:prstGeom>
                  </pic:spPr>
                </pic:pic>
              </a:graphicData>
            </a:graphic>
          </wp:inline>
        </w:drawing>
      </w:r>
    </w:p>
    <w:p w:rsidR="00CB0F9D" w:rsidRPr="00A23C55" w:rsidRDefault="00CB0F9D" w:rsidP="00CB0F9D">
      <w:pPr>
        <w:rPr>
          <w:i/>
        </w:rPr>
      </w:pPr>
      <w:bookmarkStart w:id="605" w:name="_Ref442552929"/>
      <w:bookmarkStart w:id="606" w:name="_Toc462684950"/>
      <w:r>
        <w:t xml:space="preserve">Figure </w:t>
      </w:r>
      <w:fldSimple w:instr=" SEQ Figure \* ARABIC ">
        <w:r w:rsidR="009C068F">
          <w:rPr>
            <w:noProof/>
          </w:rPr>
          <w:t>110</w:t>
        </w:r>
      </w:fldSimple>
      <w:bookmarkEnd w:id="605"/>
      <w:r>
        <w:t xml:space="preserve">.  </w:t>
      </w:r>
      <w:proofErr w:type="spellStart"/>
      <w:r w:rsidRPr="00C2462D">
        <w:t>Zostera</w:t>
      </w:r>
      <w:proofErr w:type="spellEnd"/>
      <w:r w:rsidRPr="00C2462D">
        <w:t xml:space="preserve"> </w:t>
      </w:r>
      <w:proofErr w:type="spellStart"/>
      <w:r w:rsidRPr="00C2462D">
        <w:t>muelleri</w:t>
      </w:r>
      <w:proofErr w:type="spellEnd"/>
      <w:r w:rsidRPr="00A23C55">
        <w:rPr>
          <w:i/>
        </w:rPr>
        <w:t xml:space="preserve"> leaf width and internode length plotted over time using MDS (left), and a temporal dot plot for all data (right).</w:t>
      </w:r>
      <w:bookmarkEnd w:id="606"/>
    </w:p>
    <w:p w:rsidR="00CB0F9D" w:rsidRPr="008261A5" w:rsidRDefault="00CB0F9D" w:rsidP="00CB0F9D">
      <w:pPr>
        <w:rPr>
          <w:color w:val="000000"/>
        </w:rPr>
      </w:pPr>
    </w:p>
    <w:p w:rsidR="00CB0F9D" w:rsidRPr="008261A5" w:rsidRDefault="00CB0F9D" w:rsidP="00CB0F9D">
      <w:pPr>
        <w:rPr>
          <w:color w:val="000000"/>
        </w:rPr>
      </w:pPr>
      <w:r w:rsidRPr="008261A5">
        <w:rPr>
          <w:color w:val="000000"/>
        </w:rPr>
        <w:t xml:space="preserve">Focusing the analysis on pre-2011 samples only, demonstrates that at that time there were no distinct differences among populations of </w:t>
      </w:r>
      <w:r w:rsidRPr="00955221">
        <w:rPr>
          <w:i/>
          <w:color w:val="000000"/>
        </w:rPr>
        <w:t xml:space="preserve">Z. </w:t>
      </w:r>
      <w:proofErr w:type="spellStart"/>
      <w:r w:rsidRPr="00955221">
        <w:rPr>
          <w:i/>
          <w:color w:val="000000"/>
        </w:rPr>
        <w:t>muelleri</w:t>
      </w:r>
      <w:proofErr w:type="spellEnd"/>
      <w:r w:rsidRPr="008261A5">
        <w:rPr>
          <w:color w:val="000000"/>
        </w:rPr>
        <w:t xml:space="preserve"> based on NRM and habitat (</w:t>
      </w:r>
      <w:r w:rsidR="00955221">
        <w:rPr>
          <w:color w:val="000000"/>
        </w:rPr>
        <w:fldChar w:fldCharType="begin"/>
      </w:r>
      <w:r w:rsidR="00955221">
        <w:rPr>
          <w:color w:val="000000"/>
        </w:rPr>
        <w:instrText xml:space="preserve"> REF _Ref442552985 \h </w:instrText>
      </w:r>
      <w:r w:rsidR="00955221">
        <w:rPr>
          <w:color w:val="000000"/>
        </w:rPr>
      </w:r>
      <w:r w:rsidR="00955221">
        <w:rPr>
          <w:color w:val="000000"/>
        </w:rPr>
        <w:fldChar w:fldCharType="separate"/>
      </w:r>
      <w:r w:rsidR="009C068F">
        <w:t xml:space="preserve">Figure </w:t>
      </w:r>
      <w:r w:rsidR="009C068F">
        <w:rPr>
          <w:noProof/>
        </w:rPr>
        <w:t>111</w:t>
      </w:r>
      <w:r w:rsidR="00955221">
        <w:rPr>
          <w:color w:val="000000"/>
        </w:rPr>
        <w:fldChar w:fldCharType="end"/>
      </w:r>
      <w:r w:rsidRPr="008261A5">
        <w:rPr>
          <w:color w:val="000000"/>
        </w:rPr>
        <w:t xml:space="preserve">). </w:t>
      </w:r>
    </w:p>
    <w:p w:rsidR="00CB0F9D" w:rsidRPr="008261A5" w:rsidRDefault="00CB0F9D" w:rsidP="00CB0F9D">
      <w:pPr>
        <w:rPr>
          <w:color w:val="000000"/>
        </w:rPr>
      </w:pPr>
    </w:p>
    <w:p w:rsidR="00CB0F9D" w:rsidRPr="008261A5" w:rsidRDefault="00CB0F9D" w:rsidP="00CB0F9D">
      <w:pPr>
        <w:jc w:val="center"/>
        <w:rPr>
          <w:color w:val="000000"/>
        </w:rPr>
      </w:pPr>
      <w:r>
        <w:rPr>
          <w:noProof/>
          <w:color w:val="000000"/>
          <w:lang w:eastAsia="en-AU"/>
        </w:rPr>
        <w:drawing>
          <wp:inline distT="0" distB="0" distL="0" distR="0" wp14:anchorId="6D600EA5" wp14:editId="191ED278">
            <wp:extent cx="3600000" cy="2412000"/>
            <wp:effectExtent l="0" t="0" r="635" b="7620"/>
            <wp:docPr id="155" name="Picture 155" descr="Multidimensional scaling plot of Zostera muelleri morphological traits for 2006 to 2011 by habitat with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Zostera pre-Yasi Habitat_NRM.png"/>
                    <pic:cNvPicPr/>
                  </pic:nvPicPr>
                  <pic:blipFill>
                    <a:blip r:embed="rId152" cstate="print">
                      <a:extLst>
                        <a:ext uri="{28A0092B-C50C-407E-A947-70E740481C1C}">
                          <a14:useLocalDpi xmlns:a14="http://schemas.microsoft.com/office/drawing/2010/main" val="0"/>
                        </a:ext>
                      </a:extLst>
                    </a:blip>
                    <a:stretch>
                      <a:fillRect/>
                    </a:stretch>
                  </pic:blipFill>
                  <pic:spPr>
                    <a:xfrm>
                      <a:off x="0" y="0"/>
                      <a:ext cx="3600000" cy="2412000"/>
                    </a:xfrm>
                    <a:prstGeom prst="rect">
                      <a:avLst/>
                    </a:prstGeom>
                  </pic:spPr>
                </pic:pic>
              </a:graphicData>
            </a:graphic>
          </wp:inline>
        </w:drawing>
      </w:r>
    </w:p>
    <w:p w:rsidR="00CB0F9D" w:rsidRPr="00A23C55" w:rsidRDefault="00CB0F9D" w:rsidP="00CB0F9D">
      <w:pPr>
        <w:rPr>
          <w:i/>
        </w:rPr>
      </w:pPr>
      <w:bookmarkStart w:id="607" w:name="_Ref442552985"/>
      <w:bookmarkStart w:id="608" w:name="_Toc462684951"/>
      <w:r>
        <w:t xml:space="preserve">Figure </w:t>
      </w:r>
      <w:fldSimple w:instr=" SEQ Figure \* ARABIC ">
        <w:r w:rsidR="009C068F">
          <w:rPr>
            <w:noProof/>
          </w:rPr>
          <w:t>111</w:t>
        </w:r>
      </w:fldSimple>
      <w:bookmarkEnd w:id="607"/>
      <w:r>
        <w:t xml:space="preserve">.  </w:t>
      </w:r>
      <w:r w:rsidRPr="00A23C55">
        <w:rPr>
          <w:i/>
        </w:rPr>
        <w:t xml:space="preserve">MDS of </w:t>
      </w:r>
      <w:proofErr w:type="spellStart"/>
      <w:r w:rsidRPr="00C2462D">
        <w:t>Zostera</w:t>
      </w:r>
      <w:proofErr w:type="spellEnd"/>
      <w:r w:rsidRPr="00C2462D">
        <w:t xml:space="preserve"> </w:t>
      </w:r>
      <w:proofErr w:type="spellStart"/>
      <w:r w:rsidRPr="00C2462D">
        <w:t>muelleri</w:t>
      </w:r>
      <w:proofErr w:type="spellEnd"/>
      <w:r w:rsidRPr="00A23C55">
        <w:rPr>
          <w:i/>
        </w:rPr>
        <w:t xml:space="preserve"> morphological traits for 2006 – 2011 by habitat (Estuarine, Reef, Coastal) within region (CY, WT, B, MW, F, BM).</w:t>
      </w:r>
      <w:bookmarkEnd w:id="608"/>
      <w:r w:rsidRPr="00A23C55">
        <w:rPr>
          <w:i/>
        </w:rPr>
        <w:t xml:space="preserve"> </w:t>
      </w:r>
    </w:p>
    <w:p w:rsidR="00CB0F9D" w:rsidRPr="008261A5" w:rsidRDefault="00CB0F9D" w:rsidP="00CB0F9D">
      <w:pPr>
        <w:rPr>
          <w:color w:val="000000"/>
        </w:rPr>
      </w:pPr>
      <w:r w:rsidRPr="008261A5">
        <w:rPr>
          <w:color w:val="000000"/>
        </w:rPr>
        <w:lastRenderedPageBreak/>
        <w:t xml:space="preserve">Similarly, morphological traits of </w:t>
      </w:r>
      <w:r w:rsidRPr="00955221">
        <w:rPr>
          <w:i/>
          <w:color w:val="000000"/>
        </w:rPr>
        <w:t xml:space="preserve">H. </w:t>
      </w:r>
      <w:proofErr w:type="spellStart"/>
      <w:r w:rsidRPr="00955221">
        <w:rPr>
          <w:i/>
          <w:color w:val="000000"/>
        </w:rPr>
        <w:t>uninervis</w:t>
      </w:r>
      <w:proofErr w:type="spellEnd"/>
      <w:r w:rsidRPr="008261A5">
        <w:rPr>
          <w:color w:val="000000"/>
        </w:rPr>
        <w:t xml:space="preserve"> did not clearly separate based on habitat and/or region</w:t>
      </w:r>
      <w:r w:rsidR="00955221">
        <w:rPr>
          <w:color w:val="000000"/>
        </w:rPr>
        <w:t xml:space="preserve"> (</w:t>
      </w:r>
      <w:r w:rsidR="00955221">
        <w:rPr>
          <w:color w:val="000000"/>
        </w:rPr>
        <w:fldChar w:fldCharType="begin"/>
      </w:r>
      <w:r w:rsidR="00955221">
        <w:rPr>
          <w:color w:val="000000"/>
        </w:rPr>
        <w:instrText xml:space="preserve"> REF _Ref442553024 \h </w:instrText>
      </w:r>
      <w:r w:rsidR="00955221">
        <w:rPr>
          <w:color w:val="000000"/>
        </w:rPr>
      </w:r>
      <w:r w:rsidR="00955221">
        <w:rPr>
          <w:color w:val="000000"/>
        </w:rPr>
        <w:fldChar w:fldCharType="separate"/>
      </w:r>
      <w:r w:rsidR="009C068F">
        <w:t xml:space="preserve">Figure </w:t>
      </w:r>
      <w:r w:rsidR="009C068F">
        <w:rPr>
          <w:noProof/>
        </w:rPr>
        <w:t>112</w:t>
      </w:r>
      <w:r w:rsidR="00955221">
        <w:rPr>
          <w:color w:val="000000"/>
        </w:rPr>
        <w:fldChar w:fldCharType="end"/>
      </w:r>
      <w:r w:rsidR="00955221">
        <w:rPr>
          <w:color w:val="000000"/>
        </w:rPr>
        <w:t>)</w:t>
      </w:r>
      <w:r w:rsidRPr="008261A5">
        <w:rPr>
          <w:color w:val="000000"/>
        </w:rPr>
        <w:t>. However, there was a clear separation among years with pre-2011 morphology being smaller, than during recovery post 2011</w:t>
      </w:r>
      <w:r w:rsidR="00955221">
        <w:rPr>
          <w:color w:val="000000"/>
        </w:rPr>
        <w:t xml:space="preserve"> (</w:t>
      </w:r>
      <w:r w:rsidR="00955221">
        <w:rPr>
          <w:color w:val="000000"/>
        </w:rPr>
        <w:fldChar w:fldCharType="begin"/>
      </w:r>
      <w:r w:rsidR="00955221">
        <w:rPr>
          <w:color w:val="000000"/>
        </w:rPr>
        <w:instrText xml:space="preserve"> REF _Ref442553070 \h </w:instrText>
      </w:r>
      <w:r w:rsidR="00955221">
        <w:rPr>
          <w:color w:val="000000"/>
        </w:rPr>
      </w:r>
      <w:r w:rsidR="00955221">
        <w:rPr>
          <w:color w:val="000000"/>
        </w:rPr>
        <w:fldChar w:fldCharType="separate"/>
      </w:r>
      <w:r w:rsidR="009C068F">
        <w:t xml:space="preserve">Figure </w:t>
      </w:r>
      <w:r w:rsidR="009C068F">
        <w:rPr>
          <w:noProof/>
        </w:rPr>
        <w:t>113</w:t>
      </w:r>
      <w:r w:rsidR="00955221">
        <w:rPr>
          <w:color w:val="000000"/>
        </w:rPr>
        <w:fldChar w:fldCharType="end"/>
      </w:r>
      <w:r w:rsidR="00955221">
        <w:rPr>
          <w:color w:val="000000"/>
        </w:rPr>
        <w:t>)</w:t>
      </w:r>
      <w:r w:rsidRPr="008261A5">
        <w:rPr>
          <w:color w:val="000000"/>
        </w:rPr>
        <w:t>. In the last sampling year included in this analysis (2015), some smaller leaf widths had started appearing again. At this time, there was a separation of morphological traits from subtidal sites in the Burdekin and Wet Tropics region although there was some overlap in traits from wet tropics intertidal reef sites</w:t>
      </w:r>
      <w:r w:rsidR="00955221">
        <w:rPr>
          <w:color w:val="000000"/>
        </w:rPr>
        <w:t xml:space="preserve"> (</w:t>
      </w:r>
      <w:r w:rsidR="00955221">
        <w:rPr>
          <w:color w:val="000000"/>
        </w:rPr>
        <w:fldChar w:fldCharType="begin"/>
      </w:r>
      <w:r w:rsidR="00955221">
        <w:rPr>
          <w:color w:val="000000"/>
        </w:rPr>
        <w:instrText xml:space="preserve"> REF _Ref442553087 \h </w:instrText>
      </w:r>
      <w:r w:rsidR="00955221">
        <w:rPr>
          <w:color w:val="000000"/>
        </w:rPr>
      </w:r>
      <w:r w:rsidR="00955221">
        <w:rPr>
          <w:color w:val="000000"/>
        </w:rPr>
        <w:fldChar w:fldCharType="separate"/>
      </w:r>
      <w:r w:rsidR="009C068F">
        <w:t xml:space="preserve">Figure </w:t>
      </w:r>
      <w:r w:rsidR="009C068F">
        <w:rPr>
          <w:noProof/>
        </w:rPr>
        <w:t>114</w:t>
      </w:r>
      <w:r w:rsidR="00955221">
        <w:rPr>
          <w:color w:val="000000"/>
        </w:rPr>
        <w:fldChar w:fldCharType="end"/>
      </w:r>
      <w:r w:rsidR="00955221">
        <w:rPr>
          <w:color w:val="000000"/>
        </w:rPr>
        <w:t>)</w:t>
      </w:r>
      <w:r w:rsidRPr="008261A5">
        <w:rPr>
          <w:color w:val="000000"/>
        </w:rPr>
        <w:t xml:space="preserve">. </w:t>
      </w:r>
    </w:p>
    <w:p w:rsidR="00CB0F9D" w:rsidRPr="008261A5" w:rsidRDefault="00CB0F9D" w:rsidP="00955221">
      <w:pPr>
        <w:keepNext/>
        <w:widowControl w:val="0"/>
        <w:spacing w:after="0"/>
        <w:rPr>
          <w:color w:val="000000"/>
        </w:rPr>
      </w:pPr>
      <w:r>
        <w:rPr>
          <w:noProof/>
          <w:color w:val="000000"/>
          <w:lang w:eastAsia="en-AU"/>
        </w:rPr>
        <w:drawing>
          <wp:inline distT="0" distB="0" distL="0" distR="0" wp14:anchorId="4E7D0941" wp14:editId="2DD8DD47">
            <wp:extent cx="5759450" cy="1950085"/>
            <wp:effectExtent l="0" t="0" r="0" b="0"/>
            <wp:docPr id="156" name="Picture 156" descr="Multidimensional scaling plot of Halodule uninervis morphological traits (leaf width and internode length) showing the level of similarity (clustering) by habitat within each NRM region and pooled across regi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Halodule Habitat_NRM_Fig.png"/>
                    <pic:cNvPicPr/>
                  </pic:nvPicPr>
                  <pic:blipFill>
                    <a:blip r:embed="rId153" cstate="print">
                      <a:extLst>
                        <a:ext uri="{28A0092B-C50C-407E-A947-70E740481C1C}">
                          <a14:useLocalDpi xmlns:a14="http://schemas.microsoft.com/office/drawing/2010/main" val="0"/>
                        </a:ext>
                      </a:extLst>
                    </a:blip>
                    <a:stretch>
                      <a:fillRect/>
                    </a:stretch>
                  </pic:blipFill>
                  <pic:spPr>
                    <a:xfrm>
                      <a:off x="0" y="0"/>
                      <a:ext cx="5759450" cy="1950085"/>
                    </a:xfrm>
                    <a:prstGeom prst="rect">
                      <a:avLst/>
                    </a:prstGeom>
                  </pic:spPr>
                </pic:pic>
              </a:graphicData>
            </a:graphic>
          </wp:inline>
        </w:drawing>
      </w:r>
    </w:p>
    <w:p w:rsidR="00CB0F9D" w:rsidRPr="008261A5" w:rsidRDefault="00CB0F9D" w:rsidP="00CB0F9D">
      <w:pPr>
        <w:rPr>
          <w:color w:val="000000"/>
        </w:rPr>
      </w:pPr>
      <w:bookmarkStart w:id="609" w:name="_Ref442553024"/>
      <w:bookmarkStart w:id="610" w:name="_Toc462684952"/>
      <w:r>
        <w:t xml:space="preserve">Figure </w:t>
      </w:r>
      <w:fldSimple w:instr=" SEQ Figure \* ARABIC ">
        <w:r w:rsidR="009C068F">
          <w:rPr>
            <w:noProof/>
          </w:rPr>
          <w:t>112</w:t>
        </w:r>
      </w:fldSimple>
      <w:bookmarkEnd w:id="609"/>
      <w:r>
        <w:t xml:space="preserve">.  </w:t>
      </w:r>
      <w:r w:rsidRPr="00A23C55">
        <w:rPr>
          <w:i/>
        </w:rPr>
        <w:t xml:space="preserve">MDS of </w:t>
      </w:r>
      <w:proofErr w:type="spellStart"/>
      <w:r w:rsidRPr="00C2462D">
        <w:t>Halodule</w:t>
      </w:r>
      <w:proofErr w:type="spellEnd"/>
      <w:r w:rsidRPr="00C2462D">
        <w:t xml:space="preserve"> </w:t>
      </w:r>
      <w:proofErr w:type="spellStart"/>
      <w:r w:rsidRPr="00C2462D">
        <w:t>uninervis</w:t>
      </w:r>
      <w:proofErr w:type="spellEnd"/>
      <w:r w:rsidRPr="00A23C55">
        <w:rPr>
          <w:i/>
        </w:rPr>
        <w:t xml:space="preserve"> morphological  traits (leaf width and internode length) plotted by habitat within region.</w:t>
      </w:r>
      <w:bookmarkEnd w:id="610"/>
      <w:r w:rsidRPr="00A23C55">
        <w:rPr>
          <w:i/>
        </w:rPr>
        <w:t xml:space="preserve"> </w:t>
      </w:r>
    </w:p>
    <w:p w:rsidR="00CB0F9D" w:rsidRPr="008261A5" w:rsidRDefault="00CB0F9D" w:rsidP="00955221">
      <w:pPr>
        <w:keepNext/>
        <w:widowControl w:val="0"/>
        <w:spacing w:after="0"/>
        <w:rPr>
          <w:color w:val="000000"/>
        </w:rPr>
      </w:pPr>
      <w:r>
        <w:rPr>
          <w:noProof/>
          <w:color w:val="000000"/>
          <w:lang w:eastAsia="en-AU"/>
        </w:rPr>
        <w:drawing>
          <wp:inline distT="0" distB="0" distL="0" distR="0" wp14:anchorId="73ADBE63" wp14:editId="6B6DD4BF">
            <wp:extent cx="5759450" cy="1841500"/>
            <wp:effectExtent l="0" t="0" r="0" b="6350"/>
            <wp:docPr id="157" name="Picture 157" descr="Panel of two plots, the first being a multidimensional scaling plot of Halodule uninervis leaf width and internode length plotted over time and the second a temporal dot/scatter plot for all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Halodule year_morphology_fig.png"/>
                    <pic:cNvPicPr/>
                  </pic:nvPicPr>
                  <pic:blipFill>
                    <a:blip r:embed="rId154" cstate="print">
                      <a:extLst>
                        <a:ext uri="{28A0092B-C50C-407E-A947-70E740481C1C}">
                          <a14:useLocalDpi xmlns:a14="http://schemas.microsoft.com/office/drawing/2010/main" val="0"/>
                        </a:ext>
                      </a:extLst>
                    </a:blip>
                    <a:stretch>
                      <a:fillRect/>
                    </a:stretch>
                  </pic:blipFill>
                  <pic:spPr>
                    <a:xfrm>
                      <a:off x="0" y="0"/>
                      <a:ext cx="5759450" cy="1841500"/>
                    </a:xfrm>
                    <a:prstGeom prst="rect">
                      <a:avLst/>
                    </a:prstGeom>
                  </pic:spPr>
                </pic:pic>
              </a:graphicData>
            </a:graphic>
          </wp:inline>
        </w:drawing>
      </w:r>
    </w:p>
    <w:p w:rsidR="00CB0F9D" w:rsidRPr="00A23C55" w:rsidRDefault="00CB0F9D" w:rsidP="00CB0F9D">
      <w:pPr>
        <w:rPr>
          <w:i/>
        </w:rPr>
      </w:pPr>
      <w:bookmarkStart w:id="611" w:name="_Ref442553070"/>
      <w:bookmarkStart w:id="612" w:name="_Toc462684953"/>
      <w:r>
        <w:t xml:space="preserve">Figure </w:t>
      </w:r>
      <w:fldSimple w:instr=" SEQ Figure \* ARABIC ">
        <w:r w:rsidR="009C068F">
          <w:rPr>
            <w:noProof/>
          </w:rPr>
          <w:t>113</w:t>
        </w:r>
      </w:fldSimple>
      <w:bookmarkEnd w:id="611"/>
      <w:r>
        <w:t xml:space="preserve">.  </w:t>
      </w:r>
      <w:r w:rsidRPr="00A23C55">
        <w:rPr>
          <w:i/>
        </w:rPr>
        <w:t xml:space="preserve">Morphological traits of </w:t>
      </w:r>
      <w:r w:rsidRPr="00C2462D">
        <w:t xml:space="preserve">H. </w:t>
      </w:r>
      <w:proofErr w:type="spellStart"/>
      <w:r w:rsidRPr="00C2462D">
        <w:t>uninervis</w:t>
      </w:r>
      <w:proofErr w:type="spellEnd"/>
      <w:r w:rsidRPr="00A23C55">
        <w:rPr>
          <w:i/>
        </w:rPr>
        <w:t xml:space="preserve"> over time including MDS (left), and temporal plot (right).</w:t>
      </w:r>
      <w:bookmarkEnd w:id="612"/>
      <w:r w:rsidRPr="00A23C55">
        <w:rPr>
          <w:i/>
        </w:rPr>
        <w:t xml:space="preserve"> </w:t>
      </w:r>
    </w:p>
    <w:p w:rsidR="00CB0F9D" w:rsidRPr="008261A5" w:rsidRDefault="00CB0F9D" w:rsidP="00CB0F9D">
      <w:pPr>
        <w:rPr>
          <w:color w:val="000000"/>
        </w:rPr>
      </w:pPr>
    </w:p>
    <w:p w:rsidR="00CB0F9D" w:rsidRPr="008261A5" w:rsidRDefault="00CB0F9D" w:rsidP="00955221">
      <w:pPr>
        <w:keepNext/>
        <w:widowControl w:val="0"/>
        <w:spacing w:after="0"/>
        <w:jc w:val="center"/>
        <w:rPr>
          <w:color w:val="000000"/>
        </w:rPr>
      </w:pPr>
      <w:r>
        <w:rPr>
          <w:noProof/>
          <w:color w:val="000000"/>
          <w:lang w:eastAsia="en-AU"/>
        </w:rPr>
        <w:drawing>
          <wp:inline distT="0" distB="0" distL="0" distR="0" wp14:anchorId="6F879C18" wp14:editId="407C3689">
            <wp:extent cx="3600000" cy="2426400"/>
            <wp:effectExtent l="0" t="0" r="635" b="0"/>
            <wp:docPr id="158" name="Picture 158" descr="Multidimensional scaling plot of Halodule uninervis morphological traits for 2006 to 2011 by habitat with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HU 2015 region_habitat.pn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3600000" cy="2426400"/>
                    </a:xfrm>
                    <a:prstGeom prst="rect">
                      <a:avLst/>
                    </a:prstGeom>
                  </pic:spPr>
                </pic:pic>
              </a:graphicData>
            </a:graphic>
          </wp:inline>
        </w:drawing>
      </w:r>
    </w:p>
    <w:p w:rsidR="00CB0F9D" w:rsidRPr="00A23C55" w:rsidRDefault="00CB0F9D" w:rsidP="00CB0F9D">
      <w:pPr>
        <w:rPr>
          <w:i/>
        </w:rPr>
      </w:pPr>
      <w:bookmarkStart w:id="613" w:name="_Ref442553087"/>
      <w:bookmarkStart w:id="614" w:name="_Toc462684954"/>
      <w:r>
        <w:t xml:space="preserve">Figure </w:t>
      </w:r>
      <w:fldSimple w:instr=" SEQ Figure \* ARABIC ">
        <w:r w:rsidR="009C068F">
          <w:rPr>
            <w:noProof/>
          </w:rPr>
          <w:t>114</w:t>
        </w:r>
      </w:fldSimple>
      <w:bookmarkEnd w:id="613"/>
      <w:r>
        <w:t xml:space="preserve">.  </w:t>
      </w:r>
      <w:r w:rsidRPr="00A23C55">
        <w:rPr>
          <w:i/>
        </w:rPr>
        <w:t xml:space="preserve">Morphological traits of </w:t>
      </w:r>
      <w:r w:rsidRPr="00C2462D">
        <w:t xml:space="preserve">H. </w:t>
      </w:r>
      <w:proofErr w:type="spellStart"/>
      <w:r w:rsidRPr="00C2462D">
        <w:t>uninervis</w:t>
      </w:r>
      <w:proofErr w:type="spellEnd"/>
      <w:r w:rsidRPr="00A23C55">
        <w:rPr>
          <w:i/>
        </w:rPr>
        <w:t xml:space="preserve"> in 2015 only based on habitat within region.</w:t>
      </w:r>
      <w:bookmarkEnd w:id="614"/>
      <w:r w:rsidRPr="00A23C55">
        <w:rPr>
          <w:i/>
        </w:rPr>
        <w:t xml:space="preserve"> </w:t>
      </w:r>
    </w:p>
    <w:p w:rsidR="00CB0F9D" w:rsidRPr="008261A5" w:rsidRDefault="00CB0F9D" w:rsidP="00CB0F9D">
      <w:pPr>
        <w:rPr>
          <w:color w:val="000000"/>
        </w:rPr>
      </w:pPr>
      <w:r w:rsidRPr="008261A5">
        <w:rPr>
          <w:color w:val="000000"/>
        </w:rPr>
        <w:lastRenderedPageBreak/>
        <w:t>This preliminary exploration of data has been based on two morphological traits, which are routinely measured for two of the dominant species in the GBR. It has demonstrated that there is a separation of morphological traits based on the growth form or meadow condition (pre-2011 for stable or declining populations), and post-2011 when meadows were in a recovering form. This work can be expanded to include:</w:t>
      </w:r>
    </w:p>
    <w:p w:rsidR="00CB0F9D" w:rsidRPr="00C2462D" w:rsidRDefault="00CB0F9D" w:rsidP="001A5B75">
      <w:pPr>
        <w:numPr>
          <w:ilvl w:val="1"/>
          <w:numId w:val="15"/>
        </w:numPr>
        <w:ind w:left="851" w:hanging="284"/>
        <w:rPr>
          <w:color w:val="000000"/>
        </w:rPr>
      </w:pPr>
      <w:r w:rsidRPr="00C2462D">
        <w:rPr>
          <w:color w:val="000000"/>
        </w:rPr>
        <w:t xml:space="preserve">More traits, including traits where data already exists (e.g. canopy height, change in abundance), and those that are not yet measured but could also be useful in traits classification (e.g. biomass ratio or shoot turnover time). </w:t>
      </w:r>
    </w:p>
    <w:p w:rsidR="00CB0F9D" w:rsidRPr="00C2462D" w:rsidRDefault="00CB0F9D" w:rsidP="001A5B75">
      <w:pPr>
        <w:numPr>
          <w:ilvl w:val="1"/>
          <w:numId w:val="15"/>
        </w:numPr>
        <w:ind w:left="851" w:hanging="284"/>
        <w:rPr>
          <w:color w:val="000000"/>
        </w:rPr>
      </w:pPr>
      <w:r w:rsidRPr="00C2462D">
        <w:rPr>
          <w:color w:val="000000"/>
        </w:rPr>
        <w:t>More species (for samples already collected)</w:t>
      </w:r>
    </w:p>
    <w:p w:rsidR="00CB0F9D" w:rsidRPr="00C2462D" w:rsidRDefault="00CB0F9D" w:rsidP="001A5B75">
      <w:pPr>
        <w:numPr>
          <w:ilvl w:val="1"/>
          <w:numId w:val="15"/>
        </w:numPr>
        <w:ind w:left="851" w:hanging="284"/>
        <w:rPr>
          <w:color w:val="000000"/>
        </w:rPr>
      </w:pPr>
      <w:r w:rsidRPr="00C2462D">
        <w:rPr>
          <w:color w:val="000000"/>
        </w:rPr>
        <w:t>More times (through ongoing data collection )</w:t>
      </w:r>
    </w:p>
    <w:p w:rsidR="00CB0F9D" w:rsidRPr="00C2462D" w:rsidRDefault="00CB0F9D" w:rsidP="001A5B75">
      <w:pPr>
        <w:numPr>
          <w:ilvl w:val="1"/>
          <w:numId w:val="15"/>
        </w:numPr>
        <w:ind w:left="851" w:hanging="284"/>
        <w:rPr>
          <w:color w:val="000000"/>
        </w:rPr>
      </w:pPr>
      <w:r w:rsidRPr="00C2462D">
        <w:rPr>
          <w:color w:val="000000"/>
        </w:rPr>
        <w:t>An exploration of the increased variability in traits that was observed during recovery</w:t>
      </w:r>
    </w:p>
    <w:p w:rsidR="00CB0F9D" w:rsidRPr="008261A5" w:rsidRDefault="00CB0F9D" w:rsidP="00CB0F9D">
      <w:pPr>
        <w:rPr>
          <w:color w:val="000000"/>
        </w:rPr>
      </w:pPr>
      <w:r w:rsidRPr="008261A5">
        <w:rPr>
          <w:color w:val="000000"/>
        </w:rPr>
        <w:t>Most importantly, this presents a very preliminary demonstration that morphological traits can be used to distinguish the prevailing life history traits of seagrasses. Therefore these traits could provide the basis for species classification</w:t>
      </w:r>
      <w:r w:rsidR="00C13FB2">
        <w:rPr>
          <w:color w:val="000000"/>
        </w:rPr>
        <w:t xml:space="preserve"> and indicator of disturbance</w:t>
      </w:r>
      <w:r w:rsidRPr="008261A5">
        <w:rPr>
          <w:color w:val="000000"/>
        </w:rPr>
        <w:t xml:space="preserve">. However, we are yet to develop an actual classification scheme with numerical values (thresholds) that can be used to distinguish the classification for each species. Once this is finalized, a three-step successional analysis can be performed similar to that contained in Figure X  . Furthermore, species composition (based on traits classification) could be incorporated as a metric into the annual GBR report card as an indicator of meadow trajectory or condition. </w:t>
      </w:r>
    </w:p>
    <w:p w:rsidR="00CB0F9D" w:rsidRPr="008261A5" w:rsidRDefault="00CB0F9D" w:rsidP="00CB0F9D">
      <w:pPr>
        <w:rPr>
          <w:color w:val="000000"/>
        </w:rPr>
      </w:pPr>
    </w:p>
    <w:p w:rsidR="00CB0F9D" w:rsidRPr="00C2462D" w:rsidRDefault="00CB0F9D" w:rsidP="00CB0F9D">
      <w:pPr>
        <w:rPr>
          <w:b/>
          <w:color w:val="000000"/>
        </w:rPr>
      </w:pPr>
      <w:r w:rsidRPr="00C2462D">
        <w:rPr>
          <w:b/>
          <w:color w:val="000000"/>
        </w:rPr>
        <w:t>References</w:t>
      </w:r>
    </w:p>
    <w:p w:rsidR="00CB0F9D" w:rsidRPr="008261A5" w:rsidRDefault="00CB0F9D" w:rsidP="00CB0F9D">
      <w:pPr>
        <w:ind w:left="851" w:hanging="851"/>
        <w:rPr>
          <w:color w:val="000000"/>
        </w:rPr>
      </w:pPr>
      <w:r w:rsidRPr="008261A5">
        <w:rPr>
          <w:color w:val="000000"/>
        </w:rPr>
        <w:t xml:space="preserve">Collier, C. J., M. </w:t>
      </w:r>
      <w:proofErr w:type="spellStart"/>
      <w:r w:rsidRPr="008261A5">
        <w:rPr>
          <w:color w:val="000000"/>
        </w:rPr>
        <w:t>Waycott</w:t>
      </w:r>
      <w:proofErr w:type="spellEnd"/>
      <w:r w:rsidRPr="008261A5">
        <w:rPr>
          <w:color w:val="000000"/>
        </w:rPr>
        <w:t xml:space="preserve">, and A. </w:t>
      </w:r>
      <w:proofErr w:type="spellStart"/>
      <w:r w:rsidRPr="008261A5">
        <w:rPr>
          <w:color w:val="000000"/>
        </w:rPr>
        <w:t>Giraldo-Ospina</w:t>
      </w:r>
      <w:proofErr w:type="spellEnd"/>
      <w:r w:rsidRPr="008261A5">
        <w:rPr>
          <w:color w:val="000000"/>
        </w:rPr>
        <w:t xml:space="preserve">. 2012. Responses of four Indo-West Pacific seagrass species to shading. </w:t>
      </w:r>
      <w:r w:rsidRPr="00C2462D">
        <w:rPr>
          <w:i/>
          <w:color w:val="000000"/>
        </w:rPr>
        <w:t xml:space="preserve">Mar. </w:t>
      </w:r>
      <w:proofErr w:type="spellStart"/>
      <w:r w:rsidRPr="00C2462D">
        <w:rPr>
          <w:i/>
          <w:color w:val="000000"/>
        </w:rPr>
        <w:t>Pollut</w:t>
      </w:r>
      <w:proofErr w:type="spellEnd"/>
      <w:r w:rsidRPr="00C2462D">
        <w:rPr>
          <w:i/>
          <w:color w:val="000000"/>
        </w:rPr>
        <w:t>. Bull</w:t>
      </w:r>
      <w:r w:rsidRPr="008261A5">
        <w:rPr>
          <w:color w:val="000000"/>
        </w:rPr>
        <w:t xml:space="preserve">. </w:t>
      </w:r>
      <w:r w:rsidRPr="00C2462D">
        <w:rPr>
          <w:b/>
          <w:color w:val="000000"/>
        </w:rPr>
        <w:t>65</w:t>
      </w:r>
      <w:r w:rsidRPr="008261A5">
        <w:rPr>
          <w:color w:val="000000"/>
        </w:rPr>
        <w:t>: 342-354.</w:t>
      </w:r>
    </w:p>
    <w:p w:rsidR="00CB0F9D" w:rsidRPr="008261A5" w:rsidRDefault="00CB0F9D" w:rsidP="00CB0F9D">
      <w:pPr>
        <w:ind w:left="851" w:hanging="851"/>
        <w:rPr>
          <w:color w:val="000000"/>
        </w:rPr>
      </w:pPr>
      <w:r w:rsidRPr="008261A5">
        <w:rPr>
          <w:color w:val="000000"/>
        </w:rPr>
        <w:t xml:space="preserve">Duarte, C. M., and K. Sand-Jensen. 1990. Seagrass colonization: patch formation and patch growth in </w:t>
      </w:r>
      <w:proofErr w:type="spellStart"/>
      <w:r w:rsidRPr="008261A5">
        <w:rPr>
          <w:color w:val="000000"/>
        </w:rPr>
        <w:t>Cymodocea</w:t>
      </w:r>
      <w:proofErr w:type="spellEnd"/>
      <w:r w:rsidRPr="008261A5">
        <w:rPr>
          <w:color w:val="000000"/>
        </w:rPr>
        <w:t xml:space="preserve"> </w:t>
      </w:r>
      <w:proofErr w:type="spellStart"/>
      <w:r w:rsidRPr="008261A5">
        <w:rPr>
          <w:color w:val="000000"/>
        </w:rPr>
        <w:t>nodosa</w:t>
      </w:r>
      <w:proofErr w:type="spellEnd"/>
      <w:r w:rsidRPr="008261A5">
        <w:rPr>
          <w:color w:val="000000"/>
        </w:rPr>
        <w:t xml:space="preserve">. </w:t>
      </w:r>
      <w:r w:rsidRPr="00C2462D">
        <w:rPr>
          <w:i/>
          <w:color w:val="000000"/>
        </w:rPr>
        <w:t xml:space="preserve">Mar. Ecol. </w:t>
      </w:r>
      <w:proofErr w:type="spellStart"/>
      <w:r w:rsidRPr="00C2462D">
        <w:rPr>
          <w:i/>
          <w:color w:val="000000"/>
        </w:rPr>
        <w:t>Prog</w:t>
      </w:r>
      <w:proofErr w:type="spellEnd"/>
      <w:r w:rsidRPr="00C2462D">
        <w:rPr>
          <w:i/>
          <w:color w:val="000000"/>
        </w:rPr>
        <w:t>. Ser</w:t>
      </w:r>
      <w:r w:rsidRPr="008261A5">
        <w:rPr>
          <w:color w:val="000000"/>
        </w:rPr>
        <w:t xml:space="preserve">. </w:t>
      </w:r>
      <w:r w:rsidRPr="00C2462D">
        <w:rPr>
          <w:b/>
          <w:color w:val="000000"/>
        </w:rPr>
        <w:t>65</w:t>
      </w:r>
      <w:r w:rsidRPr="008261A5">
        <w:rPr>
          <w:color w:val="000000"/>
        </w:rPr>
        <w:t>: 193-200.</w:t>
      </w:r>
    </w:p>
    <w:p w:rsidR="00CB0F9D" w:rsidRPr="008261A5" w:rsidRDefault="00CB0F9D" w:rsidP="00CB0F9D">
      <w:pPr>
        <w:ind w:left="851" w:hanging="851"/>
        <w:rPr>
          <w:color w:val="000000"/>
        </w:rPr>
      </w:pPr>
      <w:proofErr w:type="spellStart"/>
      <w:r w:rsidRPr="008261A5">
        <w:rPr>
          <w:color w:val="000000"/>
        </w:rPr>
        <w:t>Kilminster</w:t>
      </w:r>
      <w:proofErr w:type="spellEnd"/>
      <w:r w:rsidRPr="008261A5">
        <w:rPr>
          <w:color w:val="000000"/>
        </w:rPr>
        <w:t>, K., K. Mc</w:t>
      </w:r>
      <w:r>
        <w:rPr>
          <w:color w:val="000000"/>
        </w:rPr>
        <w:t>M</w:t>
      </w:r>
      <w:r w:rsidRPr="008261A5">
        <w:rPr>
          <w:color w:val="000000"/>
        </w:rPr>
        <w:t xml:space="preserve">ahon, M. </w:t>
      </w:r>
      <w:proofErr w:type="spellStart"/>
      <w:r w:rsidRPr="008261A5">
        <w:rPr>
          <w:color w:val="000000"/>
        </w:rPr>
        <w:t>Waycott</w:t>
      </w:r>
      <w:proofErr w:type="spellEnd"/>
      <w:r w:rsidRPr="008261A5">
        <w:rPr>
          <w:color w:val="000000"/>
        </w:rPr>
        <w:t xml:space="preserve">, G. A. Kendrick, P. </w:t>
      </w:r>
      <w:proofErr w:type="spellStart"/>
      <w:r w:rsidRPr="008261A5">
        <w:rPr>
          <w:color w:val="000000"/>
        </w:rPr>
        <w:t>Scanes</w:t>
      </w:r>
      <w:proofErr w:type="spellEnd"/>
      <w:r w:rsidRPr="008261A5">
        <w:rPr>
          <w:color w:val="000000"/>
        </w:rPr>
        <w:t>, L. Mc</w:t>
      </w:r>
      <w:r>
        <w:rPr>
          <w:color w:val="000000"/>
        </w:rPr>
        <w:t>K</w:t>
      </w:r>
      <w:r w:rsidRPr="008261A5">
        <w:rPr>
          <w:color w:val="000000"/>
        </w:rPr>
        <w:t>enzie, K. R. O'</w:t>
      </w:r>
      <w:r>
        <w:rPr>
          <w:color w:val="000000"/>
        </w:rPr>
        <w:t>B</w:t>
      </w:r>
      <w:r w:rsidRPr="008261A5">
        <w:rPr>
          <w:color w:val="000000"/>
        </w:rPr>
        <w:t xml:space="preserve">rien, M. Lyons, A. Ferguson, P. Maxwell, T. Glasby, and J. </w:t>
      </w:r>
      <w:proofErr w:type="spellStart"/>
      <w:r w:rsidRPr="008261A5">
        <w:rPr>
          <w:color w:val="000000"/>
        </w:rPr>
        <w:t>Udy</w:t>
      </w:r>
      <w:proofErr w:type="spellEnd"/>
      <w:r w:rsidRPr="008261A5">
        <w:rPr>
          <w:color w:val="000000"/>
        </w:rPr>
        <w:t xml:space="preserve">. 2015. Unravelling complexity in seagrass systems for management: Australia as a microcosm. </w:t>
      </w:r>
      <w:r w:rsidRPr="00C2462D">
        <w:rPr>
          <w:i/>
          <w:color w:val="000000"/>
        </w:rPr>
        <w:t>Sci. Total Environ</w:t>
      </w:r>
      <w:r w:rsidRPr="008261A5">
        <w:rPr>
          <w:color w:val="000000"/>
        </w:rPr>
        <w:t xml:space="preserve">. </w:t>
      </w:r>
      <w:r w:rsidRPr="00C2462D">
        <w:rPr>
          <w:i/>
          <w:color w:val="000000"/>
        </w:rPr>
        <w:t>534</w:t>
      </w:r>
      <w:r w:rsidRPr="008261A5">
        <w:rPr>
          <w:color w:val="000000"/>
        </w:rPr>
        <w:t>: 97-109.</w:t>
      </w:r>
    </w:p>
    <w:p w:rsidR="00CB0F9D" w:rsidRPr="008261A5" w:rsidRDefault="00CB0F9D" w:rsidP="00CB0F9D">
      <w:pPr>
        <w:ind w:left="851" w:hanging="851"/>
        <w:rPr>
          <w:color w:val="000000"/>
        </w:rPr>
      </w:pPr>
      <w:r w:rsidRPr="008261A5">
        <w:rPr>
          <w:color w:val="000000"/>
        </w:rPr>
        <w:t xml:space="preserve">Les, D. H., M. A. Cleland, and M. </w:t>
      </w:r>
      <w:proofErr w:type="spellStart"/>
      <w:r w:rsidRPr="008261A5">
        <w:rPr>
          <w:color w:val="000000"/>
        </w:rPr>
        <w:t>Waycott</w:t>
      </w:r>
      <w:proofErr w:type="spellEnd"/>
      <w:r w:rsidRPr="008261A5">
        <w:rPr>
          <w:color w:val="000000"/>
        </w:rPr>
        <w:t xml:space="preserve">. 1997. Phylogenetic studies in </w:t>
      </w:r>
      <w:proofErr w:type="spellStart"/>
      <w:r w:rsidRPr="008261A5">
        <w:rPr>
          <w:color w:val="000000"/>
        </w:rPr>
        <w:t>Alismatidae</w:t>
      </w:r>
      <w:proofErr w:type="spellEnd"/>
      <w:r w:rsidRPr="008261A5">
        <w:rPr>
          <w:color w:val="000000"/>
        </w:rPr>
        <w:t xml:space="preserve">, II: Evolution of marine angiosperms (seagrasses) and </w:t>
      </w:r>
      <w:proofErr w:type="spellStart"/>
      <w:r w:rsidRPr="008261A5">
        <w:rPr>
          <w:color w:val="000000"/>
        </w:rPr>
        <w:t>hydrophily</w:t>
      </w:r>
      <w:proofErr w:type="spellEnd"/>
      <w:r w:rsidRPr="008261A5">
        <w:rPr>
          <w:color w:val="000000"/>
        </w:rPr>
        <w:t xml:space="preserve">. </w:t>
      </w:r>
      <w:r w:rsidRPr="00C2462D">
        <w:rPr>
          <w:i/>
          <w:color w:val="000000"/>
        </w:rPr>
        <w:t>Syst. Bot</w:t>
      </w:r>
      <w:r w:rsidRPr="008261A5">
        <w:rPr>
          <w:color w:val="000000"/>
        </w:rPr>
        <w:t xml:space="preserve">. </w:t>
      </w:r>
      <w:r w:rsidRPr="00C2462D">
        <w:rPr>
          <w:b/>
          <w:color w:val="000000"/>
        </w:rPr>
        <w:t>22</w:t>
      </w:r>
      <w:r w:rsidRPr="008261A5">
        <w:rPr>
          <w:color w:val="000000"/>
        </w:rPr>
        <w:t>: 443-463.</w:t>
      </w:r>
    </w:p>
    <w:p w:rsidR="00CB0F9D" w:rsidRPr="008261A5" w:rsidRDefault="00CB0F9D" w:rsidP="00CB0F9D">
      <w:pPr>
        <w:ind w:left="851" w:hanging="851"/>
        <w:rPr>
          <w:color w:val="000000"/>
        </w:rPr>
      </w:pPr>
      <w:r w:rsidRPr="008261A5">
        <w:rPr>
          <w:color w:val="000000"/>
        </w:rPr>
        <w:t>Mc</w:t>
      </w:r>
      <w:r>
        <w:rPr>
          <w:color w:val="000000"/>
        </w:rPr>
        <w:t>M</w:t>
      </w:r>
      <w:r w:rsidRPr="008261A5">
        <w:rPr>
          <w:color w:val="000000"/>
        </w:rPr>
        <w:t>ahon, K. M. 2005. Recovery of subtropical seagrasses from natural disturbance.  The University of Queensland.</w:t>
      </w:r>
    </w:p>
    <w:p w:rsidR="00CB0F9D" w:rsidRPr="008261A5" w:rsidRDefault="00CB0F9D" w:rsidP="00CB0F9D">
      <w:pPr>
        <w:ind w:left="851" w:hanging="851"/>
        <w:rPr>
          <w:color w:val="000000"/>
        </w:rPr>
      </w:pPr>
      <w:r w:rsidRPr="008261A5">
        <w:rPr>
          <w:color w:val="000000"/>
        </w:rPr>
        <w:t xml:space="preserve">Short, F. T., B. </w:t>
      </w:r>
      <w:proofErr w:type="spellStart"/>
      <w:r w:rsidRPr="008261A5">
        <w:rPr>
          <w:color w:val="000000"/>
        </w:rPr>
        <w:t>Polidoro</w:t>
      </w:r>
      <w:proofErr w:type="spellEnd"/>
      <w:r w:rsidRPr="008261A5">
        <w:rPr>
          <w:color w:val="000000"/>
        </w:rPr>
        <w:t xml:space="preserve">, S. R. Livingstone, K. E. Carpenter, S. </w:t>
      </w:r>
      <w:proofErr w:type="spellStart"/>
      <w:r w:rsidRPr="008261A5">
        <w:rPr>
          <w:color w:val="000000"/>
        </w:rPr>
        <w:t>Bandeira</w:t>
      </w:r>
      <w:proofErr w:type="spellEnd"/>
      <w:r w:rsidRPr="008261A5">
        <w:rPr>
          <w:color w:val="000000"/>
        </w:rPr>
        <w:t xml:space="preserve">, J. S. </w:t>
      </w:r>
      <w:proofErr w:type="spellStart"/>
      <w:r w:rsidRPr="008261A5">
        <w:rPr>
          <w:color w:val="000000"/>
        </w:rPr>
        <w:t>Bujang</w:t>
      </w:r>
      <w:proofErr w:type="spellEnd"/>
      <w:r w:rsidRPr="008261A5">
        <w:rPr>
          <w:color w:val="000000"/>
        </w:rPr>
        <w:t xml:space="preserve">, H. P. </w:t>
      </w:r>
      <w:proofErr w:type="spellStart"/>
      <w:r w:rsidRPr="008261A5">
        <w:rPr>
          <w:color w:val="000000"/>
        </w:rPr>
        <w:t>Calumpong</w:t>
      </w:r>
      <w:proofErr w:type="spellEnd"/>
      <w:r w:rsidRPr="008261A5">
        <w:rPr>
          <w:color w:val="000000"/>
        </w:rPr>
        <w:t xml:space="preserve">, T. J. B. Carruthers, R. G. Coles, W. C. Dennison, P. L. A. </w:t>
      </w:r>
      <w:proofErr w:type="spellStart"/>
      <w:r w:rsidRPr="008261A5">
        <w:rPr>
          <w:color w:val="000000"/>
        </w:rPr>
        <w:t>Erftemeijer</w:t>
      </w:r>
      <w:proofErr w:type="spellEnd"/>
      <w:r w:rsidRPr="008261A5">
        <w:rPr>
          <w:color w:val="000000"/>
        </w:rPr>
        <w:t xml:space="preserve">, M. D. Fortes, A. S. Freeman, T. G. </w:t>
      </w:r>
      <w:proofErr w:type="spellStart"/>
      <w:r w:rsidRPr="008261A5">
        <w:rPr>
          <w:color w:val="000000"/>
        </w:rPr>
        <w:t>Jagtap</w:t>
      </w:r>
      <w:proofErr w:type="spellEnd"/>
      <w:r w:rsidRPr="008261A5">
        <w:rPr>
          <w:color w:val="000000"/>
        </w:rPr>
        <w:t xml:space="preserve">, A. H. M. Kamal, G. A. Kendrick, W. Judson </w:t>
      </w:r>
      <w:proofErr w:type="spellStart"/>
      <w:r w:rsidRPr="008261A5">
        <w:rPr>
          <w:color w:val="000000"/>
        </w:rPr>
        <w:t>Kenworthy</w:t>
      </w:r>
      <w:proofErr w:type="spellEnd"/>
      <w:r w:rsidRPr="008261A5">
        <w:rPr>
          <w:color w:val="000000"/>
        </w:rPr>
        <w:t xml:space="preserve">, Y. A. La </w:t>
      </w:r>
      <w:proofErr w:type="spellStart"/>
      <w:r w:rsidRPr="008261A5">
        <w:rPr>
          <w:color w:val="000000"/>
        </w:rPr>
        <w:t>Nafie</w:t>
      </w:r>
      <w:proofErr w:type="spellEnd"/>
      <w:r w:rsidRPr="008261A5">
        <w:rPr>
          <w:color w:val="000000"/>
        </w:rPr>
        <w:t xml:space="preserve">, I. M. </w:t>
      </w:r>
      <w:proofErr w:type="spellStart"/>
      <w:r w:rsidRPr="008261A5">
        <w:rPr>
          <w:color w:val="000000"/>
        </w:rPr>
        <w:t>Nasution</w:t>
      </w:r>
      <w:proofErr w:type="spellEnd"/>
      <w:r w:rsidRPr="008261A5">
        <w:rPr>
          <w:color w:val="000000"/>
        </w:rPr>
        <w:t xml:space="preserve">, R. J. Orth, A. </w:t>
      </w:r>
      <w:proofErr w:type="spellStart"/>
      <w:r w:rsidRPr="008261A5">
        <w:rPr>
          <w:color w:val="000000"/>
        </w:rPr>
        <w:t>Prathep</w:t>
      </w:r>
      <w:proofErr w:type="spellEnd"/>
      <w:r w:rsidRPr="008261A5">
        <w:rPr>
          <w:color w:val="000000"/>
        </w:rPr>
        <w:t xml:space="preserve">, J. C. </w:t>
      </w:r>
      <w:proofErr w:type="spellStart"/>
      <w:r w:rsidRPr="008261A5">
        <w:rPr>
          <w:color w:val="000000"/>
        </w:rPr>
        <w:t>Sanciangco</w:t>
      </w:r>
      <w:proofErr w:type="spellEnd"/>
      <w:r w:rsidRPr="008261A5">
        <w:rPr>
          <w:color w:val="000000"/>
        </w:rPr>
        <w:t xml:space="preserve">, B. V. </w:t>
      </w:r>
      <w:proofErr w:type="spellStart"/>
      <w:r w:rsidRPr="008261A5">
        <w:rPr>
          <w:color w:val="000000"/>
        </w:rPr>
        <w:t>Tussenbroek</w:t>
      </w:r>
      <w:proofErr w:type="spellEnd"/>
      <w:r w:rsidRPr="008261A5">
        <w:rPr>
          <w:color w:val="000000"/>
        </w:rPr>
        <w:t xml:space="preserve">, S. G. Vergara, M. </w:t>
      </w:r>
      <w:proofErr w:type="spellStart"/>
      <w:r w:rsidRPr="008261A5">
        <w:rPr>
          <w:color w:val="000000"/>
        </w:rPr>
        <w:t>Waycott</w:t>
      </w:r>
      <w:proofErr w:type="spellEnd"/>
      <w:r w:rsidRPr="008261A5">
        <w:rPr>
          <w:color w:val="000000"/>
        </w:rPr>
        <w:t xml:space="preserve">, and J. C. </w:t>
      </w:r>
      <w:proofErr w:type="spellStart"/>
      <w:r w:rsidRPr="008261A5">
        <w:rPr>
          <w:color w:val="000000"/>
        </w:rPr>
        <w:t>Zieman</w:t>
      </w:r>
      <w:proofErr w:type="spellEnd"/>
      <w:r w:rsidRPr="008261A5">
        <w:rPr>
          <w:color w:val="000000"/>
        </w:rPr>
        <w:t xml:space="preserve">. 2011. Extinction risk assessment of the world’s seagrass species. </w:t>
      </w:r>
      <w:r w:rsidRPr="00C2462D">
        <w:rPr>
          <w:i/>
          <w:color w:val="000000"/>
        </w:rPr>
        <w:t xml:space="preserve">Biol. </w:t>
      </w:r>
      <w:proofErr w:type="spellStart"/>
      <w:r w:rsidRPr="00C2462D">
        <w:rPr>
          <w:i/>
          <w:color w:val="000000"/>
        </w:rPr>
        <w:t>Conserv</w:t>
      </w:r>
      <w:proofErr w:type="spellEnd"/>
      <w:r w:rsidRPr="00C2462D">
        <w:rPr>
          <w:i/>
          <w:color w:val="000000"/>
        </w:rPr>
        <w:t>.</w:t>
      </w:r>
      <w:r w:rsidRPr="008261A5">
        <w:rPr>
          <w:color w:val="000000"/>
        </w:rPr>
        <w:t xml:space="preserve"> </w:t>
      </w:r>
      <w:r w:rsidRPr="00C2462D">
        <w:rPr>
          <w:b/>
          <w:color w:val="000000"/>
        </w:rPr>
        <w:t>144</w:t>
      </w:r>
      <w:r w:rsidRPr="008261A5">
        <w:rPr>
          <w:color w:val="000000"/>
        </w:rPr>
        <w:t>: 1961-1971.</w:t>
      </w:r>
    </w:p>
    <w:p w:rsidR="00394578" w:rsidRDefault="00394578" w:rsidP="003E1D94">
      <w:pPr>
        <w:rPr>
          <w:szCs w:val="22"/>
          <w:lang w:val="en-US"/>
        </w:rPr>
      </w:pPr>
    </w:p>
    <w:p w:rsidR="00BC6384" w:rsidRDefault="00BC6384" w:rsidP="003E1D94">
      <w:pPr>
        <w:rPr>
          <w:szCs w:val="22"/>
          <w:lang w:val="en-US"/>
        </w:rPr>
      </w:pPr>
    </w:p>
    <w:p w:rsidR="003E1D94" w:rsidRDefault="003E1D94">
      <w:pPr>
        <w:spacing w:before="0" w:after="0"/>
        <w:rPr>
          <w:szCs w:val="22"/>
          <w:lang w:val="en-US"/>
        </w:rPr>
      </w:pPr>
      <w:r>
        <w:rPr>
          <w:szCs w:val="22"/>
          <w:lang w:val="en-US"/>
        </w:rPr>
        <w:br w:type="page"/>
      </w:r>
    </w:p>
    <w:p w:rsidR="00A11D6A" w:rsidRDefault="00A11D6A" w:rsidP="00A11D6A">
      <w:pPr>
        <w:pStyle w:val="Heading1"/>
        <w:pageBreakBefore w:val="0"/>
        <w:numPr>
          <w:ilvl w:val="0"/>
          <w:numId w:val="9"/>
        </w:numPr>
        <w:rPr>
          <w:rFonts w:ascii="Century Gothic" w:hAnsi="Century Gothic"/>
          <w:lang w:val="en-GB"/>
        </w:rPr>
      </w:pPr>
      <w:bookmarkStart w:id="615" w:name="_Toc436913528"/>
      <w:bookmarkStart w:id="616" w:name="_Toc438034058"/>
      <w:bookmarkStart w:id="617" w:name="_Toc462047374"/>
      <w:r w:rsidRPr="00A719AF">
        <w:rPr>
          <w:rFonts w:ascii="Century Gothic" w:hAnsi="Century Gothic"/>
          <w:lang w:val="en-GB"/>
        </w:rPr>
        <w:lastRenderedPageBreak/>
        <w:t>Case study</w:t>
      </w:r>
      <w:r>
        <w:rPr>
          <w:rFonts w:ascii="Century Gothic" w:hAnsi="Century Gothic"/>
          <w:lang w:val="en-GB"/>
        </w:rPr>
        <w:t xml:space="preserve"> 2</w:t>
      </w:r>
      <w:r w:rsidRPr="00A719AF">
        <w:rPr>
          <w:rFonts w:ascii="Century Gothic" w:hAnsi="Century Gothic"/>
          <w:lang w:val="en-GB"/>
        </w:rPr>
        <w:t>: progressing toward validated river plume risk maps</w:t>
      </w:r>
      <w:bookmarkEnd w:id="615"/>
      <w:bookmarkEnd w:id="616"/>
      <w:bookmarkEnd w:id="617"/>
    </w:p>
    <w:p w:rsidR="001D4D8E" w:rsidRPr="001D4D8E" w:rsidRDefault="00AF19E7" w:rsidP="001D4D8E">
      <w:pPr>
        <w:rPr>
          <w:lang w:val="en-GB"/>
        </w:rPr>
      </w:pPr>
      <w:hyperlink r:id="rId156" w:history="1">
        <w:r w:rsidR="001D4D8E" w:rsidRPr="00BC36F4">
          <w:rPr>
            <w:rStyle w:val="Hyperlink"/>
            <w:lang w:val="en-GB"/>
          </w:rPr>
          <w:t>http://www.mdpi.com/2072-4292/8/3/210</w:t>
        </w:r>
      </w:hyperlink>
      <w:r w:rsidR="001D4D8E">
        <w:rPr>
          <w:lang w:val="en-GB"/>
        </w:rPr>
        <w:t xml:space="preserve"> (open access)</w:t>
      </w:r>
    </w:p>
    <w:p w:rsidR="003E1D94" w:rsidRPr="00A96A2D" w:rsidRDefault="00A11D6A" w:rsidP="003E1D94">
      <w:pPr>
        <w:spacing w:before="0" w:after="0"/>
        <w:rPr>
          <w:color w:val="000000"/>
          <w:szCs w:val="22"/>
        </w:rPr>
      </w:pPr>
      <w:r>
        <w:rPr>
          <w:noProof/>
          <w:color w:val="000000"/>
          <w:szCs w:val="22"/>
          <w:lang w:eastAsia="en-AU"/>
        </w:rPr>
        <w:drawing>
          <wp:inline distT="0" distB="0" distL="0" distR="0" wp14:anchorId="7844FC4F" wp14:editId="09905B0A">
            <wp:extent cx="5943600" cy="7594600"/>
            <wp:effectExtent l="0" t="0" r="0" b="6350"/>
            <wp:docPr id="3" name="Picture 3" descr="Scan of first page of publication &quot;Estimating the Exposure of Coral Reefs and Seagrass Meadows to Land-Sourced Contaminants in River Flood Plumes of the Great Barrier Reef: Validating a Simple Satellite Risk Framework with&#10;Environmental Data&quot; from the Journal of Remote Sen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etus et al 2016 - Estimating the Exposure of Coral Reefs and Seagrass Meadows to Land-Sourced Contaminants in River Flood Plumes of the GBR_Page_01.png"/>
                    <pic:cNvPicPr/>
                  </pic:nvPicPr>
                  <pic:blipFill rotWithShape="1">
                    <a:blip r:embed="rId157" cstate="print">
                      <a:extLst>
                        <a:ext uri="{28A0092B-C50C-407E-A947-70E740481C1C}">
                          <a14:useLocalDpi xmlns:a14="http://schemas.microsoft.com/office/drawing/2010/main" val="0"/>
                        </a:ext>
                      </a:extLst>
                    </a:blip>
                    <a:srcRect t="5138" b="4496"/>
                    <a:stretch/>
                  </pic:blipFill>
                  <pic:spPr bwMode="auto">
                    <a:xfrm>
                      <a:off x="0" y="0"/>
                      <a:ext cx="5943600" cy="7594600"/>
                    </a:xfrm>
                    <a:prstGeom prst="rect">
                      <a:avLst/>
                    </a:prstGeom>
                    <a:ln>
                      <a:noFill/>
                    </a:ln>
                    <a:extLst>
                      <a:ext uri="{53640926-AAD7-44D8-BBD7-CCE9431645EC}">
                        <a14:shadowObscured xmlns:a14="http://schemas.microsoft.com/office/drawing/2010/main"/>
                      </a:ext>
                    </a:extLst>
                  </pic:spPr>
                </pic:pic>
              </a:graphicData>
            </a:graphic>
          </wp:inline>
        </w:drawing>
      </w:r>
    </w:p>
    <w:p w:rsidR="00A11D6A" w:rsidRDefault="00A11D6A" w:rsidP="0034611B">
      <w:pPr>
        <w:rPr>
          <w:rFonts w:asciiTheme="minorHAnsi" w:hAnsiTheme="minorHAnsi"/>
        </w:rPr>
      </w:pPr>
    </w:p>
    <w:p w:rsidR="00A11D6A" w:rsidRDefault="00A11D6A" w:rsidP="0034611B">
      <w:pPr>
        <w:rPr>
          <w:rFonts w:asciiTheme="minorHAnsi" w:hAnsiTheme="minorHAnsi"/>
        </w:rPr>
      </w:pPr>
      <w:r>
        <w:rPr>
          <w:rFonts w:asciiTheme="minorHAnsi" w:hAnsiTheme="minorHAnsi"/>
          <w:noProof/>
          <w:lang w:eastAsia="en-AU"/>
        </w:rPr>
        <w:lastRenderedPageBreak/>
        <w:drawing>
          <wp:inline distT="0" distB="0" distL="0" distR="0" wp14:anchorId="02013753" wp14:editId="03B41078">
            <wp:extent cx="5759450" cy="8144510"/>
            <wp:effectExtent l="0" t="0" r="0" b="8890"/>
            <wp:docPr id="300" name="Picture 300" descr="Scan of abstract on second page of publication &quot;Estimating the Exposure of Coral Reefs and Seagrass Meadows to Land-Sourced Contaminants in River Flood Plumes of the Great Barrier Reef: Validating a Simple Satellite Risk Framework with&#10;Environmental Data&quot; from the Journal of Remote Sen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Petus et al 2016 - Estimating the Exposure of Coral Reefs and Seagrass Meadows to Land-Sourced Contaminants in River Flood Plumes of the GBR_Page_02.png"/>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5759450" cy="8144510"/>
                    </a:xfrm>
                    <a:prstGeom prst="rect">
                      <a:avLst/>
                    </a:prstGeom>
                  </pic:spPr>
                </pic:pic>
              </a:graphicData>
            </a:graphic>
          </wp:inline>
        </w:drawing>
      </w:r>
    </w:p>
    <w:p w:rsidR="009A0520" w:rsidRDefault="009A0520" w:rsidP="009A0520">
      <w:pPr>
        <w:spacing w:before="0" w:after="0"/>
        <w:rPr>
          <w:szCs w:val="22"/>
          <w:lang w:val="en-US"/>
        </w:rPr>
      </w:pPr>
      <w:r>
        <w:rPr>
          <w:szCs w:val="22"/>
          <w:lang w:val="en-US"/>
        </w:rPr>
        <w:br w:type="page"/>
      </w:r>
    </w:p>
    <w:p w:rsidR="009A0520" w:rsidRPr="001F473C" w:rsidRDefault="009A0520" w:rsidP="009A0520">
      <w:pPr>
        <w:pStyle w:val="Heading1"/>
        <w:pageBreakBefore w:val="0"/>
        <w:numPr>
          <w:ilvl w:val="0"/>
          <w:numId w:val="9"/>
        </w:numPr>
        <w:rPr>
          <w:rFonts w:ascii="Century Gothic" w:hAnsi="Century Gothic"/>
          <w:color w:val="000000"/>
        </w:rPr>
      </w:pPr>
      <w:bookmarkStart w:id="618" w:name="_Toc232845952"/>
      <w:bookmarkStart w:id="619" w:name="_Toc184102053"/>
      <w:bookmarkStart w:id="620" w:name="_Toc431493789"/>
      <w:bookmarkStart w:id="621" w:name="_Toc442706400"/>
      <w:bookmarkStart w:id="622" w:name="_Toc462047375"/>
      <w:bookmarkStart w:id="623" w:name="_Toc170191673"/>
      <w:bookmarkStart w:id="624" w:name="_Toc175991101"/>
      <w:r w:rsidRPr="001F473C">
        <w:rPr>
          <w:rFonts w:ascii="Century Gothic" w:hAnsi="Century Gothic"/>
          <w:color w:val="000000"/>
        </w:rPr>
        <w:lastRenderedPageBreak/>
        <w:t>References</w:t>
      </w:r>
      <w:bookmarkEnd w:id="618"/>
      <w:bookmarkEnd w:id="619"/>
      <w:bookmarkEnd w:id="620"/>
      <w:bookmarkEnd w:id="621"/>
      <w:bookmarkEnd w:id="622"/>
    </w:p>
    <w:bookmarkEnd w:id="623"/>
    <w:bookmarkEnd w:id="624"/>
    <w:p w:rsidR="00E6043D" w:rsidRPr="00E6043D" w:rsidRDefault="009A0520" w:rsidP="00E6043D">
      <w:pPr>
        <w:spacing w:after="0"/>
        <w:ind w:left="720" w:hanging="720"/>
        <w:rPr>
          <w:noProof/>
          <w:sz w:val="20"/>
          <w:lang w:val="x-none"/>
        </w:rPr>
      </w:pPr>
      <w:r>
        <w:rPr>
          <w:lang w:val="x-none"/>
        </w:rPr>
        <w:fldChar w:fldCharType="begin"/>
      </w:r>
      <w:r>
        <w:rPr>
          <w:lang w:val="x-none"/>
        </w:rPr>
        <w:instrText xml:space="preserve"> ADDIN EN.REFLIST </w:instrText>
      </w:r>
      <w:r>
        <w:rPr>
          <w:lang w:val="x-none"/>
        </w:rPr>
        <w:fldChar w:fldCharType="separate"/>
      </w:r>
      <w:bookmarkStart w:id="625" w:name="_ENREF_1"/>
      <w:r w:rsidR="00E6043D" w:rsidRPr="00E6043D">
        <w:rPr>
          <w:noProof/>
          <w:sz w:val="20"/>
          <w:lang w:val="x-none"/>
        </w:rPr>
        <w:t xml:space="preserve">Abal, E.G., Dennison, W.C., and Greenfield, P.F. 2001, Managing the Brisbane River and Moreton Bay: An integrated research/management program to reduce impacts on an Australian estuary. </w:t>
      </w:r>
      <w:r w:rsidR="00E6043D" w:rsidRPr="00E6043D">
        <w:rPr>
          <w:i/>
          <w:noProof/>
          <w:sz w:val="20"/>
          <w:lang w:val="x-none"/>
        </w:rPr>
        <w:t>Water Science and Technology, 43</w:t>
      </w:r>
      <w:r w:rsidR="00E6043D" w:rsidRPr="00E6043D">
        <w:rPr>
          <w:noProof/>
          <w:sz w:val="20"/>
          <w:lang w:val="x-none"/>
        </w:rPr>
        <w:t xml:space="preserve">, 57-70. </w:t>
      </w:r>
      <w:bookmarkEnd w:id="625"/>
    </w:p>
    <w:p w:rsidR="00E6043D" w:rsidRPr="00E6043D" w:rsidRDefault="00E6043D" w:rsidP="00E6043D">
      <w:pPr>
        <w:spacing w:after="0"/>
        <w:ind w:left="720" w:hanging="720"/>
        <w:rPr>
          <w:noProof/>
          <w:sz w:val="20"/>
          <w:lang w:val="x-none"/>
        </w:rPr>
      </w:pPr>
      <w:bookmarkStart w:id="626" w:name="_ENREF_2"/>
      <w:r w:rsidRPr="00E6043D">
        <w:rPr>
          <w:noProof/>
          <w:sz w:val="20"/>
          <w:lang w:val="x-none"/>
        </w:rPr>
        <w:t xml:space="preserve">Abal, E.G., Loneragan, N.R., Bowen, P., Perry, C.J., Udy, J.W., and Dennison, W.C. 1994, Physiological and morphological responses of the seagrass </w:t>
      </w:r>
      <w:r w:rsidRPr="00E6043D">
        <w:rPr>
          <w:i/>
          <w:noProof/>
          <w:sz w:val="20"/>
          <w:lang w:val="x-none"/>
        </w:rPr>
        <w:t>Zostera capricorni</w:t>
      </w:r>
      <w:r w:rsidRPr="00E6043D">
        <w:rPr>
          <w:noProof/>
          <w:sz w:val="20"/>
          <w:lang w:val="x-none"/>
        </w:rPr>
        <w:t xml:space="preserve"> Aschers. to light intensity. </w:t>
      </w:r>
      <w:r w:rsidRPr="00E6043D">
        <w:rPr>
          <w:i/>
          <w:noProof/>
          <w:sz w:val="20"/>
          <w:lang w:val="x-none"/>
        </w:rPr>
        <w:t>Journal of Experimental Marine Biology and Ecology, 178</w:t>
      </w:r>
      <w:r w:rsidRPr="00E6043D">
        <w:rPr>
          <w:noProof/>
          <w:sz w:val="20"/>
          <w:lang w:val="x-none"/>
        </w:rPr>
        <w:t xml:space="preserve">(1), 113-129. </w:t>
      </w:r>
      <w:bookmarkEnd w:id="626"/>
    </w:p>
    <w:p w:rsidR="00E6043D" w:rsidRPr="00E6043D" w:rsidRDefault="00E6043D" w:rsidP="00E6043D">
      <w:pPr>
        <w:spacing w:after="0"/>
        <w:ind w:left="720" w:hanging="720"/>
        <w:rPr>
          <w:noProof/>
          <w:sz w:val="20"/>
          <w:lang w:val="x-none"/>
        </w:rPr>
      </w:pPr>
      <w:bookmarkStart w:id="627" w:name="_ENREF_3"/>
      <w:r w:rsidRPr="00E6043D">
        <w:rPr>
          <w:noProof/>
          <w:sz w:val="20"/>
          <w:lang w:val="x-none"/>
        </w:rPr>
        <w:t xml:space="preserve">Alcoverro, T., Manzanera, M., and Romero, J. 2001, Annual metabolic carbon balance of the seagrass Posidonia oceanica: The importance of carbohydrate reserves. </w:t>
      </w:r>
      <w:r w:rsidRPr="00E6043D">
        <w:rPr>
          <w:i/>
          <w:noProof/>
          <w:sz w:val="20"/>
          <w:lang w:val="x-none"/>
        </w:rPr>
        <w:t>Marine Ecology Progress Series, 211</w:t>
      </w:r>
      <w:r w:rsidRPr="00E6043D">
        <w:rPr>
          <w:noProof/>
          <w:sz w:val="20"/>
          <w:lang w:val="x-none"/>
        </w:rPr>
        <w:t xml:space="preserve">, 105-116. </w:t>
      </w:r>
      <w:bookmarkEnd w:id="627"/>
    </w:p>
    <w:p w:rsidR="00E6043D" w:rsidRPr="00E6043D" w:rsidRDefault="00E6043D" w:rsidP="00E6043D">
      <w:pPr>
        <w:spacing w:after="0"/>
        <w:ind w:left="720" w:hanging="720"/>
        <w:rPr>
          <w:noProof/>
          <w:sz w:val="20"/>
          <w:lang w:val="x-none"/>
        </w:rPr>
      </w:pPr>
      <w:bookmarkStart w:id="628" w:name="_ENREF_4"/>
      <w:r w:rsidRPr="00E6043D">
        <w:rPr>
          <w:noProof/>
          <w:sz w:val="20"/>
          <w:lang w:val="x-none"/>
        </w:rPr>
        <w:t xml:space="preserve">Angelini, C., Altieri, A.H., Silliman, B.R., and Bertness, M.D. 2011, Interactions among Foundation Species and their Consequences for Community Organization, Biodiversity, and Conservation. </w:t>
      </w:r>
      <w:r w:rsidRPr="00E6043D">
        <w:rPr>
          <w:i/>
          <w:noProof/>
          <w:sz w:val="20"/>
          <w:lang w:val="x-none"/>
        </w:rPr>
        <w:t>BioScience, 61</w:t>
      </w:r>
      <w:r w:rsidRPr="00E6043D">
        <w:rPr>
          <w:noProof/>
          <w:sz w:val="20"/>
          <w:lang w:val="x-none"/>
        </w:rPr>
        <w:t xml:space="preserve">(10), 782-789. </w:t>
      </w:r>
      <w:bookmarkEnd w:id="628"/>
    </w:p>
    <w:p w:rsidR="00E6043D" w:rsidRPr="00E6043D" w:rsidRDefault="00E6043D" w:rsidP="00E6043D">
      <w:pPr>
        <w:spacing w:after="0"/>
        <w:ind w:left="720" w:hanging="720"/>
        <w:rPr>
          <w:noProof/>
          <w:sz w:val="20"/>
          <w:lang w:val="x-none"/>
        </w:rPr>
      </w:pPr>
      <w:bookmarkStart w:id="629" w:name="_ENREF_5"/>
      <w:r w:rsidRPr="00E6043D">
        <w:rPr>
          <w:noProof/>
          <w:sz w:val="20"/>
          <w:lang w:val="x-none"/>
        </w:rPr>
        <w:t xml:space="preserve">Anon. (2013). </w:t>
      </w:r>
      <w:r w:rsidRPr="00E6043D">
        <w:rPr>
          <w:i/>
          <w:noProof/>
          <w:sz w:val="20"/>
          <w:lang w:val="x-none"/>
        </w:rPr>
        <w:t>Reef Water Quality Protection Plan 2013.Securing the health and resilience of the Great Barrier Reef World Heritage Area and adjacent catchments.</w:t>
      </w:r>
      <w:r w:rsidRPr="00E6043D">
        <w:rPr>
          <w:noProof/>
          <w:sz w:val="20"/>
          <w:lang w:val="x-none"/>
        </w:rPr>
        <w:t xml:space="preserve"> Brisbane: The State of Queensland. Reef Water Quality Protection Plan Secretariat.</w:t>
      </w:r>
      <w:bookmarkEnd w:id="629"/>
    </w:p>
    <w:p w:rsidR="00E6043D" w:rsidRPr="00E6043D" w:rsidRDefault="00E6043D" w:rsidP="00E6043D">
      <w:pPr>
        <w:spacing w:after="0"/>
        <w:ind w:left="720" w:hanging="720"/>
        <w:rPr>
          <w:noProof/>
          <w:sz w:val="20"/>
          <w:lang w:val="x-none"/>
        </w:rPr>
      </w:pPr>
      <w:bookmarkStart w:id="630" w:name="_ENREF_6"/>
      <w:r w:rsidRPr="00E6043D">
        <w:rPr>
          <w:noProof/>
          <w:sz w:val="20"/>
          <w:lang w:val="x-none"/>
        </w:rPr>
        <w:t xml:space="preserve">Anthony, K.R.N., Ridd, P.V., Orpin, A.R., Larcombe, P., and Lough, J. 2004, Temporal variation in light availability in coastal benthic habitats: Effects of clouds, turbidity, and tides. </w:t>
      </w:r>
      <w:r w:rsidRPr="00E6043D">
        <w:rPr>
          <w:i/>
          <w:noProof/>
          <w:sz w:val="20"/>
          <w:lang w:val="x-none"/>
        </w:rPr>
        <w:t>Limnology and Oceanography, 49</w:t>
      </w:r>
      <w:r w:rsidRPr="00E6043D">
        <w:rPr>
          <w:noProof/>
          <w:sz w:val="20"/>
          <w:lang w:val="x-none"/>
        </w:rPr>
        <w:t xml:space="preserve">(6), 2201-2211. </w:t>
      </w:r>
      <w:bookmarkEnd w:id="630"/>
    </w:p>
    <w:p w:rsidR="00E6043D" w:rsidRPr="00E6043D" w:rsidRDefault="00E6043D" w:rsidP="00E6043D">
      <w:pPr>
        <w:spacing w:after="0"/>
        <w:ind w:left="720" w:hanging="720"/>
        <w:rPr>
          <w:noProof/>
          <w:sz w:val="20"/>
          <w:lang w:val="x-none"/>
        </w:rPr>
      </w:pPr>
      <w:bookmarkStart w:id="631" w:name="_ENREF_7"/>
      <w:r w:rsidRPr="00E6043D">
        <w:rPr>
          <w:noProof/>
          <w:sz w:val="20"/>
          <w:lang w:val="x-none"/>
        </w:rPr>
        <w:t xml:space="preserve">ANZECC. 2000, Australian and New Zealand guidelines for fresh and marine water quality. </w:t>
      </w:r>
      <w:bookmarkEnd w:id="631"/>
    </w:p>
    <w:p w:rsidR="00E6043D" w:rsidRPr="00E6043D" w:rsidRDefault="00E6043D" w:rsidP="00E6043D">
      <w:pPr>
        <w:spacing w:after="0"/>
        <w:ind w:left="720" w:hanging="720"/>
        <w:rPr>
          <w:noProof/>
          <w:sz w:val="20"/>
          <w:lang w:val="x-none"/>
        </w:rPr>
      </w:pPr>
      <w:bookmarkStart w:id="632" w:name="_ENREF_8"/>
      <w:r w:rsidRPr="00E6043D">
        <w:rPr>
          <w:noProof/>
          <w:sz w:val="20"/>
          <w:lang w:val="x-none"/>
        </w:rPr>
        <w:t>Arthur, K., Boyle, M., and Limpus, C. 2008, Ontogenetic changes in diet and habitat use in green sea turtle (</w:t>
      </w:r>
      <w:r w:rsidRPr="00E6043D">
        <w:rPr>
          <w:i/>
          <w:noProof/>
          <w:sz w:val="20"/>
          <w:lang w:val="x-none"/>
        </w:rPr>
        <w:t>Chelonia mydas</w:t>
      </w:r>
      <w:r w:rsidRPr="00E6043D">
        <w:rPr>
          <w:noProof/>
          <w:sz w:val="20"/>
          <w:lang w:val="x-none"/>
        </w:rPr>
        <w:t xml:space="preserve">) life history. </w:t>
      </w:r>
      <w:r w:rsidRPr="00E6043D">
        <w:rPr>
          <w:i/>
          <w:noProof/>
          <w:sz w:val="20"/>
          <w:lang w:val="x-none"/>
        </w:rPr>
        <w:t>Marine Ecology Progress Series, 362</w:t>
      </w:r>
      <w:r w:rsidRPr="00E6043D">
        <w:rPr>
          <w:noProof/>
          <w:sz w:val="20"/>
          <w:lang w:val="x-none"/>
        </w:rPr>
        <w:t xml:space="preserve">, 303-311. </w:t>
      </w:r>
      <w:bookmarkEnd w:id="632"/>
    </w:p>
    <w:p w:rsidR="00E6043D" w:rsidRPr="00E6043D" w:rsidRDefault="00E6043D" w:rsidP="00E6043D">
      <w:pPr>
        <w:spacing w:after="0"/>
        <w:ind w:left="720" w:hanging="720"/>
        <w:rPr>
          <w:noProof/>
          <w:sz w:val="20"/>
          <w:lang w:val="x-none"/>
        </w:rPr>
      </w:pPr>
      <w:bookmarkStart w:id="633" w:name="_ENREF_9"/>
      <w:r w:rsidRPr="00E6043D">
        <w:rPr>
          <w:noProof/>
          <w:sz w:val="20"/>
          <w:lang w:val="x-none"/>
        </w:rPr>
        <w:t xml:space="preserve">Atkinson, M.J., and Smith, S.V. 1983, C:N:P ratios of benthic marine plants. </w:t>
      </w:r>
      <w:r w:rsidRPr="00E6043D">
        <w:rPr>
          <w:i/>
          <w:noProof/>
          <w:sz w:val="20"/>
          <w:lang w:val="x-none"/>
        </w:rPr>
        <w:t>Limnology and Oceanography, 28</w:t>
      </w:r>
      <w:r w:rsidRPr="00E6043D">
        <w:rPr>
          <w:noProof/>
          <w:sz w:val="20"/>
          <w:lang w:val="x-none"/>
        </w:rPr>
        <w:t xml:space="preserve">(3), 568-574. </w:t>
      </w:r>
      <w:bookmarkEnd w:id="633"/>
    </w:p>
    <w:p w:rsidR="00E6043D" w:rsidRPr="00E6043D" w:rsidRDefault="00E6043D" w:rsidP="00E6043D">
      <w:pPr>
        <w:spacing w:after="0"/>
        <w:ind w:left="720" w:hanging="720"/>
        <w:rPr>
          <w:noProof/>
          <w:sz w:val="20"/>
          <w:lang w:val="x-none"/>
        </w:rPr>
      </w:pPr>
      <w:bookmarkStart w:id="634" w:name="_ENREF_10"/>
      <w:r w:rsidRPr="00E6043D">
        <w:rPr>
          <w:noProof/>
          <w:sz w:val="20"/>
          <w:lang w:val="x-none"/>
        </w:rPr>
        <w:t xml:space="preserve">Bainbridge, Z., Wolanski, E., Lewis, S., and Brodie, J. 2012, Fine sediment and nutrient dynamics related to particle size and floc formation in a Burdekin River flood plume, Australia. </w:t>
      </w:r>
      <w:r w:rsidRPr="00E6043D">
        <w:rPr>
          <w:i/>
          <w:noProof/>
          <w:sz w:val="20"/>
          <w:lang w:val="x-none"/>
        </w:rPr>
        <w:t>Marine Pollution Bulletin, 65</w:t>
      </w:r>
      <w:r w:rsidRPr="00E6043D">
        <w:rPr>
          <w:noProof/>
          <w:sz w:val="20"/>
          <w:lang w:val="x-none"/>
        </w:rPr>
        <w:t xml:space="preserve">, 236-248. </w:t>
      </w:r>
      <w:bookmarkEnd w:id="634"/>
    </w:p>
    <w:p w:rsidR="00E6043D" w:rsidRPr="00E6043D" w:rsidRDefault="00E6043D" w:rsidP="00E6043D">
      <w:pPr>
        <w:spacing w:after="0"/>
        <w:ind w:left="720" w:hanging="720"/>
        <w:rPr>
          <w:noProof/>
          <w:sz w:val="20"/>
          <w:lang w:val="x-none"/>
        </w:rPr>
      </w:pPr>
      <w:bookmarkStart w:id="635" w:name="_ENREF_11"/>
      <w:r w:rsidRPr="00E6043D">
        <w:rPr>
          <w:noProof/>
          <w:sz w:val="20"/>
          <w:lang w:val="x-none"/>
        </w:rPr>
        <w:t xml:space="preserve">Balata, D., Bertocci, I., Piazzi, L., and Nesti, U. 2008, Comparison between epiphyte assemblages of leaves and rhizomes of the seagrass Posidonia oceanica subjected to different levels of anthropogenic eutrophication. </w:t>
      </w:r>
      <w:r w:rsidRPr="00E6043D">
        <w:rPr>
          <w:i/>
          <w:noProof/>
          <w:sz w:val="20"/>
          <w:lang w:val="x-none"/>
        </w:rPr>
        <w:t>Estuarine, Coastal and Shelf Science, 79</w:t>
      </w:r>
      <w:r w:rsidRPr="00E6043D">
        <w:rPr>
          <w:noProof/>
          <w:sz w:val="20"/>
          <w:lang w:val="x-none"/>
        </w:rPr>
        <w:t xml:space="preserve">(3), 533-540. doi: </w:t>
      </w:r>
      <w:hyperlink r:id="rId159" w:history="1">
        <w:r w:rsidRPr="00E6043D">
          <w:rPr>
            <w:rStyle w:val="Hyperlink"/>
            <w:noProof/>
            <w:sz w:val="20"/>
            <w:lang w:val="x-none"/>
          </w:rPr>
          <w:t>http://dx.doi.org/10.1016/j.ecss.2008.05.009</w:t>
        </w:r>
        <w:bookmarkEnd w:id="635"/>
      </w:hyperlink>
    </w:p>
    <w:p w:rsidR="00E6043D" w:rsidRPr="00E6043D" w:rsidRDefault="00E6043D" w:rsidP="00E6043D">
      <w:pPr>
        <w:spacing w:after="0"/>
        <w:ind w:left="720" w:hanging="720"/>
        <w:rPr>
          <w:noProof/>
          <w:sz w:val="20"/>
          <w:lang w:val="x-none"/>
        </w:rPr>
      </w:pPr>
      <w:bookmarkStart w:id="636" w:name="_ENREF_12"/>
      <w:r w:rsidRPr="00E6043D">
        <w:rPr>
          <w:noProof/>
          <w:sz w:val="20"/>
          <w:lang w:val="x-none"/>
        </w:rPr>
        <w:t xml:space="preserve">Bernhardt, J.R., and Leslie, H.M. 2013, Resilience to climate change in coastal marine ecosystems. </w:t>
      </w:r>
      <w:r w:rsidRPr="00E6043D">
        <w:rPr>
          <w:i/>
          <w:noProof/>
          <w:sz w:val="20"/>
          <w:lang w:val="x-none"/>
        </w:rPr>
        <w:t>Annual Review of Marine Science, 5</w:t>
      </w:r>
      <w:r w:rsidRPr="00E6043D">
        <w:rPr>
          <w:noProof/>
          <w:sz w:val="20"/>
          <w:lang w:val="x-none"/>
        </w:rPr>
        <w:t xml:space="preserve">, 371-392. </w:t>
      </w:r>
      <w:bookmarkEnd w:id="636"/>
    </w:p>
    <w:p w:rsidR="00E6043D" w:rsidRPr="00E6043D" w:rsidRDefault="00E6043D" w:rsidP="00E6043D">
      <w:pPr>
        <w:spacing w:after="0"/>
        <w:ind w:left="720" w:hanging="720"/>
        <w:rPr>
          <w:noProof/>
          <w:sz w:val="20"/>
          <w:lang w:val="x-none"/>
        </w:rPr>
      </w:pPr>
      <w:bookmarkStart w:id="637" w:name="_ENREF_13"/>
      <w:r w:rsidRPr="00E6043D">
        <w:rPr>
          <w:noProof/>
          <w:sz w:val="20"/>
          <w:lang w:val="x-none"/>
        </w:rPr>
        <w:t xml:space="preserve">Birch, W., and Birch, M. 1984, Succession and pattern of tropical intertidal seagrasses in Cockle Bay, Queensland, Australia: a decade of observations. </w:t>
      </w:r>
      <w:r w:rsidRPr="00E6043D">
        <w:rPr>
          <w:i/>
          <w:noProof/>
          <w:sz w:val="20"/>
          <w:lang w:val="x-none"/>
        </w:rPr>
        <w:t>Aquatic Botany, 19</w:t>
      </w:r>
      <w:r w:rsidRPr="00E6043D">
        <w:rPr>
          <w:noProof/>
          <w:sz w:val="20"/>
          <w:lang w:val="x-none"/>
        </w:rPr>
        <w:t xml:space="preserve">, 343-367. </w:t>
      </w:r>
      <w:bookmarkEnd w:id="637"/>
    </w:p>
    <w:p w:rsidR="00E6043D" w:rsidRPr="00E6043D" w:rsidRDefault="00E6043D" w:rsidP="00E6043D">
      <w:pPr>
        <w:spacing w:after="0"/>
        <w:ind w:left="720" w:hanging="720"/>
        <w:rPr>
          <w:noProof/>
          <w:sz w:val="20"/>
          <w:lang w:val="x-none"/>
        </w:rPr>
      </w:pPr>
      <w:bookmarkStart w:id="638" w:name="_ENREF_14"/>
      <w:r w:rsidRPr="00E6043D">
        <w:rPr>
          <w:noProof/>
          <w:sz w:val="20"/>
          <w:lang w:val="x-none"/>
        </w:rPr>
        <w:t xml:space="preserve">Björk, M., Uka, J., Weil, A., and Beer, S. 1999, Photosynthetic tolerances to desiccation of tropical intertidal seagrasses. </w:t>
      </w:r>
      <w:r w:rsidRPr="00E6043D">
        <w:rPr>
          <w:i/>
          <w:noProof/>
          <w:sz w:val="20"/>
          <w:lang w:val="x-none"/>
        </w:rPr>
        <w:t>Marine Ecology Progress Series, 191</w:t>
      </w:r>
      <w:r w:rsidRPr="00E6043D">
        <w:rPr>
          <w:noProof/>
          <w:sz w:val="20"/>
          <w:lang w:val="x-none"/>
        </w:rPr>
        <w:t xml:space="preserve">, 121-126. </w:t>
      </w:r>
      <w:bookmarkEnd w:id="638"/>
    </w:p>
    <w:p w:rsidR="00E6043D" w:rsidRPr="00E6043D" w:rsidRDefault="00E6043D" w:rsidP="00E6043D">
      <w:pPr>
        <w:spacing w:after="0"/>
        <w:ind w:left="720" w:hanging="720"/>
        <w:rPr>
          <w:noProof/>
          <w:sz w:val="20"/>
          <w:lang w:val="x-none"/>
        </w:rPr>
      </w:pPr>
      <w:bookmarkStart w:id="639" w:name="_ENREF_15"/>
      <w:r w:rsidRPr="00E6043D">
        <w:rPr>
          <w:noProof/>
          <w:sz w:val="20"/>
          <w:lang w:val="x-none"/>
        </w:rPr>
        <w:t xml:space="preserve">Borowitzka, M.A., Lavery, P.S., and van Keulen, M. (2006). Epiphytes of seagrasses. In WD Larkum, RJ Orth &amp; CM Duarte (Eds.), </w:t>
      </w:r>
      <w:r w:rsidRPr="00E6043D">
        <w:rPr>
          <w:i/>
          <w:noProof/>
          <w:sz w:val="20"/>
          <w:lang w:val="x-none"/>
        </w:rPr>
        <w:t>Seagrasses: Biology, Ecology and Conservation</w:t>
      </w:r>
      <w:r w:rsidRPr="00E6043D">
        <w:rPr>
          <w:noProof/>
          <w:sz w:val="20"/>
          <w:lang w:val="x-none"/>
        </w:rPr>
        <w:t>. Dordrecht: Springer.</w:t>
      </w:r>
      <w:bookmarkEnd w:id="639"/>
    </w:p>
    <w:p w:rsidR="00E6043D" w:rsidRPr="00E6043D" w:rsidRDefault="00E6043D" w:rsidP="00E6043D">
      <w:pPr>
        <w:spacing w:after="0"/>
        <w:ind w:left="720" w:hanging="720"/>
        <w:rPr>
          <w:noProof/>
          <w:sz w:val="20"/>
          <w:lang w:val="x-none"/>
        </w:rPr>
      </w:pPr>
      <w:bookmarkStart w:id="640" w:name="_ENREF_16"/>
      <w:r w:rsidRPr="00E6043D">
        <w:rPr>
          <w:noProof/>
          <w:sz w:val="20"/>
          <w:lang w:val="x-none"/>
        </w:rPr>
        <w:t>Borum, J. 1985, Development of epiphytic communities on eelgrass (</w:t>
      </w:r>
      <w:r w:rsidRPr="00E6043D">
        <w:rPr>
          <w:i/>
          <w:noProof/>
          <w:sz w:val="20"/>
          <w:lang w:val="x-none"/>
        </w:rPr>
        <w:t>Zostra marina</w:t>
      </w:r>
      <w:r w:rsidRPr="00E6043D">
        <w:rPr>
          <w:noProof/>
          <w:sz w:val="20"/>
          <w:lang w:val="x-none"/>
        </w:rPr>
        <w:t xml:space="preserve">) along a nutrient gradient in a Danish estuary. </w:t>
      </w:r>
      <w:r w:rsidRPr="00E6043D">
        <w:rPr>
          <w:i/>
          <w:noProof/>
          <w:sz w:val="20"/>
          <w:lang w:val="x-none"/>
        </w:rPr>
        <w:t>Marine Biology, 87</w:t>
      </w:r>
      <w:r w:rsidRPr="00E6043D">
        <w:rPr>
          <w:noProof/>
          <w:sz w:val="20"/>
          <w:lang w:val="x-none"/>
        </w:rPr>
        <w:t xml:space="preserve">, 211–218. </w:t>
      </w:r>
      <w:bookmarkEnd w:id="640"/>
    </w:p>
    <w:p w:rsidR="00E6043D" w:rsidRPr="00E6043D" w:rsidRDefault="00E6043D" w:rsidP="00E6043D">
      <w:pPr>
        <w:spacing w:after="0"/>
        <w:ind w:left="720" w:hanging="720"/>
        <w:rPr>
          <w:noProof/>
          <w:sz w:val="20"/>
          <w:lang w:val="x-none"/>
        </w:rPr>
      </w:pPr>
      <w:bookmarkStart w:id="641" w:name="_ENREF_17"/>
      <w:r w:rsidRPr="00E6043D">
        <w:rPr>
          <w:noProof/>
          <w:sz w:val="20"/>
          <w:lang w:val="x-none"/>
        </w:rPr>
        <w:t xml:space="preserve">Borum, J., Duarte, C.M., Krause-Jensen, D., and Greve, T.M. (2004). </w:t>
      </w:r>
      <w:r w:rsidRPr="00E6043D">
        <w:rPr>
          <w:i/>
          <w:noProof/>
          <w:sz w:val="20"/>
          <w:lang w:val="x-none"/>
        </w:rPr>
        <w:t>European seagrasses: an introduction to monitoring and management</w:t>
      </w:r>
      <w:r w:rsidRPr="00E6043D">
        <w:rPr>
          <w:noProof/>
          <w:sz w:val="20"/>
          <w:lang w:val="x-none"/>
        </w:rPr>
        <w:t>. Copenhagen: The M&amp;MS project.</w:t>
      </w:r>
      <w:bookmarkEnd w:id="641"/>
    </w:p>
    <w:p w:rsidR="00E6043D" w:rsidRPr="00E6043D" w:rsidRDefault="00E6043D" w:rsidP="00E6043D">
      <w:pPr>
        <w:spacing w:after="0"/>
        <w:ind w:left="720" w:hanging="720"/>
        <w:rPr>
          <w:noProof/>
          <w:sz w:val="20"/>
          <w:lang w:val="x-none"/>
        </w:rPr>
      </w:pPr>
      <w:bookmarkStart w:id="642" w:name="_ENREF_18"/>
      <w:r w:rsidRPr="00E6043D">
        <w:rPr>
          <w:noProof/>
          <w:sz w:val="20"/>
          <w:lang w:val="x-none"/>
        </w:rPr>
        <w:t xml:space="preserve">Brodie, J. (2004). </w:t>
      </w:r>
      <w:r w:rsidRPr="00E6043D">
        <w:rPr>
          <w:i/>
          <w:noProof/>
          <w:sz w:val="20"/>
          <w:lang w:val="x-none"/>
        </w:rPr>
        <w:t>Mackay Whitsunday Region: State of the Waterways Report 2004 ACTFR Report No. 02/03 for the Mackay Whitsunday Natural Resource Management Group</w:t>
      </w:r>
      <w:r w:rsidRPr="00E6043D">
        <w:rPr>
          <w:noProof/>
          <w:sz w:val="20"/>
          <w:lang w:val="x-none"/>
        </w:rPr>
        <w:t>. Yownsville: ACTFR, James Cook University.</w:t>
      </w:r>
      <w:bookmarkEnd w:id="642"/>
    </w:p>
    <w:p w:rsidR="00E6043D" w:rsidRPr="00E6043D" w:rsidRDefault="00E6043D" w:rsidP="00E6043D">
      <w:pPr>
        <w:spacing w:after="0"/>
        <w:ind w:left="720" w:hanging="720"/>
        <w:rPr>
          <w:noProof/>
          <w:sz w:val="20"/>
          <w:lang w:val="x-none"/>
        </w:rPr>
      </w:pPr>
      <w:bookmarkStart w:id="643" w:name="_ENREF_19"/>
      <w:r w:rsidRPr="00E6043D">
        <w:rPr>
          <w:noProof/>
          <w:sz w:val="20"/>
          <w:lang w:val="x-none"/>
        </w:rPr>
        <w:t xml:space="preserve">Brodie, J., Waterhouse, J., Schaffelke, B., Furnas, M., Maynard, J., Collier, C., Lewis, S., Warne, M., Fabricius, K., Devlin, M., McKenzie, L.J., Yorkston, H., Randall, L., and Bennett, J. (2013a). Relative risks to the Great </w:t>
      </w:r>
      <w:r w:rsidRPr="00E6043D">
        <w:rPr>
          <w:noProof/>
          <w:sz w:val="20"/>
          <w:lang w:val="x-none"/>
        </w:rPr>
        <w:lastRenderedPageBreak/>
        <w:t xml:space="preserve">Barrier Reef from degraded water quality </w:t>
      </w:r>
      <w:r w:rsidRPr="00E6043D">
        <w:rPr>
          <w:i/>
          <w:noProof/>
          <w:sz w:val="20"/>
          <w:lang w:val="x-none"/>
        </w:rPr>
        <w:t>Synthesis of evidence to support the Reef Water Quality Scientific Consensus Statement 2013</w:t>
      </w:r>
      <w:r w:rsidRPr="00E6043D">
        <w:rPr>
          <w:noProof/>
          <w:sz w:val="20"/>
          <w:lang w:val="x-none"/>
        </w:rPr>
        <w:t xml:space="preserve"> (pp. 58). Brisbane: Department of the Premier and Cabinet, Queensland Government.</w:t>
      </w:r>
      <w:bookmarkEnd w:id="643"/>
    </w:p>
    <w:p w:rsidR="00E6043D" w:rsidRPr="00E6043D" w:rsidRDefault="00E6043D" w:rsidP="00E6043D">
      <w:pPr>
        <w:spacing w:after="0"/>
        <w:ind w:left="720" w:hanging="720"/>
        <w:rPr>
          <w:noProof/>
          <w:sz w:val="20"/>
          <w:lang w:val="x-none"/>
        </w:rPr>
      </w:pPr>
      <w:bookmarkStart w:id="644" w:name="_ENREF_20"/>
      <w:r w:rsidRPr="00E6043D">
        <w:rPr>
          <w:noProof/>
          <w:sz w:val="20"/>
          <w:lang w:val="x-none"/>
        </w:rPr>
        <w:t xml:space="preserve">Brodie, J., Waterhouse, J., Schaffelke, B., Johnson, J., Kroon, F., Thorburn, P., Rolfe, J., Lewis, S., Warne, M., Fabricius, K., McKenzie, L.J., and Devlin, M. (2013b). </w:t>
      </w:r>
      <w:r w:rsidRPr="00E6043D">
        <w:rPr>
          <w:i/>
          <w:noProof/>
          <w:sz w:val="20"/>
          <w:lang w:val="x-none"/>
        </w:rPr>
        <w:t>Reef Water Quality Scientific Consensus Statement 2013</w:t>
      </w:r>
      <w:r w:rsidRPr="00E6043D">
        <w:rPr>
          <w:noProof/>
          <w:sz w:val="20"/>
          <w:lang w:val="x-none"/>
        </w:rPr>
        <w:t>. Brisbane: Department of the Premier and Cabinet, Queensland Government.</w:t>
      </w:r>
      <w:bookmarkEnd w:id="644"/>
    </w:p>
    <w:p w:rsidR="00E6043D" w:rsidRPr="00E6043D" w:rsidRDefault="00E6043D" w:rsidP="00E6043D">
      <w:pPr>
        <w:spacing w:after="0"/>
        <w:ind w:left="720" w:hanging="720"/>
        <w:rPr>
          <w:noProof/>
          <w:sz w:val="20"/>
          <w:lang w:val="x-none"/>
        </w:rPr>
      </w:pPr>
      <w:bookmarkStart w:id="645" w:name="_ENREF_21"/>
      <w:r w:rsidRPr="00E6043D">
        <w:rPr>
          <w:noProof/>
          <w:sz w:val="20"/>
          <w:lang w:val="x-none"/>
        </w:rPr>
        <w:t xml:space="preserve">Brodie, J.E., Kroon, F.J., Schaffelke, B., Wolanski, E.C., Lewis, S.E., Devlin, M.J., Bohnet, I.C., Bainbridge, Z.T., Waterhouse, J., and Davis, A.M. 2012, Terrestrial pollutant runoff to the Great Barrier Reef: An update of issues, priorities and management responses. </w:t>
      </w:r>
      <w:r w:rsidRPr="00E6043D">
        <w:rPr>
          <w:i/>
          <w:noProof/>
          <w:sz w:val="20"/>
          <w:lang w:val="x-none"/>
        </w:rPr>
        <w:t>Marine Pollution Bulletin, 65</w:t>
      </w:r>
      <w:r w:rsidRPr="00E6043D">
        <w:rPr>
          <w:noProof/>
          <w:sz w:val="20"/>
          <w:lang w:val="x-none"/>
        </w:rPr>
        <w:t xml:space="preserve">(4–9), 81-100. </w:t>
      </w:r>
      <w:bookmarkEnd w:id="645"/>
    </w:p>
    <w:p w:rsidR="00E6043D" w:rsidRPr="00E6043D" w:rsidRDefault="00E6043D" w:rsidP="00E6043D">
      <w:pPr>
        <w:spacing w:after="0"/>
        <w:ind w:left="720" w:hanging="720"/>
        <w:rPr>
          <w:noProof/>
          <w:sz w:val="20"/>
          <w:lang w:val="x-none"/>
        </w:rPr>
      </w:pPr>
      <w:bookmarkStart w:id="646" w:name="_ENREF_22"/>
      <w:r w:rsidRPr="00E6043D">
        <w:rPr>
          <w:noProof/>
          <w:sz w:val="20"/>
          <w:lang w:val="x-none"/>
        </w:rPr>
        <w:t xml:space="preserve">Bros, W.E., and Cowell, B.C. 1987, A technique for optimising sample size (replication). </w:t>
      </w:r>
      <w:r w:rsidRPr="00E6043D">
        <w:rPr>
          <w:i/>
          <w:noProof/>
          <w:sz w:val="20"/>
          <w:lang w:val="x-none"/>
        </w:rPr>
        <w:t>Journal of  Experimental Marine Biology and Ecology, 114</w:t>
      </w:r>
      <w:r w:rsidRPr="00E6043D">
        <w:rPr>
          <w:noProof/>
          <w:sz w:val="20"/>
          <w:lang w:val="x-none"/>
        </w:rPr>
        <w:t xml:space="preserve">, 63-71. </w:t>
      </w:r>
      <w:bookmarkEnd w:id="646"/>
    </w:p>
    <w:p w:rsidR="00E6043D" w:rsidRPr="00E6043D" w:rsidRDefault="00E6043D" w:rsidP="00E6043D">
      <w:pPr>
        <w:spacing w:after="0"/>
        <w:ind w:left="720" w:hanging="720"/>
        <w:rPr>
          <w:noProof/>
          <w:sz w:val="20"/>
          <w:lang w:val="x-none"/>
        </w:rPr>
      </w:pPr>
      <w:bookmarkStart w:id="647" w:name="_ENREF_23"/>
      <w:r w:rsidRPr="00E6043D">
        <w:rPr>
          <w:noProof/>
          <w:sz w:val="20"/>
          <w:lang w:val="x-none"/>
        </w:rPr>
        <w:t xml:space="preserve">Bryant, C., Davies, J., Sankey, T., Jarvis, J., and Rasheed, M. (2014a). </w:t>
      </w:r>
      <w:r w:rsidRPr="00E6043D">
        <w:rPr>
          <w:i/>
          <w:noProof/>
          <w:sz w:val="20"/>
          <w:lang w:val="x-none"/>
        </w:rPr>
        <w:t>Long Term Seagrass Monitoring in Port Curtis: Quarterly Seagrass Assessments &amp; Permanent Transect Monitoring Progress Report 2009 to 2013. TropWATER Publication 14/18</w:t>
      </w:r>
      <w:r w:rsidRPr="00E6043D">
        <w:rPr>
          <w:noProof/>
          <w:sz w:val="20"/>
          <w:lang w:val="x-none"/>
        </w:rPr>
        <w:t>. Cairns: Centre for Tropical Water &amp; Aquatic Ecosystem Research, James Cook University.</w:t>
      </w:r>
      <w:bookmarkEnd w:id="647"/>
    </w:p>
    <w:p w:rsidR="00E6043D" w:rsidRPr="00E6043D" w:rsidRDefault="00E6043D" w:rsidP="00E6043D">
      <w:pPr>
        <w:spacing w:after="0"/>
        <w:ind w:left="720" w:hanging="720"/>
        <w:rPr>
          <w:noProof/>
          <w:sz w:val="20"/>
          <w:lang w:val="x-none"/>
        </w:rPr>
      </w:pPr>
      <w:bookmarkStart w:id="648" w:name="_ENREF_24"/>
      <w:r w:rsidRPr="00E6043D">
        <w:rPr>
          <w:noProof/>
          <w:sz w:val="20"/>
          <w:lang w:val="x-none"/>
        </w:rPr>
        <w:t xml:space="preserve">Bryant, C., Jarvis, J., York, P., and Rasheed, M. (2014b). </w:t>
      </w:r>
      <w:r w:rsidRPr="00E6043D">
        <w:rPr>
          <w:i/>
          <w:noProof/>
          <w:sz w:val="20"/>
          <w:lang w:val="x-none"/>
        </w:rPr>
        <w:t>Gladstone Healthy Harbour Partnership Pilot Report Card: ISP011 Seagrass Final Report – October 2014, TropWATER Report No. 14/53</w:t>
      </w:r>
      <w:r w:rsidRPr="00E6043D">
        <w:rPr>
          <w:noProof/>
          <w:sz w:val="20"/>
          <w:lang w:val="x-none"/>
        </w:rPr>
        <w:t>. Cairns: Centre for Tropical Water &amp; Aquatic Ecosystem Research, James Cook University.</w:t>
      </w:r>
      <w:bookmarkEnd w:id="648"/>
    </w:p>
    <w:p w:rsidR="00E6043D" w:rsidRPr="00E6043D" w:rsidRDefault="00E6043D" w:rsidP="00E6043D">
      <w:pPr>
        <w:spacing w:after="0"/>
        <w:ind w:left="720" w:hanging="720"/>
        <w:rPr>
          <w:noProof/>
          <w:sz w:val="20"/>
          <w:lang w:val="x-none"/>
        </w:rPr>
      </w:pPr>
      <w:bookmarkStart w:id="649" w:name="_ENREF_25"/>
      <w:r w:rsidRPr="00E6043D">
        <w:rPr>
          <w:noProof/>
          <w:sz w:val="20"/>
          <w:lang w:val="x-none"/>
        </w:rPr>
        <w:t xml:space="preserve">Burkholder, J.M., Tomasko, D.A., and Touchette, B.W. 2007, Seagrasses and eutrophication. </w:t>
      </w:r>
      <w:r w:rsidRPr="00E6043D">
        <w:rPr>
          <w:i/>
          <w:noProof/>
          <w:sz w:val="20"/>
          <w:lang w:val="x-none"/>
        </w:rPr>
        <w:t>Journal of Experimental Marine Biology and Ecology, 350</w:t>
      </w:r>
      <w:r w:rsidRPr="00E6043D">
        <w:rPr>
          <w:noProof/>
          <w:sz w:val="20"/>
          <w:lang w:val="x-none"/>
        </w:rPr>
        <w:t xml:space="preserve">, 46–72. </w:t>
      </w:r>
      <w:bookmarkEnd w:id="649"/>
    </w:p>
    <w:p w:rsidR="00E6043D" w:rsidRPr="00E6043D" w:rsidRDefault="00E6043D" w:rsidP="00E6043D">
      <w:pPr>
        <w:spacing w:after="0"/>
        <w:ind w:left="720" w:hanging="720"/>
        <w:rPr>
          <w:noProof/>
          <w:sz w:val="20"/>
          <w:lang w:val="x-none"/>
        </w:rPr>
      </w:pPr>
      <w:bookmarkStart w:id="650" w:name="_ENREF_26"/>
      <w:r w:rsidRPr="00E6043D">
        <w:rPr>
          <w:noProof/>
          <w:sz w:val="20"/>
          <w:lang w:val="x-none"/>
        </w:rPr>
        <w:t xml:space="preserve">Burnett Mary Regional Group. (2005). </w:t>
      </w:r>
      <w:r w:rsidRPr="00E6043D">
        <w:rPr>
          <w:i/>
          <w:noProof/>
          <w:sz w:val="20"/>
          <w:lang w:val="x-none"/>
        </w:rPr>
        <w:t>Country to Coast – A Healthy Sustainable Future Volume 1a  Background Report</w:t>
      </w:r>
      <w:r w:rsidRPr="00E6043D">
        <w:rPr>
          <w:noProof/>
          <w:sz w:val="20"/>
          <w:lang w:val="x-none"/>
        </w:rPr>
        <w:t>. Bundaberg, Qld: Burnett Mary Regional Group.</w:t>
      </w:r>
      <w:bookmarkEnd w:id="650"/>
    </w:p>
    <w:p w:rsidR="00E6043D" w:rsidRPr="00E6043D" w:rsidRDefault="00E6043D" w:rsidP="00E6043D">
      <w:pPr>
        <w:spacing w:after="0"/>
        <w:ind w:left="720" w:hanging="720"/>
        <w:rPr>
          <w:noProof/>
          <w:sz w:val="20"/>
          <w:lang w:val="x-none"/>
        </w:rPr>
      </w:pPr>
      <w:bookmarkStart w:id="651" w:name="_ENREF_27"/>
      <w:r w:rsidRPr="00E6043D">
        <w:rPr>
          <w:noProof/>
          <w:sz w:val="20"/>
          <w:lang w:val="x-none"/>
        </w:rPr>
        <w:t xml:space="preserve">Burnett Mary Regional Group. (2010). </w:t>
      </w:r>
      <w:r w:rsidRPr="00E6043D">
        <w:rPr>
          <w:i/>
          <w:noProof/>
          <w:sz w:val="20"/>
          <w:lang w:val="x-none"/>
        </w:rPr>
        <w:t>Burnett-Baffle Water Quality Improvement Plan</w:t>
      </w:r>
      <w:r w:rsidRPr="00E6043D">
        <w:rPr>
          <w:noProof/>
          <w:sz w:val="20"/>
          <w:lang w:val="x-none"/>
        </w:rPr>
        <w:t>. Bundaberg: Burnett Mary Regional Group.</w:t>
      </w:r>
      <w:bookmarkEnd w:id="651"/>
    </w:p>
    <w:p w:rsidR="00E6043D" w:rsidRPr="00E6043D" w:rsidRDefault="00E6043D" w:rsidP="00E6043D">
      <w:pPr>
        <w:spacing w:after="0"/>
        <w:ind w:left="720" w:hanging="720"/>
        <w:rPr>
          <w:noProof/>
          <w:sz w:val="20"/>
          <w:lang w:val="x-none"/>
        </w:rPr>
      </w:pPr>
      <w:bookmarkStart w:id="652" w:name="_ENREF_28"/>
      <w:r w:rsidRPr="00E6043D">
        <w:rPr>
          <w:noProof/>
          <w:sz w:val="20"/>
          <w:lang w:val="x-none"/>
        </w:rPr>
        <w:t xml:space="preserve">Burnett Mary Regional Group. (2013). </w:t>
      </w:r>
      <w:r w:rsidRPr="00E6043D">
        <w:rPr>
          <w:i/>
          <w:noProof/>
          <w:sz w:val="20"/>
          <w:lang w:val="x-none"/>
        </w:rPr>
        <w:t>Wide Bay Burnett, Environment and Natural Resource Management Plan 2012-2031 - Regional targets to support the environment and sustainability framework of the Wide Bay Burnett Regional Plan</w:t>
      </w:r>
      <w:r w:rsidRPr="00E6043D">
        <w:rPr>
          <w:noProof/>
          <w:sz w:val="20"/>
          <w:lang w:val="x-none"/>
        </w:rPr>
        <w:t>. Bundaberg: Burnett Mary Regional Group.</w:t>
      </w:r>
      <w:bookmarkEnd w:id="652"/>
    </w:p>
    <w:p w:rsidR="00E6043D" w:rsidRPr="00E6043D" w:rsidRDefault="00E6043D" w:rsidP="00E6043D">
      <w:pPr>
        <w:spacing w:after="0"/>
        <w:ind w:left="720" w:hanging="720"/>
        <w:rPr>
          <w:noProof/>
          <w:sz w:val="20"/>
          <w:lang w:val="x-none"/>
        </w:rPr>
      </w:pPr>
      <w:bookmarkStart w:id="653" w:name="_ENREF_29"/>
      <w:r w:rsidRPr="00E6043D">
        <w:rPr>
          <w:noProof/>
          <w:sz w:val="20"/>
          <w:lang w:val="x-none"/>
        </w:rPr>
        <w:t xml:space="preserve">Cabaço, S., and Santos, R. 2007, Effects of burial and erosion on the seagrass Zostera noltii. </w:t>
      </w:r>
      <w:r w:rsidRPr="00E6043D">
        <w:rPr>
          <w:i/>
          <w:noProof/>
          <w:sz w:val="20"/>
          <w:lang w:val="x-none"/>
        </w:rPr>
        <w:t>Journal of Experimental Marine Biology and Ecology, 340</w:t>
      </w:r>
      <w:r w:rsidRPr="00E6043D">
        <w:rPr>
          <w:noProof/>
          <w:sz w:val="20"/>
          <w:lang w:val="x-none"/>
        </w:rPr>
        <w:t xml:space="preserve">, 204-212. </w:t>
      </w:r>
      <w:bookmarkEnd w:id="653"/>
    </w:p>
    <w:p w:rsidR="00E6043D" w:rsidRPr="00E6043D" w:rsidRDefault="00E6043D" w:rsidP="00E6043D">
      <w:pPr>
        <w:spacing w:after="0"/>
        <w:ind w:left="720" w:hanging="720"/>
        <w:rPr>
          <w:noProof/>
          <w:sz w:val="20"/>
          <w:lang w:val="x-none"/>
        </w:rPr>
      </w:pPr>
      <w:bookmarkStart w:id="654" w:name="_ENREF_30"/>
      <w:r w:rsidRPr="00E6043D">
        <w:rPr>
          <w:noProof/>
          <w:sz w:val="20"/>
          <w:lang w:val="x-none"/>
        </w:rPr>
        <w:t xml:space="preserve">Cambridge, M.L., Chiffings, A.W., Brittan, C., Moore, L., and McComb, A.J. 1986, The loss of seagrass in Cockburn Sound, Western Australia. II. Possible causes of seagrass decline. </w:t>
      </w:r>
      <w:r w:rsidRPr="00E6043D">
        <w:rPr>
          <w:i/>
          <w:noProof/>
          <w:sz w:val="20"/>
          <w:lang w:val="x-none"/>
        </w:rPr>
        <w:t>Aquatic Botany, 24</w:t>
      </w:r>
      <w:r w:rsidRPr="00E6043D">
        <w:rPr>
          <w:noProof/>
          <w:sz w:val="20"/>
          <w:lang w:val="x-none"/>
        </w:rPr>
        <w:t xml:space="preserve">, 269-285. </w:t>
      </w:r>
      <w:bookmarkEnd w:id="654"/>
    </w:p>
    <w:p w:rsidR="00E6043D" w:rsidRPr="00E6043D" w:rsidRDefault="00E6043D" w:rsidP="00E6043D">
      <w:pPr>
        <w:spacing w:after="0"/>
        <w:ind w:left="720" w:hanging="720"/>
        <w:rPr>
          <w:noProof/>
          <w:sz w:val="20"/>
          <w:lang w:val="x-none"/>
        </w:rPr>
      </w:pPr>
      <w:bookmarkStart w:id="655" w:name="_ENREF_31"/>
      <w:r w:rsidRPr="00E6043D">
        <w:rPr>
          <w:noProof/>
          <w:sz w:val="20"/>
          <w:lang w:val="x-none"/>
        </w:rPr>
        <w:t xml:space="preserve">Campbell, S.J., and McKenzie, L.J. (2001). </w:t>
      </w:r>
      <w:r w:rsidRPr="00E6043D">
        <w:rPr>
          <w:i/>
          <w:noProof/>
          <w:sz w:val="20"/>
          <w:lang w:val="x-none"/>
        </w:rPr>
        <w:t>Seagrass and algal abundance in the Whitsundays region. Status Report.</w:t>
      </w:r>
      <w:r w:rsidRPr="00E6043D">
        <w:rPr>
          <w:noProof/>
          <w:sz w:val="20"/>
          <w:lang w:val="x-none"/>
        </w:rPr>
        <w:t xml:space="preserve"> Cairns: Department of Primary Industries.</w:t>
      </w:r>
      <w:bookmarkEnd w:id="655"/>
    </w:p>
    <w:p w:rsidR="00E6043D" w:rsidRPr="00E6043D" w:rsidRDefault="00E6043D" w:rsidP="00E6043D">
      <w:pPr>
        <w:spacing w:after="0"/>
        <w:ind w:left="720" w:hanging="720"/>
        <w:rPr>
          <w:noProof/>
          <w:sz w:val="20"/>
          <w:lang w:val="x-none"/>
        </w:rPr>
      </w:pPr>
      <w:bookmarkStart w:id="656" w:name="_ENREF_32"/>
      <w:r w:rsidRPr="00E6043D">
        <w:rPr>
          <w:noProof/>
          <w:sz w:val="20"/>
          <w:lang w:val="x-none"/>
        </w:rPr>
        <w:t xml:space="preserve">Campbell, S.J., and McKenzie, L.J. 2004, Flood related loss and recovery of intertidal seagrass meadows in southern Queensland, Australia. </w:t>
      </w:r>
      <w:r w:rsidRPr="00E6043D">
        <w:rPr>
          <w:i/>
          <w:noProof/>
          <w:sz w:val="20"/>
          <w:lang w:val="x-none"/>
        </w:rPr>
        <w:t>Estuarine, Coastal and Shelf Science, 60</w:t>
      </w:r>
      <w:r w:rsidRPr="00E6043D">
        <w:rPr>
          <w:noProof/>
          <w:sz w:val="20"/>
          <w:lang w:val="x-none"/>
        </w:rPr>
        <w:t xml:space="preserve">(3), 477-490. </w:t>
      </w:r>
      <w:bookmarkEnd w:id="656"/>
    </w:p>
    <w:p w:rsidR="00E6043D" w:rsidRPr="00E6043D" w:rsidRDefault="00E6043D" w:rsidP="00E6043D">
      <w:pPr>
        <w:spacing w:after="0"/>
        <w:ind w:left="720" w:hanging="720"/>
        <w:rPr>
          <w:noProof/>
          <w:sz w:val="20"/>
          <w:lang w:val="x-none"/>
        </w:rPr>
      </w:pPr>
      <w:bookmarkStart w:id="657" w:name="_ENREF_33"/>
      <w:r w:rsidRPr="00E6043D">
        <w:rPr>
          <w:noProof/>
          <w:sz w:val="20"/>
          <w:lang w:val="x-none"/>
        </w:rPr>
        <w:t xml:space="preserve">Campbell, S.J., McKenzie, L.J., and Kerville, S.P. 2006, Photosynthetic responses of seven tropical seagrasses to elevated seawater temperature. </w:t>
      </w:r>
      <w:r w:rsidRPr="00E6043D">
        <w:rPr>
          <w:i/>
          <w:noProof/>
          <w:sz w:val="20"/>
          <w:lang w:val="x-none"/>
        </w:rPr>
        <w:t>Journal of Experimental Marine Biology and Ecology, 330</w:t>
      </w:r>
      <w:r w:rsidRPr="00E6043D">
        <w:rPr>
          <w:noProof/>
          <w:sz w:val="20"/>
          <w:lang w:val="x-none"/>
        </w:rPr>
        <w:t xml:space="preserve">, 455-468. </w:t>
      </w:r>
      <w:bookmarkEnd w:id="657"/>
    </w:p>
    <w:p w:rsidR="00E6043D" w:rsidRPr="00E6043D" w:rsidRDefault="00E6043D" w:rsidP="00E6043D">
      <w:pPr>
        <w:spacing w:after="0"/>
        <w:ind w:left="720" w:hanging="720"/>
        <w:rPr>
          <w:noProof/>
          <w:sz w:val="20"/>
          <w:lang w:val="x-none"/>
        </w:rPr>
      </w:pPr>
      <w:bookmarkStart w:id="658" w:name="_ENREF_34"/>
      <w:r w:rsidRPr="00E6043D">
        <w:rPr>
          <w:noProof/>
          <w:sz w:val="20"/>
          <w:lang w:val="x-none"/>
        </w:rPr>
        <w:t xml:space="preserve">Campbell, S.J., Roder, C.A., McKenzie, L.J., and Lee Long, W.J. 2002, Seagrass resources in the Whitsunday region 1999 and 2000. </w:t>
      </w:r>
      <w:r w:rsidRPr="00E6043D">
        <w:rPr>
          <w:i/>
          <w:noProof/>
          <w:sz w:val="20"/>
          <w:lang w:val="x-none"/>
        </w:rPr>
        <w:t>DPI Information Series QI02043</w:t>
      </w:r>
      <w:r w:rsidRPr="00E6043D">
        <w:rPr>
          <w:noProof/>
          <w:sz w:val="20"/>
          <w:lang w:val="x-none"/>
        </w:rPr>
        <w:t xml:space="preserve">, 50. </w:t>
      </w:r>
      <w:bookmarkEnd w:id="658"/>
    </w:p>
    <w:p w:rsidR="00E6043D" w:rsidRPr="00E6043D" w:rsidRDefault="00E6043D" w:rsidP="00E6043D">
      <w:pPr>
        <w:spacing w:after="0"/>
        <w:ind w:left="720" w:hanging="720"/>
        <w:rPr>
          <w:noProof/>
          <w:sz w:val="20"/>
          <w:lang w:val="x-none"/>
        </w:rPr>
      </w:pPr>
      <w:bookmarkStart w:id="659" w:name="_ENREF_35"/>
      <w:r w:rsidRPr="00E6043D">
        <w:rPr>
          <w:noProof/>
          <w:sz w:val="20"/>
          <w:lang w:val="x-none"/>
        </w:rPr>
        <w:t xml:space="preserve">Carruthers, T., Dennison, W., Longstaff, B., Waycott, M., Abal, E.G., McKenzie, L.J., and Lee Long, W. 2002, Seagrass habitats of north east Australia: models of key processes and controls. </w:t>
      </w:r>
      <w:r w:rsidRPr="00E6043D">
        <w:rPr>
          <w:i/>
          <w:noProof/>
          <w:sz w:val="20"/>
          <w:lang w:val="x-none"/>
        </w:rPr>
        <w:t>Bulletin of Marine Science, 71</w:t>
      </w:r>
      <w:r w:rsidRPr="00E6043D">
        <w:rPr>
          <w:noProof/>
          <w:sz w:val="20"/>
          <w:lang w:val="x-none"/>
        </w:rPr>
        <w:t xml:space="preserve">(3), 1153-1169. </w:t>
      </w:r>
      <w:bookmarkEnd w:id="659"/>
    </w:p>
    <w:p w:rsidR="00E6043D" w:rsidRPr="00E6043D" w:rsidRDefault="00E6043D" w:rsidP="00E6043D">
      <w:pPr>
        <w:spacing w:after="0"/>
        <w:ind w:left="720" w:hanging="720"/>
        <w:rPr>
          <w:noProof/>
          <w:sz w:val="20"/>
          <w:lang w:val="x-none"/>
        </w:rPr>
      </w:pPr>
      <w:bookmarkStart w:id="660" w:name="_ENREF_36"/>
      <w:r w:rsidRPr="00E6043D">
        <w:rPr>
          <w:noProof/>
          <w:sz w:val="20"/>
          <w:lang w:val="x-none"/>
        </w:rPr>
        <w:t xml:space="preserve">Carter, A., Chartrand, K., and Rasheed, M. (2012). </w:t>
      </w:r>
      <w:r w:rsidRPr="00E6043D">
        <w:rPr>
          <w:i/>
          <w:noProof/>
          <w:sz w:val="20"/>
          <w:lang w:val="x-none"/>
        </w:rPr>
        <w:t>Critical marine habitats in high risk areas, Princess Charlotte Bay region - 2011 Atlas</w:t>
      </w:r>
      <w:r w:rsidRPr="00E6043D">
        <w:rPr>
          <w:noProof/>
          <w:sz w:val="20"/>
          <w:lang w:val="x-none"/>
        </w:rPr>
        <w:t>. Northern Fisheries Centre, Cairns: DAFF Publication.</w:t>
      </w:r>
      <w:bookmarkEnd w:id="660"/>
    </w:p>
    <w:p w:rsidR="00E6043D" w:rsidRPr="00E6043D" w:rsidRDefault="00E6043D" w:rsidP="00E6043D">
      <w:pPr>
        <w:spacing w:after="0"/>
        <w:ind w:left="720" w:hanging="720"/>
        <w:rPr>
          <w:noProof/>
          <w:sz w:val="20"/>
          <w:lang w:val="x-none"/>
        </w:rPr>
      </w:pPr>
      <w:bookmarkStart w:id="661" w:name="_ENREF_37"/>
      <w:r w:rsidRPr="00E6043D">
        <w:rPr>
          <w:noProof/>
          <w:sz w:val="20"/>
          <w:lang w:val="x-none"/>
        </w:rPr>
        <w:t xml:space="preserve">Carter, A., Davies, J., Bryant, C., Jarvis, J., McKenna, S., and Rasheed, M. (2015a). </w:t>
      </w:r>
      <w:r w:rsidRPr="00E6043D">
        <w:rPr>
          <w:i/>
          <w:noProof/>
          <w:sz w:val="20"/>
          <w:lang w:val="x-none"/>
        </w:rPr>
        <w:t>Seagrasses in Port Curtis and Rodds Bay 2014: Annual long-term monitoring, biannual Western Basin, and updated baseline survey</w:t>
      </w:r>
      <w:r w:rsidRPr="00E6043D">
        <w:rPr>
          <w:noProof/>
          <w:sz w:val="20"/>
          <w:lang w:val="x-none"/>
        </w:rPr>
        <w:t>. Cairns: Centre for Tropical Water &amp; Aquatic Ecosystem Research, James Cook University.</w:t>
      </w:r>
      <w:bookmarkEnd w:id="661"/>
    </w:p>
    <w:p w:rsidR="00E6043D" w:rsidRPr="00E6043D" w:rsidRDefault="00E6043D" w:rsidP="00E6043D">
      <w:pPr>
        <w:spacing w:after="0"/>
        <w:ind w:left="720" w:hanging="720"/>
        <w:rPr>
          <w:noProof/>
          <w:sz w:val="20"/>
          <w:lang w:val="x-none"/>
        </w:rPr>
      </w:pPr>
      <w:bookmarkStart w:id="662" w:name="_ENREF_38"/>
      <w:r w:rsidRPr="00E6043D">
        <w:rPr>
          <w:noProof/>
          <w:sz w:val="20"/>
          <w:lang w:val="x-none"/>
        </w:rPr>
        <w:lastRenderedPageBreak/>
        <w:t xml:space="preserve">Carter, A., Jarvis, J., Bryant, C., and Rasheed, M. (2015b). </w:t>
      </w:r>
      <w:r w:rsidRPr="00E6043D">
        <w:rPr>
          <w:i/>
          <w:noProof/>
          <w:sz w:val="20"/>
          <w:lang w:val="x-none"/>
        </w:rPr>
        <w:t>Development of seagrass indicators for the Gladstone Healthy Harbour Partnership Report Card, ISP011: Seagrass. TropWATER Report No 15/29</w:t>
      </w:r>
      <w:r w:rsidRPr="00E6043D">
        <w:rPr>
          <w:noProof/>
          <w:sz w:val="20"/>
          <w:lang w:val="x-none"/>
        </w:rPr>
        <w:t>. Cairns: Centre for Tropical Water &amp; Aquatic Ecosystem Research, James Cook University.</w:t>
      </w:r>
      <w:bookmarkEnd w:id="662"/>
    </w:p>
    <w:p w:rsidR="00E6043D" w:rsidRPr="00E6043D" w:rsidRDefault="00E6043D" w:rsidP="00E6043D">
      <w:pPr>
        <w:spacing w:after="0"/>
        <w:ind w:left="720" w:hanging="720"/>
        <w:rPr>
          <w:noProof/>
          <w:sz w:val="20"/>
          <w:lang w:val="x-none"/>
        </w:rPr>
      </w:pPr>
      <w:bookmarkStart w:id="663" w:name="_ENREF_39"/>
      <w:r w:rsidRPr="00E6043D">
        <w:rPr>
          <w:noProof/>
          <w:sz w:val="20"/>
          <w:lang w:val="x-none"/>
        </w:rPr>
        <w:t xml:space="preserve">Carter, A., and Rasheed, M. (2013). </w:t>
      </w:r>
      <w:r w:rsidRPr="00E6043D">
        <w:rPr>
          <w:i/>
          <w:noProof/>
          <w:sz w:val="20"/>
          <w:lang w:val="x-none"/>
        </w:rPr>
        <w:t xml:space="preserve">Critical marine habitats in high risk areas, Bathurst Bay region - 2012 Atlas. </w:t>
      </w:r>
      <w:r w:rsidRPr="00E6043D">
        <w:rPr>
          <w:noProof/>
          <w:sz w:val="20"/>
          <w:lang w:val="x-none"/>
        </w:rPr>
        <w:t>(Vol. Report No. 13/19). Cairns: JCU Publication, Centre for Tropical Water &amp; Aquatic Ecosystem Research.</w:t>
      </w:r>
      <w:bookmarkEnd w:id="663"/>
    </w:p>
    <w:p w:rsidR="00E6043D" w:rsidRPr="00E6043D" w:rsidRDefault="00E6043D" w:rsidP="00E6043D">
      <w:pPr>
        <w:spacing w:after="0"/>
        <w:ind w:left="720" w:hanging="720"/>
        <w:rPr>
          <w:noProof/>
          <w:sz w:val="20"/>
          <w:lang w:val="x-none"/>
        </w:rPr>
      </w:pPr>
      <w:bookmarkStart w:id="664" w:name="_ENREF_40"/>
      <w:r w:rsidRPr="00E6043D">
        <w:rPr>
          <w:noProof/>
          <w:sz w:val="20"/>
          <w:lang w:val="x-none"/>
        </w:rPr>
        <w:t xml:space="preserve">Carter, A., Taylor, H., and Rasheed, M. (2014a). </w:t>
      </w:r>
      <w:r w:rsidRPr="00E6043D">
        <w:rPr>
          <w:i/>
          <w:noProof/>
          <w:sz w:val="20"/>
          <w:lang w:val="x-none"/>
        </w:rPr>
        <w:t>Torres Strait Dugong Sanctuary – Deepwater Seagrass Monitoring 2010 – 2014, TropWATER Report no. 14/21</w:t>
      </w:r>
      <w:r w:rsidRPr="00E6043D">
        <w:rPr>
          <w:noProof/>
          <w:sz w:val="20"/>
          <w:lang w:val="x-none"/>
        </w:rPr>
        <w:t>. Cairns: Centre for Tropical Water &amp; Aquatic Ecosystem Research, James Cook University.</w:t>
      </w:r>
      <w:bookmarkEnd w:id="664"/>
    </w:p>
    <w:p w:rsidR="00E6043D" w:rsidRPr="00E6043D" w:rsidRDefault="00E6043D" w:rsidP="00E6043D">
      <w:pPr>
        <w:spacing w:after="0"/>
        <w:ind w:left="720" w:hanging="720"/>
        <w:rPr>
          <w:noProof/>
          <w:sz w:val="20"/>
          <w:lang w:val="x-none"/>
        </w:rPr>
      </w:pPr>
      <w:bookmarkStart w:id="665" w:name="_ENREF_41"/>
      <w:r w:rsidRPr="00E6043D">
        <w:rPr>
          <w:noProof/>
          <w:sz w:val="20"/>
          <w:lang w:val="x-none"/>
        </w:rPr>
        <w:t xml:space="preserve">Carter, A., Taylor, H., and Rasheed, M. (2014b). </w:t>
      </w:r>
      <w:r w:rsidRPr="00E6043D">
        <w:rPr>
          <w:i/>
          <w:noProof/>
          <w:sz w:val="20"/>
          <w:lang w:val="x-none"/>
        </w:rPr>
        <w:t>Torres Strait Mapping: Seagrass Consolidation, 2002 – 2014”, TropWATER Report no. 14/55</w:t>
      </w:r>
      <w:r w:rsidRPr="00E6043D">
        <w:rPr>
          <w:noProof/>
          <w:sz w:val="20"/>
          <w:lang w:val="x-none"/>
        </w:rPr>
        <w:t>. Cairns: Centre for Tropical Water &amp; Aquatic Ecosystem Research, James Cook University.</w:t>
      </w:r>
      <w:bookmarkEnd w:id="665"/>
    </w:p>
    <w:p w:rsidR="00E6043D" w:rsidRPr="00E6043D" w:rsidRDefault="00E6043D" w:rsidP="00E6043D">
      <w:pPr>
        <w:spacing w:after="0"/>
        <w:ind w:left="720" w:hanging="720"/>
        <w:rPr>
          <w:noProof/>
          <w:sz w:val="20"/>
          <w:lang w:val="x-none"/>
        </w:rPr>
      </w:pPr>
      <w:bookmarkStart w:id="666" w:name="_ENREF_42"/>
      <w:r w:rsidRPr="00E6043D">
        <w:rPr>
          <w:noProof/>
          <w:sz w:val="20"/>
          <w:lang w:val="x-none"/>
        </w:rPr>
        <w:t xml:space="preserve">Carter, A.B., and Rasheed, M.A. (2014). </w:t>
      </w:r>
      <w:r w:rsidRPr="00E6043D">
        <w:rPr>
          <w:i/>
          <w:noProof/>
          <w:sz w:val="20"/>
          <w:lang w:val="x-none"/>
        </w:rPr>
        <w:t>Critical marine habitats in high risk areas, South Warden Reef to Howick Group - 2013 Atlas. Centre for Tropical Water &amp; Aquatic Ecosystem Research Report no. 13/56</w:t>
      </w:r>
      <w:r w:rsidRPr="00E6043D">
        <w:rPr>
          <w:noProof/>
          <w:sz w:val="20"/>
          <w:lang w:val="x-none"/>
        </w:rPr>
        <w:t>. Cairns: James Cook University.</w:t>
      </w:r>
      <w:bookmarkEnd w:id="666"/>
    </w:p>
    <w:p w:rsidR="00E6043D" w:rsidRPr="00E6043D" w:rsidRDefault="00E6043D" w:rsidP="00E6043D">
      <w:pPr>
        <w:spacing w:after="0"/>
        <w:ind w:left="720" w:hanging="720"/>
        <w:rPr>
          <w:noProof/>
          <w:sz w:val="20"/>
          <w:lang w:val="x-none"/>
        </w:rPr>
      </w:pPr>
      <w:bookmarkStart w:id="667" w:name="_ENREF_43"/>
      <w:r w:rsidRPr="00E6043D">
        <w:rPr>
          <w:noProof/>
          <w:sz w:val="20"/>
          <w:lang w:val="x-none"/>
        </w:rPr>
        <w:t xml:space="preserve">Carter, A.B., and Rasheed, M.A. (2015). </w:t>
      </w:r>
      <w:r w:rsidRPr="00E6043D">
        <w:rPr>
          <w:i/>
          <w:noProof/>
          <w:sz w:val="20"/>
          <w:lang w:val="x-none"/>
        </w:rPr>
        <w:t>Critical marine habitats in high risk areas, Crescent Reef to Cape Flattery - 2014 Atlas. JCU Publication no. 15/13</w:t>
      </w:r>
      <w:r w:rsidRPr="00E6043D">
        <w:rPr>
          <w:noProof/>
          <w:sz w:val="20"/>
          <w:lang w:val="x-none"/>
        </w:rPr>
        <w:t>. Cairns: Centre for Tropical Water &amp; Aquatic Ecosystem Research.</w:t>
      </w:r>
      <w:bookmarkEnd w:id="667"/>
    </w:p>
    <w:p w:rsidR="00E6043D" w:rsidRPr="00E6043D" w:rsidRDefault="00E6043D" w:rsidP="00E6043D">
      <w:pPr>
        <w:spacing w:after="0"/>
        <w:ind w:left="720" w:hanging="720"/>
        <w:rPr>
          <w:noProof/>
          <w:sz w:val="20"/>
          <w:lang w:val="x-none"/>
        </w:rPr>
      </w:pPr>
      <w:bookmarkStart w:id="668" w:name="_ENREF_44"/>
      <w:r w:rsidRPr="00E6043D">
        <w:rPr>
          <w:noProof/>
          <w:sz w:val="20"/>
          <w:lang w:val="x-none"/>
        </w:rPr>
        <w:t xml:space="preserve">Chartrand, K.M., Bryant, C.V., Carter, A.B., Ralph, P.J., and Rasheed, M.A. 2016, Light thresholds to prevent dredging impacts on the Great Barrier Reef seagrass, Zostera muelleri ssp. capricorni. [Original Research]. </w:t>
      </w:r>
      <w:r w:rsidRPr="00E6043D">
        <w:rPr>
          <w:i/>
          <w:noProof/>
          <w:sz w:val="20"/>
          <w:lang w:val="x-none"/>
        </w:rPr>
        <w:t>Frontiers in Marine Science, 3</w:t>
      </w:r>
      <w:r w:rsidRPr="00E6043D">
        <w:rPr>
          <w:noProof/>
          <w:sz w:val="20"/>
          <w:lang w:val="x-none"/>
        </w:rPr>
        <w:t>. doi: 10.3389/fmars.2016.00106</w:t>
      </w:r>
      <w:bookmarkEnd w:id="668"/>
    </w:p>
    <w:p w:rsidR="00E6043D" w:rsidRPr="00E6043D" w:rsidRDefault="00E6043D" w:rsidP="00E6043D">
      <w:pPr>
        <w:spacing w:after="0"/>
        <w:ind w:left="720" w:hanging="720"/>
        <w:rPr>
          <w:noProof/>
          <w:sz w:val="20"/>
          <w:lang w:val="x-none"/>
        </w:rPr>
      </w:pPr>
      <w:bookmarkStart w:id="669" w:name="_ENREF_45"/>
      <w:r w:rsidRPr="00E6043D">
        <w:rPr>
          <w:noProof/>
          <w:sz w:val="20"/>
          <w:lang w:val="x-none"/>
        </w:rPr>
        <w:t xml:space="preserve">Chartrand, K.M., Ralph, P.J., Petrou, K., and Rasheed, M.A. 2012, Development of a light-based seagrass management approach for the Gladstone Western basin dredging program. 126. </w:t>
      </w:r>
      <w:bookmarkEnd w:id="669"/>
    </w:p>
    <w:p w:rsidR="00E6043D" w:rsidRPr="00E6043D" w:rsidRDefault="00E6043D" w:rsidP="00E6043D">
      <w:pPr>
        <w:spacing w:after="0"/>
        <w:ind w:left="720" w:hanging="720"/>
        <w:rPr>
          <w:noProof/>
          <w:sz w:val="20"/>
          <w:lang w:val="x-none"/>
        </w:rPr>
      </w:pPr>
      <w:bookmarkStart w:id="670" w:name="_ENREF_46"/>
      <w:r w:rsidRPr="00E6043D">
        <w:rPr>
          <w:noProof/>
          <w:sz w:val="20"/>
          <w:lang w:val="x-none"/>
        </w:rPr>
        <w:t xml:space="preserve">Christensen, S., Rodgers, C., and Fitzroy Basin Association, I. (2006). </w:t>
      </w:r>
      <w:r w:rsidRPr="00E6043D">
        <w:rPr>
          <w:i/>
          <w:noProof/>
          <w:sz w:val="20"/>
          <w:lang w:val="x-none"/>
        </w:rPr>
        <w:t xml:space="preserve">Central Queensland strategy for sustainability : 2004 and beyond. </w:t>
      </w:r>
      <w:r w:rsidRPr="00E6043D">
        <w:rPr>
          <w:noProof/>
          <w:sz w:val="20"/>
          <w:lang w:val="x-none"/>
        </w:rPr>
        <w:t>. Rockhampton, Qld: Fitzroy Basin Association.</w:t>
      </w:r>
      <w:bookmarkEnd w:id="670"/>
    </w:p>
    <w:p w:rsidR="00E6043D" w:rsidRPr="00E6043D" w:rsidRDefault="00E6043D" w:rsidP="00E6043D">
      <w:pPr>
        <w:spacing w:after="0"/>
        <w:ind w:left="720" w:hanging="720"/>
        <w:rPr>
          <w:noProof/>
          <w:sz w:val="20"/>
          <w:lang w:val="x-none"/>
        </w:rPr>
      </w:pPr>
      <w:bookmarkStart w:id="671" w:name="_ENREF_47"/>
      <w:r w:rsidRPr="00E6043D">
        <w:rPr>
          <w:noProof/>
          <w:sz w:val="20"/>
          <w:lang w:val="x-none"/>
        </w:rPr>
        <w:t xml:space="preserve">Coles, R., McKenzie, L., Rasheed, M.A., Mellors, J., Taylor, H., Dew, K., McKenna, S., Sankey, T., Carter, A., and Grech, A. 2007, Status and trends of seagrass habitats in the Great Barrier Reef World Heritage Area. </w:t>
      </w:r>
      <w:r w:rsidRPr="00E6043D">
        <w:rPr>
          <w:i/>
          <w:noProof/>
          <w:sz w:val="20"/>
          <w:lang w:val="x-none"/>
        </w:rPr>
        <w:t>Unpublished report to the Marine and Tropical Sciences Research Facility</w:t>
      </w:r>
      <w:r w:rsidRPr="00E6043D">
        <w:rPr>
          <w:noProof/>
          <w:sz w:val="20"/>
          <w:lang w:val="x-none"/>
        </w:rPr>
        <w:t xml:space="preserve">, 122. </w:t>
      </w:r>
      <w:bookmarkEnd w:id="671"/>
    </w:p>
    <w:p w:rsidR="00E6043D" w:rsidRPr="00E6043D" w:rsidRDefault="00E6043D" w:rsidP="00E6043D">
      <w:pPr>
        <w:spacing w:after="0"/>
        <w:ind w:left="720" w:hanging="720"/>
        <w:rPr>
          <w:noProof/>
          <w:sz w:val="20"/>
          <w:lang w:val="x-none"/>
        </w:rPr>
      </w:pPr>
      <w:bookmarkStart w:id="672" w:name="_ENREF_48"/>
      <w:r w:rsidRPr="00E6043D">
        <w:rPr>
          <w:noProof/>
          <w:sz w:val="20"/>
          <w:lang w:val="x-none"/>
        </w:rPr>
        <w:t xml:space="preserve">Coles, R., McKenzie, L.J., and Campbell, S. (2003). The seagrasses of Eastern Australia. In EP Green &amp; FT Short (Eds.), </w:t>
      </w:r>
      <w:r w:rsidRPr="00E6043D">
        <w:rPr>
          <w:i/>
          <w:noProof/>
          <w:sz w:val="20"/>
          <w:lang w:val="x-none"/>
        </w:rPr>
        <w:t>The World Atlas of Seagrasses: present status and future conservation.</w:t>
      </w:r>
      <w:r w:rsidRPr="00E6043D">
        <w:rPr>
          <w:noProof/>
          <w:sz w:val="20"/>
          <w:lang w:val="x-none"/>
        </w:rPr>
        <w:t xml:space="preserve"> (pp. 119-133). Los Angeles, USA: University of California Press.</w:t>
      </w:r>
      <w:bookmarkEnd w:id="672"/>
    </w:p>
    <w:p w:rsidR="00E6043D" w:rsidRPr="00E6043D" w:rsidRDefault="00E6043D" w:rsidP="00E6043D">
      <w:pPr>
        <w:spacing w:after="0"/>
        <w:ind w:left="720" w:hanging="720"/>
        <w:rPr>
          <w:noProof/>
          <w:sz w:val="20"/>
          <w:lang w:val="x-none"/>
        </w:rPr>
      </w:pPr>
      <w:bookmarkStart w:id="673" w:name="_ENREF_49"/>
      <w:r w:rsidRPr="00E6043D">
        <w:rPr>
          <w:noProof/>
          <w:sz w:val="20"/>
          <w:lang w:val="x-none"/>
        </w:rPr>
        <w:t xml:space="preserve">Coles, R., McKenzie, L.J., De'ath, G., Roelofs, A., and Lee Long, W.J. 2009, Spatial distribution of deepwater seagrass in the inter-reef lagoon of the Great Barrier Reef World Heritage Area. </w:t>
      </w:r>
      <w:r w:rsidRPr="00E6043D">
        <w:rPr>
          <w:i/>
          <w:noProof/>
          <w:sz w:val="20"/>
          <w:lang w:val="x-none"/>
        </w:rPr>
        <w:t>Marine Ecology Progress Series, 392</w:t>
      </w:r>
      <w:r w:rsidRPr="00E6043D">
        <w:rPr>
          <w:noProof/>
          <w:sz w:val="20"/>
          <w:lang w:val="x-none"/>
        </w:rPr>
        <w:t>, 57-68. doi: 10.3354/meps08197</w:t>
      </w:r>
      <w:bookmarkEnd w:id="673"/>
    </w:p>
    <w:p w:rsidR="00E6043D" w:rsidRPr="00E6043D" w:rsidRDefault="00E6043D" w:rsidP="00E6043D">
      <w:pPr>
        <w:spacing w:after="0"/>
        <w:ind w:left="720" w:hanging="720"/>
        <w:rPr>
          <w:noProof/>
          <w:sz w:val="20"/>
          <w:lang w:val="x-none"/>
        </w:rPr>
      </w:pPr>
      <w:bookmarkStart w:id="674" w:name="_ENREF_50"/>
      <w:r w:rsidRPr="00E6043D">
        <w:rPr>
          <w:noProof/>
          <w:sz w:val="20"/>
          <w:lang w:val="x-none"/>
        </w:rPr>
        <w:t xml:space="preserve">Coles, R.G., Lee Long, W.J., Helmke, S.A., Bennett, R.E., Miller, K.J., and Derbyshire, K.J. (1992). </w:t>
      </w:r>
      <w:r w:rsidRPr="00E6043D">
        <w:rPr>
          <w:i/>
          <w:noProof/>
          <w:sz w:val="20"/>
          <w:lang w:val="x-none"/>
        </w:rPr>
        <w:t>Seagrass beds and juvenile prawn and fish nursery grounds: Cairns to Bowen</w:t>
      </w:r>
      <w:r w:rsidRPr="00E6043D">
        <w:rPr>
          <w:noProof/>
          <w:sz w:val="20"/>
          <w:lang w:val="x-none"/>
        </w:rPr>
        <w:t xml:space="preserve"> (Vol. QI92012). Brisbane: Queensland Department of Primary Industries.</w:t>
      </w:r>
      <w:bookmarkEnd w:id="674"/>
    </w:p>
    <w:p w:rsidR="00E6043D" w:rsidRPr="00E6043D" w:rsidRDefault="00E6043D" w:rsidP="00E6043D">
      <w:pPr>
        <w:spacing w:after="0"/>
        <w:ind w:left="720" w:hanging="720"/>
        <w:rPr>
          <w:noProof/>
          <w:sz w:val="20"/>
          <w:lang w:val="x-none"/>
        </w:rPr>
      </w:pPr>
      <w:bookmarkStart w:id="675" w:name="_ENREF_51"/>
      <w:r w:rsidRPr="00E6043D">
        <w:rPr>
          <w:noProof/>
          <w:sz w:val="20"/>
          <w:lang w:val="x-none"/>
        </w:rPr>
        <w:t xml:space="preserve">Coles, R.G., Lee Long, W.J., McKenzie, L.J., and Roder, C.A. (Eds.). (2002). </w:t>
      </w:r>
      <w:r w:rsidRPr="00E6043D">
        <w:rPr>
          <w:i/>
          <w:noProof/>
          <w:sz w:val="20"/>
          <w:lang w:val="x-none"/>
        </w:rPr>
        <w:t>Seagrass and Marine Resources in the Dugong Protection Areas of Upstart Bay, Newry Region, Sand Bay, Llewellyn Bay, Ince Bay and the Clairview Region, April/May 1999 and October 1999</w:t>
      </w:r>
      <w:r w:rsidRPr="00E6043D">
        <w:rPr>
          <w:noProof/>
          <w:sz w:val="20"/>
          <w:lang w:val="x-none"/>
        </w:rPr>
        <w:t>. Townsville: Great Barrier Reef Marine Park Authority.</w:t>
      </w:r>
      <w:bookmarkEnd w:id="675"/>
    </w:p>
    <w:p w:rsidR="00E6043D" w:rsidRPr="00E6043D" w:rsidRDefault="00E6043D" w:rsidP="00E6043D">
      <w:pPr>
        <w:spacing w:after="0"/>
        <w:ind w:left="720" w:hanging="720"/>
        <w:rPr>
          <w:noProof/>
          <w:sz w:val="20"/>
          <w:lang w:val="x-none"/>
        </w:rPr>
      </w:pPr>
      <w:bookmarkStart w:id="676" w:name="_ENREF_52"/>
      <w:r w:rsidRPr="00E6043D">
        <w:rPr>
          <w:noProof/>
          <w:sz w:val="20"/>
          <w:lang w:val="x-none"/>
        </w:rPr>
        <w:t xml:space="preserve">Coles, R.G., Lee Long, W.J., Squire, B.A., Squire, L.C., and Bibby, J.M. 1987, Distribution of seagrass and associated juvenile commercial penaeid prawns in North-Eastern Queensland waters. </w:t>
      </w:r>
      <w:r w:rsidRPr="00E6043D">
        <w:rPr>
          <w:i/>
          <w:noProof/>
          <w:sz w:val="20"/>
          <w:lang w:val="x-none"/>
        </w:rPr>
        <w:t>Australian Journal of Marine and Freshwater Research, 38</w:t>
      </w:r>
      <w:r w:rsidRPr="00E6043D">
        <w:rPr>
          <w:noProof/>
          <w:sz w:val="20"/>
          <w:lang w:val="x-none"/>
        </w:rPr>
        <w:t xml:space="preserve">(1), 103-119. </w:t>
      </w:r>
      <w:bookmarkEnd w:id="676"/>
    </w:p>
    <w:p w:rsidR="00E6043D" w:rsidRPr="00E6043D" w:rsidRDefault="00E6043D" w:rsidP="00E6043D">
      <w:pPr>
        <w:spacing w:after="0"/>
        <w:ind w:left="720" w:hanging="720"/>
        <w:rPr>
          <w:noProof/>
          <w:sz w:val="20"/>
          <w:lang w:val="x-none"/>
        </w:rPr>
      </w:pPr>
      <w:bookmarkStart w:id="677" w:name="_ENREF_53"/>
      <w:r w:rsidRPr="00E6043D">
        <w:rPr>
          <w:noProof/>
          <w:sz w:val="20"/>
          <w:lang w:val="x-none"/>
        </w:rPr>
        <w:t xml:space="preserve">Coles, R.G., Lee Long, W.J., and Squire, L.C. (1985). </w:t>
      </w:r>
      <w:r w:rsidRPr="00E6043D">
        <w:rPr>
          <w:i/>
          <w:noProof/>
          <w:sz w:val="20"/>
          <w:lang w:val="x-none"/>
        </w:rPr>
        <w:t>Seagrass beds and prawn nursery grounds between Cape York and Cairns</w:t>
      </w:r>
      <w:r w:rsidRPr="00E6043D">
        <w:rPr>
          <w:noProof/>
          <w:sz w:val="20"/>
          <w:lang w:val="x-none"/>
        </w:rPr>
        <w:t>. Brisbane: QDPI.</w:t>
      </w:r>
      <w:bookmarkEnd w:id="677"/>
    </w:p>
    <w:p w:rsidR="00E6043D" w:rsidRPr="00E6043D" w:rsidRDefault="00E6043D" w:rsidP="00E6043D">
      <w:pPr>
        <w:spacing w:after="0"/>
        <w:ind w:left="720" w:hanging="720"/>
        <w:rPr>
          <w:noProof/>
          <w:sz w:val="20"/>
          <w:lang w:val="x-none"/>
        </w:rPr>
      </w:pPr>
      <w:bookmarkStart w:id="678" w:name="_ENREF_54"/>
      <w:r w:rsidRPr="00E6043D">
        <w:rPr>
          <w:noProof/>
          <w:sz w:val="20"/>
          <w:lang w:val="x-none"/>
        </w:rPr>
        <w:t xml:space="preserve">Coles, R.G., Lee Long, W.J., Watson, R.A., and Derbyshire, K.J. 1993, Distribution of seagrasses, and their fish and penaeid prawn communities, in Cairns Harbour, a tropical estuary, northern Queensland, Australia. </w:t>
      </w:r>
      <w:r w:rsidRPr="00E6043D">
        <w:rPr>
          <w:i/>
          <w:noProof/>
          <w:sz w:val="20"/>
          <w:lang w:val="x-none"/>
        </w:rPr>
        <w:t>Australian Journal of Marine and Freshwater Research, 44</w:t>
      </w:r>
      <w:r w:rsidRPr="00E6043D">
        <w:rPr>
          <w:noProof/>
          <w:sz w:val="20"/>
          <w:lang w:val="x-none"/>
        </w:rPr>
        <w:t xml:space="preserve">, 193-210. </w:t>
      </w:r>
      <w:bookmarkEnd w:id="678"/>
    </w:p>
    <w:p w:rsidR="00E6043D" w:rsidRPr="00E6043D" w:rsidRDefault="00E6043D" w:rsidP="00E6043D">
      <w:pPr>
        <w:spacing w:after="0"/>
        <w:ind w:left="720" w:hanging="720"/>
        <w:rPr>
          <w:noProof/>
          <w:sz w:val="20"/>
          <w:lang w:val="x-none"/>
        </w:rPr>
      </w:pPr>
      <w:bookmarkStart w:id="679" w:name="_ENREF_55"/>
      <w:r w:rsidRPr="00E6043D">
        <w:rPr>
          <w:noProof/>
          <w:sz w:val="20"/>
          <w:lang w:val="x-none"/>
        </w:rPr>
        <w:lastRenderedPageBreak/>
        <w:t xml:space="preserve">Coles, R.G., McKenzie, L.J., Mellors, J.E., and Yoshida, R.L. 2001a, Validation and GIS of seagrass surveys between Cairns and Bowen – October/November 1987. CD Rom. </w:t>
      </w:r>
      <w:bookmarkEnd w:id="679"/>
    </w:p>
    <w:p w:rsidR="00E6043D" w:rsidRPr="00E6043D" w:rsidRDefault="00E6043D" w:rsidP="00E6043D">
      <w:pPr>
        <w:spacing w:after="0"/>
        <w:ind w:left="720" w:hanging="720"/>
        <w:rPr>
          <w:noProof/>
          <w:sz w:val="20"/>
          <w:lang w:val="x-none"/>
        </w:rPr>
      </w:pPr>
      <w:bookmarkStart w:id="680" w:name="_ENREF_56"/>
      <w:r w:rsidRPr="00E6043D">
        <w:rPr>
          <w:noProof/>
          <w:sz w:val="20"/>
          <w:lang w:val="x-none"/>
        </w:rPr>
        <w:t xml:space="preserve">Coles, R.G., McKenzie, L.J., and Yoshida, R.L. 2001b, Validation and GIS of seagrass surveys between Bowen and Water Park Point– March/April 1987. CD Rom. </w:t>
      </w:r>
      <w:bookmarkEnd w:id="680"/>
    </w:p>
    <w:p w:rsidR="00E6043D" w:rsidRPr="00E6043D" w:rsidRDefault="00E6043D" w:rsidP="00E6043D">
      <w:pPr>
        <w:spacing w:after="0"/>
        <w:ind w:left="720" w:hanging="720"/>
        <w:rPr>
          <w:noProof/>
          <w:sz w:val="20"/>
          <w:lang w:val="x-none"/>
        </w:rPr>
      </w:pPr>
      <w:bookmarkStart w:id="681" w:name="_ENREF_57"/>
      <w:r w:rsidRPr="00E6043D">
        <w:rPr>
          <w:noProof/>
          <w:sz w:val="20"/>
          <w:lang w:val="x-none"/>
        </w:rPr>
        <w:t xml:space="preserve">Coles, R.G., McKenzie, L.J., and Yoshida, R.L. 2001c, Validation and GIS of seagrass surveys between Cape York and Cairns - November 1984. CD Rom. </w:t>
      </w:r>
      <w:bookmarkEnd w:id="681"/>
    </w:p>
    <w:p w:rsidR="00E6043D" w:rsidRPr="00E6043D" w:rsidRDefault="00E6043D" w:rsidP="00E6043D">
      <w:pPr>
        <w:spacing w:after="0"/>
        <w:ind w:left="720" w:hanging="720"/>
        <w:rPr>
          <w:noProof/>
          <w:sz w:val="20"/>
          <w:lang w:val="x-none"/>
        </w:rPr>
      </w:pPr>
      <w:bookmarkStart w:id="682" w:name="_ENREF_58"/>
      <w:r w:rsidRPr="00E6043D">
        <w:rPr>
          <w:noProof/>
          <w:sz w:val="20"/>
          <w:lang w:val="x-none"/>
        </w:rPr>
        <w:t xml:space="preserve">Coles, R.G., McKenzie, L.J., and Yoshida, R.L. 2001d, Validation and GIS of seagrass surveys between Water Park Point and Hervey Bay – October/November 1988. CD Rom. </w:t>
      </w:r>
      <w:bookmarkEnd w:id="682"/>
    </w:p>
    <w:p w:rsidR="00E6043D" w:rsidRPr="00E6043D" w:rsidRDefault="00E6043D" w:rsidP="00E6043D">
      <w:pPr>
        <w:spacing w:after="0"/>
        <w:ind w:left="720" w:hanging="720"/>
        <w:rPr>
          <w:noProof/>
          <w:sz w:val="20"/>
          <w:lang w:val="x-none"/>
        </w:rPr>
      </w:pPr>
      <w:bookmarkStart w:id="683" w:name="_ENREF_59"/>
      <w:r w:rsidRPr="00E6043D">
        <w:rPr>
          <w:noProof/>
          <w:sz w:val="20"/>
          <w:lang w:val="x-none"/>
        </w:rPr>
        <w:t xml:space="preserve">Collier, C., Devlin, M., Langlois, L., Petus, C., McKenzie, L.J., Texeira da Silva, E., McMahon, K., Adams, M., O’Brien, K., Statton, J., and Waycott, M. (2014). </w:t>
      </w:r>
      <w:r w:rsidRPr="00E6043D">
        <w:rPr>
          <w:i/>
          <w:noProof/>
          <w:sz w:val="20"/>
          <w:lang w:val="x-none"/>
        </w:rPr>
        <w:t>Thresholds and indicators of declining water quality as tools for tropical seagrass management. Report to the National Environmental Research Program</w:t>
      </w:r>
      <w:r w:rsidRPr="00E6043D">
        <w:rPr>
          <w:noProof/>
          <w:sz w:val="20"/>
          <w:lang w:val="x-none"/>
        </w:rPr>
        <w:t>. Cairns: Reef and Rainforest Research Centre Limited.</w:t>
      </w:r>
      <w:bookmarkEnd w:id="683"/>
    </w:p>
    <w:p w:rsidR="00E6043D" w:rsidRPr="00E6043D" w:rsidRDefault="00E6043D" w:rsidP="00E6043D">
      <w:pPr>
        <w:spacing w:after="0"/>
        <w:ind w:left="720" w:hanging="720"/>
        <w:rPr>
          <w:noProof/>
          <w:sz w:val="20"/>
          <w:lang w:val="x-none"/>
        </w:rPr>
      </w:pPr>
      <w:bookmarkStart w:id="684" w:name="_ENREF_60"/>
      <w:r w:rsidRPr="00E6043D">
        <w:rPr>
          <w:noProof/>
          <w:sz w:val="20"/>
          <w:lang w:val="x-none"/>
        </w:rPr>
        <w:t xml:space="preserve">Collier, C., van Dijk, J., Adams, M., O’Brien, K., Waycott, M., McKenzie, L., Uthicke, S., Johansson, C., Xiang, Y.O., Langlois, L., Phinn, S., and Roelfsema, C. (2015). </w:t>
      </w:r>
      <w:r w:rsidRPr="00E6043D">
        <w:rPr>
          <w:i/>
          <w:noProof/>
          <w:sz w:val="20"/>
          <w:lang w:val="x-none"/>
        </w:rPr>
        <w:t>Seagrass growth and diversity: attributes of a resilient GBR. Annual Report 2015 to the Great Barrier Reef Foundation</w:t>
      </w:r>
      <w:r w:rsidRPr="00E6043D">
        <w:rPr>
          <w:noProof/>
          <w:sz w:val="20"/>
          <w:lang w:val="x-none"/>
        </w:rPr>
        <w:t>. Brisbane: Great Barrier Reef Foundation.</w:t>
      </w:r>
      <w:bookmarkEnd w:id="684"/>
    </w:p>
    <w:p w:rsidR="00E6043D" w:rsidRPr="00E6043D" w:rsidRDefault="00E6043D" w:rsidP="00E6043D">
      <w:pPr>
        <w:spacing w:after="0"/>
        <w:ind w:left="720" w:hanging="720"/>
        <w:rPr>
          <w:noProof/>
          <w:sz w:val="20"/>
          <w:lang w:val="x-none"/>
        </w:rPr>
      </w:pPr>
      <w:bookmarkStart w:id="685" w:name="_ENREF_61"/>
      <w:r w:rsidRPr="00E6043D">
        <w:rPr>
          <w:noProof/>
          <w:sz w:val="20"/>
          <w:lang w:val="x-none"/>
        </w:rPr>
        <w:t xml:space="preserve">Collier, C., and Waycott, M. 2009, Drivers of change to seagrass distributions and communities on the Great Barrier Reef: Literature review and gaps analysis. </w:t>
      </w:r>
      <w:r w:rsidRPr="00E6043D">
        <w:rPr>
          <w:i/>
          <w:noProof/>
          <w:sz w:val="20"/>
          <w:lang w:val="x-none"/>
        </w:rPr>
        <w:t>Report to the Marine and Tropical Sciences Research Facility</w:t>
      </w:r>
      <w:r w:rsidRPr="00E6043D">
        <w:rPr>
          <w:noProof/>
          <w:sz w:val="20"/>
          <w:lang w:val="x-none"/>
        </w:rPr>
        <w:t xml:space="preserve">. </w:t>
      </w:r>
      <w:bookmarkEnd w:id="685"/>
    </w:p>
    <w:p w:rsidR="00E6043D" w:rsidRPr="00E6043D" w:rsidRDefault="00E6043D" w:rsidP="00E6043D">
      <w:pPr>
        <w:spacing w:after="0"/>
        <w:ind w:left="720" w:hanging="720"/>
        <w:rPr>
          <w:noProof/>
          <w:sz w:val="20"/>
          <w:lang w:val="x-none"/>
        </w:rPr>
      </w:pPr>
      <w:bookmarkStart w:id="686" w:name="_ENREF_62"/>
      <w:r w:rsidRPr="00E6043D">
        <w:rPr>
          <w:noProof/>
          <w:sz w:val="20"/>
          <w:lang w:val="x-none"/>
        </w:rPr>
        <w:t xml:space="preserve">Collier, C.J., Adams, M.P., Langlois, L., Waycott, M., O’Brien, K.R., Maxwell, P.S., and McKenzie, L. 2016a, Thresholds for morphological response to light reduction for four tropical seagrass species. </w:t>
      </w:r>
      <w:r w:rsidRPr="00E6043D">
        <w:rPr>
          <w:i/>
          <w:noProof/>
          <w:sz w:val="20"/>
          <w:lang w:val="x-none"/>
        </w:rPr>
        <w:t>Ecological Indicators, 67</w:t>
      </w:r>
      <w:r w:rsidRPr="00E6043D">
        <w:rPr>
          <w:noProof/>
          <w:sz w:val="20"/>
          <w:lang w:val="x-none"/>
        </w:rPr>
        <w:t xml:space="preserve">, 358-366. doi: </w:t>
      </w:r>
      <w:hyperlink r:id="rId160" w:history="1">
        <w:r w:rsidRPr="00E6043D">
          <w:rPr>
            <w:rStyle w:val="Hyperlink"/>
            <w:noProof/>
            <w:sz w:val="20"/>
            <w:lang w:val="x-none"/>
          </w:rPr>
          <w:t>http://dx.doi.org/10.1016/j.ecolind.2016.02.050</w:t>
        </w:r>
        <w:bookmarkEnd w:id="686"/>
      </w:hyperlink>
    </w:p>
    <w:p w:rsidR="00E6043D" w:rsidRPr="00E6043D" w:rsidRDefault="00E6043D" w:rsidP="00E6043D">
      <w:pPr>
        <w:spacing w:after="0"/>
        <w:ind w:left="720" w:hanging="720"/>
        <w:rPr>
          <w:noProof/>
          <w:sz w:val="20"/>
          <w:lang w:val="x-none"/>
        </w:rPr>
      </w:pPr>
      <w:bookmarkStart w:id="687" w:name="_ENREF_63"/>
      <w:r w:rsidRPr="00E6043D">
        <w:rPr>
          <w:noProof/>
          <w:sz w:val="20"/>
          <w:lang w:val="x-none"/>
        </w:rPr>
        <w:t xml:space="preserve">Collier, C.J., Langlois, L., Zemoi, R., Martin, K., and McKenzie, L.J. (2016b). </w:t>
      </w:r>
      <w:r w:rsidRPr="00E6043D">
        <w:rPr>
          <w:i/>
          <w:noProof/>
          <w:sz w:val="20"/>
          <w:lang w:val="x-none"/>
        </w:rPr>
        <w:t>Developing and refining biological indicators for condition assessments in an integrated monitoring program. Report to the National Environmental Science Programme</w:t>
      </w:r>
      <w:r w:rsidRPr="00E6043D">
        <w:rPr>
          <w:noProof/>
          <w:sz w:val="20"/>
          <w:lang w:val="x-none"/>
        </w:rPr>
        <w:t>. Cairns: Reef and Rainforest Research Centre Limited.</w:t>
      </w:r>
      <w:bookmarkEnd w:id="687"/>
    </w:p>
    <w:p w:rsidR="00E6043D" w:rsidRPr="00E6043D" w:rsidRDefault="00E6043D" w:rsidP="00E6043D">
      <w:pPr>
        <w:spacing w:after="0"/>
        <w:ind w:left="720" w:hanging="720"/>
        <w:rPr>
          <w:noProof/>
          <w:sz w:val="20"/>
          <w:lang w:val="x-none"/>
        </w:rPr>
      </w:pPr>
      <w:bookmarkStart w:id="688" w:name="_ENREF_64"/>
      <w:r w:rsidRPr="00E6043D">
        <w:rPr>
          <w:noProof/>
          <w:sz w:val="20"/>
          <w:lang w:val="x-none"/>
        </w:rPr>
        <w:t xml:space="preserve">Collier, C.J., Lavery, P.S., Ralph, P.J., and Masini, R.J. 2009, Shade-induced response and recovery of the seagrass </w:t>
      </w:r>
      <w:r w:rsidRPr="00E6043D">
        <w:rPr>
          <w:i/>
          <w:noProof/>
          <w:sz w:val="20"/>
          <w:lang w:val="x-none"/>
        </w:rPr>
        <w:t>Posidonia sinuosa</w:t>
      </w:r>
      <w:r w:rsidRPr="00E6043D">
        <w:rPr>
          <w:noProof/>
          <w:sz w:val="20"/>
          <w:lang w:val="x-none"/>
        </w:rPr>
        <w:t xml:space="preserve">. </w:t>
      </w:r>
      <w:r w:rsidRPr="00E6043D">
        <w:rPr>
          <w:i/>
          <w:noProof/>
          <w:sz w:val="20"/>
          <w:lang w:val="x-none"/>
        </w:rPr>
        <w:t>Journal of Experimental Marine Biology and Ecology, 370</w:t>
      </w:r>
      <w:r w:rsidRPr="00E6043D">
        <w:rPr>
          <w:noProof/>
          <w:sz w:val="20"/>
          <w:lang w:val="x-none"/>
        </w:rPr>
        <w:t xml:space="preserve">(1–2), 89-103. doi: </w:t>
      </w:r>
      <w:hyperlink r:id="rId161" w:history="1">
        <w:r w:rsidRPr="00E6043D">
          <w:rPr>
            <w:rStyle w:val="Hyperlink"/>
            <w:noProof/>
            <w:sz w:val="20"/>
            <w:lang w:val="x-none"/>
          </w:rPr>
          <w:t>http://dx.doi.org/10.1016/j.jembe.2008.12.003</w:t>
        </w:r>
        <w:bookmarkEnd w:id="688"/>
      </w:hyperlink>
    </w:p>
    <w:p w:rsidR="00E6043D" w:rsidRPr="00E6043D" w:rsidRDefault="00E6043D" w:rsidP="00E6043D">
      <w:pPr>
        <w:spacing w:after="0"/>
        <w:ind w:left="720" w:hanging="720"/>
        <w:rPr>
          <w:noProof/>
          <w:sz w:val="20"/>
          <w:lang w:val="x-none"/>
        </w:rPr>
      </w:pPr>
      <w:bookmarkStart w:id="689" w:name="_ENREF_65"/>
      <w:r w:rsidRPr="00E6043D">
        <w:rPr>
          <w:noProof/>
          <w:sz w:val="20"/>
          <w:lang w:val="x-none"/>
        </w:rPr>
        <w:t xml:space="preserve">Collier, C.J., Uthicke, S., and Waycott, M. 2011, Thermal tolerance of two seagrass species at contrasting light levels: Implications for future distribution in the Great Barrier Reef. </w:t>
      </w:r>
      <w:r w:rsidRPr="00E6043D">
        <w:rPr>
          <w:i/>
          <w:noProof/>
          <w:sz w:val="20"/>
          <w:lang w:val="x-none"/>
        </w:rPr>
        <w:t>Limnology &amp; Oceanography, 56</w:t>
      </w:r>
      <w:r w:rsidRPr="00E6043D">
        <w:rPr>
          <w:noProof/>
          <w:sz w:val="20"/>
          <w:lang w:val="x-none"/>
        </w:rPr>
        <w:t xml:space="preserve">(6), 2200-2210. </w:t>
      </w:r>
      <w:bookmarkEnd w:id="689"/>
    </w:p>
    <w:p w:rsidR="00E6043D" w:rsidRPr="00E6043D" w:rsidRDefault="00E6043D" w:rsidP="00E6043D">
      <w:pPr>
        <w:spacing w:after="0"/>
        <w:ind w:left="720" w:hanging="720"/>
        <w:rPr>
          <w:noProof/>
          <w:sz w:val="20"/>
          <w:lang w:val="x-none"/>
        </w:rPr>
      </w:pPr>
      <w:bookmarkStart w:id="690" w:name="_ENREF_66"/>
      <w:r w:rsidRPr="00E6043D">
        <w:rPr>
          <w:noProof/>
          <w:sz w:val="20"/>
          <w:lang w:val="x-none"/>
        </w:rPr>
        <w:t xml:space="preserve">Collier, C.J., and Waycott, M. 2014, Temperature extremes reduce seagrass growth and induce mortality. </w:t>
      </w:r>
      <w:r w:rsidRPr="00E6043D">
        <w:rPr>
          <w:i/>
          <w:noProof/>
          <w:sz w:val="20"/>
          <w:lang w:val="x-none"/>
        </w:rPr>
        <w:t>Marine Pollution Bulletin, 83</w:t>
      </w:r>
      <w:r w:rsidRPr="00E6043D">
        <w:rPr>
          <w:noProof/>
          <w:sz w:val="20"/>
          <w:lang w:val="x-none"/>
        </w:rPr>
        <w:t xml:space="preserve">(2), 483-490. doi: </w:t>
      </w:r>
      <w:hyperlink r:id="rId162" w:history="1">
        <w:r w:rsidRPr="00E6043D">
          <w:rPr>
            <w:rStyle w:val="Hyperlink"/>
            <w:noProof/>
            <w:sz w:val="20"/>
            <w:lang w:val="x-none"/>
          </w:rPr>
          <w:t>http://dx.doi.org/10.1016/j.marpolbul.2014.03.050</w:t>
        </w:r>
        <w:bookmarkEnd w:id="690"/>
      </w:hyperlink>
    </w:p>
    <w:p w:rsidR="00E6043D" w:rsidRPr="00E6043D" w:rsidRDefault="00E6043D" w:rsidP="00E6043D">
      <w:pPr>
        <w:spacing w:after="0"/>
        <w:ind w:left="720" w:hanging="720"/>
        <w:rPr>
          <w:noProof/>
          <w:sz w:val="20"/>
          <w:lang w:val="x-none"/>
        </w:rPr>
      </w:pPr>
      <w:bookmarkStart w:id="691" w:name="_ENREF_67"/>
      <w:r w:rsidRPr="00E6043D">
        <w:rPr>
          <w:noProof/>
          <w:sz w:val="20"/>
          <w:lang w:val="x-none"/>
        </w:rPr>
        <w:t xml:space="preserve">Collier, C.J., Waycott, M., and Giraldo-Ospina, A. 2012a, Responses of four Indo-West Pacific seagrass species to shading. </w:t>
      </w:r>
      <w:r w:rsidRPr="00E6043D">
        <w:rPr>
          <w:i/>
          <w:noProof/>
          <w:sz w:val="20"/>
          <w:lang w:val="x-none"/>
        </w:rPr>
        <w:t>Marine Pollution Bulletin, 65</w:t>
      </w:r>
      <w:r w:rsidRPr="00E6043D">
        <w:rPr>
          <w:noProof/>
          <w:sz w:val="20"/>
          <w:lang w:val="x-none"/>
        </w:rPr>
        <w:t xml:space="preserve">(4-9), 342-354. </w:t>
      </w:r>
      <w:bookmarkEnd w:id="691"/>
    </w:p>
    <w:p w:rsidR="00E6043D" w:rsidRPr="00E6043D" w:rsidRDefault="00E6043D" w:rsidP="00E6043D">
      <w:pPr>
        <w:spacing w:after="0"/>
        <w:ind w:left="720" w:hanging="720"/>
        <w:rPr>
          <w:noProof/>
          <w:sz w:val="20"/>
          <w:lang w:val="x-none"/>
        </w:rPr>
      </w:pPr>
      <w:bookmarkStart w:id="692" w:name="_ENREF_68"/>
      <w:r w:rsidRPr="00E6043D">
        <w:rPr>
          <w:noProof/>
          <w:sz w:val="20"/>
          <w:lang w:val="x-none"/>
        </w:rPr>
        <w:t xml:space="preserve">Collier, C.J., Waycott, M., and McKenzie, L.J. 2012b, Light thresholds derived from seagrass loss in the coastal zone of the northern Great Barrier Reef, Australia. </w:t>
      </w:r>
      <w:r w:rsidRPr="00E6043D">
        <w:rPr>
          <w:i/>
          <w:noProof/>
          <w:sz w:val="20"/>
          <w:lang w:val="x-none"/>
        </w:rPr>
        <w:t>Ecological Indicators, 23</w:t>
      </w:r>
      <w:r w:rsidRPr="00E6043D">
        <w:rPr>
          <w:noProof/>
          <w:sz w:val="20"/>
          <w:lang w:val="x-none"/>
        </w:rPr>
        <w:t>(0), 211-219. doi: 10.1016/j.ecolind.2012.04.005</w:t>
      </w:r>
      <w:bookmarkEnd w:id="692"/>
    </w:p>
    <w:p w:rsidR="00E6043D" w:rsidRPr="00E6043D" w:rsidRDefault="00E6043D" w:rsidP="00E6043D">
      <w:pPr>
        <w:spacing w:after="0"/>
        <w:ind w:left="720" w:hanging="720"/>
        <w:rPr>
          <w:noProof/>
          <w:sz w:val="20"/>
          <w:lang w:val="x-none"/>
        </w:rPr>
      </w:pPr>
      <w:bookmarkStart w:id="693" w:name="_ENREF_69"/>
      <w:r w:rsidRPr="00E6043D">
        <w:rPr>
          <w:noProof/>
          <w:sz w:val="20"/>
          <w:lang w:val="x-none"/>
        </w:rPr>
        <w:t xml:space="preserve">Collier, C.J., Waycott, M., and Ospina, A.G. 2012c, Responses of four Indo-West Pacific seagrass species to shading. </w:t>
      </w:r>
      <w:r w:rsidRPr="00E6043D">
        <w:rPr>
          <w:i/>
          <w:noProof/>
          <w:sz w:val="20"/>
          <w:lang w:val="x-none"/>
        </w:rPr>
        <w:t>Marine Pollution Bulletin, 65</w:t>
      </w:r>
      <w:r w:rsidRPr="00E6043D">
        <w:rPr>
          <w:noProof/>
          <w:sz w:val="20"/>
          <w:lang w:val="x-none"/>
        </w:rPr>
        <w:t>(4-9), 342-354. doi: 10.1016/j.marpolbul.2011.06.017</w:t>
      </w:r>
      <w:bookmarkEnd w:id="693"/>
    </w:p>
    <w:p w:rsidR="00E6043D" w:rsidRPr="00E6043D" w:rsidRDefault="00E6043D" w:rsidP="00E6043D">
      <w:pPr>
        <w:spacing w:after="0"/>
        <w:ind w:left="720" w:hanging="720"/>
        <w:rPr>
          <w:noProof/>
          <w:sz w:val="20"/>
          <w:lang w:val="x-none"/>
        </w:rPr>
      </w:pPr>
      <w:bookmarkStart w:id="694" w:name="_ENREF_70"/>
      <w:r w:rsidRPr="00E6043D">
        <w:rPr>
          <w:noProof/>
          <w:sz w:val="20"/>
          <w:lang w:val="x-none"/>
        </w:rPr>
        <w:t xml:space="preserve">Commonwealth of Australia. (2013a). Burdekin Natural Resource Management region, </w:t>
      </w:r>
      <w:hyperlink r:id="rId163" w:history="1">
        <w:r w:rsidRPr="00E6043D">
          <w:rPr>
            <w:rStyle w:val="Hyperlink"/>
            <w:noProof/>
            <w:sz w:val="20"/>
            <w:lang w:val="x-none"/>
          </w:rPr>
          <w:t>http://www.nrm.gov.au/about/nrm/regions/qld-burd.html</w:t>
        </w:r>
      </w:hyperlink>
      <w:r w:rsidRPr="00E6043D">
        <w:rPr>
          <w:noProof/>
          <w:sz w:val="20"/>
          <w:lang w:val="x-none"/>
        </w:rPr>
        <w:t xml:space="preserve">  Retrieved 18 February 2014, from </w:t>
      </w:r>
      <w:hyperlink r:id="rId164" w:history="1">
        <w:r w:rsidRPr="00E6043D">
          <w:rPr>
            <w:rStyle w:val="Hyperlink"/>
            <w:noProof/>
            <w:sz w:val="20"/>
            <w:lang w:val="x-none"/>
          </w:rPr>
          <w:t>http://www.nrm.gov.au/about/nrm/regions/qld-burd.html</w:t>
        </w:r>
        <w:bookmarkEnd w:id="694"/>
      </w:hyperlink>
    </w:p>
    <w:p w:rsidR="00E6043D" w:rsidRPr="00E6043D" w:rsidRDefault="00E6043D" w:rsidP="00E6043D">
      <w:pPr>
        <w:spacing w:after="0"/>
        <w:ind w:left="720" w:hanging="720"/>
        <w:rPr>
          <w:noProof/>
          <w:sz w:val="20"/>
          <w:lang w:val="x-none"/>
        </w:rPr>
      </w:pPr>
      <w:bookmarkStart w:id="695" w:name="_ENREF_71"/>
      <w:r w:rsidRPr="00E6043D">
        <w:rPr>
          <w:noProof/>
          <w:sz w:val="20"/>
          <w:lang w:val="x-none"/>
        </w:rPr>
        <w:t xml:space="preserve">Commonwealth of Australia. (2013b). Burnett Mary Natural Resource Management region, </w:t>
      </w:r>
      <w:hyperlink r:id="rId165" w:history="1">
        <w:r w:rsidRPr="00E6043D">
          <w:rPr>
            <w:rStyle w:val="Hyperlink"/>
            <w:noProof/>
            <w:sz w:val="20"/>
            <w:lang w:val="x-none"/>
          </w:rPr>
          <w:t>http://www.nrm.gov.au/about/nrm/regions/qld-bmar.html</w:t>
        </w:r>
      </w:hyperlink>
      <w:r w:rsidRPr="00E6043D">
        <w:rPr>
          <w:noProof/>
          <w:sz w:val="20"/>
          <w:lang w:val="x-none"/>
        </w:rPr>
        <w:t xml:space="preserve">  Retrieved 18 February 2014, from </w:t>
      </w:r>
      <w:hyperlink r:id="rId166" w:history="1">
        <w:r w:rsidRPr="00E6043D">
          <w:rPr>
            <w:rStyle w:val="Hyperlink"/>
            <w:noProof/>
            <w:sz w:val="20"/>
            <w:lang w:val="x-none"/>
          </w:rPr>
          <w:t>http://www.nrm.gov.au/about/nrm/regions/qld-fitz.html</w:t>
        </w:r>
        <w:bookmarkEnd w:id="695"/>
      </w:hyperlink>
    </w:p>
    <w:p w:rsidR="00E6043D" w:rsidRPr="00E6043D" w:rsidRDefault="00E6043D" w:rsidP="00E6043D">
      <w:pPr>
        <w:spacing w:after="0"/>
        <w:ind w:left="720" w:hanging="720"/>
        <w:rPr>
          <w:noProof/>
          <w:sz w:val="20"/>
          <w:lang w:val="x-none"/>
        </w:rPr>
      </w:pPr>
      <w:bookmarkStart w:id="696" w:name="_ENREF_72"/>
      <w:r w:rsidRPr="00E6043D">
        <w:rPr>
          <w:noProof/>
          <w:sz w:val="20"/>
          <w:lang w:val="x-none"/>
        </w:rPr>
        <w:lastRenderedPageBreak/>
        <w:t xml:space="preserve">Commonwealth of Australia. (2013c). Fitzroy Natural Resource Management region, </w:t>
      </w:r>
      <w:hyperlink r:id="rId167" w:history="1">
        <w:r w:rsidRPr="00E6043D">
          <w:rPr>
            <w:rStyle w:val="Hyperlink"/>
            <w:noProof/>
            <w:sz w:val="20"/>
            <w:lang w:val="x-none"/>
          </w:rPr>
          <w:t>http://www.nrm.gov.au/about/nrm/regions/qld-fitz.html</w:t>
        </w:r>
      </w:hyperlink>
      <w:r w:rsidRPr="00E6043D">
        <w:rPr>
          <w:noProof/>
          <w:sz w:val="20"/>
          <w:lang w:val="x-none"/>
        </w:rPr>
        <w:t xml:space="preserve">  Retrieved 18 February 2014, from </w:t>
      </w:r>
      <w:hyperlink r:id="rId168" w:history="1">
        <w:r w:rsidRPr="00E6043D">
          <w:rPr>
            <w:rStyle w:val="Hyperlink"/>
            <w:noProof/>
            <w:sz w:val="20"/>
            <w:lang w:val="x-none"/>
          </w:rPr>
          <w:t>http://www.nrm.gov.au/about/nrm/regions/qld-fitz.html</w:t>
        </w:r>
        <w:bookmarkEnd w:id="696"/>
      </w:hyperlink>
    </w:p>
    <w:p w:rsidR="00E6043D" w:rsidRPr="00E6043D" w:rsidRDefault="00E6043D" w:rsidP="00E6043D">
      <w:pPr>
        <w:spacing w:after="0"/>
        <w:ind w:left="720" w:hanging="720"/>
        <w:rPr>
          <w:noProof/>
          <w:sz w:val="20"/>
          <w:lang w:val="x-none"/>
        </w:rPr>
      </w:pPr>
      <w:bookmarkStart w:id="697" w:name="_ENREF_73"/>
      <w:r w:rsidRPr="00E6043D">
        <w:rPr>
          <w:noProof/>
          <w:sz w:val="20"/>
          <w:lang w:val="x-none"/>
        </w:rPr>
        <w:t xml:space="preserve">Commonwealth of Australia. (2013d). Mackay Whitsunday Natural Resource Management region, </w:t>
      </w:r>
      <w:hyperlink r:id="rId169" w:history="1">
        <w:r w:rsidRPr="00E6043D">
          <w:rPr>
            <w:rStyle w:val="Hyperlink"/>
            <w:noProof/>
            <w:sz w:val="20"/>
            <w:lang w:val="x-none"/>
          </w:rPr>
          <w:t>http://www.nrm.gov.au/about/nrm/regions/qld-mwhs.html</w:t>
        </w:r>
      </w:hyperlink>
      <w:r w:rsidRPr="00E6043D">
        <w:rPr>
          <w:noProof/>
          <w:sz w:val="20"/>
          <w:lang w:val="x-none"/>
        </w:rPr>
        <w:t xml:space="preserve">  Retrieved 18 February 2014, from </w:t>
      </w:r>
      <w:hyperlink r:id="rId170" w:history="1">
        <w:r w:rsidRPr="00E6043D">
          <w:rPr>
            <w:rStyle w:val="Hyperlink"/>
            <w:noProof/>
            <w:sz w:val="20"/>
            <w:lang w:val="x-none"/>
          </w:rPr>
          <w:t>http://www.nrm.gov.au/about/nrm/regions/qld-mwhs.html</w:t>
        </w:r>
        <w:bookmarkEnd w:id="697"/>
      </w:hyperlink>
    </w:p>
    <w:p w:rsidR="00E6043D" w:rsidRPr="00E6043D" w:rsidRDefault="00E6043D" w:rsidP="00E6043D">
      <w:pPr>
        <w:spacing w:after="0"/>
        <w:ind w:left="720" w:hanging="720"/>
        <w:rPr>
          <w:noProof/>
          <w:sz w:val="20"/>
          <w:lang w:val="x-none"/>
        </w:rPr>
      </w:pPr>
      <w:bookmarkStart w:id="698" w:name="_ENREF_74"/>
      <w:r w:rsidRPr="00E6043D">
        <w:rPr>
          <w:noProof/>
          <w:sz w:val="20"/>
          <w:lang w:val="x-none"/>
        </w:rPr>
        <w:t xml:space="preserve">Commonwealth of Australia. (2013e). Wet Tropics Natural Resource Management region  Retrieved 18 February 2014, from </w:t>
      </w:r>
      <w:hyperlink r:id="rId171" w:history="1">
        <w:r w:rsidRPr="00E6043D">
          <w:rPr>
            <w:rStyle w:val="Hyperlink"/>
            <w:noProof/>
            <w:sz w:val="20"/>
            <w:lang w:val="x-none"/>
          </w:rPr>
          <w:t>http://www.nrm.gov.au/about/nrm/regions/qld-wetr.html</w:t>
        </w:r>
        <w:bookmarkEnd w:id="698"/>
      </w:hyperlink>
    </w:p>
    <w:p w:rsidR="00E6043D" w:rsidRPr="00E6043D" w:rsidRDefault="00E6043D" w:rsidP="00E6043D">
      <w:pPr>
        <w:spacing w:after="0"/>
        <w:ind w:left="720" w:hanging="720"/>
        <w:rPr>
          <w:noProof/>
          <w:sz w:val="20"/>
          <w:lang w:val="x-none"/>
        </w:rPr>
      </w:pPr>
      <w:bookmarkStart w:id="699" w:name="_ENREF_75"/>
      <w:r w:rsidRPr="00E6043D">
        <w:rPr>
          <w:noProof/>
          <w:sz w:val="20"/>
          <w:lang w:val="x-none"/>
        </w:rPr>
        <w:t xml:space="preserve">Costanza, R., d'Arge, R., de Groot, R., Farber, S., Grasso, M., Hannon, B., Limburg, K., Naeem, S., O'Neil, R.V., Paruelo, J., Raskin, R.G., Sutton, P., and van der Belt, M. 1997, The Value of the world's ecosystem services and natural capital. </w:t>
      </w:r>
      <w:r w:rsidRPr="00E6043D">
        <w:rPr>
          <w:i/>
          <w:noProof/>
          <w:sz w:val="20"/>
          <w:lang w:val="x-none"/>
        </w:rPr>
        <w:t>Nature, 387</w:t>
      </w:r>
      <w:r w:rsidRPr="00E6043D">
        <w:rPr>
          <w:noProof/>
          <w:sz w:val="20"/>
          <w:lang w:val="x-none"/>
        </w:rPr>
        <w:t xml:space="preserve">(15), 253-260. </w:t>
      </w:r>
      <w:bookmarkEnd w:id="699"/>
    </w:p>
    <w:p w:rsidR="00E6043D" w:rsidRPr="00E6043D" w:rsidRDefault="00E6043D" w:rsidP="00E6043D">
      <w:pPr>
        <w:spacing w:after="0"/>
        <w:ind w:left="720" w:hanging="720"/>
        <w:rPr>
          <w:noProof/>
          <w:sz w:val="20"/>
          <w:lang w:val="x-none"/>
        </w:rPr>
      </w:pPr>
      <w:bookmarkStart w:id="700" w:name="_ENREF_76"/>
      <w:r w:rsidRPr="00E6043D">
        <w:rPr>
          <w:noProof/>
          <w:sz w:val="20"/>
          <w:lang w:val="x-none"/>
        </w:rPr>
        <w:t xml:space="preserve">Costanzo, S.D. (2001). </w:t>
      </w:r>
      <w:r w:rsidRPr="00E6043D">
        <w:rPr>
          <w:i/>
          <w:noProof/>
          <w:sz w:val="20"/>
          <w:lang w:val="x-none"/>
        </w:rPr>
        <w:t>Development of indicators for assessing and monitoring nutrient influences in coastal waters.</w:t>
      </w:r>
      <w:r w:rsidRPr="00E6043D">
        <w:rPr>
          <w:noProof/>
          <w:sz w:val="20"/>
          <w:lang w:val="x-none"/>
        </w:rPr>
        <w:t xml:space="preserve"> PhD University of Queensland, Brisbane, Australia.   </w:t>
      </w:r>
      <w:bookmarkEnd w:id="700"/>
    </w:p>
    <w:p w:rsidR="00E6043D" w:rsidRPr="00E6043D" w:rsidRDefault="00E6043D" w:rsidP="00E6043D">
      <w:pPr>
        <w:spacing w:after="0"/>
        <w:ind w:left="720" w:hanging="720"/>
        <w:rPr>
          <w:noProof/>
          <w:sz w:val="20"/>
          <w:lang w:val="x-none"/>
        </w:rPr>
      </w:pPr>
      <w:bookmarkStart w:id="701" w:name="_ENREF_77"/>
      <w:r w:rsidRPr="00E6043D">
        <w:rPr>
          <w:noProof/>
          <w:sz w:val="20"/>
          <w:lang w:val="x-none"/>
        </w:rPr>
        <w:t xml:space="preserve">Costanzo, S.D., O'Donohue, M.J., Dennison, W.C., Loneragan, N.R., and Thomas, M. 2001, A new approach for detecting and mapping sewage impacts. </w:t>
      </w:r>
      <w:r w:rsidRPr="00E6043D">
        <w:rPr>
          <w:i/>
          <w:noProof/>
          <w:sz w:val="20"/>
          <w:lang w:val="x-none"/>
        </w:rPr>
        <w:t>Marine Pollution Bulletin, 42</w:t>
      </w:r>
      <w:r w:rsidRPr="00E6043D">
        <w:rPr>
          <w:noProof/>
          <w:sz w:val="20"/>
          <w:lang w:val="x-none"/>
        </w:rPr>
        <w:t xml:space="preserve">(2), 149-156. </w:t>
      </w:r>
      <w:bookmarkEnd w:id="701"/>
    </w:p>
    <w:p w:rsidR="00E6043D" w:rsidRPr="00E6043D" w:rsidRDefault="00E6043D" w:rsidP="00E6043D">
      <w:pPr>
        <w:spacing w:after="0"/>
        <w:ind w:left="720" w:hanging="720"/>
        <w:rPr>
          <w:noProof/>
          <w:sz w:val="20"/>
          <w:lang w:val="x-none"/>
        </w:rPr>
      </w:pPr>
      <w:bookmarkStart w:id="702" w:name="_ENREF_78"/>
      <w:r w:rsidRPr="00E6043D">
        <w:rPr>
          <w:noProof/>
          <w:sz w:val="20"/>
          <w:lang w:val="x-none"/>
        </w:rPr>
        <w:t xml:space="preserve">Cotter, G.F. (1995). </w:t>
      </w:r>
      <w:r w:rsidRPr="00E6043D">
        <w:rPr>
          <w:i/>
          <w:noProof/>
          <w:sz w:val="20"/>
          <w:lang w:val="x-none"/>
        </w:rPr>
        <w:t>A study of the pastoral industry of Cape York Peninsula. Cape York Peninsula Land Use Strategy (CYPLUS), Natural Resources Analysis Program.</w:t>
      </w:r>
      <w:r w:rsidRPr="00E6043D">
        <w:rPr>
          <w:noProof/>
          <w:sz w:val="20"/>
          <w:lang w:val="x-none"/>
        </w:rPr>
        <w:t xml:space="preserve"> Brisbane: Department of Primary Industries and Queensland Department of Lands.</w:t>
      </w:r>
      <w:bookmarkEnd w:id="702"/>
    </w:p>
    <w:p w:rsidR="00E6043D" w:rsidRPr="00E6043D" w:rsidRDefault="00E6043D" w:rsidP="00E6043D">
      <w:pPr>
        <w:spacing w:after="0"/>
        <w:ind w:left="720" w:hanging="720"/>
        <w:rPr>
          <w:noProof/>
          <w:sz w:val="20"/>
          <w:lang w:val="x-none"/>
        </w:rPr>
      </w:pPr>
      <w:bookmarkStart w:id="703" w:name="_ENREF_79"/>
      <w:r w:rsidRPr="00E6043D">
        <w:rPr>
          <w:noProof/>
          <w:sz w:val="20"/>
          <w:lang w:val="x-none"/>
        </w:rPr>
        <w:t xml:space="preserve">Cullen-Unsworth, L., and Unsworth, R. 2013, Seagrass Meadows, Ecosystem Services, and Sustainability. </w:t>
      </w:r>
      <w:r w:rsidRPr="00E6043D">
        <w:rPr>
          <w:i/>
          <w:noProof/>
          <w:sz w:val="20"/>
          <w:lang w:val="x-none"/>
        </w:rPr>
        <w:t>Environment: Science and Policy for Sustainable Development, 55</w:t>
      </w:r>
      <w:r w:rsidRPr="00E6043D">
        <w:rPr>
          <w:noProof/>
          <w:sz w:val="20"/>
          <w:lang w:val="x-none"/>
        </w:rPr>
        <w:t>(3), 14-28. doi: 10.1080/00139157.2013.785864</w:t>
      </w:r>
      <w:bookmarkEnd w:id="703"/>
    </w:p>
    <w:p w:rsidR="00E6043D" w:rsidRPr="00E6043D" w:rsidRDefault="00E6043D" w:rsidP="00E6043D">
      <w:pPr>
        <w:spacing w:after="0"/>
        <w:ind w:left="720" w:hanging="720"/>
        <w:rPr>
          <w:noProof/>
          <w:sz w:val="20"/>
          <w:lang w:val="x-none"/>
        </w:rPr>
      </w:pPr>
      <w:bookmarkStart w:id="704" w:name="_ENREF_80"/>
      <w:r w:rsidRPr="00E6043D">
        <w:rPr>
          <w:noProof/>
          <w:sz w:val="20"/>
          <w:lang w:val="x-none"/>
        </w:rPr>
        <w:t xml:space="preserve">Cullen-Unsworth, L.C., Nordlund, L.M., Paddock, J., Baker, S., McKenzie, L.J., and Unsworth, R.K.F. 2014, Seagrass meadows globally as a coupled social–ecological system: Implications for human wellbeing. </w:t>
      </w:r>
      <w:r w:rsidRPr="00E6043D">
        <w:rPr>
          <w:i/>
          <w:noProof/>
          <w:sz w:val="20"/>
          <w:lang w:val="x-none"/>
        </w:rPr>
        <w:t>Marine Pollution Bulletin, 83</w:t>
      </w:r>
      <w:r w:rsidRPr="00E6043D">
        <w:rPr>
          <w:noProof/>
          <w:sz w:val="20"/>
          <w:lang w:val="x-none"/>
        </w:rPr>
        <w:t xml:space="preserve">(2), 387-397. doi: </w:t>
      </w:r>
      <w:hyperlink r:id="rId172" w:history="1">
        <w:r w:rsidRPr="00E6043D">
          <w:rPr>
            <w:rStyle w:val="Hyperlink"/>
            <w:noProof/>
            <w:sz w:val="20"/>
            <w:lang w:val="x-none"/>
          </w:rPr>
          <w:t>http://dx.doi.org/10.1016/j.marpolbul.2013.06.001</w:t>
        </w:r>
        <w:bookmarkEnd w:id="704"/>
      </w:hyperlink>
    </w:p>
    <w:p w:rsidR="00E6043D" w:rsidRPr="00E6043D" w:rsidRDefault="00E6043D" w:rsidP="00E6043D">
      <w:pPr>
        <w:spacing w:after="0"/>
        <w:ind w:left="720" w:hanging="720"/>
        <w:rPr>
          <w:noProof/>
          <w:sz w:val="20"/>
          <w:lang w:val="x-none"/>
        </w:rPr>
      </w:pPr>
      <w:bookmarkStart w:id="705" w:name="_ENREF_81"/>
      <w:r w:rsidRPr="00E6043D">
        <w:rPr>
          <w:noProof/>
          <w:sz w:val="20"/>
          <w:lang w:val="x-none"/>
        </w:rPr>
        <w:t xml:space="preserve">Davies, J., Tol, S., and Rasheed, M. (2015). </w:t>
      </w:r>
      <w:r w:rsidRPr="00E6043D">
        <w:rPr>
          <w:i/>
          <w:noProof/>
          <w:sz w:val="20"/>
          <w:lang w:val="x-none"/>
        </w:rPr>
        <w:t>Port of Townsville Annual Monitoring Survey: October 2014</w:t>
      </w:r>
      <w:r w:rsidRPr="00E6043D">
        <w:rPr>
          <w:noProof/>
          <w:sz w:val="20"/>
          <w:lang w:val="x-none"/>
        </w:rPr>
        <w:t>. Cairns: JCU Publication, Centre for Tropical Water &amp; Aquatic Ecosystem Research.</w:t>
      </w:r>
      <w:bookmarkEnd w:id="705"/>
    </w:p>
    <w:p w:rsidR="00E6043D" w:rsidRPr="00E6043D" w:rsidRDefault="00E6043D" w:rsidP="00E6043D">
      <w:pPr>
        <w:spacing w:after="0"/>
        <w:ind w:left="720" w:hanging="720"/>
        <w:rPr>
          <w:noProof/>
          <w:sz w:val="20"/>
          <w:lang w:val="x-none"/>
        </w:rPr>
      </w:pPr>
      <w:bookmarkStart w:id="706" w:name="_ENREF_82"/>
      <w:r w:rsidRPr="00E6043D">
        <w:rPr>
          <w:noProof/>
          <w:sz w:val="20"/>
          <w:lang w:val="x-none"/>
        </w:rPr>
        <w:t xml:space="preserve">Dawes, C.J. (1981). </w:t>
      </w:r>
      <w:r w:rsidRPr="00E6043D">
        <w:rPr>
          <w:i/>
          <w:noProof/>
          <w:sz w:val="20"/>
          <w:lang w:val="x-none"/>
        </w:rPr>
        <w:t>Marine botany</w:t>
      </w:r>
      <w:r w:rsidRPr="00E6043D">
        <w:rPr>
          <w:noProof/>
          <w:sz w:val="20"/>
          <w:lang w:val="x-none"/>
        </w:rPr>
        <w:t>. New York, NY: John Wiley &amp; Sons, Inc.</w:t>
      </w:r>
      <w:bookmarkEnd w:id="706"/>
    </w:p>
    <w:p w:rsidR="00E6043D" w:rsidRPr="00E6043D" w:rsidRDefault="00E6043D" w:rsidP="00E6043D">
      <w:pPr>
        <w:spacing w:after="0"/>
        <w:ind w:left="720" w:hanging="720"/>
        <w:rPr>
          <w:noProof/>
          <w:sz w:val="20"/>
          <w:lang w:val="x-none"/>
        </w:rPr>
      </w:pPr>
      <w:bookmarkStart w:id="707" w:name="_ENREF_83"/>
      <w:r w:rsidRPr="00E6043D">
        <w:rPr>
          <w:noProof/>
          <w:sz w:val="20"/>
          <w:lang w:val="x-none"/>
        </w:rPr>
        <w:t xml:space="preserve">De'ath, G., and Fabricius, K. 2010, Water quality as a regional driver of coral biodiversity and macroalgae on the Great Barrier Reef. </w:t>
      </w:r>
      <w:r w:rsidRPr="00E6043D">
        <w:rPr>
          <w:i/>
          <w:noProof/>
          <w:sz w:val="20"/>
          <w:lang w:val="x-none"/>
        </w:rPr>
        <w:t>Ecological Applications, 20</w:t>
      </w:r>
      <w:r w:rsidRPr="00E6043D">
        <w:rPr>
          <w:noProof/>
          <w:sz w:val="20"/>
          <w:lang w:val="x-none"/>
        </w:rPr>
        <w:t>(3), 840-850. doi: 10.1890/08-2023.1</w:t>
      </w:r>
      <w:bookmarkEnd w:id="707"/>
    </w:p>
    <w:p w:rsidR="00E6043D" w:rsidRPr="00E6043D" w:rsidRDefault="00E6043D" w:rsidP="00E6043D">
      <w:pPr>
        <w:spacing w:after="0"/>
        <w:ind w:left="720" w:hanging="720"/>
        <w:rPr>
          <w:noProof/>
          <w:sz w:val="20"/>
          <w:lang w:val="x-none"/>
        </w:rPr>
      </w:pPr>
      <w:bookmarkStart w:id="708" w:name="_ENREF_84"/>
      <w:r w:rsidRPr="00E6043D">
        <w:rPr>
          <w:noProof/>
          <w:sz w:val="20"/>
          <w:lang w:val="x-none"/>
        </w:rPr>
        <w:t xml:space="preserve">De’ath, G. (2005). </w:t>
      </w:r>
      <w:r w:rsidRPr="00E6043D">
        <w:rPr>
          <w:i/>
          <w:noProof/>
          <w:sz w:val="20"/>
          <w:lang w:val="x-none"/>
        </w:rPr>
        <w:t>Water Quality Monitoring: From River to Reef</w:t>
      </w:r>
      <w:r w:rsidRPr="00E6043D">
        <w:rPr>
          <w:noProof/>
          <w:sz w:val="20"/>
          <w:lang w:val="x-none"/>
        </w:rPr>
        <w:t>. Townsville: AIMS.</w:t>
      </w:r>
      <w:bookmarkEnd w:id="708"/>
    </w:p>
    <w:p w:rsidR="00E6043D" w:rsidRPr="00E6043D" w:rsidRDefault="00E6043D" w:rsidP="00E6043D">
      <w:pPr>
        <w:spacing w:after="0"/>
        <w:ind w:left="720" w:hanging="720"/>
        <w:rPr>
          <w:noProof/>
          <w:sz w:val="20"/>
          <w:lang w:val="x-none"/>
        </w:rPr>
      </w:pPr>
      <w:bookmarkStart w:id="709" w:name="_ENREF_85"/>
      <w:r w:rsidRPr="00E6043D">
        <w:rPr>
          <w:noProof/>
          <w:sz w:val="20"/>
          <w:lang w:val="x-none"/>
        </w:rPr>
        <w:t xml:space="preserve">De’ath, G., Coles, R., McKenzie, L.J., and Pitcher, R. (2007). </w:t>
      </w:r>
      <w:r w:rsidRPr="00E6043D">
        <w:rPr>
          <w:i/>
          <w:noProof/>
          <w:sz w:val="20"/>
          <w:lang w:val="x-none"/>
        </w:rPr>
        <w:t xml:space="preserve">Spatial Distributions and temporal change in distributions of deep water seagrasses in the GRR region. QDPI&amp;F report to MTSRF </w:t>
      </w:r>
      <w:r w:rsidRPr="00E6043D">
        <w:rPr>
          <w:noProof/>
          <w:sz w:val="20"/>
          <w:lang w:val="x-none"/>
        </w:rPr>
        <w:t>Cairns: QDPIF.</w:t>
      </w:r>
      <w:bookmarkEnd w:id="709"/>
    </w:p>
    <w:p w:rsidR="00E6043D" w:rsidRPr="00E6043D" w:rsidRDefault="00E6043D" w:rsidP="00E6043D">
      <w:pPr>
        <w:spacing w:after="0"/>
        <w:ind w:left="720" w:hanging="720"/>
        <w:rPr>
          <w:noProof/>
          <w:sz w:val="20"/>
          <w:lang w:val="x-none"/>
        </w:rPr>
      </w:pPr>
      <w:bookmarkStart w:id="710" w:name="_ENREF_86"/>
      <w:r w:rsidRPr="00E6043D">
        <w:rPr>
          <w:noProof/>
          <w:sz w:val="20"/>
          <w:lang w:val="x-none"/>
        </w:rPr>
        <w:t xml:space="preserve">Dennison, W.C. 1987, Effects of light on seagrass photosynthesis, growth and depth distribution. </w:t>
      </w:r>
      <w:r w:rsidRPr="00E6043D">
        <w:rPr>
          <w:i/>
          <w:noProof/>
          <w:sz w:val="20"/>
          <w:lang w:val="x-none"/>
        </w:rPr>
        <w:t>Aquatic Botany, 27</w:t>
      </w:r>
      <w:r w:rsidRPr="00E6043D">
        <w:rPr>
          <w:noProof/>
          <w:sz w:val="20"/>
          <w:lang w:val="x-none"/>
        </w:rPr>
        <w:t xml:space="preserve">(1), 15-26. doi: </w:t>
      </w:r>
      <w:hyperlink r:id="rId173" w:history="1">
        <w:r w:rsidRPr="00E6043D">
          <w:rPr>
            <w:rStyle w:val="Hyperlink"/>
            <w:noProof/>
            <w:sz w:val="20"/>
            <w:lang w:val="x-none"/>
          </w:rPr>
          <w:t>http://dx.doi.org/10.1016/0304-3770(87)90083-0</w:t>
        </w:r>
        <w:bookmarkEnd w:id="710"/>
      </w:hyperlink>
    </w:p>
    <w:p w:rsidR="00E6043D" w:rsidRPr="00E6043D" w:rsidRDefault="00E6043D" w:rsidP="00E6043D">
      <w:pPr>
        <w:spacing w:after="0"/>
        <w:ind w:left="720" w:hanging="720"/>
        <w:rPr>
          <w:noProof/>
          <w:sz w:val="20"/>
          <w:lang w:val="x-none"/>
        </w:rPr>
      </w:pPr>
      <w:bookmarkStart w:id="711" w:name="_ENREF_87"/>
      <w:r w:rsidRPr="00E6043D">
        <w:rPr>
          <w:noProof/>
          <w:sz w:val="20"/>
          <w:lang w:val="x-none"/>
        </w:rPr>
        <w:t xml:space="preserve">Dennison, W.C., and Abal, E.G. (1999). </w:t>
      </w:r>
      <w:r w:rsidRPr="00E6043D">
        <w:rPr>
          <w:i/>
          <w:noProof/>
          <w:sz w:val="20"/>
          <w:lang w:val="x-none"/>
        </w:rPr>
        <w:t>Moreton Bay Study: a scientific basis for the healthy waterways campaign</w:t>
      </w:r>
      <w:r w:rsidRPr="00E6043D">
        <w:rPr>
          <w:noProof/>
          <w:sz w:val="20"/>
          <w:lang w:val="x-none"/>
        </w:rPr>
        <w:t>. Brisbane: South East Queensland Regional Water Quality Management Team.</w:t>
      </w:r>
      <w:bookmarkEnd w:id="711"/>
    </w:p>
    <w:p w:rsidR="00E6043D" w:rsidRPr="00E6043D" w:rsidRDefault="00E6043D" w:rsidP="00E6043D">
      <w:pPr>
        <w:spacing w:after="0"/>
        <w:ind w:left="720" w:hanging="720"/>
        <w:rPr>
          <w:noProof/>
          <w:sz w:val="20"/>
          <w:lang w:val="x-none"/>
        </w:rPr>
      </w:pPr>
      <w:bookmarkStart w:id="712" w:name="_ENREF_88"/>
      <w:r w:rsidRPr="00E6043D">
        <w:rPr>
          <w:noProof/>
          <w:sz w:val="20"/>
          <w:lang w:val="x-none"/>
        </w:rPr>
        <w:t xml:space="preserve">Dennison, W.C., Longstaff, B.J., and O'Donohue, M.J. (1997). Seagrasses as Bio-indicators. In S Hillman &amp; S Raaymakers (Eds.), </w:t>
      </w:r>
      <w:r w:rsidRPr="00E6043D">
        <w:rPr>
          <w:i/>
          <w:noProof/>
          <w:sz w:val="20"/>
          <w:lang w:val="x-none"/>
        </w:rPr>
        <w:t>Karumba dredging 1996 - Environmental Monitoring Report. EcoPorts Monograph Series No.6</w:t>
      </w:r>
      <w:r w:rsidRPr="00E6043D">
        <w:rPr>
          <w:noProof/>
          <w:sz w:val="20"/>
          <w:lang w:val="x-none"/>
        </w:rPr>
        <w:t xml:space="preserve"> (pp. 255). Brisbane: Ports Corporation of Queensland.</w:t>
      </w:r>
      <w:bookmarkEnd w:id="712"/>
    </w:p>
    <w:p w:rsidR="00E6043D" w:rsidRPr="00E6043D" w:rsidRDefault="00E6043D" w:rsidP="00E6043D">
      <w:pPr>
        <w:spacing w:after="0"/>
        <w:ind w:left="720" w:hanging="720"/>
        <w:rPr>
          <w:noProof/>
          <w:sz w:val="20"/>
          <w:lang w:val="x-none"/>
        </w:rPr>
      </w:pPr>
      <w:bookmarkStart w:id="713" w:name="_ENREF_89"/>
      <w:r w:rsidRPr="00E6043D">
        <w:rPr>
          <w:noProof/>
          <w:sz w:val="20"/>
          <w:lang w:val="x-none"/>
        </w:rPr>
        <w:t xml:space="preserve">Dennison, W.C., O'Donnohue, M.K., and Abal, E.G. (1995). </w:t>
      </w:r>
      <w:r w:rsidRPr="00E6043D">
        <w:rPr>
          <w:i/>
          <w:noProof/>
          <w:sz w:val="20"/>
          <w:lang w:val="x-none"/>
        </w:rPr>
        <w:t>An assessment of nutrient bioindicators using marine plants in the region of Pioneer Bay, Airlie Beach, Queensland. Dry season sampling, September 1995</w:t>
      </w:r>
      <w:r w:rsidRPr="00E6043D">
        <w:rPr>
          <w:noProof/>
          <w:sz w:val="20"/>
          <w:lang w:val="x-none"/>
        </w:rPr>
        <w:t>. Brisbane: Marine Botany Section, Department of Botany, University of Queensland.</w:t>
      </w:r>
      <w:bookmarkEnd w:id="713"/>
    </w:p>
    <w:p w:rsidR="00E6043D" w:rsidRPr="00E6043D" w:rsidRDefault="00E6043D" w:rsidP="00E6043D">
      <w:pPr>
        <w:spacing w:after="0"/>
        <w:ind w:left="720" w:hanging="720"/>
        <w:rPr>
          <w:noProof/>
          <w:sz w:val="20"/>
          <w:lang w:val="x-none"/>
        </w:rPr>
      </w:pPr>
      <w:bookmarkStart w:id="714" w:name="_ENREF_90"/>
      <w:r w:rsidRPr="00E6043D">
        <w:rPr>
          <w:noProof/>
          <w:sz w:val="20"/>
          <w:lang w:val="x-none"/>
        </w:rPr>
        <w:t xml:space="preserve">Department of Environment and Resource Management. (2009). </w:t>
      </w:r>
      <w:r w:rsidRPr="00E6043D">
        <w:rPr>
          <w:i/>
          <w:noProof/>
          <w:sz w:val="20"/>
          <w:lang w:val="x-none"/>
        </w:rPr>
        <w:t>Queensland Water Quality Guidelines, Version 3. ISBN 978-0-9806986-0-2</w:t>
      </w:r>
      <w:r w:rsidRPr="00E6043D">
        <w:rPr>
          <w:noProof/>
          <w:sz w:val="20"/>
          <w:lang w:val="x-none"/>
        </w:rPr>
        <w:t>. Brisbane: State of Queensland (Department of Environment and Resource Management).</w:t>
      </w:r>
      <w:bookmarkEnd w:id="714"/>
    </w:p>
    <w:p w:rsidR="00E6043D" w:rsidRPr="00E6043D" w:rsidRDefault="00E6043D" w:rsidP="00E6043D">
      <w:pPr>
        <w:spacing w:after="0"/>
        <w:ind w:left="720" w:hanging="720"/>
        <w:rPr>
          <w:noProof/>
          <w:sz w:val="20"/>
          <w:lang w:val="x-none"/>
        </w:rPr>
      </w:pPr>
      <w:bookmarkStart w:id="715" w:name="_ENREF_91"/>
      <w:r w:rsidRPr="00E6043D">
        <w:rPr>
          <w:noProof/>
          <w:sz w:val="20"/>
          <w:lang w:val="x-none"/>
        </w:rPr>
        <w:t xml:space="preserve">Department of the Premier and Cabinet. (2014). Great Barrier Reef report card 2012 and 2013, Reef Water Quality Protection Plan, Scoring system.  Retrieved 14/11/2014, from </w:t>
      </w:r>
      <w:hyperlink r:id="rId174" w:history="1">
        <w:r w:rsidRPr="00E6043D">
          <w:rPr>
            <w:rStyle w:val="Hyperlink"/>
            <w:noProof/>
            <w:sz w:val="20"/>
            <w:lang w:val="x-none"/>
          </w:rPr>
          <w:t>http://www.reefplan.qld.gov.au/measuring-success/methods/scoring-system.aspx</w:t>
        </w:r>
        <w:bookmarkEnd w:id="715"/>
      </w:hyperlink>
    </w:p>
    <w:p w:rsidR="00E6043D" w:rsidRPr="00E6043D" w:rsidRDefault="00E6043D" w:rsidP="00E6043D">
      <w:pPr>
        <w:spacing w:after="0"/>
        <w:ind w:left="720" w:hanging="720"/>
        <w:rPr>
          <w:noProof/>
          <w:sz w:val="20"/>
          <w:lang w:val="x-none"/>
        </w:rPr>
      </w:pPr>
      <w:bookmarkStart w:id="716" w:name="_ENREF_92"/>
      <w:r w:rsidRPr="00E6043D">
        <w:rPr>
          <w:noProof/>
          <w:sz w:val="20"/>
          <w:lang w:val="x-none"/>
        </w:rPr>
        <w:lastRenderedPageBreak/>
        <w:t xml:space="preserve">Derbyshire, K.J., Willoughby, S.R., McColl, A.L., and Hocroft, D.M. (1995). </w:t>
      </w:r>
      <w:r w:rsidRPr="00E6043D">
        <w:rPr>
          <w:i/>
          <w:noProof/>
          <w:sz w:val="20"/>
          <w:lang w:val="x-none"/>
        </w:rPr>
        <w:t>Small prawn habitat and recruitment study : final report to the Fisheries Research and Development Corporation and the Queensland Fisheries Management Authority</w:t>
      </w:r>
      <w:r w:rsidRPr="00E6043D">
        <w:rPr>
          <w:noProof/>
          <w:sz w:val="20"/>
          <w:lang w:val="x-none"/>
        </w:rPr>
        <w:t>. Cairns: Department of Primary Industries.</w:t>
      </w:r>
      <w:bookmarkEnd w:id="716"/>
    </w:p>
    <w:p w:rsidR="00E6043D" w:rsidRPr="00E6043D" w:rsidRDefault="00E6043D" w:rsidP="00E6043D">
      <w:pPr>
        <w:spacing w:after="0"/>
        <w:ind w:left="720" w:hanging="720"/>
        <w:rPr>
          <w:noProof/>
          <w:sz w:val="20"/>
          <w:lang w:val="x-none"/>
        </w:rPr>
      </w:pPr>
      <w:bookmarkStart w:id="717" w:name="_ENREF_93"/>
      <w:r w:rsidRPr="00E6043D">
        <w:rPr>
          <w:noProof/>
          <w:sz w:val="20"/>
          <w:lang w:val="x-none"/>
        </w:rPr>
        <w:t xml:space="preserve">DeRose, R.C., Prosser, I.P., Wilkinson, L.J., Hughes, A.O., and Young, W.J. (2002). </w:t>
      </w:r>
      <w:r w:rsidRPr="00E6043D">
        <w:rPr>
          <w:i/>
          <w:noProof/>
          <w:sz w:val="20"/>
          <w:lang w:val="x-none"/>
        </w:rPr>
        <w:t>Regional Patterns of Erosion and Sediment and Nutrient Transport in the Mary River Catchment, Queensland. Technical Report 37/02, August 2002.</w:t>
      </w:r>
      <w:r w:rsidRPr="00E6043D">
        <w:rPr>
          <w:noProof/>
          <w:sz w:val="20"/>
          <w:lang w:val="x-none"/>
        </w:rPr>
        <w:t xml:space="preserve"> Canberra: CSIRO Land and Water.</w:t>
      </w:r>
      <w:bookmarkEnd w:id="717"/>
    </w:p>
    <w:p w:rsidR="00E6043D" w:rsidRPr="00E6043D" w:rsidRDefault="00E6043D" w:rsidP="00E6043D">
      <w:pPr>
        <w:spacing w:after="0"/>
        <w:ind w:left="720" w:hanging="720"/>
        <w:rPr>
          <w:noProof/>
          <w:sz w:val="20"/>
          <w:lang w:val="x-none"/>
        </w:rPr>
      </w:pPr>
      <w:bookmarkStart w:id="718" w:name="_ENREF_94"/>
      <w:r w:rsidRPr="00E6043D">
        <w:rPr>
          <w:noProof/>
          <w:sz w:val="20"/>
          <w:lang w:val="x-none"/>
        </w:rPr>
        <w:t xml:space="preserve">Devlin, M., Petus, C., da Silva, E., Tracey, D., Wolff, N., Waterhouse, J., and Brodie, J. 2015, Water Quality and River Plume Monitoring in the Great Barrier Reef: An Overview of Methods Based on Ocean Colour Satellite Data. </w:t>
      </w:r>
      <w:r w:rsidRPr="00E6043D">
        <w:rPr>
          <w:i/>
          <w:noProof/>
          <w:sz w:val="20"/>
          <w:lang w:val="x-none"/>
        </w:rPr>
        <w:t>Remote Sensing, 7</w:t>
      </w:r>
      <w:r w:rsidRPr="00E6043D">
        <w:rPr>
          <w:noProof/>
          <w:sz w:val="20"/>
          <w:lang w:val="x-none"/>
        </w:rPr>
        <w:t xml:space="preserve">(10), 12909. </w:t>
      </w:r>
      <w:bookmarkEnd w:id="718"/>
    </w:p>
    <w:p w:rsidR="00E6043D" w:rsidRPr="00E6043D" w:rsidRDefault="00E6043D" w:rsidP="00E6043D">
      <w:pPr>
        <w:spacing w:after="0"/>
        <w:ind w:left="720" w:hanging="720"/>
        <w:rPr>
          <w:noProof/>
          <w:sz w:val="20"/>
          <w:lang w:val="x-none"/>
        </w:rPr>
      </w:pPr>
      <w:bookmarkStart w:id="719" w:name="_ENREF_95"/>
      <w:r w:rsidRPr="00E6043D">
        <w:rPr>
          <w:noProof/>
          <w:sz w:val="20"/>
          <w:lang w:val="x-none"/>
        </w:rPr>
        <w:t xml:space="preserve">Duarte, C., Borum, J., Short, F., and Walker, D. (2005). Seagrass Ecosystems: Their Global Status and Prospects. In N Polunin (Ed.), </w:t>
      </w:r>
      <w:r w:rsidRPr="00E6043D">
        <w:rPr>
          <w:i/>
          <w:noProof/>
          <w:sz w:val="20"/>
          <w:lang w:val="x-none"/>
        </w:rPr>
        <w:t>Aquatic Ecosystems: Trends and Global Prospects</w:t>
      </w:r>
      <w:r w:rsidRPr="00E6043D">
        <w:rPr>
          <w:noProof/>
          <w:sz w:val="20"/>
          <w:lang w:val="x-none"/>
        </w:rPr>
        <w:t>: Cambridge Univ. Press.</w:t>
      </w:r>
      <w:bookmarkEnd w:id="719"/>
    </w:p>
    <w:p w:rsidR="00E6043D" w:rsidRPr="00E6043D" w:rsidRDefault="00E6043D" w:rsidP="00E6043D">
      <w:pPr>
        <w:spacing w:after="0"/>
        <w:ind w:left="720" w:hanging="720"/>
        <w:rPr>
          <w:noProof/>
          <w:sz w:val="20"/>
          <w:lang w:val="x-none"/>
        </w:rPr>
      </w:pPr>
      <w:bookmarkStart w:id="720" w:name="_ENREF_96"/>
      <w:r w:rsidRPr="00E6043D">
        <w:rPr>
          <w:noProof/>
          <w:sz w:val="20"/>
          <w:lang w:val="x-none"/>
        </w:rPr>
        <w:t xml:space="preserve">Duarte, C.M. 1990, Seagrass nutrient content. </w:t>
      </w:r>
      <w:r w:rsidRPr="00E6043D">
        <w:rPr>
          <w:i/>
          <w:noProof/>
          <w:sz w:val="20"/>
          <w:lang w:val="x-none"/>
        </w:rPr>
        <w:t>Marine Ecology Progress Series, 67</w:t>
      </w:r>
      <w:r w:rsidRPr="00E6043D">
        <w:rPr>
          <w:noProof/>
          <w:sz w:val="20"/>
          <w:lang w:val="x-none"/>
        </w:rPr>
        <w:t xml:space="preserve">(1), 201-207. </w:t>
      </w:r>
      <w:bookmarkEnd w:id="720"/>
    </w:p>
    <w:p w:rsidR="00E6043D" w:rsidRPr="00E6043D" w:rsidRDefault="00E6043D" w:rsidP="00E6043D">
      <w:pPr>
        <w:spacing w:after="0"/>
        <w:ind w:left="720" w:hanging="720"/>
        <w:rPr>
          <w:noProof/>
          <w:sz w:val="20"/>
          <w:lang w:val="x-none"/>
        </w:rPr>
      </w:pPr>
      <w:bookmarkStart w:id="721" w:name="_ENREF_97"/>
      <w:r w:rsidRPr="00E6043D">
        <w:rPr>
          <w:noProof/>
          <w:sz w:val="20"/>
          <w:lang w:val="x-none"/>
        </w:rPr>
        <w:t xml:space="preserve">Duarte, C.M., and Sand-Jensen, K. 1990, Seagrass colonization: Patch formation and patch growth in </w:t>
      </w:r>
      <w:r w:rsidRPr="00E6043D">
        <w:rPr>
          <w:i/>
          <w:noProof/>
          <w:sz w:val="20"/>
          <w:lang w:val="x-none"/>
        </w:rPr>
        <w:t>Cymodocea nodosa</w:t>
      </w:r>
      <w:r w:rsidRPr="00E6043D">
        <w:rPr>
          <w:noProof/>
          <w:sz w:val="20"/>
          <w:lang w:val="x-none"/>
        </w:rPr>
        <w:t xml:space="preserve">. </w:t>
      </w:r>
      <w:r w:rsidRPr="00E6043D">
        <w:rPr>
          <w:i/>
          <w:noProof/>
          <w:sz w:val="20"/>
          <w:lang w:val="x-none"/>
        </w:rPr>
        <w:t>Marine Ecology Progress Series, 65</w:t>
      </w:r>
      <w:r w:rsidRPr="00E6043D">
        <w:rPr>
          <w:noProof/>
          <w:sz w:val="20"/>
          <w:lang w:val="x-none"/>
        </w:rPr>
        <w:t xml:space="preserve">(2), 193-200. </w:t>
      </w:r>
      <w:bookmarkEnd w:id="721"/>
    </w:p>
    <w:p w:rsidR="00E6043D" w:rsidRPr="00E6043D" w:rsidRDefault="00E6043D" w:rsidP="00E6043D">
      <w:pPr>
        <w:spacing w:after="0"/>
        <w:ind w:left="720" w:hanging="720"/>
        <w:rPr>
          <w:noProof/>
          <w:sz w:val="20"/>
          <w:lang w:val="x-none"/>
        </w:rPr>
      </w:pPr>
      <w:bookmarkStart w:id="722" w:name="_ENREF_98"/>
      <w:r w:rsidRPr="00E6043D">
        <w:rPr>
          <w:noProof/>
          <w:sz w:val="20"/>
          <w:lang w:val="x-none"/>
        </w:rPr>
        <w:t xml:space="preserve">Earth Tech. (2005). </w:t>
      </w:r>
      <w:r w:rsidRPr="00E6043D">
        <w:rPr>
          <w:i/>
          <w:noProof/>
          <w:sz w:val="20"/>
          <w:lang w:val="x-none"/>
        </w:rPr>
        <w:t>Cape York Peninsula Natural Resource Management Plan</w:t>
      </w:r>
      <w:r w:rsidRPr="00E6043D">
        <w:rPr>
          <w:noProof/>
          <w:sz w:val="20"/>
          <w:lang w:val="x-none"/>
        </w:rPr>
        <w:t>: Cape York Interim Advisory Group (February 2005).</w:t>
      </w:r>
      <w:bookmarkEnd w:id="722"/>
    </w:p>
    <w:p w:rsidR="00E6043D" w:rsidRPr="00E6043D" w:rsidRDefault="00E6043D" w:rsidP="00E6043D">
      <w:pPr>
        <w:spacing w:after="0"/>
        <w:ind w:left="720" w:hanging="720"/>
        <w:rPr>
          <w:noProof/>
          <w:sz w:val="20"/>
          <w:lang w:val="x-none"/>
        </w:rPr>
      </w:pPr>
      <w:bookmarkStart w:id="723" w:name="_ENREF_99"/>
      <w:r w:rsidRPr="00E6043D">
        <w:rPr>
          <w:noProof/>
          <w:sz w:val="20"/>
          <w:lang w:val="x-none"/>
        </w:rPr>
        <w:t xml:space="preserve">EHMP. (2008). </w:t>
      </w:r>
      <w:r w:rsidRPr="00E6043D">
        <w:rPr>
          <w:i/>
          <w:noProof/>
          <w:sz w:val="20"/>
          <w:lang w:val="x-none"/>
        </w:rPr>
        <w:t>Ecosystem Health Monitoring Program 2006-07: Annual Technical Report</w:t>
      </w:r>
      <w:r w:rsidRPr="00E6043D">
        <w:rPr>
          <w:noProof/>
          <w:sz w:val="20"/>
          <w:lang w:val="x-none"/>
        </w:rPr>
        <w:t>. Brisbane: South East Queensland Healthy Waterways Partnership.</w:t>
      </w:r>
      <w:bookmarkEnd w:id="723"/>
    </w:p>
    <w:p w:rsidR="00E6043D" w:rsidRPr="00E6043D" w:rsidRDefault="00E6043D" w:rsidP="00E6043D">
      <w:pPr>
        <w:spacing w:after="0"/>
        <w:ind w:left="720" w:hanging="720"/>
        <w:rPr>
          <w:noProof/>
          <w:sz w:val="20"/>
          <w:lang w:val="x-none"/>
        </w:rPr>
      </w:pPr>
      <w:bookmarkStart w:id="724" w:name="_ENREF_100"/>
      <w:r w:rsidRPr="00E6043D">
        <w:rPr>
          <w:noProof/>
          <w:sz w:val="20"/>
          <w:lang w:val="x-none"/>
        </w:rPr>
        <w:t xml:space="preserve">Erftemeijer, P.L., and Herman, P.M. 1994, Seasonal changes in environmental variables, biomass, production and nutrient contents in two contrasting tropical intertidal seagrass beds in South Sulawesi, Indonesia. </w:t>
      </w:r>
      <w:r w:rsidRPr="00E6043D">
        <w:rPr>
          <w:i/>
          <w:noProof/>
          <w:sz w:val="20"/>
          <w:lang w:val="x-none"/>
        </w:rPr>
        <w:t>Oecologia, 99</w:t>
      </w:r>
      <w:r w:rsidRPr="00E6043D">
        <w:rPr>
          <w:noProof/>
          <w:sz w:val="20"/>
          <w:lang w:val="x-none"/>
        </w:rPr>
        <w:t xml:space="preserve">, 45-59. </w:t>
      </w:r>
      <w:bookmarkEnd w:id="724"/>
    </w:p>
    <w:p w:rsidR="00E6043D" w:rsidRPr="00E6043D" w:rsidRDefault="00E6043D" w:rsidP="00E6043D">
      <w:pPr>
        <w:spacing w:after="0"/>
        <w:ind w:left="720" w:hanging="720"/>
        <w:rPr>
          <w:noProof/>
          <w:sz w:val="20"/>
          <w:lang w:val="x-none"/>
        </w:rPr>
      </w:pPr>
      <w:bookmarkStart w:id="725" w:name="_ENREF_101"/>
      <w:r w:rsidRPr="00E6043D">
        <w:rPr>
          <w:noProof/>
          <w:sz w:val="20"/>
          <w:lang w:val="x-none"/>
        </w:rPr>
        <w:t xml:space="preserve">Erftemeijer, P.L.A., and Middelburg, J.J. 1993, Sediment-nutrient interactions in tropical seagrass beds - a comparison between a terrigenous and a carbonate sedimentary environment in South Sulawesi (Indonesia). </w:t>
      </w:r>
      <w:r w:rsidRPr="00E6043D">
        <w:rPr>
          <w:i/>
          <w:noProof/>
          <w:sz w:val="20"/>
          <w:lang w:val="x-none"/>
        </w:rPr>
        <w:t>Marine Ecology Progress Series, 102</w:t>
      </w:r>
      <w:r w:rsidRPr="00E6043D">
        <w:rPr>
          <w:noProof/>
          <w:sz w:val="20"/>
          <w:lang w:val="x-none"/>
        </w:rPr>
        <w:t xml:space="preserve">(1-2), 187-198. </w:t>
      </w:r>
      <w:bookmarkEnd w:id="725"/>
    </w:p>
    <w:p w:rsidR="00E6043D" w:rsidRPr="00E6043D" w:rsidRDefault="00E6043D" w:rsidP="00E6043D">
      <w:pPr>
        <w:spacing w:after="0"/>
        <w:ind w:left="720" w:hanging="720"/>
        <w:rPr>
          <w:noProof/>
          <w:sz w:val="20"/>
          <w:lang w:val="x-none"/>
        </w:rPr>
      </w:pPr>
      <w:bookmarkStart w:id="726" w:name="_ENREF_102"/>
      <w:r w:rsidRPr="00E6043D">
        <w:rPr>
          <w:noProof/>
          <w:sz w:val="20"/>
          <w:lang w:val="x-none"/>
        </w:rPr>
        <w:t xml:space="preserve">Esslemont, G., Fentie, B., Negus, P., and Marsh, N. (2006). </w:t>
      </w:r>
      <w:r w:rsidRPr="00E6043D">
        <w:rPr>
          <w:i/>
          <w:noProof/>
          <w:sz w:val="20"/>
          <w:lang w:val="x-none"/>
        </w:rPr>
        <w:t>Burnett, Mary Regional Water Quality Summary. Water Quality State-Level Project, Brisbane</w:t>
      </w:r>
      <w:r w:rsidRPr="00E6043D">
        <w:rPr>
          <w:noProof/>
          <w:sz w:val="20"/>
          <w:lang w:val="x-none"/>
        </w:rPr>
        <w:t>.</w:t>
      </w:r>
      <w:bookmarkEnd w:id="726"/>
    </w:p>
    <w:p w:rsidR="00E6043D" w:rsidRPr="00E6043D" w:rsidRDefault="00E6043D" w:rsidP="00E6043D">
      <w:pPr>
        <w:spacing w:after="0"/>
        <w:ind w:left="720" w:hanging="720"/>
        <w:rPr>
          <w:noProof/>
          <w:sz w:val="20"/>
          <w:lang w:val="x-none"/>
        </w:rPr>
      </w:pPr>
      <w:bookmarkStart w:id="727" w:name="_ENREF_103"/>
      <w:r w:rsidRPr="00E6043D">
        <w:rPr>
          <w:noProof/>
          <w:sz w:val="20"/>
          <w:lang w:val="x-none"/>
        </w:rPr>
        <w:t xml:space="preserve">Fabricius, K., De'Ath, G., Humphrey, C., Zagorskis, I., and Schaffelke, B. 2012, Intr-annual variation in turbidity in response to terrestrial runoff on near-shore coral reefs of the Great Barrier Reef. </w:t>
      </w:r>
      <w:r w:rsidRPr="00E6043D">
        <w:rPr>
          <w:i/>
          <w:noProof/>
          <w:sz w:val="20"/>
          <w:lang w:val="x-none"/>
        </w:rPr>
        <w:t>Estuarine, Coastal and Shelf Science, 3</w:t>
      </w:r>
      <w:r w:rsidRPr="00E6043D">
        <w:rPr>
          <w:noProof/>
          <w:sz w:val="20"/>
          <w:lang w:val="x-none"/>
        </w:rPr>
        <w:t xml:space="preserve">, 458-470. </w:t>
      </w:r>
      <w:bookmarkEnd w:id="727"/>
    </w:p>
    <w:p w:rsidR="00E6043D" w:rsidRPr="00E6043D" w:rsidRDefault="00E6043D" w:rsidP="00E6043D">
      <w:pPr>
        <w:spacing w:after="0"/>
        <w:ind w:left="720" w:hanging="720"/>
        <w:rPr>
          <w:noProof/>
          <w:sz w:val="20"/>
          <w:lang w:val="x-none"/>
        </w:rPr>
      </w:pPr>
      <w:bookmarkStart w:id="728" w:name="_ENREF_104"/>
      <w:r w:rsidRPr="00E6043D">
        <w:rPr>
          <w:noProof/>
          <w:sz w:val="20"/>
          <w:lang w:val="x-none"/>
        </w:rPr>
        <w:t xml:space="preserve">Folke, C., Carpenter, S., Walker, B., Scheffer, M., Elmqvist, T., Gunderson, L., and Holling, C.S. 2004, Regime shifts, resilience, and biodiversity in ecosystem management. </w:t>
      </w:r>
      <w:r w:rsidRPr="00E6043D">
        <w:rPr>
          <w:i/>
          <w:noProof/>
          <w:sz w:val="20"/>
          <w:lang w:val="x-none"/>
        </w:rPr>
        <w:t>Annual Review of Ecology, Evolution, and Systematics, 35</w:t>
      </w:r>
      <w:r w:rsidRPr="00E6043D">
        <w:rPr>
          <w:noProof/>
          <w:sz w:val="20"/>
          <w:lang w:val="x-none"/>
        </w:rPr>
        <w:t>(1), 557-581. doi: doi:10.1146/annurev.ecolsys.35.021103.105711</w:t>
      </w:r>
      <w:bookmarkEnd w:id="728"/>
    </w:p>
    <w:p w:rsidR="00E6043D" w:rsidRPr="00E6043D" w:rsidRDefault="00E6043D" w:rsidP="00E6043D">
      <w:pPr>
        <w:spacing w:after="0"/>
        <w:ind w:left="720" w:hanging="720"/>
        <w:rPr>
          <w:noProof/>
          <w:sz w:val="20"/>
          <w:lang w:val="x-none"/>
        </w:rPr>
      </w:pPr>
      <w:bookmarkStart w:id="729" w:name="_ENREF_105"/>
      <w:r w:rsidRPr="00E6043D">
        <w:rPr>
          <w:noProof/>
          <w:sz w:val="20"/>
          <w:lang w:val="x-none"/>
        </w:rPr>
        <w:t xml:space="preserve">Ford, G.I. (2004). Colosseum Inlet - Rodds Bay - QLD129. </w:t>
      </w:r>
      <w:r w:rsidRPr="00E6043D">
        <w:rPr>
          <w:i/>
          <w:noProof/>
          <w:sz w:val="20"/>
          <w:lang w:val="x-none"/>
        </w:rPr>
        <w:t>Directory of Important Wetlands in Australia - Information sheet</w:t>
      </w:r>
      <w:r w:rsidRPr="00E6043D">
        <w:rPr>
          <w:noProof/>
          <w:sz w:val="20"/>
          <w:lang w:val="x-none"/>
        </w:rPr>
        <w:t xml:space="preserve">, from </w:t>
      </w:r>
      <w:hyperlink r:id="rId175" w:history="1">
        <w:r w:rsidRPr="00E6043D">
          <w:rPr>
            <w:rStyle w:val="Hyperlink"/>
            <w:noProof/>
            <w:sz w:val="20"/>
            <w:lang w:val="x-none"/>
          </w:rPr>
          <w:t>http://www.environment.gov.au/node/25064</w:t>
        </w:r>
        <w:bookmarkEnd w:id="729"/>
      </w:hyperlink>
    </w:p>
    <w:p w:rsidR="00E6043D" w:rsidRPr="00E6043D" w:rsidRDefault="00E6043D" w:rsidP="00E6043D">
      <w:pPr>
        <w:spacing w:after="0"/>
        <w:ind w:left="720" w:hanging="720"/>
        <w:rPr>
          <w:noProof/>
          <w:sz w:val="20"/>
          <w:lang w:val="x-none"/>
        </w:rPr>
      </w:pPr>
      <w:bookmarkStart w:id="730" w:name="_ENREF_106"/>
      <w:r w:rsidRPr="00E6043D">
        <w:rPr>
          <w:noProof/>
          <w:sz w:val="20"/>
          <w:lang w:val="x-none"/>
        </w:rPr>
        <w:t xml:space="preserve">Fourqurean, J.W., and Cai, Y. 2001, Arsenic and phosphorus in seagrass leaves from the Gulf of Mexico. </w:t>
      </w:r>
      <w:r w:rsidRPr="00E6043D">
        <w:rPr>
          <w:i/>
          <w:noProof/>
          <w:sz w:val="20"/>
          <w:lang w:val="x-none"/>
        </w:rPr>
        <w:t>Aquatic Botany, 71</w:t>
      </w:r>
      <w:r w:rsidRPr="00E6043D">
        <w:rPr>
          <w:noProof/>
          <w:sz w:val="20"/>
          <w:lang w:val="x-none"/>
        </w:rPr>
        <w:t xml:space="preserve">(4), 247-258. doi: </w:t>
      </w:r>
      <w:hyperlink r:id="rId176" w:history="1">
        <w:r w:rsidRPr="00E6043D">
          <w:rPr>
            <w:rStyle w:val="Hyperlink"/>
            <w:noProof/>
            <w:sz w:val="20"/>
            <w:lang w:val="x-none"/>
          </w:rPr>
          <w:t>http://dx.doi.org/10.1016/S0304-3770(01)00193-0</w:t>
        </w:r>
        <w:bookmarkEnd w:id="730"/>
      </w:hyperlink>
    </w:p>
    <w:p w:rsidR="00E6043D" w:rsidRPr="00E6043D" w:rsidRDefault="00E6043D" w:rsidP="00E6043D">
      <w:pPr>
        <w:spacing w:after="0"/>
        <w:ind w:left="720" w:hanging="720"/>
        <w:rPr>
          <w:noProof/>
          <w:sz w:val="20"/>
          <w:lang w:val="x-none"/>
        </w:rPr>
      </w:pPr>
      <w:bookmarkStart w:id="731" w:name="_ENREF_107"/>
      <w:r w:rsidRPr="00E6043D">
        <w:rPr>
          <w:noProof/>
          <w:sz w:val="20"/>
          <w:lang w:val="x-none"/>
        </w:rPr>
        <w:t xml:space="preserve">Fourqurean, J.W., Duarte, C.M., Kennedy, H., Marba, N., Holmer, M., Mateo, M.A., Apostolaki, E.T., Kendrick, G.A., Krause-Jensen, D., McGlathery, K.J., and Serrano, O. 2012, Seagrass ecosystems as a globally significant carbon stock. </w:t>
      </w:r>
      <w:r w:rsidRPr="00E6043D">
        <w:rPr>
          <w:i/>
          <w:noProof/>
          <w:sz w:val="20"/>
          <w:lang w:val="x-none"/>
        </w:rPr>
        <w:t>Nature Geoscience, 5</w:t>
      </w:r>
      <w:r w:rsidRPr="00E6043D">
        <w:rPr>
          <w:noProof/>
          <w:sz w:val="20"/>
          <w:lang w:val="x-none"/>
        </w:rPr>
        <w:t>(7), 505-509. doi: 10.1038/ngeo1477</w:t>
      </w:r>
      <w:bookmarkEnd w:id="731"/>
    </w:p>
    <w:p w:rsidR="00E6043D" w:rsidRPr="00E6043D" w:rsidRDefault="00E6043D" w:rsidP="00E6043D">
      <w:pPr>
        <w:spacing w:after="0"/>
        <w:ind w:left="720" w:hanging="720"/>
        <w:rPr>
          <w:noProof/>
          <w:sz w:val="20"/>
          <w:lang w:val="x-none"/>
        </w:rPr>
      </w:pPr>
      <w:bookmarkStart w:id="732" w:name="_ENREF_108"/>
      <w:r w:rsidRPr="00E6043D">
        <w:rPr>
          <w:noProof/>
          <w:sz w:val="20"/>
          <w:lang w:val="x-none"/>
        </w:rPr>
        <w:t xml:space="preserve">Fourqurean, J.W., Escorcia, S.P., Anderson, W.T., and Zieman, J.C. 2005, Spatial and seasonal variability in elemental content, delta C-13, and delta N-15 of Thalassia testudinum from South Florida and its implications for ecosystem studies. </w:t>
      </w:r>
      <w:r w:rsidRPr="00E6043D">
        <w:rPr>
          <w:i/>
          <w:noProof/>
          <w:sz w:val="20"/>
          <w:lang w:val="x-none"/>
        </w:rPr>
        <w:t>Estuaries, 28</w:t>
      </w:r>
      <w:r w:rsidRPr="00E6043D">
        <w:rPr>
          <w:noProof/>
          <w:sz w:val="20"/>
          <w:lang w:val="x-none"/>
        </w:rPr>
        <w:t xml:space="preserve">(3), 447-461. </w:t>
      </w:r>
      <w:bookmarkEnd w:id="732"/>
    </w:p>
    <w:p w:rsidR="00E6043D" w:rsidRPr="00E6043D" w:rsidRDefault="00E6043D" w:rsidP="00E6043D">
      <w:pPr>
        <w:spacing w:after="0"/>
        <w:ind w:left="720" w:hanging="720"/>
        <w:rPr>
          <w:noProof/>
          <w:sz w:val="20"/>
          <w:lang w:val="x-none"/>
        </w:rPr>
      </w:pPr>
      <w:bookmarkStart w:id="733" w:name="_ENREF_109"/>
      <w:r w:rsidRPr="00E6043D">
        <w:rPr>
          <w:noProof/>
          <w:sz w:val="20"/>
          <w:lang w:val="x-none"/>
        </w:rPr>
        <w:t>Fourqurean, J.W., Moore, T.O., Fry, B., and Hollibaugh, J.T. 1997a, Spatial and temporal variation in C:N:P Ratios, Delta</w:t>
      </w:r>
      <w:r w:rsidRPr="00E6043D">
        <w:rPr>
          <w:noProof/>
          <w:sz w:val="20"/>
          <w:vertAlign w:val="superscript"/>
          <w:lang w:val="x-none"/>
        </w:rPr>
        <w:t>15</w:t>
      </w:r>
      <w:r w:rsidRPr="00E6043D">
        <w:rPr>
          <w:noProof/>
          <w:sz w:val="20"/>
          <w:lang w:val="x-none"/>
        </w:rPr>
        <w:t>N and Delta</w:t>
      </w:r>
      <w:r w:rsidRPr="00E6043D">
        <w:rPr>
          <w:noProof/>
          <w:sz w:val="20"/>
          <w:vertAlign w:val="superscript"/>
          <w:lang w:val="x-none"/>
        </w:rPr>
        <w:t>13</w:t>
      </w:r>
      <w:r w:rsidRPr="00E6043D">
        <w:rPr>
          <w:noProof/>
          <w:sz w:val="20"/>
          <w:lang w:val="x-none"/>
        </w:rPr>
        <w:t xml:space="preserve">C of eelgrass </w:t>
      </w:r>
      <w:r w:rsidRPr="00E6043D">
        <w:rPr>
          <w:i/>
          <w:noProof/>
          <w:sz w:val="20"/>
          <w:lang w:val="x-none"/>
        </w:rPr>
        <w:t>Zostera marina</w:t>
      </w:r>
      <w:r w:rsidRPr="00E6043D">
        <w:rPr>
          <w:noProof/>
          <w:sz w:val="20"/>
          <w:lang w:val="x-none"/>
        </w:rPr>
        <w:t xml:space="preserve"> as indicators of ecosystem processes, Tomales Bay, California, USA. </w:t>
      </w:r>
      <w:r w:rsidRPr="00E6043D">
        <w:rPr>
          <w:i/>
          <w:noProof/>
          <w:sz w:val="20"/>
          <w:lang w:val="x-none"/>
        </w:rPr>
        <w:t>Marine Ecology Progress Series, 157</w:t>
      </w:r>
      <w:r w:rsidRPr="00E6043D">
        <w:rPr>
          <w:noProof/>
          <w:sz w:val="20"/>
          <w:lang w:val="x-none"/>
        </w:rPr>
        <w:t xml:space="preserve">, 147-157. </w:t>
      </w:r>
      <w:bookmarkEnd w:id="733"/>
    </w:p>
    <w:p w:rsidR="00E6043D" w:rsidRPr="00E6043D" w:rsidRDefault="00E6043D" w:rsidP="00E6043D">
      <w:pPr>
        <w:spacing w:after="0"/>
        <w:ind w:left="720" w:hanging="720"/>
        <w:rPr>
          <w:noProof/>
          <w:sz w:val="20"/>
          <w:lang w:val="x-none"/>
        </w:rPr>
      </w:pPr>
      <w:bookmarkStart w:id="734" w:name="_ENREF_110"/>
      <w:r w:rsidRPr="00E6043D">
        <w:rPr>
          <w:noProof/>
          <w:sz w:val="20"/>
          <w:lang w:val="x-none"/>
        </w:rPr>
        <w:t xml:space="preserve">Fourqurean, J.W., Moore, T.O., Fry, B., and Hollibaugh, J.T. 1997b, Spatial and temporal variation in C:N:P ratios, Î´15N, and Î´13C of eelgrass Zostera marina as indicators of ecosystem processes, Tomales Bay, California, USA. </w:t>
      </w:r>
      <w:r w:rsidRPr="00E6043D">
        <w:rPr>
          <w:i/>
          <w:noProof/>
          <w:sz w:val="20"/>
          <w:lang w:val="x-none"/>
        </w:rPr>
        <w:t>Marine Ecology Progress Series, 157</w:t>
      </w:r>
      <w:r w:rsidRPr="00E6043D">
        <w:rPr>
          <w:noProof/>
          <w:sz w:val="20"/>
          <w:lang w:val="x-none"/>
        </w:rPr>
        <w:t>, 147-157. doi: 10.3354/meps157147</w:t>
      </w:r>
      <w:bookmarkEnd w:id="734"/>
    </w:p>
    <w:p w:rsidR="00E6043D" w:rsidRPr="00E6043D" w:rsidRDefault="00E6043D" w:rsidP="00E6043D">
      <w:pPr>
        <w:spacing w:after="0"/>
        <w:ind w:left="720" w:hanging="720"/>
        <w:rPr>
          <w:noProof/>
          <w:sz w:val="20"/>
          <w:lang w:val="x-none"/>
        </w:rPr>
      </w:pPr>
      <w:bookmarkStart w:id="735" w:name="_ENREF_111"/>
      <w:r w:rsidRPr="00E6043D">
        <w:rPr>
          <w:noProof/>
          <w:sz w:val="20"/>
          <w:lang w:val="x-none"/>
        </w:rPr>
        <w:lastRenderedPageBreak/>
        <w:t xml:space="preserve">Fourqurean, J.W., Zieman, J.C., and Powell, G.V.N. 1992a, Phosphorus limitation of primary production in Florida Bay: Evidence from C:N:P ratios of the dominant seagrass </w:t>
      </w:r>
      <w:r w:rsidRPr="00E6043D">
        <w:rPr>
          <w:i/>
          <w:noProof/>
          <w:sz w:val="20"/>
          <w:lang w:val="x-none"/>
        </w:rPr>
        <w:t>Thalassia testudinum</w:t>
      </w:r>
      <w:r w:rsidRPr="00E6043D">
        <w:rPr>
          <w:noProof/>
          <w:sz w:val="20"/>
          <w:lang w:val="x-none"/>
        </w:rPr>
        <w:t xml:space="preserve">. </w:t>
      </w:r>
      <w:r w:rsidRPr="00E6043D">
        <w:rPr>
          <w:i/>
          <w:noProof/>
          <w:sz w:val="20"/>
          <w:lang w:val="x-none"/>
        </w:rPr>
        <w:t>Limnology &amp; Oceanography, 37</w:t>
      </w:r>
      <w:r w:rsidRPr="00E6043D">
        <w:rPr>
          <w:noProof/>
          <w:sz w:val="20"/>
          <w:lang w:val="x-none"/>
        </w:rPr>
        <w:t xml:space="preserve">(1), 162-171. </w:t>
      </w:r>
      <w:bookmarkEnd w:id="735"/>
    </w:p>
    <w:p w:rsidR="00E6043D" w:rsidRPr="00E6043D" w:rsidRDefault="00E6043D" w:rsidP="00E6043D">
      <w:pPr>
        <w:spacing w:after="0"/>
        <w:ind w:left="720" w:hanging="720"/>
        <w:rPr>
          <w:noProof/>
          <w:sz w:val="20"/>
          <w:lang w:val="x-none"/>
        </w:rPr>
      </w:pPr>
      <w:bookmarkStart w:id="736" w:name="_ENREF_112"/>
      <w:r w:rsidRPr="00E6043D">
        <w:rPr>
          <w:noProof/>
          <w:sz w:val="20"/>
          <w:lang w:val="x-none"/>
        </w:rPr>
        <w:t xml:space="preserve">Fourqurean, J.W., Zieman, J.C., and Powell, G.V.N. 1992b, Relationships between porewater nutrients and seagrasses in a subtropical carbonate environment. </w:t>
      </w:r>
      <w:r w:rsidRPr="00E6043D">
        <w:rPr>
          <w:i/>
          <w:noProof/>
          <w:sz w:val="20"/>
          <w:lang w:val="x-none"/>
        </w:rPr>
        <w:t>Marine Biology, 114</w:t>
      </w:r>
      <w:r w:rsidRPr="00E6043D">
        <w:rPr>
          <w:noProof/>
          <w:sz w:val="20"/>
          <w:lang w:val="x-none"/>
        </w:rPr>
        <w:t>(1), 57-65. doi: 10.1007/bf00350856</w:t>
      </w:r>
      <w:bookmarkEnd w:id="736"/>
    </w:p>
    <w:p w:rsidR="00E6043D" w:rsidRPr="00E6043D" w:rsidRDefault="00E6043D" w:rsidP="00E6043D">
      <w:pPr>
        <w:spacing w:after="0"/>
        <w:ind w:left="720" w:hanging="720"/>
        <w:rPr>
          <w:noProof/>
          <w:sz w:val="20"/>
          <w:lang w:val="x-none"/>
        </w:rPr>
      </w:pPr>
      <w:bookmarkStart w:id="737" w:name="_ENREF_113"/>
      <w:r w:rsidRPr="00E6043D">
        <w:rPr>
          <w:noProof/>
          <w:sz w:val="20"/>
          <w:lang w:val="x-none"/>
        </w:rPr>
        <w:t xml:space="preserve">Frankovich, T.A., and Fourqurean, J.W. 1997, Seagrass epiphyte loads along a nutrient availability gradient, Florida Bay, USA. </w:t>
      </w:r>
      <w:r w:rsidRPr="00E6043D">
        <w:rPr>
          <w:i/>
          <w:noProof/>
          <w:sz w:val="20"/>
          <w:lang w:val="x-none"/>
        </w:rPr>
        <w:t>Marine Ecology Progress Series, 159</w:t>
      </w:r>
      <w:r w:rsidRPr="00E6043D">
        <w:rPr>
          <w:noProof/>
          <w:sz w:val="20"/>
          <w:lang w:val="x-none"/>
        </w:rPr>
        <w:t xml:space="preserve">, 37-50. </w:t>
      </w:r>
      <w:bookmarkEnd w:id="737"/>
    </w:p>
    <w:p w:rsidR="00E6043D" w:rsidRPr="00E6043D" w:rsidRDefault="00E6043D" w:rsidP="00E6043D">
      <w:pPr>
        <w:spacing w:after="0"/>
        <w:ind w:left="720" w:hanging="720"/>
        <w:rPr>
          <w:noProof/>
          <w:sz w:val="20"/>
          <w:lang w:val="x-none"/>
        </w:rPr>
      </w:pPr>
      <w:bookmarkStart w:id="738" w:name="_ENREF_114"/>
      <w:r w:rsidRPr="00E6043D">
        <w:rPr>
          <w:noProof/>
          <w:sz w:val="20"/>
          <w:lang w:val="x-none"/>
        </w:rPr>
        <w:t xml:space="preserve">Gadgil, M., and Solbrig, O.T. 1972, The concept of r- and K-selection: evidence from wild flowers and some theoretical considerations. </w:t>
      </w:r>
      <w:r w:rsidRPr="00E6043D">
        <w:rPr>
          <w:i/>
          <w:noProof/>
          <w:sz w:val="20"/>
          <w:lang w:val="x-none"/>
        </w:rPr>
        <w:t>American Naturalist, 106</w:t>
      </w:r>
      <w:r w:rsidRPr="00E6043D">
        <w:rPr>
          <w:noProof/>
          <w:sz w:val="20"/>
          <w:lang w:val="x-none"/>
        </w:rPr>
        <w:t xml:space="preserve">, 14-31. </w:t>
      </w:r>
      <w:bookmarkEnd w:id="738"/>
    </w:p>
    <w:p w:rsidR="00E6043D" w:rsidRPr="00E6043D" w:rsidRDefault="00E6043D" w:rsidP="00E6043D">
      <w:pPr>
        <w:spacing w:after="0"/>
        <w:ind w:left="720" w:hanging="720"/>
        <w:rPr>
          <w:noProof/>
          <w:sz w:val="20"/>
          <w:lang w:val="x-none"/>
        </w:rPr>
      </w:pPr>
      <w:bookmarkStart w:id="739" w:name="_ENREF_115"/>
      <w:r w:rsidRPr="00E6043D">
        <w:rPr>
          <w:noProof/>
          <w:sz w:val="20"/>
          <w:lang w:val="x-none"/>
        </w:rPr>
        <w:t xml:space="preserve">Goldsworthy, P.M. (1994). Seagrasses. In L Benson, P Goldsworthy, R Butler &amp; J Oliver (Eds.), </w:t>
      </w:r>
      <w:r w:rsidRPr="00E6043D">
        <w:rPr>
          <w:i/>
          <w:noProof/>
          <w:sz w:val="20"/>
          <w:lang w:val="x-none"/>
        </w:rPr>
        <w:t>Townsville Port Authority Capital Dredging Works 1993: Environmental Monitoring Program</w:t>
      </w:r>
      <w:r w:rsidRPr="00E6043D">
        <w:rPr>
          <w:noProof/>
          <w:sz w:val="20"/>
          <w:lang w:val="x-none"/>
        </w:rPr>
        <w:t xml:space="preserve"> (pp. 89-115). Townsville: Townsville Port Authority.</w:t>
      </w:r>
      <w:bookmarkEnd w:id="739"/>
    </w:p>
    <w:p w:rsidR="00E6043D" w:rsidRPr="00E6043D" w:rsidRDefault="00E6043D" w:rsidP="00E6043D">
      <w:pPr>
        <w:spacing w:after="0"/>
        <w:ind w:left="720" w:hanging="720"/>
        <w:rPr>
          <w:noProof/>
          <w:sz w:val="20"/>
          <w:lang w:val="x-none"/>
        </w:rPr>
      </w:pPr>
      <w:bookmarkStart w:id="740" w:name="_ENREF_116"/>
      <w:r w:rsidRPr="00E6043D">
        <w:rPr>
          <w:noProof/>
          <w:sz w:val="20"/>
          <w:lang w:val="x-none"/>
        </w:rPr>
        <w:t xml:space="preserve">Great Barrier Reef Marine Park Authority. (2014). </w:t>
      </w:r>
      <w:r w:rsidRPr="00E6043D">
        <w:rPr>
          <w:i/>
          <w:noProof/>
          <w:sz w:val="20"/>
          <w:lang w:val="x-none"/>
        </w:rPr>
        <w:t>Great Barrier Reef Marine Park Authority Science Strategy and Information Needs 2014-2019</w:t>
      </w:r>
      <w:r w:rsidRPr="00E6043D">
        <w:rPr>
          <w:noProof/>
          <w:sz w:val="20"/>
          <w:lang w:val="x-none"/>
        </w:rPr>
        <w:t>. Townsville: Great Barrier Reef Marine Park Authority.</w:t>
      </w:r>
      <w:bookmarkEnd w:id="740"/>
    </w:p>
    <w:p w:rsidR="00E6043D" w:rsidRPr="00E6043D" w:rsidRDefault="00E6043D" w:rsidP="00E6043D">
      <w:pPr>
        <w:spacing w:after="0"/>
        <w:ind w:left="720" w:hanging="720"/>
        <w:rPr>
          <w:noProof/>
          <w:sz w:val="20"/>
          <w:lang w:val="x-none"/>
        </w:rPr>
      </w:pPr>
      <w:bookmarkStart w:id="741" w:name="_ENREF_117"/>
      <w:r w:rsidRPr="00E6043D">
        <w:rPr>
          <w:noProof/>
          <w:sz w:val="20"/>
          <w:lang w:val="x-none"/>
        </w:rPr>
        <w:t xml:space="preserve">Green, E., and Short, F. (Eds.). (2003). </w:t>
      </w:r>
      <w:r w:rsidRPr="00E6043D">
        <w:rPr>
          <w:i/>
          <w:noProof/>
          <w:sz w:val="20"/>
          <w:lang w:val="x-none"/>
        </w:rPr>
        <w:t>World Atlas of Seagrasses</w:t>
      </w:r>
      <w:r w:rsidRPr="00E6043D">
        <w:rPr>
          <w:noProof/>
          <w:sz w:val="20"/>
          <w:lang w:val="x-none"/>
        </w:rPr>
        <w:t>. Berkeley. USA: University of California Press,.</w:t>
      </w:r>
      <w:bookmarkEnd w:id="741"/>
    </w:p>
    <w:p w:rsidR="00E6043D" w:rsidRPr="00E6043D" w:rsidRDefault="00E6043D" w:rsidP="00E6043D">
      <w:pPr>
        <w:spacing w:after="0"/>
        <w:ind w:left="720" w:hanging="720"/>
        <w:rPr>
          <w:noProof/>
          <w:sz w:val="20"/>
          <w:lang w:val="x-none"/>
        </w:rPr>
      </w:pPr>
      <w:bookmarkStart w:id="742" w:name="_ENREF_118"/>
      <w:r w:rsidRPr="00E6043D">
        <w:rPr>
          <w:noProof/>
          <w:sz w:val="20"/>
          <w:lang w:val="x-none"/>
        </w:rPr>
        <w:t xml:space="preserve">Grice, A., Loneragan, N., and Dennison, W. 1996, Light intensity and the interactions between physiology, morphology and stable isotope ratios in five species of seagrass. </w:t>
      </w:r>
      <w:r w:rsidRPr="00E6043D">
        <w:rPr>
          <w:i/>
          <w:noProof/>
          <w:sz w:val="20"/>
          <w:lang w:val="x-none"/>
        </w:rPr>
        <w:t>Journal of Experimental Marine Biology and Ecology, 195</w:t>
      </w:r>
      <w:r w:rsidRPr="00E6043D">
        <w:rPr>
          <w:noProof/>
          <w:sz w:val="20"/>
          <w:lang w:val="x-none"/>
        </w:rPr>
        <w:t xml:space="preserve">, 91-110. </w:t>
      </w:r>
      <w:bookmarkEnd w:id="742"/>
    </w:p>
    <w:p w:rsidR="00E6043D" w:rsidRPr="00E6043D" w:rsidRDefault="00E6043D" w:rsidP="00E6043D">
      <w:pPr>
        <w:spacing w:after="0"/>
        <w:ind w:left="720" w:hanging="720"/>
        <w:rPr>
          <w:noProof/>
          <w:sz w:val="20"/>
          <w:lang w:val="x-none"/>
        </w:rPr>
      </w:pPr>
      <w:bookmarkStart w:id="743" w:name="_ENREF_119"/>
      <w:r w:rsidRPr="00E6043D">
        <w:rPr>
          <w:noProof/>
          <w:sz w:val="20"/>
          <w:lang w:val="x-none"/>
        </w:rPr>
        <w:t xml:space="preserve">Grime, J.P. (1979). </w:t>
      </w:r>
      <w:r w:rsidRPr="00E6043D">
        <w:rPr>
          <w:i/>
          <w:noProof/>
          <w:sz w:val="20"/>
          <w:lang w:val="x-none"/>
        </w:rPr>
        <w:t>Plant Strategies and Vegetation Processes</w:t>
      </w:r>
      <w:r w:rsidRPr="00E6043D">
        <w:rPr>
          <w:noProof/>
          <w:sz w:val="20"/>
          <w:lang w:val="x-none"/>
        </w:rPr>
        <w:t>. Chichester. UK.: John Wiley.</w:t>
      </w:r>
      <w:bookmarkEnd w:id="743"/>
    </w:p>
    <w:p w:rsidR="00E6043D" w:rsidRPr="00E6043D" w:rsidRDefault="00E6043D" w:rsidP="00E6043D">
      <w:pPr>
        <w:spacing w:after="0"/>
        <w:ind w:left="720" w:hanging="720"/>
        <w:rPr>
          <w:noProof/>
          <w:sz w:val="20"/>
          <w:lang w:val="x-none"/>
        </w:rPr>
      </w:pPr>
      <w:bookmarkStart w:id="744" w:name="_ENREF_120"/>
      <w:r w:rsidRPr="00E6043D">
        <w:rPr>
          <w:noProof/>
          <w:sz w:val="20"/>
          <w:lang w:val="x-none"/>
        </w:rPr>
        <w:t>Harrison, P.G. 1979, Reproductive strategies in intertidal populations of two co-occurring seagrasses (</w:t>
      </w:r>
      <w:r w:rsidRPr="00E6043D">
        <w:rPr>
          <w:i/>
          <w:noProof/>
          <w:sz w:val="20"/>
          <w:lang w:val="x-none"/>
        </w:rPr>
        <w:t>Zostera</w:t>
      </w:r>
      <w:r w:rsidRPr="00E6043D">
        <w:rPr>
          <w:noProof/>
          <w:sz w:val="20"/>
          <w:lang w:val="x-none"/>
        </w:rPr>
        <w:t xml:space="preserve"> spp.). </w:t>
      </w:r>
      <w:r w:rsidRPr="00E6043D">
        <w:rPr>
          <w:i/>
          <w:noProof/>
          <w:sz w:val="20"/>
          <w:lang w:val="x-none"/>
        </w:rPr>
        <w:t>Canadian Journal of Botany, 57</w:t>
      </w:r>
      <w:r w:rsidRPr="00E6043D">
        <w:rPr>
          <w:noProof/>
          <w:sz w:val="20"/>
          <w:lang w:val="x-none"/>
        </w:rPr>
        <w:t xml:space="preserve">, 2635-2638. </w:t>
      </w:r>
      <w:bookmarkEnd w:id="744"/>
    </w:p>
    <w:p w:rsidR="00E6043D" w:rsidRPr="00E6043D" w:rsidRDefault="00E6043D" w:rsidP="00E6043D">
      <w:pPr>
        <w:spacing w:after="0"/>
        <w:ind w:left="720" w:hanging="720"/>
        <w:rPr>
          <w:noProof/>
          <w:sz w:val="20"/>
          <w:lang w:val="x-none"/>
        </w:rPr>
      </w:pPr>
      <w:bookmarkStart w:id="745" w:name="_ENREF_121"/>
      <w:r w:rsidRPr="00E6043D">
        <w:rPr>
          <w:noProof/>
          <w:sz w:val="20"/>
          <w:lang w:val="x-none"/>
        </w:rPr>
        <w:t xml:space="preserve">Haynes, D., Müller, J., and Carter, S. 2000, Pesticide and Herbicide Residues in Sediments and Seagrasses from the Great Barrier Reef World Heritage Area and Queensland Coast. </w:t>
      </w:r>
      <w:r w:rsidRPr="00E6043D">
        <w:rPr>
          <w:i/>
          <w:noProof/>
          <w:sz w:val="20"/>
          <w:lang w:val="x-none"/>
        </w:rPr>
        <w:t>Marine Pollution Bulletin, 41</w:t>
      </w:r>
      <w:r w:rsidRPr="00E6043D">
        <w:rPr>
          <w:noProof/>
          <w:sz w:val="20"/>
          <w:lang w:val="x-none"/>
        </w:rPr>
        <w:t xml:space="preserve">(7-12), 279-287. </w:t>
      </w:r>
      <w:bookmarkEnd w:id="745"/>
    </w:p>
    <w:p w:rsidR="00E6043D" w:rsidRPr="00E6043D" w:rsidRDefault="00E6043D" w:rsidP="00E6043D">
      <w:pPr>
        <w:spacing w:after="0"/>
        <w:ind w:left="720" w:hanging="720"/>
        <w:rPr>
          <w:noProof/>
          <w:sz w:val="20"/>
          <w:lang w:val="x-none"/>
        </w:rPr>
      </w:pPr>
      <w:bookmarkStart w:id="746" w:name="_ENREF_122"/>
      <w:r w:rsidRPr="00E6043D">
        <w:rPr>
          <w:noProof/>
          <w:sz w:val="20"/>
          <w:lang w:val="x-none"/>
        </w:rPr>
        <w:t xml:space="preserve">Heaton, T.H.E. 1986, Isotopic studies of nitrogen pollution in the hydrosphere and atmosphere: a review. </w:t>
      </w:r>
      <w:r w:rsidRPr="00E6043D">
        <w:rPr>
          <w:i/>
          <w:noProof/>
          <w:sz w:val="20"/>
          <w:lang w:val="x-none"/>
        </w:rPr>
        <w:t>Chemical Geology, 59</w:t>
      </w:r>
      <w:r w:rsidRPr="00E6043D">
        <w:rPr>
          <w:noProof/>
          <w:sz w:val="20"/>
          <w:lang w:val="x-none"/>
        </w:rPr>
        <w:t xml:space="preserve">, 87-102. </w:t>
      </w:r>
      <w:bookmarkEnd w:id="746"/>
    </w:p>
    <w:p w:rsidR="00E6043D" w:rsidRPr="00E6043D" w:rsidRDefault="00E6043D" w:rsidP="00E6043D">
      <w:pPr>
        <w:spacing w:after="0"/>
        <w:ind w:left="720" w:hanging="720"/>
        <w:rPr>
          <w:noProof/>
          <w:sz w:val="20"/>
          <w:u w:val="single"/>
          <w:lang w:val="x-none"/>
        </w:rPr>
      </w:pPr>
      <w:bookmarkStart w:id="747" w:name="_ENREF_123"/>
      <w:r w:rsidRPr="00E6043D">
        <w:rPr>
          <w:noProof/>
          <w:sz w:val="20"/>
          <w:lang w:val="x-none"/>
        </w:rPr>
        <w:t xml:space="preserve">Heck, K.L.J., Carruthers, T.J.B., Duarte, C.M., Hughes, A.R., Kendrick, G., Orth, R.J., and Williams, S.W. 2008, Trophic transfers from seagrass meadows subsidize diverse marine and terrestrial consumers. [review]. </w:t>
      </w:r>
      <w:r w:rsidRPr="00E6043D">
        <w:rPr>
          <w:i/>
          <w:noProof/>
          <w:sz w:val="20"/>
          <w:lang w:val="x-none"/>
        </w:rPr>
        <w:t>Ecosystems, 11</w:t>
      </w:r>
      <w:r w:rsidRPr="00E6043D">
        <w:rPr>
          <w:noProof/>
          <w:sz w:val="20"/>
          <w:lang w:val="x-none"/>
        </w:rPr>
        <w:t xml:space="preserve">(7), 1198-1210. doi: </w:t>
      </w:r>
      <w:r w:rsidRPr="00E6043D">
        <w:rPr>
          <w:noProof/>
          <w:sz w:val="20"/>
          <w:u w:val="single"/>
          <w:lang w:val="x-none"/>
        </w:rPr>
        <w:t>10.1007/s10021-008-9155-y</w:t>
      </w:r>
      <w:bookmarkEnd w:id="747"/>
    </w:p>
    <w:p w:rsidR="00E6043D" w:rsidRPr="00E6043D" w:rsidRDefault="00E6043D" w:rsidP="00E6043D">
      <w:pPr>
        <w:spacing w:after="0"/>
        <w:ind w:left="720" w:hanging="720"/>
        <w:rPr>
          <w:noProof/>
          <w:sz w:val="20"/>
          <w:lang w:val="x-none"/>
        </w:rPr>
      </w:pPr>
      <w:bookmarkStart w:id="748" w:name="_ENREF_124"/>
      <w:r w:rsidRPr="00E6043D">
        <w:rPr>
          <w:noProof/>
          <w:sz w:val="20"/>
          <w:lang w:val="x-none"/>
        </w:rPr>
        <w:t xml:space="preserve">Heidelbaugh, W.S., and Nelson, W.G. 1996, A power analysis of methods for assessment of change in seagrass cover. </w:t>
      </w:r>
      <w:r w:rsidRPr="00E6043D">
        <w:rPr>
          <w:i/>
          <w:noProof/>
          <w:sz w:val="20"/>
          <w:lang w:val="x-none"/>
        </w:rPr>
        <w:t>Aquatic Botany, 53</w:t>
      </w:r>
      <w:r w:rsidRPr="00E6043D">
        <w:rPr>
          <w:noProof/>
          <w:sz w:val="20"/>
          <w:lang w:val="x-none"/>
        </w:rPr>
        <w:t xml:space="preserve">(3-4), 227-243. </w:t>
      </w:r>
      <w:bookmarkEnd w:id="748"/>
    </w:p>
    <w:p w:rsidR="00E6043D" w:rsidRPr="00E6043D" w:rsidRDefault="00E6043D" w:rsidP="00E6043D">
      <w:pPr>
        <w:spacing w:after="0"/>
        <w:ind w:left="720" w:hanging="720"/>
        <w:rPr>
          <w:noProof/>
          <w:sz w:val="20"/>
          <w:lang w:val="x-none"/>
        </w:rPr>
      </w:pPr>
      <w:bookmarkStart w:id="749" w:name="_ENREF_125"/>
      <w:r w:rsidRPr="00E6043D">
        <w:rPr>
          <w:noProof/>
          <w:sz w:val="20"/>
          <w:lang w:val="x-none"/>
        </w:rPr>
        <w:t xml:space="preserve">Hemminga, M.A., and Mateo, M.A. 1996, Stable carbon isotopes in seagrasses: variability in ratios and use in ecological studies. </w:t>
      </w:r>
      <w:r w:rsidRPr="00E6043D">
        <w:rPr>
          <w:i/>
          <w:noProof/>
          <w:sz w:val="20"/>
          <w:lang w:val="x-none"/>
        </w:rPr>
        <w:t>Marine Ecology Progress Series, 140</w:t>
      </w:r>
      <w:r w:rsidRPr="00E6043D">
        <w:rPr>
          <w:noProof/>
          <w:sz w:val="20"/>
          <w:lang w:val="x-none"/>
        </w:rPr>
        <w:t xml:space="preserve">, 285-298. </w:t>
      </w:r>
      <w:bookmarkEnd w:id="749"/>
    </w:p>
    <w:p w:rsidR="00E6043D" w:rsidRPr="00E6043D" w:rsidRDefault="00E6043D" w:rsidP="00E6043D">
      <w:pPr>
        <w:spacing w:after="0"/>
        <w:ind w:left="720" w:hanging="720"/>
        <w:rPr>
          <w:noProof/>
          <w:sz w:val="20"/>
          <w:lang w:val="x-none"/>
        </w:rPr>
      </w:pPr>
      <w:bookmarkStart w:id="750" w:name="_ENREF_126"/>
      <w:r w:rsidRPr="00E6043D">
        <w:rPr>
          <w:noProof/>
          <w:sz w:val="20"/>
          <w:lang w:val="x-none"/>
        </w:rPr>
        <w:t xml:space="preserve">Holling, C.S. 1973, Resilience and stability of ecological systems. </w:t>
      </w:r>
      <w:r w:rsidRPr="00E6043D">
        <w:rPr>
          <w:i/>
          <w:noProof/>
          <w:sz w:val="20"/>
          <w:lang w:val="x-none"/>
        </w:rPr>
        <w:t>Annual Review of Ecology and Systematics, 4</w:t>
      </w:r>
      <w:r w:rsidRPr="00E6043D">
        <w:rPr>
          <w:noProof/>
          <w:sz w:val="20"/>
          <w:lang w:val="x-none"/>
        </w:rPr>
        <w:t xml:space="preserve">, 1-23. </w:t>
      </w:r>
      <w:bookmarkEnd w:id="750"/>
    </w:p>
    <w:p w:rsidR="00E6043D" w:rsidRPr="00E6043D" w:rsidRDefault="00E6043D" w:rsidP="00E6043D">
      <w:pPr>
        <w:spacing w:after="0"/>
        <w:ind w:left="720" w:hanging="720"/>
        <w:rPr>
          <w:noProof/>
          <w:sz w:val="20"/>
          <w:lang w:val="x-none"/>
        </w:rPr>
      </w:pPr>
      <w:bookmarkStart w:id="751" w:name="_ENREF_127"/>
      <w:r w:rsidRPr="00E6043D">
        <w:rPr>
          <w:noProof/>
          <w:sz w:val="20"/>
          <w:lang w:val="x-none"/>
        </w:rPr>
        <w:t xml:space="preserve">Hortle, K., and Person, R. 1990, Fauna of the Annan River System, far North Queensland, with reference to the Impact of Tin Mining. I. Fishes. </w:t>
      </w:r>
      <w:r w:rsidRPr="00E6043D">
        <w:rPr>
          <w:i/>
          <w:noProof/>
          <w:sz w:val="20"/>
          <w:lang w:val="x-none"/>
        </w:rPr>
        <w:t>Marine and Freshwater Research, 41</w:t>
      </w:r>
      <w:r w:rsidRPr="00E6043D">
        <w:rPr>
          <w:noProof/>
          <w:sz w:val="20"/>
          <w:lang w:val="x-none"/>
        </w:rPr>
        <w:t xml:space="preserve">(6), 677-694. doi: </w:t>
      </w:r>
      <w:hyperlink r:id="rId177" w:history="1">
        <w:r w:rsidRPr="00E6043D">
          <w:rPr>
            <w:rStyle w:val="Hyperlink"/>
            <w:noProof/>
            <w:sz w:val="20"/>
            <w:lang w:val="x-none"/>
          </w:rPr>
          <w:t>http://dx.doi.org/10.1071/MF9900677</w:t>
        </w:r>
        <w:bookmarkEnd w:id="751"/>
      </w:hyperlink>
    </w:p>
    <w:p w:rsidR="00E6043D" w:rsidRPr="00E6043D" w:rsidRDefault="00E6043D" w:rsidP="00E6043D">
      <w:pPr>
        <w:spacing w:after="0"/>
        <w:ind w:left="720" w:hanging="720"/>
        <w:rPr>
          <w:noProof/>
          <w:sz w:val="20"/>
          <w:lang w:val="x-none"/>
        </w:rPr>
      </w:pPr>
      <w:bookmarkStart w:id="752" w:name="_ENREF_128"/>
      <w:r w:rsidRPr="00E6043D">
        <w:rPr>
          <w:noProof/>
          <w:sz w:val="20"/>
          <w:lang w:val="x-none"/>
        </w:rPr>
        <w:t xml:space="preserve">Inglis, G.J. 2000, Variation in the recruitment behaviour of seagrass seeds: implications for population dynamics and resource management. </w:t>
      </w:r>
      <w:r w:rsidRPr="00E6043D">
        <w:rPr>
          <w:i/>
          <w:noProof/>
          <w:sz w:val="20"/>
          <w:lang w:val="x-none"/>
        </w:rPr>
        <w:t>Pacific Conservation Biology, 5</w:t>
      </w:r>
      <w:r w:rsidRPr="00E6043D">
        <w:rPr>
          <w:noProof/>
          <w:sz w:val="20"/>
          <w:lang w:val="x-none"/>
        </w:rPr>
        <w:t xml:space="preserve">, 251-259. </w:t>
      </w:r>
      <w:bookmarkEnd w:id="752"/>
    </w:p>
    <w:p w:rsidR="00E6043D" w:rsidRPr="00E6043D" w:rsidRDefault="00E6043D" w:rsidP="00E6043D">
      <w:pPr>
        <w:spacing w:after="0"/>
        <w:ind w:left="720" w:hanging="720"/>
        <w:rPr>
          <w:noProof/>
          <w:sz w:val="20"/>
          <w:lang w:val="x-none"/>
        </w:rPr>
      </w:pPr>
      <w:bookmarkStart w:id="753" w:name="_ENREF_129"/>
      <w:r w:rsidRPr="00E6043D">
        <w:rPr>
          <w:noProof/>
          <w:sz w:val="20"/>
          <w:lang w:val="x-none"/>
        </w:rPr>
        <w:t xml:space="preserve">Jacobs, S.W.L., Les, D.H., and Moody, M.L. 2006, New combinations in Australasian Zostera (Zosteraceae). </w:t>
      </w:r>
      <w:r w:rsidRPr="00E6043D">
        <w:rPr>
          <w:i/>
          <w:noProof/>
          <w:sz w:val="20"/>
          <w:lang w:val="x-none"/>
        </w:rPr>
        <w:t>Telopea, 11</w:t>
      </w:r>
      <w:r w:rsidRPr="00E6043D">
        <w:rPr>
          <w:noProof/>
          <w:sz w:val="20"/>
          <w:lang w:val="x-none"/>
        </w:rPr>
        <w:t xml:space="preserve">(2), 127-128. </w:t>
      </w:r>
      <w:bookmarkEnd w:id="753"/>
    </w:p>
    <w:p w:rsidR="00E6043D" w:rsidRPr="00E6043D" w:rsidRDefault="00E6043D" w:rsidP="00E6043D">
      <w:pPr>
        <w:spacing w:after="0"/>
        <w:ind w:left="720" w:hanging="720"/>
        <w:rPr>
          <w:noProof/>
          <w:sz w:val="20"/>
          <w:lang w:val="x-none"/>
        </w:rPr>
      </w:pPr>
      <w:bookmarkStart w:id="754" w:name="_ENREF_130"/>
      <w:r w:rsidRPr="00E6043D">
        <w:rPr>
          <w:noProof/>
          <w:sz w:val="20"/>
          <w:lang w:val="x-none"/>
        </w:rPr>
        <w:t xml:space="preserve">Jarvis, J., Rasheed, M., and Sankey, T. (2015). </w:t>
      </w:r>
      <w:r w:rsidRPr="00E6043D">
        <w:rPr>
          <w:i/>
          <w:noProof/>
          <w:sz w:val="20"/>
          <w:lang w:val="x-none"/>
        </w:rPr>
        <w:t>Seagrass habitat of Cairns Harbour and Trinity Inlet: Annual and Quarterly Monitoring Report. TropWATER Publication 15/10</w:t>
      </w:r>
      <w:r w:rsidRPr="00E6043D">
        <w:rPr>
          <w:noProof/>
          <w:sz w:val="20"/>
          <w:lang w:val="x-none"/>
        </w:rPr>
        <w:t>. Cairns: Centre for Tropical Water &amp; Aquatic Ecosystem Research, James Cook University.</w:t>
      </w:r>
      <w:bookmarkEnd w:id="754"/>
    </w:p>
    <w:p w:rsidR="00E6043D" w:rsidRPr="00E6043D" w:rsidRDefault="00E6043D" w:rsidP="00E6043D">
      <w:pPr>
        <w:spacing w:after="0"/>
        <w:ind w:left="720" w:hanging="720"/>
        <w:rPr>
          <w:noProof/>
          <w:sz w:val="20"/>
          <w:lang w:val="x-none"/>
        </w:rPr>
      </w:pPr>
      <w:bookmarkStart w:id="755" w:name="_ENREF_131"/>
      <w:r w:rsidRPr="00E6043D">
        <w:rPr>
          <w:noProof/>
          <w:sz w:val="20"/>
          <w:lang w:val="x-none"/>
        </w:rPr>
        <w:lastRenderedPageBreak/>
        <w:t xml:space="preserve">Jarvis, J.C., Rasheed, M.A., McKenna, S.A., and Sankey, T. (2014). </w:t>
      </w:r>
      <w:r w:rsidRPr="00E6043D">
        <w:rPr>
          <w:i/>
          <w:noProof/>
          <w:sz w:val="20"/>
          <w:lang w:val="x-none"/>
        </w:rPr>
        <w:t>Seagrass habitat of Cairns Harbour and Trinity Inlet: Annual and Quarterly Monitoring Report. JCU Publication, Centre for Tropical Water &amp; Aquatic Ecosystem Research Publication 14/09</w:t>
      </w:r>
      <w:r w:rsidRPr="00E6043D">
        <w:rPr>
          <w:noProof/>
          <w:sz w:val="20"/>
          <w:lang w:val="x-none"/>
        </w:rPr>
        <w:t>. Cairns: James Cook University.</w:t>
      </w:r>
      <w:bookmarkEnd w:id="755"/>
    </w:p>
    <w:p w:rsidR="00E6043D" w:rsidRPr="00E6043D" w:rsidRDefault="00E6043D" w:rsidP="00E6043D">
      <w:pPr>
        <w:spacing w:after="0"/>
        <w:ind w:left="720" w:hanging="720"/>
        <w:rPr>
          <w:noProof/>
          <w:sz w:val="20"/>
          <w:lang w:val="x-none"/>
        </w:rPr>
      </w:pPr>
      <w:bookmarkStart w:id="756" w:name="_ENREF_132"/>
      <w:r w:rsidRPr="00E6043D">
        <w:rPr>
          <w:noProof/>
          <w:sz w:val="20"/>
          <w:lang w:val="x-none"/>
        </w:rPr>
        <w:t xml:space="preserve">Jones, A.B., O'Donohue, M.J., Udy, J., and Dennison, W.C. 2001, Assessing ecological impacts of shrimp and sewage effluent: Biological indicators with standard water quality analyses. </w:t>
      </w:r>
      <w:r w:rsidRPr="00E6043D">
        <w:rPr>
          <w:i/>
          <w:noProof/>
          <w:sz w:val="20"/>
          <w:lang w:val="x-none"/>
        </w:rPr>
        <w:t>Estuarine Coastal And Shelf Science, 52</w:t>
      </w:r>
      <w:r w:rsidRPr="00E6043D">
        <w:rPr>
          <w:noProof/>
          <w:sz w:val="20"/>
          <w:lang w:val="x-none"/>
        </w:rPr>
        <w:t xml:space="preserve">(1), 91-109. </w:t>
      </w:r>
      <w:bookmarkEnd w:id="756"/>
    </w:p>
    <w:p w:rsidR="00E6043D" w:rsidRPr="00E6043D" w:rsidRDefault="00E6043D" w:rsidP="00E6043D">
      <w:pPr>
        <w:spacing w:after="0"/>
        <w:ind w:left="720" w:hanging="720"/>
        <w:rPr>
          <w:noProof/>
          <w:sz w:val="20"/>
          <w:lang w:val="x-none"/>
        </w:rPr>
      </w:pPr>
      <w:bookmarkStart w:id="757" w:name="_ENREF_133"/>
      <w:r w:rsidRPr="00E6043D">
        <w:rPr>
          <w:noProof/>
          <w:sz w:val="20"/>
          <w:lang w:val="x-none"/>
        </w:rPr>
        <w:t xml:space="preserve">Kilminster, K., McMahon, K., Waycott, M., Kendrick, G.A., Scanes, P., McKenzie, L., O'Brien, K.R., Lyons, M., Ferguson, A., Maxwell, P., Glasby, T., and Udy, J. 2015, Unravelling complexity in seagrass systems for management: Australia as a microcosm. </w:t>
      </w:r>
      <w:r w:rsidRPr="00E6043D">
        <w:rPr>
          <w:i/>
          <w:noProof/>
          <w:sz w:val="20"/>
          <w:lang w:val="x-none"/>
        </w:rPr>
        <w:t>Science of The Total Environment, 534</w:t>
      </w:r>
      <w:r w:rsidRPr="00E6043D">
        <w:rPr>
          <w:noProof/>
          <w:sz w:val="20"/>
          <w:lang w:val="x-none"/>
        </w:rPr>
        <w:t xml:space="preserve">, 97-109. doi: </w:t>
      </w:r>
      <w:hyperlink r:id="rId178" w:history="1">
        <w:r w:rsidRPr="00E6043D">
          <w:rPr>
            <w:rStyle w:val="Hyperlink"/>
            <w:noProof/>
            <w:sz w:val="20"/>
            <w:lang w:val="x-none"/>
          </w:rPr>
          <w:t>http://dx.doi.org/10.1016/j.scitotenv.2015.04.061</w:t>
        </w:r>
        <w:bookmarkEnd w:id="757"/>
      </w:hyperlink>
    </w:p>
    <w:p w:rsidR="00E6043D" w:rsidRPr="00E6043D" w:rsidRDefault="00E6043D" w:rsidP="00E6043D">
      <w:pPr>
        <w:spacing w:after="0"/>
        <w:ind w:left="720" w:hanging="720"/>
        <w:rPr>
          <w:noProof/>
          <w:sz w:val="20"/>
          <w:lang w:val="x-none"/>
        </w:rPr>
      </w:pPr>
      <w:bookmarkStart w:id="758" w:name="_ENREF_134"/>
      <w:r w:rsidRPr="00E6043D">
        <w:rPr>
          <w:noProof/>
          <w:sz w:val="20"/>
          <w:lang w:val="x-none"/>
        </w:rPr>
        <w:t xml:space="preserve">Koch, E.W. (2001). What can sediments tell us about seagrass habitats? In LJ McKenzie, S Campbell, C Roder, J Bité &amp; R Coles (Eds.), </w:t>
      </w:r>
      <w:r w:rsidRPr="00E6043D">
        <w:rPr>
          <w:i/>
          <w:noProof/>
          <w:sz w:val="20"/>
          <w:lang w:val="x-none"/>
        </w:rPr>
        <w:t>Local Eyes: Global Wise, Proceedings of the 1st International Seagrass-Watch volunteers Forum, Hervey Bay 12th-15th October 2001</w:t>
      </w:r>
      <w:r w:rsidRPr="00E6043D">
        <w:rPr>
          <w:noProof/>
          <w:sz w:val="20"/>
          <w:lang w:val="x-none"/>
        </w:rPr>
        <w:t xml:space="preserve"> (Vol. 1, pp. 59-62). Cairns: Marine Plant Ecology Group, DPI.</w:t>
      </w:r>
      <w:bookmarkEnd w:id="758"/>
    </w:p>
    <w:p w:rsidR="00E6043D" w:rsidRPr="00E6043D" w:rsidRDefault="00E6043D" w:rsidP="00E6043D">
      <w:pPr>
        <w:spacing w:after="0"/>
        <w:ind w:left="720" w:hanging="720"/>
        <w:rPr>
          <w:noProof/>
          <w:sz w:val="20"/>
          <w:lang w:val="x-none"/>
        </w:rPr>
      </w:pPr>
      <w:bookmarkStart w:id="759" w:name="_ENREF_135"/>
      <w:r w:rsidRPr="00E6043D">
        <w:rPr>
          <w:noProof/>
          <w:sz w:val="20"/>
          <w:lang w:val="x-none"/>
        </w:rPr>
        <w:t xml:space="preserve">Kuhnert, P.M., Liu, Y., Henderson, B.L., Dambacher, J., Lawrence, E., and Kroon, F.J. (2014). </w:t>
      </w:r>
      <w:r w:rsidRPr="00E6043D">
        <w:rPr>
          <w:i/>
          <w:noProof/>
          <w:sz w:val="20"/>
          <w:lang w:val="x-none"/>
        </w:rPr>
        <w:t>Review of the Marine Monitoring Program (MMP), Final Report for the Great Barrier Reef Marine Park Authority (GBRMPA)</w:t>
      </w:r>
      <w:r w:rsidRPr="00E6043D">
        <w:rPr>
          <w:noProof/>
          <w:sz w:val="20"/>
          <w:lang w:val="x-none"/>
        </w:rPr>
        <w:t>. Adelaide: CSIRO.</w:t>
      </w:r>
      <w:bookmarkEnd w:id="759"/>
    </w:p>
    <w:p w:rsidR="00E6043D" w:rsidRPr="00E6043D" w:rsidRDefault="00E6043D" w:rsidP="00E6043D">
      <w:pPr>
        <w:spacing w:after="0"/>
        <w:ind w:left="720" w:hanging="720"/>
        <w:rPr>
          <w:noProof/>
          <w:sz w:val="20"/>
          <w:lang w:val="x-none"/>
        </w:rPr>
      </w:pPr>
      <w:bookmarkStart w:id="760" w:name="_ENREF_136"/>
      <w:r w:rsidRPr="00E6043D">
        <w:rPr>
          <w:noProof/>
          <w:sz w:val="20"/>
          <w:lang w:val="x-none"/>
        </w:rPr>
        <w:t xml:space="preserve">Lajtha, K., and Marshall, J. (1994). Sources of variation in the stable isotope composition of plants. In K Lajtha &amp; R Michener (Eds.), </w:t>
      </w:r>
      <w:r w:rsidRPr="00E6043D">
        <w:rPr>
          <w:i/>
          <w:noProof/>
          <w:sz w:val="20"/>
          <w:lang w:val="x-none"/>
        </w:rPr>
        <w:t>Stable Isotopes in Ecology and Environmental Sciences</w:t>
      </w:r>
      <w:r w:rsidRPr="00E6043D">
        <w:rPr>
          <w:noProof/>
          <w:sz w:val="20"/>
          <w:lang w:val="x-none"/>
        </w:rPr>
        <w:t xml:space="preserve"> (pp. 1–21). Oxford: Blackwell Scientific Publications.</w:t>
      </w:r>
      <w:bookmarkEnd w:id="760"/>
    </w:p>
    <w:p w:rsidR="00E6043D" w:rsidRPr="00E6043D" w:rsidRDefault="00E6043D" w:rsidP="00E6043D">
      <w:pPr>
        <w:spacing w:after="0"/>
        <w:ind w:left="720" w:hanging="720"/>
        <w:rPr>
          <w:noProof/>
          <w:sz w:val="20"/>
          <w:lang w:val="x-none"/>
        </w:rPr>
      </w:pPr>
      <w:bookmarkStart w:id="761" w:name="_ENREF_137"/>
      <w:r w:rsidRPr="00E6043D">
        <w:rPr>
          <w:noProof/>
          <w:sz w:val="20"/>
          <w:lang w:val="x-none"/>
        </w:rPr>
        <w:t xml:space="preserve">Lanyon, J., Limpus, C.J., and Marsh, H. (1989). Dugongs and turtles: grazers in the seagrass system. In AWD Larkum, AJ McComb &amp; SA Shepherd (Eds.), </w:t>
      </w:r>
      <w:r w:rsidRPr="00E6043D">
        <w:rPr>
          <w:i/>
          <w:noProof/>
          <w:sz w:val="20"/>
          <w:lang w:val="x-none"/>
        </w:rPr>
        <w:t>Biology of Seagrasses: A treatise on the biology of seagrasses with special reference to the Australian region</w:t>
      </w:r>
      <w:r w:rsidRPr="00E6043D">
        <w:rPr>
          <w:noProof/>
          <w:sz w:val="20"/>
          <w:lang w:val="x-none"/>
        </w:rPr>
        <w:t xml:space="preserve"> (pp. 610-634). New York: Elsevier.</w:t>
      </w:r>
      <w:bookmarkEnd w:id="761"/>
    </w:p>
    <w:p w:rsidR="00E6043D" w:rsidRPr="00E6043D" w:rsidRDefault="00E6043D" w:rsidP="00E6043D">
      <w:pPr>
        <w:spacing w:after="0"/>
        <w:ind w:left="720" w:hanging="720"/>
        <w:rPr>
          <w:noProof/>
          <w:sz w:val="20"/>
          <w:lang w:val="x-none"/>
        </w:rPr>
      </w:pPr>
      <w:bookmarkStart w:id="762" w:name="_ENREF_138"/>
      <w:r w:rsidRPr="00E6043D">
        <w:rPr>
          <w:noProof/>
          <w:sz w:val="20"/>
          <w:lang w:val="x-none"/>
        </w:rPr>
        <w:t xml:space="preserve">Larcombe, P., Ridd, P.V., Prytz, A., and Wilson, B. 1995, Factors controlling suspended sediment on inner-shelf coral reefs, Townsville, Australia. </w:t>
      </w:r>
      <w:r w:rsidRPr="00E6043D">
        <w:rPr>
          <w:i/>
          <w:noProof/>
          <w:sz w:val="20"/>
          <w:lang w:val="x-none"/>
        </w:rPr>
        <w:t>Coral Reefs, 14</w:t>
      </w:r>
      <w:r w:rsidRPr="00E6043D">
        <w:rPr>
          <w:noProof/>
          <w:sz w:val="20"/>
          <w:lang w:val="x-none"/>
        </w:rPr>
        <w:t>(3), 163-171. doi: 10.1007/bf00367235</w:t>
      </w:r>
      <w:bookmarkEnd w:id="762"/>
    </w:p>
    <w:p w:rsidR="00E6043D" w:rsidRPr="00E6043D" w:rsidRDefault="00E6043D" w:rsidP="00E6043D">
      <w:pPr>
        <w:spacing w:after="0"/>
        <w:ind w:left="720" w:hanging="720"/>
        <w:rPr>
          <w:noProof/>
          <w:sz w:val="20"/>
          <w:lang w:val="x-none"/>
        </w:rPr>
      </w:pPr>
      <w:bookmarkStart w:id="763" w:name="_ENREF_139"/>
      <w:r w:rsidRPr="00E6043D">
        <w:rPr>
          <w:noProof/>
          <w:sz w:val="20"/>
          <w:lang w:val="x-none"/>
        </w:rPr>
        <w:t xml:space="preserve">Lavery, P.S., Mateo, M.-Á., Serrano, O., and Rozaimi, M. 2013, Variability in the Carbon Storage of Seagrass Habitats and Its Implications for Global Estimates of Blue Carbon Ecosystem Service. </w:t>
      </w:r>
      <w:r w:rsidRPr="00E6043D">
        <w:rPr>
          <w:i/>
          <w:noProof/>
          <w:sz w:val="20"/>
          <w:lang w:val="x-none"/>
        </w:rPr>
        <w:t>Plos One, 8</w:t>
      </w:r>
      <w:r w:rsidRPr="00E6043D">
        <w:rPr>
          <w:noProof/>
          <w:sz w:val="20"/>
          <w:lang w:val="x-none"/>
        </w:rPr>
        <w:t>(9), e73748. doi: 10.1371/journal.pone.0073748</w:t>
      </w:r>
      <w:bookmarkEnd w:id="763"/>
    </w:p>
    <w:p w:rsidR="00E6043D" w:rsidRPr="00E6043D" w:rsidRDefault="00E6043D" w:rsidP="00E6043D">
      <w:pPr>
        <w:spacing w:after="0"/>
        <w:ind w:left="720" w:hanging="720"/>
        <w:rPr>
          <w:noProof/>
          <w:sz w:val="20"/>
          <w:lang w:val="x-none"/>
        </w:rPr>
      </w:pPr>
      <w:bookmarkStart w:id="764" w:name="_ENREF_140"/>
      <w:r w:rsidRPr="00E6043D">
        <w:rPr>
          <w:noProof/>
          <w:sz w:val="20"/>
          <w:lang w:val="x-none"/>
        </w:rPr>
        <w:t xml:space="preserve">Lee, K.-S., Park, S.R., and Kim, Y.K. 2007, Effects of irradiance, temperature, and nutrients on growth dynamics of seagrasses: A review. </w:t>
      </w:r>
      <w:r w:rsidRPr="00E6043D">
        <w:rPr>
          <w:i/>
          <w:noProof/>
          <w:sz w:val="20"/>
          <w:lang w:val="x-none"/>
        </w:rPr>
        <w:t>Journal of Experimental Marine Biology and Ecology, 350</w:t>
      </w:r>
      <w:r w:rsidRPr="00E6043D">
        <w:rPr>
          <w:noProof/>
          <w:sz w:val="20"/>
          <w:lang w:val="x-none"/>
        </w:rPr>
        <w:t xml:space="preserve">, 144–175. </w:t>
      </w:r>
      <w:bookmarkEnd w:id="764"/>
    </w:p>
    <w:p w:rsidR="00E6043D" w:rsidRPr="00E6043D" w:rsidRDefault="00E6043D" w:rsidP="00E6043D">
      <w:pPr>
        <w:spacing w:after="0"/>
        <w:ind w:left="720" w:hanging="720"/>
        <w:rPr>
          <w:noProof/>
          <w:sz w:val="20"/>
          <w:lang w:val="x-none"/>
        </w:rPr>
      </w:pPr>
      <w:bookmarkStart w:id="765" w:name="_ENREF_141"/>
      <w:r w:rsidRPr="00E6043D">
        <w:rPr>
          <w:noProof/>
          <w:sz w:val="20"/>
          <w:lang w:val="x-none"/>
        </w:rPr>
        <w:t xml:space="preserve">Lee Long, W.J., Coles, R.G., and McKenzie, L.J. (1996a). Deepwater seagrasses in northeastern Australia - how deep, how meaningful? In J Kuo, RC Phillips, DI Walker &amp; H Kirkman (Eds.), </w:t>
      </w:r>
      <w:r w:rsidRPr="00E6043D">
        <w:rPr>
          <w:i/>
          <w:noProof/>
          <w:sz w:val="20"/>
          <w:lang w:val="x-none"/>
        </w:rPr>
        <w:t>Seagrass Biology: Proceedings of an International Workshop, Rottnest Island, Western Australia 25-29 January, 1996</w:t>
      </w:r>
      <w:r w:rsidRPr="00E6043D">
        <w:rPr>
          <w:noProof/>
          <w:sz w:val="20"/>
          <w:lang w:val="x-none"/>
        </w:rPr>
        <w:t xml:space="preserve"> (pp. 41-50). Perth: Faculty of Sceinces, The University of Western Australia.</w:t>
      </w:r>
      <w:bookmarkEnd w:id="765"/>
    </w:p>
    <w:p w:rsidR="00E6043D" w:rsidRPr="00E6043D" w:rsidRDefault="00E6043D" w:rsidP="00E6043D">
      <w:pPr>
        <w:spacing w:after="0"/>
        <w:ind w:left="720" w:hanging="720"/>
        <w:rPr>
          <w:noProof/>
          <w:sz w:val="20"/>
          <w:lang w:val="x-none"/>
        </w:rPr>
      </w:pPr>
      <w:bookmarkStart w:id="766" w:name="_ENREF_142"/>
      <w:r w:rsidRPr="00E6043D">
        <w:rPr>
          <w:noProof/>
          <w:sz w:val="20"/>
          <w:lang w:val="x-none"/>
        </w:rPr>
        <w:t xml:space="preserve">Lee Long, W.J., Coles, R.G., and McKenzie, L.J. 2000, Issues for Seagrass conservation management in Queensland. </w:t>
      </w:r>
      <w:r w:rsidRPr="00E6043D">
        <w:rPr>
          <w:i/>
          <w:noProof/>
          <w:sz w:val="20"/>
          <w:lang w:val="x-none"/>
        </w:rPr>
        <w:t>Pacific Conservation Biology, 5</w:t>
      </w:r>
      <w:r w:rsidRPr="00E6043D">
        <w:rPr>
          <w:noProof/>
          <w:sz w:val="20"/>
          <w:lang w:val="x-none"/>
        </w:rPr>
        <w:t xml:space="preserve">(4), 321-328. </w:t>
      </w:r>
      <w:bookmarkEnd w:id="766"/>
    </w:p>
    <w:p w:rsidR="00E6043D" w:rsidRPr="00E6043D" w:rsidRDefault="00E6043D" w:rsidP="00E6043D">
      <w:pPr>
        <w:spacing w:after="0"/>
        <w:ind w:left="720" w:hanging="720"/>
        <w:rPr>
          <w:noProof/>
          <w:sz w:val="20"/>
          <w:lang w:val="x-none"/>
        </w:rPr>
      </w:pPr>
      <w:bookmarkStart w:id="767" w:name="_ENREF_143"/>
      <w:r w:rsidRPr="00E6043D">
        <w:rPr>
          <w:noProof/>
          <w:sz w:val="20"/>
          <w:lang w:val="x-none"/>
        </w:rPr>
        <w:t xml:space="preserve">Lee Long, W.J., Coles, R.G., Miller, K.J., Vidler, K.P., and Derbyshire, K.J. (1992). </w:t>
      </w:r>
      <w:r w:rsidRPr="00E6043D">
        <w:rPr>
          <w:i/>
          <w:noProof/>
          <w:sz w:val="20"/>
          <w:lang w:val="x-none"/>
        </w:rPr>
        <w:t>Seagrass beds and juvenile prawn and fish nursery grounds: Water Park Point to Hervey Bay, Queensland</w:t>
      </w:r>
      <w:r w:rsidRPr="00E6043D">
        <w:rPr>
          <w:noProof/>
          <w:sz w:val="20"/>
          <w:lang w:val="x-none"/>
        </w:rPr>
        <w:t>. Brisbane: Queensland Department of Primary Industries.</w:t>
      </w:r>
      <w:bookmarkEnd w:id="767"/>
    </w:p>
    <w:p w:rsidR="00E6043D" w:rsidRPr="00E6043D" w:rsidRDefault="00E6043D" w:rsidP="00E6043D">
      <w:pPr>
        <w:spacing w:after="0"/>
        <w:ind w:left="720" w:hanging="720"/>
        <w:rPr>
          <w:noProof/>
          <w:sz w:val="20"/>
          <w:lang w:val="x-none"/>
        </w:rPr>
      </w:pPr>
      <w:bookmarkStart w:id="768" w:name="_ENREF_144"/>
      <w:r w:rsidRPr="00E6043D">
        <w:rPr>
          <w:noProof/>
          <w:sz w:val="20"/>
          <w:lang w:val="x-none"/>
        </w:rPr>
        <w:t xml:space="preserve">Lee Long, W.J., McKenzie, L.J., and Coles, R.G. (1996b). </w:t>
      </w:r>
      <w:r w:rsidRPr="00E6043D">
        <w:rPr>
          <w:i/>
          <w:noProof/>
          <w:sz w:val="20"/>
          <w:lang w:val="x-none"/>
        </w:rPr>
        <w:t>Distribution of seagrasses in Shoalwater Bay, Queensland - September 1995</w:t>
      </w:r>
      <w:r w:rsidRPr="00E6043D">
        <w:rPr>
          <w:noProof/>
          <w:sz w:val="20"/>
          <w:lang w:val="x-none"/>
        </w:rPr>
        <w:t>. Cairns: QDPI: NFC.</w:t>
      </w:r>
      <w:bookmarkEnd w:id="768"/>
    </w:p>
    <w:p w:rsidR="00E6043D" w:rsidRPr="00E6043D" w:rsidRDefault="00E6043D" w:rsidP="00E6043D">
      <w:pPr>
        <w:spacing w:after="0"/>
        <w:ind w:left="720" w:hanging="720"/>
        <w:rPr>
          <w:noProof/>
          <w:sz w:val="20"/>
          <w:lang w:val="x-none"/>
        </w:rPr>
      </w:pPr>
      <w:bookmarkStart w:id="769" w:name="_ENREF_145"/>
      <w:r w:rsidRPr="00E6043D">
        <w:rPr>
          <w:noProof/>
          <w:sz w:val="20"/>
          <w:lang w:val="x-none"/>
        </w:rPr>
        <w:t xml:space="preserve">Lee Long, W.J., McKenzie, L.J., and Coles, R.G. 1997, Seagrass Communities in the Shoalwater Bay Region, Queensland; Spring (September) 1995 &amp; Autumn (April) 1996. [Information Series]. </w:t>
      </w:r>
      <w:r w:rsidRPr="00E6043D">
        <w:rPr>
          <w:i/>
          <w:noProof/>
          <w:sz w:val="20"/>
          <w:lang w:val="x-none"/>
        </w:rPr>
        <w:t>Queensland Department of Primary Industries Information Series QI96042</w:t>
      </w:r>
      <w:r w:rsidRPr="00E6043D">
        <w:rPr>
          <w:noProof/>
          <w:sz w:val="20"/>
          <w:lang w:val="x-none"/>
        </w:rPr>
        <w:t xml:space="preserve">, 38. </w:t>
      </w:r>
      <w:bookmarkEnd w:id="769"/>
    </w:p>
    <w:p w:rsidR="00E6043D" w:rsidRPr="00E6043D" w:rsidRDefault="00E6043D" w:rsidP="00E6043D">
      <w:pPr>
        <w:spacing w:after="0"/>
        <w:ind w:left="720" w:hanging="720"/>
        <w:rPr>
          <w:noProof/>
          <w:sz w:val="20"/>
          <w:lang w:val="x-none"/>
        </w:rPr>
      </w:pPr>
      <w:bookmarkStart w:id="770" w:name="_ENREF_146"/>
      <w:r w:rsidRPr="00E6043D">
        <w:rPr>
          <w:noProof/>
          <w:sz w:val="20"/>
          <w:lang w:val="x-none"/>
        </w:rPr>
        <w:t xml:space="preserve">Lee Long, W.J., McKenzie, L.J., Roelofs, A.J., Makey, L.J., Coles, R.G., and C.A., R. 1998, Baseline Survey of Hinchinbrook Region Seagrasses - October (Spring) 1996. Research publication No. 51. 26. </w:t>
      </w:r>
      <w:bookmarkEnd w:id="770"/>
    </w:p>
    <w:p w:rsidR="00E6043D" w:rsidRPr="00E6043D" w:rsidRDefault="00E6043D" w:rsidP="00E6043D">
      <w:pPr>
        <w:spacing w:after="0"/>
        <w:ind w:left="720" w:hanging="720"/>
        <w:rPr>
          <w:noProof/>
          <w:sz w:val="20"/>
          <w:lang w:val="x-none"/>
        </w:rPr>
      </w:pPr>
      <w:bookmarkStart w:id="771" w:name="_ENREF_147"/>
      <w:r w:rsidRPr="00E6043D">
        <w:rPr>
          <w:noProof/>
          <w:sz w:val="20"/>
          <w:lang w:val="x-none"/>
        </w:rPr>
        <w:t xml:space="preserve">Lee Long, W.J., Mellors, J.E., and Coles, R.G. 1993, Seagrasses between Cape York and Hervey Bay, Queensland, Australia. </w:t>
      </w:r>
      <w:r w:rsidRPr="00E6043D">
        <w:rPr>
          <w:i/>
          <w:noProof/>
          <w:sz w:val="20"/>
          <w:lang w:val="x-none"/>
        </w:rPr>
        <w:t>Australian Journal of Marine and Freshwater Research, 44</w:t>
      </w:r>
      <w:r w:rsidRPr="00E6043D">
        <w:rPr>
          <w:noProof/>
          <w:sz w:val="20"/>
          <w:lang w:val="x-none"/>
        </w:rPr>
        <w:t xml:space="preserve">, 19-32. </w:t>
      </w:r>
      <w:bookmarkEnd w:id="771"/>
    </w:p>
    <w:p w:rsidR="00E6043D" w:rsidRPr="00E6043D" w:rsidRDefault="00E6043D" w:rsidP="00E6043D">
      <w:pPr>
        <w:spacing w:after="0"/>
        <w:ind w:left="720" w:hanging="720"/>
        <w:rPr>
          <w:noProof/>
          <w:sz w:val="20"/>
          <w:lang w:val="x-none"/>
        </w:rPr>
      </w:pPr>
      <w:bookmarkStart w:id="772" w:name="_ENREF_148"/>
      <w:r w:rsidRPr="00E6043D">
        <w:rPr>
          <w:noProof/>
          <w:sz w:val="20"/>
          <w:lang w:val="x-none"/>
        </w:rPr>
        <w:lastRenderedPageBreak/>
        <w:t xml:space="preserve">Les, D.H., Cleland, M.A., and Waycott, M. 1997, Phylogenetic studies in Alismatidae, II: evolution of marine angiosperms (seagrasses) and hydrophily. </w:t>
      </w:r>
      <w:r w:rsidRPr="00E6043D">
        <w:rPr>
          <w:i/>
          <w:noProof/>
          <w:sz w:val="20"/>
          <w:lang w:val="x-none"/>
        </w:rPr>
        <w:t>Systematic Botany, 22</w:t>
      </w:r>
      <w:r w:rsidRPr="00E6043D">
        <w:rPr>
          <w:noProof/>
          <w:sz w:val="20"/>
          <w:lang w:val="x-none"/>
        </w:rPr>
        <w:t xml:space="preserve">(3), 443-463. </w:t>
      </w:r>
      <w:bookmarkEnd w:id="772"/>
    </w:p>
    <w:p w:rsidR="00E6043D" w:rsidRPr="00E6043D" w:rsidRDefault="00E6043D" w:rsidP="00E6043D">
      <w:pPr>
        <w:spacing w:after="0"/>
        <w:ind w:left="720" w:hanging="720"/>
        <w:rPr>
          <w:noProof/>
          <w:sz w:val="20"/>
          <w:lang w:val="x-none"/>
        </w:rPr>
      </w:pPr>
      <w:bookmarkStart w:id="773" w:name="_ENREF_149"/>
      <w:r w:rsidRPr="00E6043D">
        <w:rPr>
          <w:noProof/>
          <w:sz w:val="20"/>
          <w:lang w:val="x-none"/>
        </w:rPr>
        <w:t xml:space="preserve">Limpus, C.J., Limpus, D.J., Arthur, K.E., and Parmenter, C.J. (2005). </w:t>
      </w:r>
      <w:r w:rsidRPr="00E6043D">
        <w:rPr>
          <w:i/>
          <w:noProof/>
          <w:sz w:val="20"/>
          <w:lang w:val="x-none"/>
        </w:rPr>
        <w:t xml:space="preserve">Monitoring Green Turtle Population Dynamics in Shoalwater Bay:2000 - 2004. GBRMPA Research Publication No 83 </w:t>
      </w:r>
      <w:r w:rsidRPr="00E6043D">
        <w:rPr>
          <w:noProof/>
          <w:sz w:val="20"/>
          <w:lang w:val="x-none"/>
        </w:rPr>
        <w:t>Townsville: Great Barrier Reef Marine Park Authority.</w:t>
      </w:r>
      <w:bookmarkEnd w:id="773"/>
    </w:p>
    <w:p w:rsidR="00E6043D" w:rsidRPr="00E6043D" w:rsidRDefault="00E6043D" w:rsidP="00E6043D">
      <w:pPr>
        <w:spacing w:after="0"/>
        <w:ind w:left="720" w:hanging="720"/>
        <w:rPr>
          <w:noProof/>
          <w:sz w:val="20"/>
          <w:lang w:val="x-none"/>
        </w:rPr>
      </w:pPr>
      <w:bookmarkStart w:id="774" w:name="_ENREF_150"/>
      <w:r w:rsidRPr="00E6043D">
        <w:rPr>
          <w:noProof/>
          <w:sz w:val="20"/>
          <w:lang w:val="x-none"/>
        </w:rPr>
        <w:t xml:space="preserve">Lobb, K.F. (2006). </w:t>
      </w:r>
      <w:r w:rsidRPr="00E6043D">
        <w:rPr>
          <w:i/>
          <w:noProof/>
          <w:sz w:val="20"/>
          <w:lang w:val="x-none"/>
        </w:rPr>
        <w:t>Broad scale coastal nutrient assessment of the inshore Great Barrier Reef using carbon and nitrogen in marine plants and sediments.</w:t>
      </w:r>
      <w:r w:rsidRPr="00E6043D">
        <w:rPr>
          <w:noProof/>
          <w:sz w:val="20"/>
          <w:lang w:val="x-none"/>
        </w:rPr>
        <w:t xml:space="preserve"> Bachelor of Science with Honours, The University of Queensland, Brisbane.   </w:t>
      </w:r>
      <w:bookmarkEnd w:id="774"/>
    </w:p>
    <w:p w:rsidR="00E6043D" w:rsidRPr="00E6043D" w:rsidRDefault="00E6043D" w:rsidP="00E6043D">
      <w:pPr>
        <w:spacing w:after="0"/>
        <w:ind w:left="720" w:hanging="720"/>
        <w:rPr>
          <w:noProof/>
          <w:sz w:val="20"/>
          <w:lang w:val="x-none"/>
        </w:rPr>
      </w:pPr>
      <w:bookmarkStart w:id="775" w:name="_ENREF_151"/>
      <w:r w:rsidRPr="00E6043D">
        <w:rPr>
          <w:noProof/>
          <w:sz w:val="20"/>
          <w:lang w:val="x-none"/>
        </w:rPr>
        <w:t xml:space="preserve">Lønborg, C., Devlin, M., Brinkman, R., Costello, P., da Silva, E., Davidson, J., Gunn, K., Logan, M., Petus, C., Schaffelke, B., Skuza, M., Tonin, H., Tracey, D., Wright, M., and Zagorskis, I. (2015). </w:t>
      </w:r>
      <w:r w:rsidRPr="00E6043D">
        <w:rPr>
          <w:i/>
          <w:noProof/>
          <w:sz w:val="20"/>
          <w:lang w:val="x-none"/>
        </w:rPr>
        <w:t>Reef Rescue Marine Monitoring Program. Annual Report of AIMS and JCU Activities 2014 to 2015– Inshore water quality monitoring. Report for the Great Barrier Reef Marine Park Authority.</w:t>
      </w:r>
      <w:r w:rsidRPr="00E6043D">
        <w:rPr>
          <w:noProof/>
          <w:sz w:val="20"/>
          <w:lang w:val="x-none"/>
        </w:rPr>
        <w:t xml:space="preserve"> Townsville: Australian Institute of Marine Science and JCU TropWATER.</w:t>
      </w:r>
      <w:bookmarkEnd w:id="775"/>
    </w:p>
    <w:p w:rsidR="00E6043D" w:rsidRPr="00E6043D" w:rsidRDefault="00E6043D" w:rsidP="00E6043D">
      <w:pPr>
        <w:spacing w:after="0"/>
        <w:ind w:left="720" w:hanging="720"/>
        <w:rPr>
          <w:noProof/>
          <w:sz w:val="20"/>
          <w:lang w:val="x-none"/>
        </w:rPr>
      </w:pPr>
      <w:bookmarkStart w:id="776" w:name="_ENREF_152"/>
      <w:r w:rsidRPr="00E6043D">
        <w:rPr>
          <w:noProof/>
          <w:sz w:val="20"/>
          <w:lang w:val="x-none"/>
        </w:rPr>
        <w:t xml:space="preserve">MacArthur, R.H., and Wilson, E.O. (1967). </w:t>
      </w:r>
      <w:r w:rsidRPr="00E6043D">
        <w:rPr>
          <w:i/>
          <w:noProof/>
          <w:sz w:val="20"/>
          <w:lang w:val="x-none"/>
        </w:rPr>
        <w:t>The theory of island biogeography</w:t>
      </w:r>
      <w:r w:rsidRPr="00E6043D">
        <w:rPr>
          <w:noProof/>
          <w:sz w:val="20"/>
          <w:lang w:val="x-none"/>
        </w:rPr>
        <w:t>. Princeton, NJ USA: Princeton University Press.</w:t>
      </w:r>
      <w:bookmarkEnd w:id="776"/>
    </w:p>
    <w:p w:rsidR="00E6043D" w:rsidRPr="00E6043D" w:rsidRDefault="00E6043D" w:rsidP="00E6043D">
      <w:pPr>
        <w:spacing w:after="0"/>
        <w:ind w:left="720" w:hanging="720"/>
        <w:rPr>
          <w:noProof/>
          <w:sz w:val="20"/>
          <w:lang w:val="x-none"/>
        </w:rPr>
      </w:pPr>
      <w:bookmarkStart w:id="777" w:name="_ENREF_153"/>
      <w:r w:rsidRPr="00E6043D">
        <w:rPr>
          <w:noProof/>
          <w:sz w:val="20"/>
          <w:lang w:val="x-none"/>
        </w:rPr>
        <w:t xml:space="preserve">Mackay Whitsunday Natural Resource Management Group Inc. (2005). Mackay Whitsunday Natural Resource Management Plan. </w:t>
      </w:r>
      <w:hyperlink r:id="rId179" w:history="1">
        <w:r w:rsidRPr="00E6043D">
          <w:rPr>
            <w:rStyle w:val="Hyperlink"/>
            <w:noProof/>
            <w:sz w:val="20"/>
            <w:lang w:val="x-none"/>
          </w:rPr>
          <w:t>http://nrmonline.nrm.gov.au/catalog/mql:2229</w:t>
        </w:r>
      </w:hyperlink>
      <w:r w:rsidRPr="00E6043D">
        <w:rPr>
          <w:noProof/>
          <w:sz w:val="20"/>
          <w:lang w:val="x-none"/>
        </w:rPr>
        <w:t xml:space="preserve">  Retrieved 18 February 2014</w:t>
      </w:r>
      <w:bookmarkEnd w:id="777"/>
    </w:p>
    <w:p w:rsidR="00E6043D" w:rsidRPr="00E6043D" w:rsidRDefault="00E6043D" w:rsidP="00E6043D">
      <w:pPr>
        <w:spacing w:after="0"/>
        <w:ind w:left="720" w:hanging="720"/>
        <w:rPr>
          <w:noProof/>
          <w:sz w:val="20"/>
          <w:lang w:val="x-none"/>
        </w:rPr>
      </w:pPr>
      <w:bookmarkStart w:id="778" w:name="_ENREF_154"/>
      <w:r w:rsidRPr="00E6043D">
        <w:rPr>
          <w:noProof/>
          <w:sz w:val="20"/>
          <w:lang w:val="x-none"/>
        </w:rPr>
        <w:t xml:space="preserve">Macreadie, P.I., Schliep, M.T., Rasheed, M.A., Chartrand, K.M., and Ralph, P.J. 2014, Molecular indicators of chronic seagrass stress: A new era in the management of seagrass ecosystems? </w:t>
      </w:r>
      <w:r w:rsidRPr="00E6043D">
        <w:rPr>
          <w:i/>
          <w:noProof/>
          <w:sz w:val="20"/>
          <w:lang w:val="x-none"/>
        </w:rPr>
        <w:t>Ecological Indicators, 38</w:t>
      </w:r>
      <w:r w:rsidRPr="00E6043D">
        <w:rPr>
          <w:noProof/>
          <w:sz w:val="20"/>
          <w:lang w:val="x-none"/>
        </w:rPr>
        <w:t xml:space="preserve">, 279-281. doi: </w:t>
      </w:r>
      <w:hyperlink r:id="rId180" w:history="1">
        <w:r w:rsidRPr="00E6043D">
          <w:rPr>
            <w:rStyle w:val="Hyperlink"/>
            <w:noProof/>
            <w:sz w:val="20"/>
            <w:lang w:val="x-none"/>
          </w:rPr>
          <w:t>http://dx.doi.org/10.1016/j.ecolind.2013.11.017</w:t>
        </w:r>
        <w:bookmarkEnd w:id="778"/>
      </w:hyperlink>
    </w:p>
    <w:p w:rsidR="00E6043D" w:rsidRPr="00E6043D" w:rsidRDefault="00E6043D" w:rsidP="00E6043D">
      <w:pPr>
        <w:spacing w:after="0"/>
        <w:ind w:left="720" w:hanging="720"/>
        <w:rPr>
          <w:noProof/>
          <w:sz w:val="20"/>
          <w:lang w:val="x-none"/>
        </w:rPr>
      </w:pPr>
      <w:bookmarkStart w:id="779" w:name="_ENREF_155"/>
      <w:r w:rsidRPr="00E6043D">
        <w:rPr>
          <w:noProof/>
          <w:sz w:val="20"/>
          <w:lang w:val="x-none"/>
        </w:rPr>
        <w:t xml:space="preserve">Marsh, H., O'Shea, T.J., and Reynolds III, J. (2011). </w:t>
      </w:r>
      <w:r w:rsidRPr="00E6043D">
        <w:rPr>
          <w:i/>
          <w:noProof/>
          <w:sz w:val="20"/>
          <w:lang w:val="x-none"/>
        </w:rPr>
        <w:t>Ecology and conservation of the sirenia: dugongs and manatees</w:t>
      </w:r>
      <w:r w:rsidRPr="00E6043D">
        <w:rPr>
          <w:noProof/>
          <w:sz w:val="20"/>
          <w:lang w:val="x-none"/>
        </w:rPr>
        <w:t>. New York: Cambridge University Press.</w:t>
      </w:r>
      <w:bookmarkEnd w:id="779"/>
    </w:p>
    <w:p w:rsidR="00E6043D" w:rsidRPr="00E6043D" w:rsidRDefault="00E6043D" w:rsidP="00E6043D">
      <w:pPr>
        <w:spacing w:after="0"/>
        <w:ind w:left="720" w:hanging="720"/>
        <w:rPr>
          <w:noProof/>
          <w:sz w:val="20"/>
          <w:lang w:val="x-none"/>
        </w:rPr>
      </w:pPr>
      <w:bookmarkStart w:id="780" w:name="_ENREF_156"/>
      <w:r w:rsidRPr="00E6043D">
        <w:rPr>
          <w:noProof/>
          <w:sz w:val="20"/>
          <w:lang w:val="x-none"/>
        </w:rPr>
        <w:t xml:space="preserve">Marsh, H.D., and R, L.I. (2002). </w:t>
      </w:r>
      <w:r w:rsidRPr="00E6043D">
        <w:rPr>
          <w:i/>
          <w:noProof/>
          <w:sz w:val="20"/>
          <w:lang w:val="x-none"/>
        </w:rPr>
        <w:t>Dugong distribution and abundance in the northern Great Barrier Reef Marine Park - November 2000. Research Publication No 77</w:t>
      </w:r>
      <w:r w:rsidRPr="00E6043D">
        <w:rPr>
          <w:noProof/>
          <w:sz w:val="20"/>
          <w:lang w:val="x-none"/>
        </w:rPr>
        <w:t>. Townsville: Great Barrier Reef Marine Park Authority.</w:t>
      </w:r>
      <w:bookmarkEnd w:id="780"/>
    </w:p>
    <w:p w:rsidR="00E6043D" w:rsidRPr="00E6043D" w:rsidRDefault="00E6043D" w:rsidP="00E6043D">
      <w:pPr>
        <w:spacing w:after="0"/>
        <w:ind w:left="720" w:hanging="720"/>
        <w:rPr>
          <w:noProof/>
          <w:sz w:val="20"/>
          <w:lang w:val="x-none"/>
        </w:rPr>
      </w:pPr>
      <w:bookmarkStart w:id="781" w:name="_ENREF_157"/>
      <w:r w:rsidRPr="00E6043D">
        <w:rPr>
          <w:noProof/>
          <w:sz w:val="20"/>
          <w:lang w:val="x-none"/>
        </w:rPr>
        <w:t xml:space="preserve">Maxwell, W.G.H. (1968). </w:t>
      </w:r>
      <w:r w:rsidRPr="00E6043D">
        <w:rPr>
          <w:i/>
          <w:noProof/>
          <w:sz w:val="20"/>
          <w:lang w:val="x-none"/>
        </w:rPr>
        <w:t>Atlas of the Great Barrier Reef</w:t>
      </w:r>
      <w:r w:rsidRPr="00E6043D">
        <w:rPr>
          <w:noProof/>
          <w:sz w:val="20"/>
          <w:lang w:val="x-none"/>
        </w:rPr>
        <w:t>. Amsterdam: Elsevier Publishing Company.</w:t>
      </w:r>
      <w:bookmarkEnd w:id="781"/>
    </w:p>
    <w:p w:rsidR="00E6043D" w:rsidRPr="00E6043D" w:rsidRDefault="00E6043D" w:rsidP="00E6043D">
      <w:pPr>
        <w:spacing w:after="0"/>
        <w:ind w:left="720" w:hanging="720"/>
        <w:rPr>
          <w:noProof/>
          <w:sz w:val="20"/>
          <w:lang w:val="x-none"/>
        </w:rPr>
      </w:pPr>
      <w:bookmarkStart w:id="782" w:name="_ENREF_158"/>
      <w:r w:rsidRPr="00E6043D">
        <w:rPr>
          <w:noProof/>
          <w:sz w:val="20"/>
          <w:lang w:val="x-none"/>
        </w:rPr>
        <w:t xml:space="preserve">McCulloch, M., Pailles, C., Moody, P., and Martin, C.E. 2003, Tracing the source of sediment and phosphorus into the Great Barrier Reef lagoon. </w:t>
      </w:r>
      <w:r w:rsidRPr="00E6043D">
        <w:rPr>
          <w:i/>
          <w:noProof/>
          <w:sz w:val="20"/>
          <w:lang w:val="x-none"/>
        </w:rPr>
        <w:t>Earth and Planetary Science Letters, 210</w:t>
      </w:r>
      <w:r w:rsidRPr="00E6043D">
        <w:rPr>
          <w:noProof/>
          <w:sz w:val="20"/>
          <w:lang w:val="x-none"/>
        </w:rPr>
        <w:t xml:space="preserve">, 249-258. </w:t>
      </w:r>
      <w:bookmarkEnd w:id="782"/>
    </w:p>
    <w:p w:rsidR="00E6043D" w:rsidRPr="00E6043D" w:rsidRDefault="00E6043D" w:rsidP="00E6043D">
      <w:pPr>
        <w:spacing w:after="0"/>
        <w:ind w:left="720" w:hanging="720"/>
        <w:rPr>
          <w:noProof/>
          <w:sz w:val="20"/>
          <w:lang w:val="x-none"/>
        </w:rPr>
      </w:pPr>
      <w:bookmarkStart w:id="783" w:name="_ENREF_159"/>
      <w:r w:rsidRPr="00E6043D">
        <w:rPr>
          <w:noProof/>
          <w:sz w:val="20"/>
          <w:lang w:val="x-none"/>
        </w:rPr>
        <w:t xml:space="preserve">McKenna, S., and Rasheed, M. (2015). </w:t>
      </w:r>
      <w:r w:rsidRPr="00E6043D">
        <w:rPr>
          <w:i/>
          <w:noProof/>
          <w:sz w:val="20"/>
          <w:lang w:val="x-none"/>
        </w:rPr>
        <w:t>Port of Hay Point &amp; Keswick Island Seagrass &amp; Benthic Habitat: baseline survey – 2014</w:t>
      </w:r>
      <w:r w:rsidRPr="00E6043D">
        <w:rPr>
          <w:noProof/>
          <w:sz w:val="20"/>
          <w:lang w:val="x-none"/>
        </w:rPr>
        <w:t>. Cairns: JCU Publication, Centre for Tropical Water &amp; Aquatic Ecosystem Research Publication.</w:t>
      </w:r>
      <w:bookmarkEnd w:id="783"/>
    </w:p>
    <w:p w:rsidR="00E6043D" w:rsidRPr="00E6043D" w:rsidRDefault="00E6043D" w:rsidP="00E6043D">
      <w:pPr>
        <w:spacing w:after="0"/>
        <w:ind w:left="720" w:hanging="720"/>
        <w:rPr>
          <w:noProof/>
          <w:sz w:val="20"/>
          <w:lang w:val="x-none"/>
        </w:rPr>
      </w:pPr>
      <w:bookmarkStart w:id="784" w:name="_ENREF_160"/>
      <w:r w:rsidRPr="00E6043D">
        <w:rPr>
          <w:noProof/>
          <w:sz w:val="20"/>
          <w:lang w:val="x-none"/>
        </w:rPr>
        <w:t xml:space="preserve">McKenna, S., Sozou, A., Scott, E., and Rasheed, M. (2015). </w:t>
      </w:r>
      <w:r w:rsidRPr="00E6043D">
        <w:rPr>
          <w:i/>
          <w:noProof/>
          <w:sz w:val="20"/>
          <w:lang w:val="x-none"/>
        </w:rPr>
        <w:t>Port of Abbot Point Long-Term Seagrass Monitoring: Annual Report 2013-2014</w:t>
      </w:r>
      <w:r w:rsidRPr="00E6043D">
        <w:rPr>
          <w:noProof/>
          <w:sz w:val="20"/>
          <w:lang w:val="x-none"/>
        </w:rPr>
        <w:t>. Cairns: JCU Publication, Centre for Tropical Water &amp; Aquatic Ecosystem Research.</w:t>
      </w:r>
      <w:bookmarkEnd w:id="784"/>
    </w:p>
    <w:p w:rsidR="00E6043D" w:rsidRPr="00E6043D" w:rsidRDefault="00E6043D" w:rsidP="00E6043D">
      <w:pPr>
        <w:spacing w:after="0"/>
        <w:ind w:left="720" w:hanging="720"/>
        <w:rPr>
          <w:noProof/>
          <w:sz w:val="20"/>
          <w:lang w:val="x-none"/>
        </w:rPr>
      </w:pPr>
      <w:bookmarkStart w:id="785" w:name="_ENREF_161"/>
      <w:r w:rsidRPr="00E6043D">
        <w:rPr>
          <w:noProof/>
          <w:sz w:val="20"/>
          <w:lang w:val="x-none"/>
        </w:rPr>
        <w:t xml:space="preserve">McKenzie, L., Waycott, M., Unsworth, R., and Collier, C. (2014a). Inshore seagrass monitoring. In Great Barrier Reef Marine Park Authority (Ed.), </w:t>
      </w:r>
      <w:r w:rsidRPr="00E6043D">
        <w:rPr>
          <w:i/>
          <w:noProof/>
          <w:sz w:val="20"/>
          <w:lang w:val="x-none"/>
        </w:rPr>
        <w:t>Reef rescue marine monitoring program quality assurance and quality control manual. 2013/14</w:t>
      </w:r>
      <w:r w:rsidRPr="00E6043D">
        <w:rPr>
          <w:noProof/>
          <w:sz w:val="20"/>
          <w:lang w:val="x-none"/>
        </w:rPr>
        <w:t xml:space="preserve"> (pp. 75-90). Townsville: GBRMPA.</w:t>
      </w:r>
      <w:bookmarkEnd w:id="785"/>
    </w:p>
    <w:p w:rsidR="00E6043D" w:rsidRPr="00E6043D" w:rsidRDefault="00E6043D" w:rsidP="00E6043D">
      <w:pPr>
        <w:spacing w:after="0"/>
        <w:ind w:left="720" w:hanging="720"/>
        <w:rPr>
          <w:noProof/>
          <w:sz w:val="20"/>
          <w:lang w:val="x-none"/>
        </w:rPr>
      </w:pPr>
      <w:bookmarkStart w:id="786" w:name="_ENREF_162"/>
      <w:r w:rsidRPr="00E6043D">
        <w:rPr>
          <w:noProof/>
          <w:sz w:val="20"/>
          <w:lang w:val="x-none"/>
        </w:rPr>
        <w:t xml:space="preserve">McKenzie, L.J. (2007). </w:t>
      </w:r>
      <w:r w:rsidRPr="00E6043D">
        <w:rPr>
          <w:i/>
          <w:noProof/>
          <w:sz w:val="20"/>
          <w:lang w:val="x-none"/>
        </w:rPr>
        <w:t>Relationships between seagrass communities and sediment properties along the Queensland coast. Progress report to the Marine and Tropical Sciences Research Facility</w:t>
      </w:r>
      <w:r w:rsidRPr="00E6043D">
        <w:rPr>
          <w:noProof/>
          <w:sz w:val="20"/>
          <w:lang w:val="x-none"/>
        </w:rPr>
        <w:t>. Cairns Reef and Rainforest Research Centre Ltd.</w:t>
      </w:r>
      <w:bookmarkEnd w:id="786"/>
    </w:p>
    <w:p w:rsidR="00E6043D" w:rsidRPr="00E6043D" w:rsidRDefault="00E6043D" w:rsidP="00E6043D">
      <w:pPr>
        <w:spacing w:after="0"/>
        <w:ind w:left="720" w:hanging="720"/>
        <w:rPr>
          <w:noProof/>
          <w:sz w:val="20"/>
          <w:lang w:val="x-none"/>
        </w:rPr>
      </w:pPr>
      <w:bookmarkStart w:id="787" w:name="_ENREF_163"/>
      <w:r w:rsidRPr="00E6043D">
        <w:rPr>
          <w:noProof/>
          <w:sz w:val="20"/>
          <w:lang w:val="x-none"/>
        </w:rPr>
        <w:t xml:space="preserve">McKenzie, L.J. (2008). </w:t>
      </w:r>
      <w:r w:rsidRPr="00E6043D">
        <w:rPr>
          <w:i/>
          <w:noProof/>
          <w:sz w:val="20"/>
          <w:lang w:val="x-none"/>
        </w:rPr>
        <w:t>Relationships between seagrass communities and epiphyte assemblages along the Queensland coast. Marine and Tropical Sciences Research Facility Milestone Report, Project 3.7.1c Progress Report #3, 11th June 2008</w:t>
      </w:r>
      <w:r w:rsidRPr="00E6043D">
        <w:rPr>
          <w:noProof/>
          <w:sz w:val="20"/>
          <w:lang w:val="x-none"/>
        </w:rPr>
        <w:t>. Cairns: RRRC.</w:t>
      </w:r>
      <w:bookmarkEnd w:id="787"/>
    </w:p>
    <w:p w:rsidR="00E6043D" w:rsidRPr="00E6043D" w:rsidRDefault="00E6043D" w:rsidP="00E6043D">
      <w:pPr>
        <w:spacing w:after="0"/>
        <w:ind w:left="720" w:hanging="720"/>
        <w:rPr>
          <w:noProof/>
          <w:sz w:val="20"/>
          <w:lang w:val="x-none"/>
        </w:rPr>
      </w:pPr>
      <w:bookmarkStart w:id="788" w:name="_ENREF_164"/>
      <w:r w:rsidRPr="00E6043D">
        <w:rPr>
          <w:noProof/>
          <w:sz w:val="20"/>
          <w:lang w:val="x-none"/>
        </w:rPr>
        <w:t xml:space="preserve">McKenzie, L.J. (2009). Observing change in seagrass habitats of the GBR– Seagrass-Watch monitoring: Deriving seagrass abundance indicators for regional habitat guidelines,. In LJ McKenzie &amp; M Waycott (Eds.), </w:t>
      </w:r>
      <w:r w:rsidRPr="00E6043D">
        <w:rPr>
          <w:i/>
          <w:noProof/>
          <w:sz w:val="20"/>
          <w:lang w:val="x-none"/>
        </w:rPr>
        <w:t xml:space="preserve">Marine and Tropical Sciences Research Facility Milestone and Progress Report #3, 2008-2009 (ARP 3) Project 1.1.3 Report 3, 11th June 2000. </w:t>
      </w:r>
      <w:hyperlink r:id="rId181" w:history="1">
        <w:r w:rsidRPr="00E6043D">
          <w:rPr>
            <w:rStyle w:val="Hyperlink"/>
            <w:i/>
            <w:noProof/>
            <w:sz w:val="20"/>
            <w:lang w:val="x-none"/>
          </w:rPr>
          <w:t>http://www.rrrc.org.au/publications/downloads/113-QDPIF-McKenzie-L-2009-June-Milestone-Report.pdf</w:t>
        </w:r>
      </w:hyperlink>
      <w:r w:rsidRPr="00E6043D">
        <w:rPr>
          <w:i/>
          <w:noProof/>
          <w:sz w:val="20"/>
          <w:lang w:val="x-none"/>
        </w:rPr>
        <w:t xml:space="preserve">  accessed 27 August 2010.</w:t>
      </w:r>
      <w:r w:rsidRPr="00E6043D">
        <w:rPr>
          <w:noProof/>
          <w:sz w:val="20"/>
          <w:lang w:val="x-none"/>
        </w:rPr>
        <w:t xml:space="preserve"> (pp. 7-1). Cairns: RRRC.</w:t>
      </w:r>
      <w:bookmarkEnd w:id="788"/>
    </w:p>
    <w:p w:rsidR="00E6043D" w:rsidRPr="00E6043D" w:rsidRDefault="00E6043D" w:rsidP="00E6043D">
      <w:pPr>
        <w:spacing w:after="0"/>
        <w:ind w:left="720" w:hanging="720"/>
        <w:rPr>
          <w:noProof/>
          <w:sz w:val="20"/>
          <w:lang w:val="x-none"/>
        </w:rPr>
      </w:pPr>
      <w:bookmarkStart w:id="789" w:name="_ENREF_165"/>
      <w:r w:rsidRPr="00E6043D">
        <w:rPr>
          <w:noProof/>
          <w:sz w:val="20"/>
          <w:lang w:val="x-none"/>
        </w:rPr>
        <w:lastRenderedPageBreak/>
        <w:t xml:space="preserve">McKenzie, L.J., Campbell, S.J., and Roder, C.A. (2003). </w:t>
      </w:r>
      <w:r w:rsidRPr="00E6043D">
        <w:rPr>
          <w:i/>
          <w:noProof/>
          <w:sz w:val="20"/>
          <w:lang w:val="x-none"/>
        </w:rPr>
        <w:t>Seagrass-Watch: Manual for Mapping &amp; Monitoring Seagrass Resources</w:t>
      </w:r>
      <w:r w:rsidRPr="00E6043D">
        <w:rPr>
          <w:noProof/>
          <w:sz w:val="20"/>
          <w:lang w:val="x-none"/>
        </w:rPr>
        <w:t xml:space="preserve"> (2nd ed.). Cairns: QFS, NFC.</w:t>
      </w:r>
      <w:bookmarkEnd w:id="789"/>
    </w:p>
    <w:p w:rsidR="00E6043D" w:rsidRPr="00E6043D" w:rsidRDefault="00E6043D" w:rsidP="00E6043D">
      <w:pPr>
        <w:spacing w:after="0"/>
        <w:ind w:left="720" w:hanging="720"/>
        <w:rPr>
          <w:noProof/>
          <w:sz w:val="20"/>
          <w:lang w:val="x-none"/>
        </w:rPr>
      </w:pPr>
      <w:bookmarkStart w:id="790" w:name="_ENREF_166"/>
      <w:r w:rsidRPr="00E6043D">
        <w:rPr>
          <w:noProof/>
          <w:sz w:val="20"/>
          <w:lang w:val="x-none"/>
        </w:rPr>
        <w:t xml:space="preserve">McKenzie, L.J., Collier, C., Langlois, L., Yoshida, R., Smith, N., and Waycott, M. (2015). </w:t>
      </w:r>
      <w:r w:rsidRPr="00E6043D">
        <w:rPr>
          <w:i/>
          <w:noProof/>
          <w:sz w:val="20"/>
          <w:lang w:val="x-none"/>
        </w:rPr>
        <w:t>Reef Rescue Marine Monitoring Program - Inshore Seagrass, Annual Report for the sampling period 1st June 2013 – 31st May 2014</w:t>
      </w:r>
      <w:r w:rsidRPr="00E6043D">
        <w:rPr>
          <w:noProof/>
          <w:sz w:val="20"/>
          <w:lang w:val="x-none"/>
        </w:rPr>
        <w:t>. Cairns: TropWATER, James Cook University.</w:t>
      </w:r>
      <w:bookmarkEnd w:id="790"/>
    </w:p>
    <w:p w:rsidR="00E6043D" w:rsidRPr="00E6043D" w:rsidRDefault="00E6043D" w:rsidP="00E6043D">
      <w:pPr>
        <w:spacing w:after="0"/>
        <w:ind w:left="720" w:hanging="720"/>
        <w:rPr>
          <w:noProof/>
          <w:sz w:val="20"/>
          <w:lang w:val="x-none"/>
        </w:rPr>
      </w:pPr>
      <w:bookmarkStart w:id="791" w:name="_ENREF_167"/>
      <w:r w:rsidRPr="00E6043D">
        <w:rPr>
          <w:noProof/>
          <w:sz w:val="20"/>
          <w:lang w:val="x-none"/>
        </w:rPr>
        <w:t xml:space="preserve">McKenzie, L.J., Collier, C., and Waycott, M. (2013). </w:t>
      </w:r>
      <w:r w:rsidRPr="00E6043D">
        <w:rPr>
          <w:i/>
          <w:noProof/>
          <w:sz w:val="20"/>
          <w:lang w:val="x-none"/>
        </w:rPr>
        <w:t>Reef Rescue Marine Monitoring Program - Inshore Seagrass, Annual Report for the sampling period 1st July 2011 – 31st May 2012</w:t>
      </w:r>
      <w:r w:rsidRPr="00E6043D">
        <w:rPr>
          <w:noProof/>
          <w:sz w:val="20"/>
          <w:lang w:val="x-none"/>
        </w:rPr>
        <w:t>. Cairns: TropWATER, James Cook University.</w:t>
      </w:r>
      <w:bookmarkEnd w:id="791"/>
    </w:p>
    <w:p w:rsidR="00E6043D" w:rsidRPr="00E6043D" w:rsidRDefault="00E6043D" w:rsidP="00E6043D">
      <w:pPr>
        <w:spacing w:after="0"/>
        <w:ind w:left="720" w:hanging="720"/>
        <w:rPr>
          <w:noProof/>
          <w:sz w:val="20"/>
          <w:lang w:val="x-none"/>
        </w:rPr>
      </w:pPr>
      <w:bookmarkStart w:id="792" w:name="_ENREF_168"/>
      <w:r w:rsidRPr="00E6043D">
        <w:rPr>
          <w:noProof/>
          <w:sz w:val="20"/>
          <w:lang w:val="x-none"/>
        </w:rPr>
        <w:t xml:space="preserve">McKenzie, L.J., Collier, C., Waycott, M., Unsworth, R., Yoshida, R., and Smith, N. (2012a). Monitoring inshore seagrasses of the GBR and responses to water quality. In D Yellowlees &amp; TP Hughes (Eds.), </w:t>
      </w:r>
      <w:r w:rsidRPr="00E6043D">
        <w:rPr>
          <w:i/>
          <w:noProof/>
          <w:sz w:val="20"/>
          <w:lang w:val="x-none"/>
        </w:rPr>
        <w:t>Proceedings of the 12th International Coral Reef Symposium, Cairns, Australia, 9-13 July 2012. Mini-Symposium 15b – Seagrasses and seagrass ecosystems</w:t>
      </w:r>
      <w:r w:rsidRPr="00E6043D">
        <w:rPr>
          <w:noProof/>
          <w:sz w:val="20"/>
          <w:lang w:val="x-none"/>
        </w:rPr>
        <w:t xml:space="preserve"> (pp. 5). Townsville, Queensland: James Cook University.</w:t>
      </w:r>
      <w:bookmarkEnd w:id="792"/>
    </w:p>
    <w:p w:rsidR="00E6043D" w:rsidRPr="00E6043D" w:rsidRDefault="00E6043D" w:rsidP="00E6043D">
      <w:pPr>
        <w:spacing w:after="0"/>
        <w:ind w:left="720" w:hanging="720"/>
        <w:rPr>
          <w:noProof/>
          <w:sz w:val="20"/>
          <w:lang w:val="x-none"/>
        </w:rPr>
      </w:pPr>
      <w:bookmarkStart w:id="793" w:name="_ENREF_169"/>
      <w:r w:rsidRPr="00E6043D">
        <w:rPr>
          <w:noProof/>
          <w:sz w:val="20"/>
          <w:lang w:val="x-none"/>
        </w:rPr>
        <w:t xml:space="preserve">McKenzie, L.J., Collier, C.J., and Waycott, M. 2012b, Reef Rescue Marine Monitoring Program: Inshore seagrass, annual report for the sampling period 1st September 2010-31st May 2011. 230pp. </w:t>
      </w:r>
      <w:bookmarkEnd w:id="793"/>
    </w:p>
    <w:p w:rsidR="00E6043D" w:rsidRPr="00E6043D" w:rsidRDefault="00E6043D" w:rsidP="00E6043D">
      <w:pPr>
        <w:spacing w:after="0"/>
        <w:ind w:left="720" w:hanging="720"/>
        <w:rPr>
          <w:noProof/>
          <w:sz w:val="20"/>
          <w:lang w:val="x-none"/>
        </w:rPr>
      </w:pPr>
      <w:bookmarkStart w:id="794" w:name="_ENREF_170"/>
      <w:r w:rsidRPr="00E6043D">
        <w:rPr>
          <w:noProof/>
          <w:sz w:val="20"/>
          <w:lang w:val="x-none"/>
        </w:rPr>
        <w:t xml:space="preserve">McKenzie, L.J., Finkbeiner, M.A., and Kirkman, H. (2001). Methods for mapping seagrass distribution. In FT Short &amp; RG Coles (Eds.), </w:t>
      </w:r>
      <w:r w:rsidRPr="00E6043D">
        <w:rPr>
          <w:i/>
          <w:noProof/>
          <w:sz w:val="20"/>
          <w:lang w:val="x-none"/>
        </w:rPr>
        <w:t>Global Seagrass Research Methods</w:t>
      </w:r>
      <w:r w:rsidRPr="00E6043D">
        <w:rPr>
          <w:noProof/>
          <w:sz w:val="20"/>
          <w:lang w:val="x-none"/>
        </w:rPr>
        <w:t xml:space="preserve"> (pp. 101-121). Amsterdam: Elsevier Science B.V.</w:t>
      </w:r>
      <w:bookmarkEnd w:id="794"/>
    </w:p>
    <w:p w:rsidR="00E6043D" w:rsidRPr="00E6043D" w:rsidRDefault="00E6043D" w:rsidP="00E6043D">
      <w:pPr>
        <w:spacing w:after="0"/>
        <w:ind w:left="720" w:hanging="720"/>
        <w:rPr>
          <w:noProof/>
          <w:sz w:val="20"/>
          <w:lang w:val="x-none"/>
        </w:rPr>
      </w:pPr>
      <w:bookmarkStart w:id="795" w:name="_ENREF_171"/>
      <w:r w:rsidRPr="00E6043D">
        <w:rPr>
          <w:noProof/>
          <w:sz w:val="20"/>
          <w:lang w:val="x-none"/>
        </w:rPr>
        <w:t xml:space="preserve">McKenzie, L.J., Lee Long, W.J., Coles, R.G., and Roder, C.A. 2000a, Seagrass-Watch: Community based monitoring of seagrass resources. </w:t>
      </w:r>
      <w:r w:rsidRPr="00E6043D">
        <w:rPr>
          <w:i/>
          <w:noProof/>
          <w:sz w:val="20"/>
          <w:lang w:val="x-none"/>
        </w:rPr>
        <w:t>Biologia marina mediterranea, 7</w:t>
      </w:r>
      <w:r w:rsidRPr="00E6043D">
        <w:rPr>
          <w:noProof/>
          <w:sz w:val="20"/>
          <w:lang w:val="x-none"/>
        </w:rPr>
        <w:t xml:space="preserve">(2), 393-396. </w:t>
      </w:r>
      <w:bookmarkEnd w:id="795"/>
    </w:p>
    <w:p w:rsidR="00E6043D" w:rsidRPr="00E6043D" w:rsidRDefault="00E6043D" w:rsidP="00E6043D">
      <w:pPr>
        <w:spacing w:after="0"/>
        <w:ind w:left="720" w:hanging="720"/>
        <w:rPr>
          <w:noProof/>
          <w:sz w:val="20"/>
          <w:lang w:val="x-none"/>
        </w:rPr>
      </w:pPr>
      <w:bookmarkStart w:id="796" w:name="_ENREF_172"/>
      <w:r w:rsidRPr="00E6043D">
        <w:rPr>
          <w:noProof/>
          <w:sz w:val="20"/>
          <w:lang w:val="x-none"/>
        </w:rPr>
        <w:t xml:space="preserve">McKenzie, L.J., Lee Long, W.J., Roelofs, A., Roder, C.A., and Coles, R. (1998). </w:t>
      </w:r>
      <w:r w:rsidRPr="00E6043D">
        <w:rPr>
          <w:i/>
          <w:noProof/>
          <w:sz w:val="20"/>
          <w:lang w:val="x-none"/>
        </w:rPr>
        <w:t>Port of Mourilyin seagrass monitoring - first four years. EcoPorts Monograph Serie No. 15.</w:t>
      </w:r>
      <w:r w:rsidRPr="00E6043D">
        <w:rPr>
          <w:noProof/>
          <w:sz w:val="20"/>
          <w:lang w:val="x-none"/>
        </w:rPr>
        <w:t xml:space="preserve"> Brisbane: Ports Corporation of Queensland.</w:t>
      </w:r>
      <w:bookmarkEnd w:id="796"/>
    </w:p>
    <w:p w:rsidR="00E6043D" w:rsidRPr="00E6043D" w:rsidRDefault="00E6043D" w:rsidP="00E6043D">
      <w:pPr>
        <w:spacing w:after="0"/>
        <w:ind w:left="720" w:hanging="720"/>
        <w:rPr>
          <w:noProof/>
          <w:sz w:val="20"/>
          <w:lang w:val="x-none"/>
        </w:rPr>
      </w:pPr>
      <w:bookmarkStart w:id="797" w:name="_ENREF_173"/>
      <w:r w:rsidRPr="00E6043D">
        <w:rPr>
          <w:noProof/>
          <w:sz w:val="20"/>
          <w:lang w:val="x-none"/>
        </w:rPr>
        <w:t xml:space="preserve">McKenzie, L.J., Mellors, J., Waycott, M., Unsworth, R., and Collier, C. (2010a). Intertidal seagrass monitoring. In RRRC Ltd. (Ed.), </w:t>
      </w:r>
      <w:r w:rsidRPr="00E6043D">
        <w:rPr>
          <w:i/>
          <w:noProof/>
          <w:sz w:val="20"/>
          <w:lang w:val="x-none"/>
        </w:rPr>
        <w:t>Reef Rescue Marine Monitoring Program: Quality Assurance/Quality Control Methods and Procedures Manual. Report prepared for the Great Barrier Reef Marine Park Authority.</w:t>
      </w:r>
      <w:r w:rsidRPr="00E6043D">
        <w:rPr>
          <w:noProof/>
          <w:sz w:val="20"/>
          <w:lang w:val="x-none"/>
        </w:rPr>
        <w:t xml:space="preserve"> (pp. 42-56). Cairns: Reef &amp; Rainforest Research Centre Ltd.</w:t>
      </w:r>
      <w:bookmarkEnd w:id="797"/>
    </w:p>
    <w:p w:rsidR="00E6043D" w:rsidRPr="00E6043D" w:rsidRDefault="00E6043D" w:rsidP="00E6043D">
      <w:pPr>
        <w:spacing w:after="0"/>
        <w:ind w:left="720" w:hanging="720"/>
        <w:rPr>
          <w:noProof/>
          <w:sz w:val="20"/>
          <w:lang w:val="x-none"/>
        </w:rPr>
      </w:pPr>
      <w:bookmarkStart w:id="798" w:name="_ENREF_174"/>
      <w:r w:rsidRPr="00E6043D">
        <w:rPr>
          <w:noProof/>
          <w:sz w:val="20"/>
          <w:lang w:val="x-none"/>
        </w:rPr>
        <w:t xml:space="preserve">McKenzie, L.J., Rasheed, M.A., Lee Long, W.J., and Coles, R.G. (1996). </w:t>
      </w:r>
      <w:r w:rsidRPr="00E6043D">
        <w:rPr>
          <w:i/>
          <w:noProof/>
          <w:sz w:val="20"/>
          <w:lang w:val="x-none"/>
        </w:rPr>
        <w:t>Port of Mourilyan Seagrass monitoring, Baseline Surveys - Summer (December) 1993 and Winter (July) 1994</w:t>
      </w:r>
      <w:r w:rsidRPr="00E6043D">
        <w:rPr>
          <w:noProof/>
          <w:sz w:val="20"/>
          <w:lang w:val="x-none"/>
        </w:rPr>
        <w:t>. Brisbane: PCQ.</w:t>
      </w:r>
      <w:bookmarkEnd w:id="798"/>
    </w:p>
    <w:p w:rsidR="00E6043D" w:rsidRPr="00E6043D" w:rsidRDefault="00E6043D" w:rsidP="00E6043D">
      <w:pPr>
        <w:spacing w:after="0"/>
        <w:ind w:left="720" w:hanging="720"/>
        <w:rPr>
          <w:noProof/>
          <w:sz w:val="20"/>
          <w:lang w:val="x-none"/>
        </w:rPr>
      </w:pPr>
      <w:bookmarkStart w:id="799" w:name="_ENREF_175"/>
      <w:r w:rsidRPr="00E6043D">
        <w:rPr>
          <w:noProof/>
          <w:sz w:val="20"/>
          <w:lang w:val="x-none"/>
        </w:rPr>
        <w:t xml:space="preserve">McKenzie, L.J., Roder, C.A., Roelofs, A.J., and Lee Long, W.J. 2000b, Post-flood monitoring of seagrasses in Hervey Bay and the Great Sandy Strait, 1999: Implications for dugong, turtle and fisheries management. [DPI Information Series]. </w:t>
      </w:r>
      <w:r w:rsidRPr="00E6043D">
        <w:rPr>
          <w:i/>
          <w:noProof/>
          <w:sz w:val="20"/>
          <w:lang w:val="x-none"/>
        </w:rPr>
        <w:t>Department of Primary Industries Information Series QI00059</w:t>
      </w:r>
      <w:r w:rsidRPr="00E6043D">
        <w:rPr>
          <w:noProof/>
          <w:sz w:val="20"/>
          <w:lang w:val="x-none"/>
        </w:rPr>
        <w:t xml:space="preserve">, 46. </w:t>
      </w:r>
      <w:bookmarkEnd w:id="799"/>
    </w:p>
    <w:p w:rsidR="00E6043D" w:rsidRPr="00E6043D" w:rsidRDefault="00E6043D" w:rsidP="00E6043D">
      <w:pPr>
        <w:spacing w:after="0"/>
        <w:ind w:left="720" w:hanging="720"/>
        <w:rPr>
          <w:noProof/>
          <w:sz w:val="20"/>
          <w:lang w:val="x-none"/>
        </w:rPr>
      </w:pPr>
      <w:bookmarkStart w:id="800" w:name="_ENREF_176"/>
      <w:r w:rsidRPr="00E6043D">
        <w:rPr>
          <w:noProof/>
          <w:sz w:val="20"/>
          <w:lang w:val="x-none"/>
        </w:rPr>
        <w:t>McKenzie, L.J., and Unsworth, R.K.F. (2009). [Reef Rescue Marine Monitoring Program: Intertidal Seagrass, Final Report 2008/2009].</w:t>
      </w:r>
      <w:bookmarkEnd w:id="800"/>
    </w:p>
    <w:p w:rsidR="00E6043D" w:rsidRPr="00E6043D" w:rsidRDefault="00E6043D" w:rsidP="00E6043D">
      <w:pPr>
        <w:spacing w:after="0"/>
        <w:ind w:left="720" w:hanging="720"/>
        <w:rPr>
          <w:noProof/>
          <w:sz w:val="20"/>
          <w:lang w:val="x-none"/>
        </w:rPr>
      </w:pPr>
      <w:bookmarkStart w:id="801" w:name="_ENREF_177"/>
      <w:r w:rsidRPr="00E6043D">
        <w:rPr>
          <w:noProof/>
          <w:sz w:val="20"/>
          <w:lang w:val="x-none"/>
        </w:rPr>
        <w:t xml:space="preserve">McKenzie, L.J., Unsworth, R.K.F., and Waycott, M. 2010b, Reef Rescue Marine Monitoring Program: Intertidal Seagrass, Annual Report for the sampling period 1st September 2009 – 31st May 2010. 136. </w:t>
      </w:r>
      <w:bookmarkEnd w:id="801"/>
    </w:p>
    <w:p w:rsidR="00E6043D" w:rsidRPr="00E6043D" w:rsidRDefault="00E6043D" w:rsidP="00E6043D">
      <w:pPr>
        <w:spacing w:after="0"/>
        <w:ind w:left="720" w:hanging="720"/>
        <w:rPr>
          <w:noProof/>
          <w:sz w:val="20"/>
          <w:lang w:val="x-none"/>
        </w:rPr>
      </w:pPr>
      <w:bookmarkStart w:id="802" w:name="_ENREF_178"/>
      <w:r w:rsidRPr="00E6043D">
        <w:rPr>
          <w:noProof/>
          <w:sz w:val="20"/>
          <w:lang w:val="x-none"/>
        </w:rPr>
        <w:t xml:space="preserve">McKenzie, L.J., and Yoshida, R.L. (2008). </w:t>
      </w:r>
      <w:r w:rsidRPr="00E6043D">
        <w:rPr>
          <w:i/>
          <w:noProof/>
          <w:sz w:val="20"/>
          <w:lang w:val="x-none"/>
        </w:rPr>
        <w:t xml:space="preserve">Seagrass-Watch: Proceedings of a Workshop for Monitoring Seagrass Habitats in Hervey Bay and the Great Sandy Strait, Queensland. Urangan Community Centre, Hervey Bay Botanic Gardens, Hervey Bay, Queensland, 17th – 18th May 2008. </w:t>
      </w:r>
      <w:r w:rsidRPr="00E6043D">
        <w:rPr>
          <w:noProof/>
          <w:sz w:val="20"/>
          <w:lang w:val="x-none"/>
        </w:rPr>
        <w:t>. Cairns: Seagrass-Watch HQ.</w:t>
      </w:r>
      <w:bookmarkEnd w:id="802"/>
    </w:p>
    <w:p w:rsidR="00E6043D" w:rsidRPr="00E6043D" w:rsidRDefault="00E6043D" w:rsidP="00E6043D">
      <w:pPr>
        <w:spacing w:after="0"/>
        <w:ind w:left="720" w:hanging="720"/>
        <w:rPr>
          <w:noProof/>
          <w:sz w:val="20"/>
          <w:lang w:val="x-none"/>
        </w:rPr>
      </w:pPr>
      <w:bookmarkStart w:id="803" w:name="_ENREF_179"/>
      <w:r w:rsidRPr="00E6043D">
        <w:rPr>
          <w:noProof/>
          <w:sz w:val="20"/>
          <w:lang w:val="x-none"/>
        </w:rPr>
        <w:t xml:space="preserve">McKenzie, L.J., and Yoshida, R.L. (2012). </w:t>
      </w:r>
      <w:r w:rsidRPr="00E6043D">
        <w:rPr>
          <w:i/>
          <w:noProof/>
          <w:sz w:val="20"/>
          <w:lang w:val="x-none"/>
        </w:rPr>
        <w:t>Seagrass-Watch: Proceedings of a Workshop for Monitoring Seagrass Habitats in the Mackay Whitsunday Region, Queensland, Australia. QPWS Whitsunday Information Centre, Jubilee Pocket, Airlie Beach, 13-14 October 2012.</w:t>
      </w:r>
      <w:r w:rsidRPr="00E6043D">
        <w:rPr>
          <w:noProof/>
          <w:sz w:val="20"/>
          <w:lang w:val="x-none"/>
        </w:rPr>
        <w:t xml:space="preserve"> Cairns: Seagrass-Watch HQ.</w:t>
      </w:r>
      <w:bookmarkEnd w:id="803"/>
    </w:p>
    <w:p w:rsidR="00E6043D" w:rsidRPr="00E6043D" w:rsidRDefault="00E6043D" w:rsidP="00E6043D">
      <w:pPr>
        <w:spacing w:after="0"/>
        <w:ind w:left="720" w:hanging="720"/>
        <w:rPr>
          <w:noProof/>
          <w:sz w:val="20"/>
          <w:lang w:val="x-none"/>
        </w:rPr>
      </w:pPr>
      <w:bookmarkStart w:id="804" w:name="_ENREF_180"/>
      <w:r w:rsidRPr="00E6043D">
        <w:rPr>
          <w:noProof/>
          <w:sz w:val="20"/>
          <w:lang w:val="x-none"/>
        </w:rPr>
        <w:t xml:space="preserve">McKenzie, L.J., Yoshida, R.L., Grech, A., and Coles, R. (2010c). </w:t>
      </w:r>
      <w:r w:rsidRPr="00E6043D">
        <w:rPr>
          <w:i/>
          <w:noProof/>
          <w:sz w:val="20"/>
          <w:lang w:val="x-none"/>
        </w:rPr>
        <w:t>Queensland seagrasses. Status 2010 - Torres Strait and East Coast</w:t>
      </w:r>
      <w:r w:rsidRPr="00E6043D">
        <w:rPr>
          <w:noProof/>
          <w:sz w:val="20"/>
          <w:lang w:val="x-none"/>
        </w:rPr>
        <w:t>. Cairns: Fisheries Queensland (DEEDI).</w:t>
      </w:r>
      <w:bookmarkEnd w:id="804"/>
    </w:p>
    <w:p w:rsidR="00E6043D" w:rsidRPr="00E6043D" w:rsidRDefault="00E6043D" w:rsidP="00E6043D">
      <w:pPr>
        <w:spacing w:after="0"/>
        <w:ind w:left="720" w:hanging="720"/>
        <w:rPr>
          <w:noProof/>
          <w:sz w:val="20"/>
          <w:lang w:val="x-none"/>
        </w:rPr>
      </w:pPr>
      <w:bookmarkStart w:id="805" w:name="_ENREF_181"/>
      <w:r w:rsidRPr="00E6043D">
        <w:rPr>
          <w:noProof/>
          <w:sz w:val="20"/>
          <w:lang w:val="x-none"/>
        </w:rPr>
        <w:t xml:space="preserve">McKenzie, L.J., Yoshida, R.L., Grech, A., and Coles, R. 2014b, Composite of coastal seagrass meadows in Queensland, Australia - November 1984 to June 2010. . </w:t>
      </w:r>
      <w:r w:rsidRPr="00E6043D">
        <w:rPr>
          <w:i/>
          <w:noProof/>
          <w:sz w:val="20"/>
          <w:lang w:val="x-none"/>
        </w:rPr>
        <w:t>PANGAEA</w:t>
      </w:r>
      <w:r w:rsidRPr="00E6043D">
        <w:rPr>
          <w:noProof/>
          <w:sz w:val="20"/>
          <w:lang w:val="x-none"/>
        </w:rPr>
        <w:t xml:space="preserve">, </w:t>
      </w:r>
      <w:hyperlink r:id="rId182" w:history="1">
        <w:r w:rsidRPr="00E6043D">
          <w:rPr>
            <w:rStyle w:val="Hyperlink"/>
            <w:noProof/>
            <w:sz w:val="20"/>
            <w:lang w:val="x-none"/>
          </w:rPr>
          <w:t>http://doi.pangaea.de/10.1594/PANGAEA.826368</w:t>
        </w:r>
      </w:hyperlink>
      <w:r w:rsidRPr="00E6043D">
        <w:rPr>
          <w:noProof/>
          <w:sz w:val="20"/>
          <w:lang w:val="x-none"/>
        </w:rPr>
        <w:t xml:space="preserve">. </w:t>
      </w:r>
      <w:bookmarkEnd w:id="805"/>
    </w:p>
    <w:p w:rsidR="00E6043D" w:rsidRPr="00E6043D" w:rsidRDefault="00E6043D" w:rsidP="00E6043D">
      <w:pPr>
        <w:spacing w:after="0"/>
        <w:ind w:left="720" w:hanging="720"/>
        <w:rPr>
          <w:noProof/>
          <w:sz w:val="20"/>
          <w:lang w:val="x-none"/>
        </w:rPr>
      </w:pPr>
      <w:bookmarkStart w:id="806" w:name="_ENREF_182"/>
      <w:r w:rsidRPr="00E6043D">
        <w:rPr>
          <w:noProof/>
          <w:sz w:val="20"/>
          <w:lang w:val="x-none"/>
        </w:rPr>
        <w:lastRenderedPageBreak/>
        <w:t xml:space="preserve">McMahon, K. (2005). </w:t>
      </w:r>
      <w:r w:rsidRPr="00E6043D">
        <w:rPr>
          <w:i/>
          <w:noProof/>
          <w:sz w:val="20"/>
          <w:lang w:val="x-none"/>
        </w:rPr>
        <w:t>Recovery of subtropical seagrasses from natural disturbance.</w:t>
      </w:r>
      <w:r w:rsidRPr="00E6043D">
        <w:rPr>
          <w:noProof/>
          <w:sz w:val="20"/>
          <w:lang w:val="x-none"/>
        </w:rPr>
        <w:t xml:space="preserve">  PhD, University of Queensland, Bribane.   </w:t>
      </w:r>
      <w:bookmarkEnd w:id="806"/>
    </w:p>
    <w:p w:rsidR="00E6043D" w:rsidRPr="00E6043D" w:rsidRDefault="00E6043D" w:rsidP="00E6043D">
      <w:pPr>
        <w:spacing w:after="0"/>
        <w:ind w:left="720" w:hanging="720"/>
        <w:rPr>
          <w:noProof/>
          <w:sz w:val="20"/>
          <w:lang w:val="x-none"/>
        </w:rPr>
      </w:pPr>
      <w:bookmarkStart w:id="807" w:name="_ENREF_183"/>
      <w:r w:rsidRPr="00E6043D">
        <w:rPr>
          <w:noProof/>
          <w:sz w:val="20"/>
          <w:lang w:val="x-none"/>
        </w:rPr>
        <w:t xml:space="preserve">McMahon, K.M., Bengston-Nash, S., Eaglesham, G.K., Mueller, J., Duke, N.C., and Winderlich, S. 2005, Herbicide contamination and the potential impact to seagrass meadows in Hervey Bay, Queensland, Australia. </w:t>
      </w:r>
      <w:r w:rsidRPr="00E6043D">
        <w:rPr>
          <w:i/>
          <w:noProof/>
          <w:sz w:val="20"/>
          <w:lang w:val="x-none"/>
        </w:rPr>
        <w:t>Marine Pollution Bulletin, 51</w:t>
      </w:r>
      <w:r w:rsidRPr="00E6043D">
        <w:rPr>
          <w:noProof/>
          <w:sz w:val="20"/>
          <w:lang w:val="x-none"/>
        </w:rPr>
        <w:t xml:space="preserve">, 325-334. </w:t>
      </w:r>
      <w:bookmarkEnd w:id="807"/>
    </w:p>
    <w:p w:rsidR="00E6043D" w:rsidRPr="00E6043D" w:rsidRDefault="00E6043D" w:rsidP="00E6043D">
      <w:pPr>
        <w:spacing w:after="0"/>
        <w:ind w:left="720" w:hanging="720"/>
        <w:rPr>
          <w:noProof/>
          <w:sz w:val="20"/>
          <w:lang w:val="x-none"/>
        </w:rPr>
      </w:pPr>
      <w:bookmarkStart w:id="808" w:name="_ENREF_184"/>
      <w:r w:rsidRPr="00E6043D">
        <w:rPr>
          <w:noProof/>
          <w:sz w:val="20"/>
          <w:lang w:val="x-none"/>
        </w:rPr>
        <w:t xml:space="preserve">Meager, J.J., and Limpus, C.J. 2012, Marine wildlife stranding and mortality database annual report 2011. III. Marine Turtle. </w:t>
      </w:r>
      <w:r w:rsidRPr="00E6043D">
        <w:rPr>
          <w:i/>
          <w:noProof/>
          <w:sz w:val="20"/>
          <w:lang w:val="x-none"/>
        </w:rPr>
        <w:t>Conservation Technical and Data Report, 2012</w:t>
      </w:r>
      <w:r w:rsidRPr="00E6043D">
        <w:rPr>
          <w:noProof/>
          <w:sz w:val="20"/>
          <w:lang w:val="x-none"/>
        </w:rPr>
        <w:t xml:space="preserve">(3), 1-46. </w:t>
      </w:r>
      <w:bookmarkEnd w:id="808"/>
    </w:p>
    <w:p w:rsidR="00E6043D" w:rsidRPr="00E6043D" w:rsidRDefault="00E6043D" w:rsidP="00E6043D">
      <w:pPr>
        <w:spacing w:after="0"/>
        <w:ind w:left="720" w:hanging="720"/>
        <w:rPr>
          <w:noProof/>
          <w:sz w:val="20"/>
          <w:lang w:val="x-none"/>
        </w:rPr>
      </w:pPr>
      <w:bookmarkStart w:id="809" w:name="_ENREF_185"/>
      <w:r w:rsidRPr="00E6043D">
        <w:rPr>
          <w:noProof/>
          <w:sz w:val="20"/>
          <w:lang w:val="x-none"/>
        </w:rPr>
        <w:t xml:space="preserve">Mellors, J., Waycott, M., and Marsh, H. 2005, Variation in biogeochemical parameters across intertidal seagrass meadows in the central Great Barrier Reef region. </w:t>
      </w:r>
      <w:r w:rsidRPr="00E6043D">
        <w:rPr>
          <w:i/>
          <w:noProof/>
          <w:sz w:val="20"/>
          <w:lang w:val="x-none"/>
        </w:rPr>
        <w:t>Marine Pollution Bulletin, 51</w:t>
      </w:r>
      <w:r w:rsidRPr="00E6043D">
        <w:rPr>
          <w:noProof/>
          <w:sz w:val="20"/>
          <w:lang w:val="x-none"/>
        </w:rPr>
        <w:t>(1-4), 335-342. doi: 10.1016/j.marpolbul.2004.10.046</w:t>
      </w:r>
      <w:bookmarkEnd w:id="809"/>
    </w:p>
    <w:p w:rsidR="00E6043D" w:rsidRPr="00E6043D" w:rsidRDefault="00E6043D" w:rsidP="00E6043D">
      <w:pPr>
        <w:spacing w:after="0"/>
        <w:ind w:left="720" w:hanging="720"/>
        <w:rPr>
          <w:noProof/>
          <w:sz w:val="20"/>
          <w:lang w:val="x-none"/>
        </w:rPr>
      </w:pPr>
      <w:bookmarkStart w:id="810" w:name="_ENREF_186"/>
      <w:r w:rsidRPr="00E6043D">
        <w:rPr>
          <w:noProof/>
          <w:sz w:val="20"/>
          <w:lang w:val="x-none"/>
        </w:rPr>
        <w:t xml:space="preserve">Mellors, J.E. 1991, An evaluation of a rapid visual technique for estimating seagrass biomass. </w:t>
      </w:r>
      <w:r w:rsidRPr="00E6043D">
        <w:rPr>
          <w:i/>
          <w:noProof/>
          <w:sz w:val="20"/>
          <w:lang w:val="x-none"/>
        </w:rPr>
        <w:t>Aquatic Botany, 42</w:t>
      </w:r>
      <w:r w:rsidRPr="00E6043D">
        <w:rPr>
          <w:noProof/>
          <w:sz w:val="20"/>
          <w:lang w:val="x-none"/>
        </w:rPr>
        <w:t xml:space="preserve">, 67-73. </w:t>
      </w:r>
      <w:bookmarkEnd w:id="810"/>
    </w:p>
    <w:p w:rsidR="00E6043D" w:rsidRPr="00E6043D" w:rsidRDefault="00E6043D" w:rsidP="00E6043D">
      <w:pPr>
        <w:spacing w:after="0"/>
        <w:ind w:left="720" w:hanging="720"/>
        <w:rPr>
          <w:noProof/>
          <w:sz w:val="20"/>
          <w:lang w:val="x-none"/>
        </w:rPr>
      </w:pPr>
      <w:bookmarkStart w:id="811" w:name="_ENREF_187"/>
      <w:r w:rsidRPr="00E6043D">
        <w:rPr>
          <w:noProof/>
          <w:sz w:val="20"/>
          <w:lang w:val="x-none"/>
        </w:rPr>
        <w:t xml:space="preserve">Mellors, J.E. (2003). </w:t>
      </w:r>
      <w:r w:rsidRPr="00E6043D">
        <w:rPr>
          <w:i/>
          <w:noProof/>
          <w:sz w:val="20"/>
          <w:lang w:val="x-none"/>
        </w:rPr>
        <w:t>Sediment and nutrient dynamics in coastal intertidal seagrass of north eastern tropical Australia. PhD Thesis.</w:t>
      </w:r>
      <w:r w:rsidRPr="00E6043D">
        <w:rPr>
          <w:noProof/>
          <w:sz w:val="20"/>
          <w:lang w:val="x-none"/>
        </w:rPr>
        <w:t xml:space="preserve"> School of Tropical Environment Studies and Geography: James Cook University, Townsville.</w:t>
      </w:r>
      <w:bookmarkEnd w:id="811"/>
    </w:p>
    <w:p w:rsidR="00E6043D" w:rsidRPr="00E6043D" w:rsidRDefault="00E6043D" w:rsidP="00E6043D">
      <w:pPr>
        <w:spacing w:after="0"/>
        <w:ind w:left="720" w:hanging="720"/>
        <w:rPr>
          <w:i/>
          <w:noProof/>
          <w:sz w:val="20"/>
          <w:lang w:val="x-none"/>
        </w:rPr>
      </w:pPr>
      <w:bookmarkStart w:id="812" w:name="_ENREF_188"/>
      <w:r w:rsidRPr="00E6043D">
        <w:rPr>
          <w:noProof/>
          <w:sz w:val="20"/>
          <w:lang w:val="x-none"/>
        </w:rPr>
        <w:t xml:space="preserve">Monitoring River Health Initiative. (1994). </w:t>
      </w:r>
      <w:r w:rsidRPr="00E6043D">
        <w:rPr>
          <w:i/>
          <w:noProof/>
          <w:sz w:val="20"/>
          <w:lang w:val="x-none"/>
        </w:rPr>
        <w:t xml:space="preserve">River Bioassessment Manual, National River Processes and Management Program, Tasmania. </w:t>
      </w:r>
      <w:hyperlink r:id="rId183" w:history="1">
        <w:r w:rsidRPr="00E6043D">
          <w:rPr>
            <w:rStyle w:val="Hyperlink"/>
            <w:i/>
            <w:noProof/>
            <w:sz w:val="20"/>
            <w:lang w:val="x-none"/>
          </w:rPr>
          <w:t>http://www.environment.gov.au/water/publications/environmental/rivers/nrhp/bioassess.html</w:t>
        </w:r>
      </w:hyperlink>
      <w:r w:rsidRPr="00E6043D">
        <w:rPr>
          <w:i/>
          <w:noProof/>
          <w:sz w:val="20"/>
          <w:lang w:val="x-none"/>
        </w:rPr>
        <w:t>, accessed 10 February 2014.</w:t>
      </w:r>
      <w:bookmarkEnd w:id="812"/>
    </w:p>
    <w:p w:rsidR="00E6043D" w:rsidRPr="00E6043D" w:rsidRDefault="00E6043D" w:rsidP="00E6043D">
      <w:pPr>
        <w:spacing w:after="0"/>
        <w:ind w:left="720" w:hanging="720"/>
        <w:rPr>
          <w:noProof/>
          <w:sz w:val="20"/>
          <w:lang w:val="x-none"/>
        </w:rPr>
      </w:pPr>
      <w:bookmarkStart w:id="813" w:name="_ENREF_189"/>
      <w:r w:rsidRPr="00E6043D">
        <w:rPr>
          <w:noProof/>
          <w:sz w:val="20"/>
          <w:lang w:val="x-none"/>
        </w:rPr>
        <w:t xml:space="preserve">Neckles, H., Koepfler, E., Haas, L., Wetzel, R., and Orth, R. 1994, Dynamics of epiphytic photoautotrophs and heterotrophs in </w:t>
      </w:r>
      <w:r w:rsidRPr="00E6043D">
        <w:rPr>
          <w:i/>
          <w:noProof/>
          <w:sz w:val="20"/>
          <w:lang w:val="x-none"/>
        </w:rPr>
        <w:t>Zostera marina</w:t>
      </w:r>
      <w:r w:rsidRPr="00E6043D">
        <w:rPr>
          <w:noProof/>
          <w:sz w:val="20"/>
          <w:lang w:val="x-none"/>
        </w:rPr>
        <w:t xml:space="preserve"> (eelgrass) microcosms: Responses to nutrient enrichment and grazing. </w:t>
      </w:r>
      <w:r w:rsidRPr="00E6043D">
        <w:rPr>
          <w:i/>
          <w:noProof/>
          <w:sz w:val="20"/>
          <w:lang w:val="x-none"/>
        </w:rPr>
        <w:t>Estuaries, 17</w:t>
      </w:r>
      <w:r w:rsidRPr="00E6043D">
        <w:rPr>
          <w:noProof/>
          <w:sz w:val="20"/>
          <w:lang w:val="x-none"/>
        </w:rPr>
        <w:t xml:space="preserve">, 597–605. </w:t>
      </w:r>
      <w:bookmarkEnd w:id="813"/>
    </w:p>
    <w:p w:rsidR="00E6043D" w:rsidRPr="00E6043D" w:rsidRDefault="00E6043D" w:rsidP="00E6043D">
      <w:pPr>
        <w:spacing w:after="0"/>
        <w:ind w:left="720" w:hanging="720"/>
        <w:rPr>
          <w:noProof/>
          <w:sz w:val="20"/>
          <w:lang w:val="x-none"/>
        </w:rPr>
      </w:pPr>
      <w:bookmarkStart w:id="814" w:name="_ENREF_190"/>
      <w:r w:rsidRPr="00E6043D">
        <w:rPr>
          <w:noProof/>
          <w:sz w:val="20"/>
          <w:lang w:val="x-none"/>
        </w:rPr>
        <w:t xml:space="preserve">Negri, A.P., Flores, F., Mercurio, P., Mueller, J.F., and Collier, C.J. 2015, Lethal and sub-lethal chronic effects of the herbicide diuron on seagrass. </w:t>
      </w:r>
      <w:r w:rsidRPr="00E6043D">
        <w:rPr>
          <w:i/>
          <w:noProof/>
          <w:sz w:val="20"/>
          <w:lang w:val="x-none"/>
        </w:rPr>
        <w:t>Aquatic Toxicology, 165</w:t>
      </w:r>
      <w:r w:rsidRPr="00E6043D">
        <w:rPr>
          <w:noProof/>
          <w:sz w:val="20"/>
          <w:lang w:val="x-none"/>
        </w:rPr>
        <w:t xml:space="preserve">, 73–83. doi: </w:t>
      </w:r>
      <w:hyperlink r:id="rId184" w:history="1">
        <w:r w:rsidRPr="00E6043D">
          <w:rPr>
            <w:rStyle w:val="Hyperlink"/>
            <w:noProof/>
            <w:sz w:val="20"/>
            <w:lang w:val="x-none"/>
          </w:rPr>
          <w:t>http://dx.doi.org/10.1016/j.aquatox.2015.05.007</w:t>
        </w:r>
        <w:bookmarkEnd w:id="814"/>
      </w:hyperlink>
    </w:p>
    <w:p w:rsidR="00E6043D" w:rsidRPr="00E6043D" w:rsidRDefault="00E6043D" w:rsidP="00E6043D">
      <w:pPr>
        <w:spacing w:after="0"/>
        <w:ind w:left="720" w:hanging="720"/>
        <w:rPr>
          <w:noProof/>
          <w:sz w:val="20"/>
          <w:lang w:val="x-none"/>
        </w:rPr>
      </w:pPr>
      <w:bookmarkStart w:id="815" w:name="_ENREF_191"/>
      <w:r w:rsidRPr="00E6043D">
        <w:rPr>
          <w:noProof/>
          <w:sz w:val="20"/>
          <w:lang w:val="x-none"/>
        </w:rPr>
        <w:t xml:space="preserve">Orpin, A.R., Ridd, P.V., Thomas, S., Anthony, K.R.N., Marshall, P., and Oliver, J. 2004, Natural turbidity variability and weather forecasts in risk management of anthropogenic sediment discharge near sensitive environments. </w:t>
      </w:r>
      <w:r w:rsidRPr="00E6043D">
        <w:rPr>
          <w:i/>
          <w:noProof/>
          <w:sz w:val="20"/>
          <w:lang w:val="x-none"/>
        </w:rPr>
        <w:t>Marine Pollution Bulletin, 49</w:t>
      </w:r>
      <w:r w:rsidRPr="00E6043D">
        <w:rPr>
          <w:noProof/>
          <w:sz w:val="20"/>
          <w:lang w:val="x-none"/>
        </w:rPr>
        <w:t xml:space="preserve">(7–8), 602-612. doi: </w:t>
      </w:r>
      <w:hyperlink r:id="rId185" w:history="1">
        <w:r w:rsidRPr="00E6043D">
          <w:rPr>
            <w:rStyle w:val="Hyperlink"/>
            <w:noProof/>
            <w:sz w:val="20"/>
            <w:lang w:val="x-none"/>
          </w:rPr>
          <w:t>http://dx.doi.org/10.1016/j.marpolbul.2004.03.020</w:t>
        </w:r>
        <w:bookmarkEnd w:id="815"/>
      </w:hyperlink>
    </w:p>
    <w:p w:rsidR="00E6043D" w:rsidRPr="00E6043D" w:rsidRDefault="00E6043D" w:rsidP="00E6043D">
      <w:pPr>
        <w:spacing w:after="0"/>
        <w:ind w:left="720" w:hanging="720"/>
        <w:rPr>
          <w:noProof/>
          <w:sz w:val="20"/>
          <w:lang w:val="x-none"/>
        </w:rPr>
      </w:pPr>
      <w:bookmarkStart w:id="816" w:name="_ENREF_192"/>
      <w:r w:rsidRPr="00E6043D">
        <w:rPr>
          <w:noProof/>
          <w:sz w:val="20"/>
          <w:lang w:val="x-none"/>
        </w:rPr>
        <w:t xml:space="preserve">Orth, R.J., Harwell, M.C., and Inglis, G.J. (2006). Ecology of seagrass seeds and dispersal strategies. In AWD Larkum, RJ Orth &amp; CM Duarte (Eds.), </w:t>
      </w:r>
      <w:r w:rsidRPr="00E6043D">
        <w:rPr>
          <w:i/>
          <w:noProof/>
          <w:sz w:val="20"/>
          <w:lang w:val="x-none"/>
        </w:rPr>
        <w:t>Seagrasses: Biology, Ecology and Conservation</w:t>
      </w:r>
      <w:r w:rsidRPr="00E6043D">
        <w:rPr>
          <w:noProof/>
          <w:sz w:val="20"/>
          <w:lang w:val="x-none"/>
        </w:rPr>
        <w:t xml:space="preserve"> (pp. 113-133). Dordrecht: Springer.</w:t>
      </w:r>
      <w:bookmarkEnd w:id="816"/>
    </w:p>
    <w:p w:rsidR="00E6043D" w:rsidRPr="00E6043D" w:rsidRDefault="00E6043D" w:rsidP="00E6043D">
      <w:pPr>
        <w:spacing w:after="0"/>
        <w:ind w:left="720" w:hanging="720"/>
        <w:rPr>
          <w:noProof/>
          <w:sz w:val="20"/>
          <w:lang w:val="x-none"/>
        </w:rPr>
      </w:pPr>
      <w:bookmarkStart w:id="817" w:name="_ENREF_193"/>
      <w:r w:rsidRPr="00E6043D">
        <w:rPr>
          <w:noProof/>
          <w:sz w:val="20"/>
          <w:lang w:val="x-none"/>
        </w:rPr>
        <w:t xml:space="preserve">Orth, R.J., and Moore, K.A. 1983, Chesapaeke Bay: An unprecedented decline in submerged aquatic vegetation. </w:t>
      </w:r>
      <w:r w:rsidRPr="00E6043D">
        <w:rPr>
          <w:i/>
          <w:noProof/>
          <w:sz w:val="20"/>
          <w:lang w:val="x-none"/>
        </w:rPr>
        <w:t>Science, 222</w:t>
      </w:r>
      <w:r w:rsidRPr="00E6043D">
        <w:rPr>
          <w:noProof/>
          <w:sz w:val="20"/>
          <w:lang w:val="x-none"/>
        </w:rPr>
        <w:t xml:space="preserve">, 51-53. </w:t>
      </w:r>
      <w:bookmarkEnd w:id="817"/>
    </w:p>
    <w:p w:rsidR="00E6043D" w:rsidRPr="00E6043D" w:rsidRDefault="00E6043D" w:rsidP="00E6043D">
      <w:pPr>
        <w:spacing w:after="0"/>
        <w:ind w:left="720" w:hanging="720"/>
        <w:rPr>
          <w:noProof/>
          <w:sz w:val="20"/>
          <w:lang w:val="x-none"/>
        </w:rPr>
      </w:pPr>
      <w:bookmarkStart w:id="818" w:name="_ENREF_194"/>
      <w:r w:rsidRPr="00E6043D">
        <w:rPr>
          <w:noProof/>
          <w:sz w:val="20"/>
          <w:lang w:val="x-none"/>
        </w:rPr>
        <w:t xml:space="preserve">Petrou, K., Jimenez-Denness, I., Chartrand, K., McCormack, C., Rasheed, M., and Ralph, P. 2013, Seasonal heterogeneity in the photophysiological response to air exposure in two tropical intertidal seagrass species. </w:t>
      </w:r>
      <w:r w:rsidRPr="00E6043D">
        <w:rPr>
          <w:i/>
          <w:noProof/>
          <w:sz w:val="20"/>
          <w:lang w:val="x-none"/>
        </w:rPr>
        <w:t>Marine Ecology Progress Series, 482</w:t>
      </w:r>
      <w:r w:rsidRPr="00E6043D">
        <w:rPr>
          <w:noProof/>
          <w:sz w:val="20"/>
          <w:lang w:val="x-none"/>
        </w:rPr>
        <w:t>, 93-106. doi: 10.3354/meps10229</w:t>
      </w:r>
      <w:bookmarkEnd w:id="818"/>
    </w:p>
    <w:p w:rsidR="00E6043D" w:rsidRPr="00E6043D" w:rsidRDefault="00E6043D" w:rsidP="00E6043D">
      <w:pPr>
        <w:spacing w:after="0"/>
        <w:ind w:left="720" w:hanging="720"/>
        <w:rPr>
          <w:noProof/>
          <w:sz w:val="20"/>
          <w:lang w:val="x-none"/>
        </w:rPr>
      </w:pPr>
      <w:bookmarkStart w:id="819" w:name="_ENREF_195"/>
      <w:r w:rsidRPr="00E6043D">
        <w:rPr>
          <w:noProof/>
          <w:sz w:val="20"/>
          <w:lang w:val="x-none"/>
        </w:rPr>
        <w:t xml:space="preserve">Petus, C., da Silva, E.T., Devlin, M., Wenger, A.S., and Álvarez-Romero, J.G. 2014, Using MODIS data for mapping of water types within river plumes in the Great Barrier Reef, Australia: Towards the production of river plume risk maps for reef and seagrass ecosystems. </w:t>
      </w:r>
      <w:r w:rsidRPr="00E6043D">
        <w:rPr>
          <w:i/>
          <w:noProof/>
          <w:sz w:val="20"/>
          <w:lang w:val="x-none"/>
        </w:rPr>
        <w:t>Journal of Environmental Management, 137</w:t>
      </w:r>
      <w:r w:rsidRPr="00E6043D">
        <w:rPr>
          <w:noProof/>
          <w:sz w:val="20"/>
          <w:lang w:val="x-none"/>
        </w:rPr>
        <w:t xml:space="preserve">(0), 163-177. doi: </w:t>
      </w:r>
      <w:hyperlink r:id="rId186" w:history="1">
        <w:r w:rsidRPr="00E6043D">
          <w:rPr>
            <w:rStyle w:val="Hyperlink"/>
            <w:noProof/>
            <w:sz w:val="20"/>
            <w:lang w:val="x-none"/>
          </w:rPr>
          <w:t>http://dx.doi.org/10.1016/j.jenvman.2013.11.050</w:t>
        </w:r>
        <w:bookmarkEnd w:id="819"/>
      </w:hyperlink>
    </w:p>
    <w:p w:rsidR="00E6043D" w:rsidRPr="00E6043D" w:rsidRDefault="00E6043D" w:rsidP="00E6043D">
      <w:pPr>
        <w:spacing w:after="0"/>
        <w:ind w:left="720" w:hanging="720"/>
        <w:rPr>
          <w:noProof/>
          <w:sz w:val="20"/>
          <w:lang w:val="x-none"/>
        </w:rPr>
      </w:pPr>
      <w:bookmarkStart w:id="820" w:name="_ENREF_196"/>
      <w:r w:rsidRPr="00E6043D">
        <w:rPr>
          <w:noProof/>
          <w:sz w:val="20"/>
          <w:lang w:val="x-none"/>
        </w:rPr>
        <w:t xml:space="preserve">Petus, C., Devlin, M., Thompson, A., McKenzie, L., Teixeira da Silva, E., Collier, C., Tracey, D., and Martin, K. 2016, Estimating the Exposure of Coral Reefs and Seagrass Meadows to Land-Sourced Contaminants in River Flood Plumes of the Great Barrier Reef: Validating a Simple Satellite Risk Framework with Environmental Data. </w:t>
      </w:r>
      <w:r w:rsidRPr="00E6043D">
        <w:rPr>
          <w:i/>
          <w:noProof/>
          <w:sz w:val="20"/>
          <w:lang w:val="x-none"/>
        </w:rPr>
        <w:t>Remote Sensing, 8</w:t>
      </w:r>
      <w:r w:rsidRPr="00E6043D">
        <w:rPr>
          <w:noProof/>
          <w:sz w:val="20"/>
          <w:lang w:val="x-none"/>
        </w:rPr>
        <w:t xml:space="preserve">(3), 210. </w:t>
      </w:r>
      <w:bookmarkEnd w:id="820"/>
    </w:p>
    <w:p w:rsidR="00E6043D" w:rsidRPr="00E6043D" w:rsidRDefault="00E6043D" w:rsidP="00E6043D">
      <w:pPr>
        <w:spacing w:after="0"/>
        <w:ind w:left="720" w:hanging="720"/>
        <w:rPr>
          <w:noProof/>
          <w:sz w:val="20"/>
          <w:lang w:val="x-none"/>
        </w:rPr>
      </w:pPr>
      <w:bookmarkStart w:id="821" w:name="_ENREF_197"/>
      <w:r w:rsidRPr="00E6043D">
        <w:rPr>
          <w:noProof/>
          <w:sz w:val="20"/>
          <w:lang w:val="x-none"/>
        </w:rPr>
        <w:t xml:space="preserve">Pitcher, R., Doherty, P., Arnold, P., Hooper, J., Gribble, N., Bartlett, C., Browne, M., Campbell, N., Cannard, T., Cappo, M., Carini, G., Chalmers, S., Cheers, S., Chetwynd, D., Colefax, A., Coles, R., Cook, S., Davie, P., De'ath, G., Devereux, D., Done, B., Donovan, T., Ehrke, B., Ellis, N., Ericson, G., Fellegara, I., Forcey, K., Furey, M., Gledhill, D., Gordon, S., Haywood, M., Jacobsen, I., Johnson, J., Jones, M., Kinninmoth, S., </w:t>
      </w:r>
      <w:r w:rsidRPr="00E6043D">
        <w:rPr>
          <w:noProof/>
          <w:sz w:val="20"/>
          <w:lang w:val="x-none"/>
        </w:rPr>
        <w:lastRenderedPageBreak/>
        <w:t xml:space="preserve">Kistle, S., Last, P., Leite, A., Marks, S., McLeod, I., Oczkowicz, S., Rose, C., Seabright, D., Sheils, J., Sherlock, M., Skelton, P., Smith, D., Smith, G., Speare, P., Stowar, M., Strickland, C., Sutcliffe, P., Van der Geest, C., Venables, B., Walsh, C., Wassenberg, T., Welna, A., and Yearsley, G. (2007). </w:t>
      </w:r>
      <w:r w:rsidRPr="00E6043D">
        <w:rPr>
          <w:i/>
          <w:noProof/>
          <w:sz w:val="20"/>
          <w:lang w:val="x-none"/>
        </w:rPr>
        <w:t>Seabed Biodiversity on the Continental Shelf of the Great Barrier Reef World Heritage Area. CRC Reef Research Task Final Report.</w:t>
      </w:r>
      <w:r w:rsidRPr="00E6043D">
        <w:rPr>
          <w:noProof/>
          <w:sz w:val="20"/>
          <w:lang w:val="x-none"/>
        </w:rPr>
        <w:t xml:space="preserve"> Brisbane: CSIRO.</w:t>
      </w:r>
      <w:bookmarkEnd w:id="821"/>
    </w:p>
    <w:p w:rsidR="00E6043D" w:rsidRPr="00E6043D" w:rsidRDefault="00E6043D" w:rsidP="00E6043D">
      <w:pPr>
        <w:spacing w:after="0"/>
        <w:ind w:left="720" w:hanging="720"/>
        <w:rPr>
          <w:noProof/>
          <w:sz w:val="20"/>
          <w:lang w:val="x-none"/>
        </w:rPr>
      </w:pPr>
      <w:bookmarkStart w:id="822" w:name="_ENREF_198"/>
      <w:r w:rsidRPr="00E6043D">
        <w:rPr>
          <w:noProof/>
          <w:sz w:val="20"/>
          <w:lang w:val="x-none"/>
        </w:rPr>
        <w:t>Pollard, P.C., and Greenway, M. 1993, Photosynthetic characteristics of seagrasses (</w:t>
      </w:r>
      <w:r w:rsidRPr="00E6043D">
        <w:rPr>
          <w:i/>
          <w:noProof/>
          <w:sz w:val="20"/>
          <w:lang w:val="x-none"/>
        </w:rPr>
        <w:t>Cymodocea serrulata</w:t>
      </w:r>
      <w:r w:rsidRPr="00E6043D">
        <w:rPr>
          <w:noProof/>
          <w:sz w:val="20"/>
          <w:lang w:val="x-none"/>
        </w:rPr>
        <w:t xml:space="preserve">, </w:t>
      </w:r>
      <w:r w:rsidRPr="00E6043D">
        <w:rPr>
          <w:i/>
          <w:noProof/>
          <w:sz w:val="20"/>
          <w:lang w:val="x-none"/>
        </w:rPr>
        <w:t>Thalassia hemprichii</w:t>
      </w:r>
      <w:r w:rsidRPr="00E6043D">
        <w:rPr>
          <w:noProof/>
          <w:sz w:val="20"/>
          <w:lang w:val="x-none"/>
        </w:rPr>
        <w:t xml:space="preserve"> and </w:t>
      </w:r>
      <w:r w:rsidRPr="00E6043D">
        <w:rPr>
          <w:i/>
          <w:noProof/>
          <w:sz w:val="20"/>
          <w:lang w:val="x-none"/>
        </w:rPr>
        <w:t>Zostera capricorni</w:t>
      </w:r>
      <w:r w:rsidRPr="00E6043D">
        <w:rPr>
          <w:noProof/>
          <w:sz w:val="20"/>
          <w:lang w:val="x-none"/>
        </w:rPr>
        <w:t xml:space="preserve">) in a low-light environment, with a comparison of leaf-marking and lucunal-gas measurements of productivity. </w:t>
      </w:r>
      <w:r w:rsidRPr="00E6043D">
        <w:rPr>
          <w:i/>
          <w:noProof/>
          <w:sz w:val="20"/>
          <w:lang w:val="x-none"/>
        </w:rPr>
        <w:t>Australian Journal of Marine and Freshwater Research, 44</w:t>
      </w:r>
      <w:r w:rsidRPr="00E6043D">
        <w:rPr>
          <w:noProof/>
          <w:sz w:val="20"/>
          <w:lang w:val="x-none"/>
        </w:rPr>
        <w:t xml:space="preserve">, 127-140. </w:t>
      </w:r>
      <w:bookmarkEnd w:id="822"/>
    </w:p>
    <w:p w:rsidR="00E6043D" w:rsidRPr="00E6043D" w:rsidRDefault="00E6043D" w:rsidP="00E6043D">
      <w:pPr>
        <w:spacing w:after="0"/>
        <w:ind w:left="720" w:hanging="720"/>
        <w:rPr>
          <w:noProof/>
          <w:sz w:val="20"/>
          <w:lang w:val="x-none"/>
        </w:rPr>
      </w:pPr>
      <w:bookmarkStart w:id="823" w:name="_ENREF_199"/>
      <w:r w:rsidRPr="00E6043D">
        <w:rPr>
          <w:noProof/>
          <w:sz w:val="20"/>
          <w:lang w:val="x-none"/>
        </w:rPr>
        <w:t xml:space="preserve">Prange, J.A., and Duke, N.C. (2004). </w:t>
      </w:r>
      <w:r w:rsidRPr="00E6043D">
        <w:rPr>
          <w:i/>
          <w:noProof/>
          <w:sz w:val="20"/>
          <w:lang w:val="x-none"/>
        </w:rPr>
        <w:t>Burnett Mary Regional Assessment: Estuarine and Marine Water Quality and Wetland Habitats of the Burnett Mary Region. Report to Burnett Mary Regional Group for Natural Resource Management.</w:t>
      </w:r>
      <w:r w:rsidRPr="00E6043D">
        <w:rPr>
          <w:noProof/>
          <w:sz w:val="20"/>
          <w:lang w:val="x-none"/>
        </w:rPr>
        <w:t xml:space="preserve"> Brisbane: Centre for Marine Studies, The University of Queensland.</w:t>
      </w:r>
      <w:bookmarkEnd w:id="823"/>
    </w:p>
    <w:p w:rsidR="00E6043D" w:rsidRPr="00E6043D" w:rsidRDefault="00E6043D" w:rsidP="00E6043D">
      <w:pPr>
        <w:spacing w:after="0"/>
        <w:ind w:left="720" w:hanging="720"/>
        <w:rPr>
          <w:noProof/>
          <w:sz w:val="20"/>
          <w:lang w:val="x-none"/>
        </w:rPr>
      </w:pPr>
      <w:bookmarkStart w:id="824" w:name="_ENREF_200"/>
      <w:r w:rsidRPr="00E6043D">
        <w:rPr>
          <w:noProof/>
          <w:sz w:val="20"/>
          <w:lang w:val="x-none"/>
        </w:rPr>
        <w:t>Preen, A.R., Lee Long, W.J., and Coles, R.G. 1995, Flood and cyclone related loss, and partial recovery, of more than 1,000 km</w:t>
      </w:r>
      <w:r w:rsidRPr="00E6043D">
        <w:rPr>
          <w:noProof/>
          <w:sz w:val="20"/>
          <w:vertAlign w:val="superscript"/>
          <w:lang w:val="x-none"/>
        </w:rPr>
        <w:t>2</w:t>
      </w:r>
      <w:r w:rsidRPr="00E6043D">
        <w:rPr>
          <w:noProof/>
          <w:sz w:val="20"/>
          <w:lang w:val="x-none"/>
        </w:rPr>
        <w:t xml:space="preserve"> of seagrass in Hervey Bay, Queensland, Australia. </w:t>
      </w:r>
      <w:r w:rsidRPr="00E6043D">
        <w:rPr>
          <w:i/>
          <w:noProof/>
          <w:sz w:val="20"/>
          <w:lang w:val="x-none"/>
        </w:rPr>
        <w:t>Aquatic Botany, 52</w:t>
      </w:r>
      <w:r w:rsidRPr="00E6043D">
        <w:rPr>
          <w:noProof/>
          <w:sz w:val="20"/>
          <w:lang w:val="x-none"/>
        </w:rPr>
        <w:t xml:space="preserve">, 3-17. </w:t>
      </w:r>
      <w:bookmarkEnd w:id="824"/>
    </w:p>
    <w:p w:rsidR="00E6043D" w:rsidRPr="00E6043D" w:rsidRDefault="00E6043D" w:rsidP="00E6043D">
      <w:pPr>
        <w:spacing w:after="0"/>
        <w:ind w:left="720" w:hanging="720"/>
        <w:rPr>
          <w:noProof/>
          <w:sz w:val="20"/>
          <w:lang w:val="x-none"/>
        </w:rPr>
      </w:pPr>
      <w:bookmarkStart w:id="825" w:name="_ENREF_201"/>
      <w:r w:rsidRPr="00E6043D">
        <w:rPr>
          <w:noProof/>
          <w:sz w:val="20"/>
          <w:lang w:val="x-none"/>
        </w:rPr>
        <w:t>R Core Team. (2014). R: A language and environment for statistical computing.</w:t>
      </w:r>
      <w:r w:rsidRPr="00E6043D">
        <w:rPr>
          <w:i/>
          <w:noProof/>
          <w:sz w:val="20"/>
          <w:lang w:val="x-none"/>
        </w:rPr>
        <w:t xml:space="preserve"> </w:t>
      </w:r>
      <w:r w:rsidRPr="00E6043D">
        <w:rPr>
          <w:noProof/>
          <w:sz w:val="20"/>
          <w:lang w:val="x-none"/>
        </w:rPr>
        <w:t xml:space="preserve">  Retrieved from </w:t>
      </w:r>
      <w:hyperlink r:id="rId187" w:history="1">
        <w:r w:rsidRPr="00E6043D">
          <w:rPr>
            <w:rStyle w:val="Hyperlink"/>
            <w:noProof/>
            <w:sz w:val="20"/>
            <w:lang w:val="x-none"/>
          </w:rPr>
          <w:t>http://www.R-project.org/</w:t>
        </w:r>
      </w:hyperlink>
      <w:r w:rsidRPr="00E6043D">
        <w:rPr>
          <w:noProof/>
          <w:sz w:val="20"/>
          <w:lang w:val="x-none"/>
        </w:rPr>
        <w:t xml:space="preserve">. </w:t>
      </w:r>
      <w:bookmarkEnd w:id="825"/>
    </w:p>
    <w:p w:rsidR="00E6043D" w:rsidRPr="00E6043D" w:rsidRDefault="00E6043D" w:rsidP="00E6043D">
      <w:pPr>
        <w:spacing w:after="0"/>
        <w:ind w:left="720" w:hanging="720"/>
        <w:rPr>
          <w:noProof/>
          <w:sz w:val="20"/>
          <w:lang w:val="x-none"/>
        </w:rPr>
      </w:pPr>
      <w:bookmarkStart w:id="826" w:name="_ENREF_202"/>
      <w:r w:rsidRPr="00E6043D">
        <w:rPr>
          <w:noProof/>
          <w:sz w:val="20"/>
          <w:lang w:val="x-none"/>
        </w:rPr>
        <w:t xml:space="preserve">Ralph, P.J., and Gademann, R. (1999). Photosynthesis of the seagrass </w:t>
      </w:r>
      <w:r w:rsidRPr="00E6043D">
        <w:rPr>
          <w:i/>
          <w:noProof/>
          <w:sz w:val="20"/>
          <w:lang w:val="x-none"/>
        </w:rPr>
        <w:t>Posidonia australis</w:t>
      </w:r>
      <w:r w:rsidRPr="00E6043D">
        <w:rPr>
          <w:noProof/>
          <w:sz w:val="20"/>
          <w:lang w:val="x-none"/>
        </w:rPr>
        <w:t xml:space="preserve"> Hook. f and associated epiphytes, measured by </w:t>
      </w:r>
      <w:r w:rsidRPr="00E6043D">
        <w:rPr>
          <w:i/>
          <w:noProof/>
          <w:sz w:val="20"/>
          <w:lang w:val="x-none"/>
        </w:rPr>
        <w:t>in situ</w:t>
      </w:r>
      <w:r w:rsidRPr="00E6043D">
        <w:rPr>
          <w:noProof/>
          <w:sz w:val="20"/>
          <w:lang w:val="x-none"/>
        </w:rPr>
        <w:t xml:space="preserve"> fluorescence analysis. In D Walker &amp; F Wells (Eds.), </w:t>
      </w:r>
      <w:r w:rsidRPr="00E6043D">
        <w:rPr>
          <w:i/>
          <w:noProof/>
          <w:sz w:val="20"/>
          <w:lang w:val="x-none"/>
        </w:rPr>
        <w:t>The seagrass flora and fauna of Rottnest Island, Western Australia</w:t>
      </w:r>
      <w:r w:rsidRPr="00E6043D">
        <w:rPr>
          <w:noProof/>
          <w:sz w:val="20"/>
          <w:lang w:val="x-none"/>
        </w:rPr>
        <w:t xml:space="preserve"> (pp. 63–71). Perth: West Australian Museum.</w:t>
      </w:r>
      <w:bookmarkEnd w:id="826"/>
    </w:p>
    <w:p w:rsidR="00E6043D" w:rsidRPr="00E6043D" w:rsidRDefault="00E6043D" w:rsidP="00E6043D">
      <w:pPr>
        <w:spacing w:after="0"/>
        <w:ind w:left="720" w:hanging="720"/>
        <w:rPr>
          <w:noProof/>
          <w:sz w:val="20"/>
          <w:lang w:val="x-none"/>
        </w:rPr>
      </w:pPr>
      <w:bookmarkStart w:id="827" w:name="_ENREF_203"/>
      <w:r w:rsidRPr="00E6043D">
        <w:rPr>
          <w:noProof/>
          <w:sz w:val="20"/>
          <w:lang w:val="x-none"/>
        </w:rPr>
        <w:t xml:space="preserve">Rasheed, M., Thomas, R., Roelofs, A., and McKenna, S. (2005). </w:t>
      </w:r>
      <w:r w:rsidRPr="00E6043D">
        <w:rPr>
          <w:i/>
          <w:noProof/>
          <w:sz w:val="20"/>
          <w:lang w:val="x-none"/>
        </w:rPr>
        <w:t>Critical marine habitats adjacent to the high risk Inner Shipping Route in the Shelburne, Margaret and Indian Bays Region, Far North Queensland, Australia - 2005 Atlas. QDPI&amp;F Information Series QI04048</w:t>
      </w:r>
      <w:r w:rsidRPr="00E6043D">
        <w:rPr>
          <w:noProof/>
          <w:sz w:val="20"/>
          <w:lang w:val="x-none"/>
        </w:rPr>
        <w:t>. Cairns: Northern Fisheries Centre.</w:t>
      </w:r>
      <w:bookmarkEnd w:id="827"/>
    </w:p>
    <w:p w:rsidR="00E6043D" w:rsidRPr="00E6043D" w:rsidRDefault="00E6043D" w:rsidP="00E6043D">
      <w:pPr>
        <w:spacing w:after="0"/>
        <w:ind w:left="720" w:hanging="720"/>
        <w:rPr>
          <w:noProof/>
          <w:sz w:val="20"/>
          <w:lang w:val="x-none"/>
        </w:rPr>
      </w:pPr>
      <w:bookmarkStart w:id="828" w:name="_ENREF_204"/>
      <w:r w:rsidRPr="00E6043D">
        <w:rPr>
          <w:noProof/>
          <w:sz w:val="20"/>
          <w:lang w:val="x-none"/>
        </w:rPr>
        <w:t xml:space="preserve">Rasheed, M.A. 2004, Recovery and succession in a multi-species tropical seagrass meadow following experimental disturbance: the role of sexual and asexual reproduction. </w:t>
      </w:r>
      <w:r w:rsidRPr="00E6043D">
        <w:rPr>
          <w:i/>
          <w:noProof/>
          <w:sz w:val="20"/>
          <w:lang w:val="x-none"/>
        </w:rPr>
        <w:t>Journal of Experimental Marine Biology and Ecology, 310</w:t>
      </w:r>
      <w:r w:rsidRPr="00E6043D">
        <w:rPr>
          <w:noProof/>
          <w:sz w:val="20"/>
          <w:lang w:val="x-none"/>
        </w:rPr>
        <w:t xml:space="preserve">, 13-45. </w:t>
      </w:r>
      <w:bookmarkEnd w:id="828"/>
    </w:p>
    <w:p w:rsidR="00E6043D" w:rsidRPr="00E6043D" w:rsidRDefault="00E6043D" w:rsidP="00E6043D">
      <w:pPr>
        <w:spacing w:after="0"/>
        <w:ind w:left="720" w:hanging="720"/>
        <w:rPr>
          <w:noProof/>
          <w:sz w:val="20"/>
          <w:lang w:val="x-none"/>
        </w:rPr>
      </w:pPr>
      <w:bookmarkStart w:id="829" w:name="_ENREF_205"/>
      <w:r w:rsidRPr="00E6043D">
        <w:rPr>
          <w:noProof/>
          <w:sz w:val="20"/>
          <w:lang w:val="x-none"/>
        </w:rPr>
        <w:t xml:space="preserve">Rasheed, M.A., Thomas, R., Roelofs, A.J., Neil, K.M., and Kerville, S.P. (2003). </w:t>
      </w:r>
      <w:r w:rsidRPr="00E6043D">
        <w:rPr>
          <w:i/>
          <w:noProof/>
          <w:sz w:val="20"/>
          <w:lang w:val="x-none"/>
        </w:rPr>
        <w:t>Port Curtis and Rodds Bay seagrass and benthic macro-invertebrate community baseline survey, November/December 2002. DPI Information Series QI03058</w:t>
      </w:r>
      <w:r w:rsidRPr="00E6043D">
        <w:rPr>
          <w:noProof/>
          <w:sz w:val="20"/>
          <w:lang w:val="x-none"/>
        </w:rPr>
        <w:t>. Cairns: DPI.</w:t>
      </w:r>
      <w:bookmarkEnd w:id="829"/>
    </w:p>
    <w:p w:rsidR="00E6043D" w:rsidRPr="00E6043D" w:rsidRDefault="00E6043D" w:rsidP="00E6043D">
      <w:pPr>
        <w:spacing w:after="0"/>
        <w:ind w:left="720" w:hanging="720"/>
        <w:rPr>
          <w:noProof/>
          <w:sz w:val="20"/>
          <w:lang w:val="x-none"/>
        </w:rPr>
      </w:pPr>
      <w:bookmarkStart w:id="830" w:name="_ENREF_206"/>
      <w:r w:rsidRPr="00E6043D">
        <w:rPr>
          <w:noProof/>
          <w:sz w:val="20"/>
          <w:lang w:val="x-none"/>
        </w:rPr>
        <w:t>Read, M.A., and Limpus, C.J. 2002, The green turtle (</w:t>
      </w:r>
      <w:r w:rsidRPr="00E6043D">
        <w:rPr>
          <w:i/>
          <w:noProof/>
          <w:sz w:val="20"/>
          <w:lang w:val="x-none"/>
        </w:rPr>
        <w:t>Chelonia mydas</w:t>
      </w:r>
      <w:r w:rsidRPr="00E6043D">
        <w:rPr>
          <w:noProof/>
          <w:sz w:val="20"/>
          <w:lang w:val="x-none"/>
        </w:rPr>
        <w:t xml:space="preserve">) in Queensland: Feeding ecology of immature turtles in a temperate feeding area. </w:t>
      </w:r>
      <w:r w:rsidRPr="00E6043D">
        <w:rPr>
          <w:i/>
          <w:noProof/>
          <w:sz w:val="20"/>
          <w:lang w:val="x-none"/>
        </w:rPr>
        <w:t>Memoirs of the Queensland Museum - Nature, 48</w:t>
      </w:r>
      <w:r w:rsidRPr="00E6043D">
        <w:rPr>
          <w:noProof/>
          <w:sz w:val="20"/>
          <w:lang w:val="x-none"/>
        </w:rPr>
        <w:t xml:space="preserve">(1), 207-214. </w:t>
      </w:r>
      <w:bookmarkEnd w:id="830"/>
    </w:p>
    <w:p w:rsidR="00E6043D" w:rsidRPr="00E6043D" w:rsidRDefault="00E6043D" w:rsidP="00E6043D">
      <w:pPr>
        <w:spacing w:after="0"/>
        <w:ind w:left="720" w:hanging="720"/>
        <w:rPr>
          <w:noProof/>
          <w:sz w:val="20"/>
          <w:lang w:val="x-none"/>
        </w:rPr>
      </w:pPr>
      <w:bookmarkStart w:id="831" w:name="_ENREF_207"/>
      <w:r w:rsidRPr="00E6043D">
        <w:rPr>
          <w:noProof/>
          <w:sz w:val="20"/>
          <w:lang w:val="x-none"/>
        </w:rPr>
        <w:t xml:space="preserve">Redfield, A.C., Ketchum, B.H., and Richards, F.A. (Eds.). (1963). </w:t>
      </w:r>
      <w:r w:rsidRPr="00E6043D">
        <w:rPr>
          <w:i/>
          <w:noProof/>
          <w:sz w:val="20"/>
          <w:lang w:val="x-none"/>
        </w:rPr>
        <w:t>The influence of organisms on the composition of seawater</w:t>
      </w:r>
      <w:r w:rsidRPr="00E6043D">
        <w:rPr>
          <w:noProof/>
          <w:sz w:val="20"/>
          <w:lang w:val="x-none"/>
        </w:rPr>
        <w:t>. New York: Wiley Interscience.</w:t>
      </w:r>
      <w:bookmarkEnd w:id="831"/>
    </w:p>
    <w:p w:rsidR="00E6043D" w:rsidRPr="00E6043D" w:rsidRDefault="00E6043D" w:rsidP="00E6043D">
      <w:pPr>
        <w:spacing w:after="0"/>
        <w:ind w:left="720" w:hanging="720"/>
        <w:rPr>
          <w:noProof/>
          <w:sz w:val="20"/>
          <w:lang w:val="x-none"/>
        </w:rPr>
      </w:pPr>
      <w:bookmarkStart w:id="832" w:name="_ENREF_208"/>
      <w:r w:rsidRPr="00E6043D">
        <w:rPr>
          <w:noProof/>
          <w:sz w:val="20"/>
          <w:lang w:val="x-none"/>
        </w:rPr>
        <w:t xml:space="preserve">Reef Water Quality Protection Plan Secretariat. (2011). </w:t>
      </w:r>
      <w:r w:rsidRPr="00E6043D">
        <w:rPr>
          <w:i/>
          <w:noProof/>
          <w:sz w:val="20"/>
          <w:lang w:val="x-none"/>
        </w:rPr>
        <w:t>Great Barrier Reef, First Report Card, 2009 Baseline.</w:t>
      </w:r>
      <w:r w:rsidRPr="00E6043D">
        <w:rPr>
          <w:noProof/>
          <w:sz w:val="20"/>
          <w:lang w:val="x-none"/>
        </w:rPr>
        <w:t xml:space="preserve"> Brisbane, Australia: The State of Queensland (Department of the Premier and Cabinet),.</w:t>
      </w:r>
      <w:bookmarkEnd w:id="832"/>
    </w:p>
    <w:p w:rsidR="00E6043D" w:rsidRPr="00E6043D" w:rsidRDefault="00E6043D" w:rsidP="00E6043D">
      <w:pPr>
        <w:spacing w:after="0"/>
        <w:ind w:left="720" w:hanging="720"/>
        <w:rPr>
          <w:noProof/>
          <w:sz w:val="20"/>
          <w:lang w:val="x-none"/>
        </w:rPr>
      </w:pPr>
      <w:bookmarkStart w:id="833" w:name="_ENREF_209"/>
      <w:r w:rsidRPr="00E6043D">
        <w:rPr>
          <w:noProof/>
          <w:sz w:val="20"/>
          <w:lang w:val="x-none"/>
        </w:rPr>
        <w:t xml:space="preserve">Roelfsema, C., Kovacs, E.M., Saunders, M.I., Phinn, S., Lyons, M., and Maxwell, P. 2013, Challenges of remote sensing for quantifying changes in large complex seagrass environments. </w:t>
      </w:r>
      <w:r w:rsidRPr="00E6043D">
        <w:rPr>
          <w:i/>
          <w:noProof/>
          <w:sz w:val="20"/>
          <w:lang w:val="x-none"/>
        </w:rPr>
        <w:t>Estuarine, Coastal and Shelf Science, 133</w:t>
      </w:r>
      <w:r w:rsidRPr="00E6043D">
        <w:rPr>
          <w:noProof/>
          <w:sz w:val="20"/>
          <w:lang w:val="x-none"/>
        </w:rPr>
        <w:t xml:space="preserve">, 161-171. doi: </w:t>
      </w:r>
      <w:hyperlink r:id="rId188" w:history="1">
        <w:r w:rsidRPr="00E6043D">
          <w:rPr>
            <w:rStyle w:val="Hyperlink"/>
            <w:noProof/>
            <w:sz w:val="20"/>
            <w:lang w:val="x-none"/>
          </w:rPr>
          <w:t>http://dx.doi.org/10.1016/j.ecss.2013.08.026</w:t>
        </w:r>
        <w:bookmarkEnd w:id="833"/>
      </w:hyperlink>
    </w:p>
    <w:p w:rsidR="00E6043D" w:rsidRPr="00E6043D" w:rsidRDefault="00E6043D" w:rsidP="00E6043D">
      <w:pPr>
        <w:spacing w:after="0"/>
        <w:ind w:left="720" w:hanging="720"/>
        <w:rPr>
          <w:noProof/>
          <w:sz w:val="20"/>
          <w:lang w:val="x-none"/>
        </w:rPr>
      </w:pPr>
      <w:bookmarkStart w:id="834" w:name="_ENREF_210"/>
      <w:r w:rsidRPr="00E6043D">
        <w:rPr>
          <w:noProof/>
          <w:sz w:val="20"/>
          <w:lang w:val="x-none"/>
        </w:rPr>
        <w:t xml:space="preserve">Roelfsema, C.M., Phinn, S.R., N. Udy, N., and Maxwell, P. 2009, An integrated field and remote sensing approach for mapping seagrass cover, Moreton Bay, Australia. </w:t>
      </w:r>
      <w:r w:rsidRPr="00E6043D">
        <w:rPr>
          <w:i/>
          <w:noProof/>
          <w:sz w:val="20"/>
          <w:lang w:val="x-none"/>
        </w:rPr>
        <w:t>Journal of Spatial Science, 54</w:t>
      </w:r>
      <w:r w:rsidRPr="00E6043D">
        <w:rPr>
          <w:noProof/>
          <w:sz w:val="20"/>
          <w:lang w:val="x-none"/>
        </w:rPr>
        <w:t xml:space="preserve">(1), 45-62. </w:t>
      </w:r>
      <w:bookmarkEnd w:id="834"/>
    </w:p>
    <w:p w:rsidR="00E6043D" w:rsidRPr="00E6043D" w:rsidRDefault="00E6043D" w:rsidP="00E6043D">
      <w:pPr>
        <w:spacing w:after="0"/>
        <w:ind w:left="720" w:hanging="720"/>
        <w:rPr>
          <w:noProof/>
          <w:sz w:val="20"/>
          <w:lang w:val="x-none"/>
        </w:rPr>
      </w:pPr>
      <w:bookmarkStart w:id="835" w:name="_ENREF_211"/>
      <w:r w:rsidRPr="00E6043D">
        <w:rPr>
          <w:noProof/>
          <w:sz w:val="20"/>
          <w:lang w:val="x-none"/>
        </w:rPr>
        <w:t xml:space="preserve">Roff, G., Clark, T.R., Reymond, C.E., Zhao, J.-x., Feng, Y., McCook, L.J., Done, T.J., and Pandolfi, J.M. 2013, Palaeoecological evidence of a historical collapse of corals at Pelorus Island, inshore Great Barrier Reef, following European settlement. </w:t>
      </w:r>
      <w:r w:rsidRPr="00E6043D">
        <w:rPr>
          <w:i/>
          <w:noProof/>
          <w:sz w:val="20"/>
          <w:lang w:val="x-none"/>
        </w:rPr>
        <w:t>Proceedings of the Royal Society of London B: Biological Sciences, 280</w:t>
      </w:r>
      <w:r w:rsidRPr="00E6043D">
        <w:rPr>
          <w:noProof/>
          <w:sz w:val="20"/>
          <w:lang w:val="x-none"/>
        </w:rPr>
        <w:t>(1750). doi: 10.1098/rspb.2012.2100</w:t>
      </w:r>
      <w:bookmarkEnd w:id="835"/>
    </w:p>
    <w:p w:rsidR="00E6043D" w:rsidRPr="00E6043D" w:rsidRDefault="00E6043D" w:rsidP="00E6043D">
      <w:pPr>
        <w:spacing w:after="0"/>
        <w:ind w:left="720" w:hanging="720"/>
        <w:rPr>
          <w:noProof/>
          <w:sz w:val="20"/>
          <w:lang w:val="x-none"/>
        </w:rPr>
      </w:pPr>
      <w:bookmarkStart w:id="836" w:name="_ENREF_212"/>
      <w:r w:rsidRPr="00E6043D">
        <w:rPr>
          <w:noProof/>
          <w:sz w:val="20"/>
          <w:lang w:val="x-none"/>
        </w:rPr>
        <w:t xml:space="preserve">Sand-Jensen, K. 1977, Effects of epiphytes on eelgrass photsynthesis. </w:t>
      </w:r>
      <w:r w:rsidRPr="00E6043D">
        <w:rPr>
          <w:i/>
          <w:noProof/>
          <w:sz w:val="20"/>
          <w:lang w:val="x-none"/>
        </w:rPr>
        <w:t>Aquatic Botany, 3</w:t>
      </w:r>
      <w:r w:rsidRPr="00E6043D">
        <w:rPr>
          <w:noProof/>
          <w:sz w:val="20"/>
          <w:lang w:val="x-none"/>
        </w:rPr>
        <w:t xml:space="preserve">, 55-63. </w:t>
      </w:r>
      <w:bookmarkEnd w:id="836"/>
    </w:p>
    <w:p w:rsidR="00E6043D" w:rsidRPr="00E6043D" w:rsidRDefault="00E6043D" w:rsidP="00E6043D">
      <w:pPr>
        <w:spacing w:after="0"/>
        <w:ind w:left="720" w:hanging="720"/>
        <w:rPr>
          <w:noProof/>
          <w:sz w:val="20"/>
          <w:lang w:val="x-none"/>
        </w:rPr>
      </w:pPr>
      <w:bookmarkStart w:id="837" w:name="_ENREF_213"/>
      <w:r w:rsidRPr="00E6043D">
        <w:rPr>
          <w:noProof/>
          <w:sz w:val="20"/>
          <w:lang w:val="x-none"/>
        </w:rPr>
        <w:t xml:space="preserve">Saunders, M.I., Bayraktarov, E., Roelfsema, C.M., Leona, J.X., Samper-Villarreal, J., Phinn, S.R., Lovelock, C.E., and Mumby, P.J. 2015, Spatial and temporal variability of seagrass at Lizard Island, Great Barrier Reef. </w:t>
      </w:r>
      <w:r w:rsidRPr="00E6043D">
        <w:rPr>
          <w:i/>
          <w:noProof/>
          <w:sz w:val="20"/>
          <w:lang w:val="x-none"/>
        </w:rPr>
        <w:t>Botanica Marina, 58</w:t>
      </w:r>
      <w:r w:rsidRPr="00E6043D">
        <w:rPr>
          <w:noProof/>
          <w:sz w:val="20"/>
          <w:lang w:val="x-none"/>
        </w:rPr>
        <w:t xml:space="preserve">(1), 35–49. </w:t>
      </w:r>
      <w:bookmarkEnd w:id="837"/>
    </w:p>
    <w:p w:rsidR="00E6043D" w:rsidRPr="00E6043D" w:rsidRDefault="00E6043D" w:rsidP="00E6043D">
      <w:pPr>
        <w:spacing w:after="0"/>
        <w:ind w:left="720" w:hanging="720"/>
        <w:rPr>
          <w:noProof/>
          <w:sz w:val="20"/>
          <w:lang w:val="x-none"/>
        </w:rPr>
      </w:pPr>
      <w:bookmarkStart w:id="838" w:name="_ENREF_214"/>
      <w:r w:rsidRPr="00E6043D">
        <w:rPr>
          <w:noProof/>
          <w:sz w:val="20"/>
          <w:lang w:val="x-none"/>
        </w:rPr>
        <w:lastRenderedPageBreak/>
        <w:t xml:space="preserve">Schaffelke, B., Anthony, K., Blake, J., Brodie, J., Collier, C., Devlin, M., Fabricius, K., Martin, K., McKenzie, L.J., Negri, A., Ronan, M., Thompson, A., and Warne, M. (2013). Marine and coastal ecosystem impacts </w:t>
      </w:r>
      <w:r w:rsidRPr="00E6043D">
        <w:rPr>
          <w:i/>
          <w:noProof/>
          <w:sz w:val="20"/>
          <w:lang w:val="x-none"/>
        </w:rPr>
        <w:t>Synthesis of evidence to support the Reef Water Quality Scientific Consensus Statement 2013</w:t>
      </w:r>
      <w:r w:rsidRPr="00E6043D">
        <w:rPr>
          <w:noProof/>
          <w:sz w:val="20"/>
          <w:lang w:val="x-none"/>
        </w:rPr>
        <w:t xml:space="preserve"> (pp. 47). Brisbane: Department of the Premier and Cabinet, Queensland Government.</w:t>
      </w:r>
      <w:bookmarkEnd w:id="838"/>
    </w:p>
    <w:p w:rsidR="00E6043D" w:rsidRPr="00E6043D" w:rsidRDefault="00E6043D" w:rsidP="00E6043D">
      <w:pPr>
        <w:spacing w:after="0"/>
        <w:ind w:left="720" w:hanging="720"/>
        <w:rPr>
          <w:noProof/>
          <w:sz w:val="20"/>
          <w:lang w:val="x-none"/>
        </w:rPr>
      </w:pPr>
      <w:bookmarkStart w:id="839" w:name="_ENREF_215"/>
      <w:r w:rsidRPr="00E6043D">
        <w:rPr>
          <w:noProof/>
          <w:sz w:val="20"/>
          <w:lang w:val="x-none"/>
        </w:rPr>
        <w:t xml:space="preserve">Schaffelke, B., Mellors, J., and Duke, N.C. 2005, Water quality in the Great Barrier Reef region: responses of mangrove, seagrass and macroalgal communities. </w:t>
      </w:r>
      <w:r w:rsidRPr="00E6043D">
        <w:rPr>
          <w:i/>
          <w:noProof/>
          <w:sz w:val="20"/>
          <w:lang w:val="x-none"/>
        </w:rPr>
        <w:t>Marine Pollution Bulletin, 51</w:t>
      </w:r>
      <w:r w:rsidRPr="00E6043D">
        <w:rPr>
          <w:noProof/>
          <w:sz w:val="20"/>
          <w:lang w:val="x-none"/>
        </w:rPr>
        <w:t>(1-4), 279-296. doi: 10.1016/j.marpolbul.2004.10.025</w:t>
      </w:r>
      <w:bookmarkEnd w:id="839"/>
    </w:p>
    <w:p w:rsidR="00E6043D" w:rsidRPr="00E6043D" w:rsidRDefault="00E6043D" w:rsidP="00E6043D">
      <w:pPr>
        <w:spacing w:after="0"/>
        <w:ind w:left="720" w:hanging="720"/>
        <w:rPr>
          <w:noProof/>
          <w:sz w:val="20"/>
          <w:lang w:val="x-none"/>
        </w:rPr>
      </w:pPr>
      <w:bookmarkStart w:id="840" w:name="_ENREF_216"/>
      <w:r w:rsidRPr="00E6043D">
        <w:rPr>
          <w:noProof/>
          <w:sz w:val="20"/>
          <w:lang w:val="x-none"/>
        </w:rPr>
        <w:t xml:space="preserve">Scheltinga, D.M., and Heydon, L. (Eds.). (2005). </w:t>
      </w:r>
      <w:r w:rsidRPr="00E6043D">
        <w:rPr>
          <w:i/>
          <w:noProof/>
          <w:sz w:val="20"/>
          <w:lang w:val="x-none"/>
        </w:rPr>
        <w:t xml:space="preserve">Report on the Condition of Estuarine, Coastal and Marine Resources of the Burdekin Dry Tropics Region, Commissioned by the Burdekin Dry Tropics Board. </w:t>
      </w:r>
      <w:r w:rsidRPr="00E6043D">
        <w:rPr>
          <w:noProof/>
          <w:sz w:val="20"/>
          <w:lang w:val="x-none"/>
        </w:rPr>
        <w:t>. Townsville: Cooperative Research Centre for Coastal Zone, Estuary and Waterway Management.</w:t>
      </w:r>
      <w:bookmarkEnd w:id="840"/>
    </w:p>
    <w:p w:rsidR="00E6043D" w:rsidRPr="00E6043D" w:rsidRDefault="00E6043D" w:rsidP="00E6043D">
      <w:pPr>
        <w:spacing w:after="0"/>
        <w:ind w:left="720" w:hanging="720"/>
        <w:rPr>
          <w:noProof/>
          <w:sz w:val="20"/>
          <w:lang w:val="x-none"/>
        </w:rPr>
      </w:pPr>
      <w:bookmarkStart w:id="841" w:name="_ENREF_217"/>
      <w:r w:rsidRPr="00E6043D">
        <w:rPr>
          <w:noProof/>
          <w:sz w:val="20"/>
          <w:lang w:val="x-none"/>
        </w:rPr>
        <w:t xml:space="preserve">Sheppard, J.K., Jones, R.E., Marsh, H., and Lawler, I.R. 2009, Effects of Tidal and Diel Cycles on Dugong Habitat Use. </w:t>
      </w:r>
      <w:r w:rsidRPr="00E6043D">
        <w:rPr>
          <w:i/>
          <w:noProof/>
          <w:sz w:val="20"/>
          <w:lang w:val="x-none"/>
        </w:rPr>
        <w:t>The Journal of Wildlife Management, 73</w:t>
      </w:r>
      <w:r w:rsidRPr="00E6043D">
        <w:rPr>
          <w:noProof/>
          <w:sz w:val="20"/>
          <w:lang w:val="x-none"/>
        </w:rPr>
        <w:t>(1), 45-59. doi: 10.2193/2007-468</w:t>
      </w:r>
      <w:bookmarkEnd w:id="841"/>
    </w:p>
    <w:p w:rsidR="00E6043D" w:rsidRPr="00E6043D" w:rsidRDefault="00E6043D" w:rsidP="00E6043D">
      <w:pPr>
        <w:spacing w:after="0"/>
        <w:ind w:left="720" w:hanging="720"/>
        <w:rPr>
          <w:noProof/>
          <w:sz w:val="20"/>
          <w:lang w:val="x-none"/>
        </w:rPr>
      </w:pPr>
      <w:bookmarkStart w:id="842" w:name="_ENREF_218"/>
      <w:r w:rsidRPr="00E6043D">
        <w:rPr>
          <w:noProof/>
          <w:sz w:val="20"/>
          <w:lang w:val="x-none"/>
        </w:rPr>
        <w:t xml:space="preserve">Short, F.T., Dennison, W.C., and Capone, D.G. 1990, Phosphorus-limited growth of the tropical seagrass Syringodium filiforme in carbonate sediments. </w:t>
      </w:r>
      <w:r w:rsidRPr="00E6043D">
        <w:rPr>
          <w:i/>
          <w:noProof/>
          <w:sz w:val="20"/>
          <w:lang w:val="x-none"/>
        </w:rPr>
        <w:t>Marine Ecology Progress Series, 62</w:t>
      </w:r>
      <w:r w:rsidRPr="00E6043D">
        <w:rPr>
          <w:noProof/>
          <w:sz w:val="20"/>
          <w:lang w:val="x-none"/>
        </w:rPr>
        <w:t xml:space="preserve">(1-2), 169-174. </w:t>
      </w:r>
      <w:bookmarkEnd w:id="842"/>
    </w:p>
    <w:p w:rsidR="00E6043D" w:rsidRPr="00E6043D" w:rsidRDefault="00E6043D" w:rsidP="00E6043D">
      <w:pPr>
        <w:spacing w:after="0"/>
        <w:ind w:left="720" w:hanging="720"/>
        <w:rPr>
          <w:noProof/>
          <w:sz w:val="20"/>
          <w:lang w:val="x-none"/>
        </w:rPr>
      </w:pPr>
      <w:bookmarkStart w:id="843" w:name="_ENREF_219"/>
      <w:r w:rsidRPr="00E6043D">
        <w:rPr>
          <w:noProof/>
          <w:sz w:val="20"/>
          <w:lang w:val="x-none"/>
        </w:rPr>
        <w:t xml:space="preserve">Short, F.T., Polidoro, B., Livingstone, S.R., Carpenter, K.E., Bandeira, S., Bujang, J.S., Calumpong, H.P., Carruthers, T.J.B., Coles, R.G., Dennison, W.C., Erftemeijer, P.L.A., Fortes, M.D., Freeman, A.S., Jagtap, T.G., Kamal, A.H.M., Kendrick, G.A., Kenworthy, W.J., La Nafie, Y.A., Nasution, I.M., Orth, R.J., Prathep, A., Sanciangco, J.C., van Tussenbroek, B., Vergara, S.G., Waycott, M., and Zieman, J.C. 2011, Extinction risk assessment of the world's seagrass species. </w:t>
      </w:r>
      <w:r w:rsidRPr="00E6043D">
        <w:rPr>
          <w:i/>
          <w:noProof/>
          <w:sz w:val="20"/>
          <w:lang w:val="x-none"/>
        </w:rPr>
        <w:t>Biological Conservation, 144</w:t>
      </w:r>
      <w:r w:rsidRPr="00E6043D">
        <w:rPr>
          <w:noProof/>
          <w:sz w:val="20"/>
          <w:lang w:val="x-none"/>
        </w:rPr>
        <w:t>(7), 1961-1971. doi: 10.1016/j.biocon.2011.04.010</w:t>
      </w:r>
      <w:bookmarkEnd w:id="843"/>
    </w:p>
    <w:p w:rsidR="00E6043D" w:rsidRPr="00E6043D" w:rsidRDefault="00E6043D" w:rsidP="00E6043D">
      <w:pPr>
        <w:spacing w:after="0"/>
        <w:ind w:left="720" w:hanging="720"/>
        <w:rPr>
          <w:noProof/>
          <w:sz w:val="20"/>
          <w:lang w:val="x-none"/>
        </w:rPr>
      </w:pPr>
      <w:bookmarkStart w:id="844" w:name="_ENREF_220"/>
      <w:r w:rsidRPr="00E6043D">
        <w:rPr>
          <w:noProof/>
          <w:sz w:val="20"/>
          <w:lang w:val="x-none"/>
        </w:rPr>
        <w:t xml:space="preserve">Silberstein, K., Chiffings, A.W., and McComb, A.J. 1986, The loss of seagrass in Cockburn Sound, Western Australia. III. The effect of epiphytes on productivity of {IPosidonia australis} Hook.F. </w:t>
      </w:r>
      <w:r w:rsidRPr="00E6043D">
        <w:rPr>
          <w:i/>
          <w:noProof/>
          <w:sz w:val="20"/>
          <w:lang w:val="x-none"/>
        </w:rPr>
        <w:t>Aquatic Botany, 24</w:t>
      </w:r>
      <w:r w:rsidRPr="00E6043D">
        <w:rPr>
          <w:noProof/>
          <w:sz w:val="20"/>
          <w:lang w:val="x-none"/>
        </w:rPr>
        <w:t xml:space="preserve">, 355-371. </w:t>
      </w:r>
      <w:bookmarkEnd w:id="844"/>
    </w:p>
    <w:p w:rsidR="00E6043D" w:rsidRPr="00E6043D" w:rsidRDefault="00E6043D" w:rsidP="00E6043D">
      <w:pPr>
        <w:spacing w:after="0"/>
        <w:ind w:left="720" w:hanging="720"/>
        <w:rPr>
          <w:noProof/>
          <w:sz w:val="20"/>
          <w:lang w:val="x-none"/>
        </w:rPr>
      </w:pPr>
      <w:bookmarkStart w:id="845" w:name="_ENREF_221"/>
      <w:r w:rsidRPr="00E6043D">
        <w:rPr>
          <w:noProof/>
          <w:sz w:val="20"/>
          <w:lang w:val="x-none"/>
        </w:rPr>
        <w:t xml:space="preserve">Stapel, J., Manuntun, R., and Hemminga, M.A. 1997, Biomass loss and nutrient redistribution in an Indonesian </w:t>
      </w:r>
      <w:r w:rsidRPr="00E6043D">
        <w:rPr>
          <w:i/>
          <w:noProof/>
          <w:sz w:val="20"/>
          <w:lang w:val="x-none"/>
        </w:rPr>
        <w:t>Thalassia hemprichii</w:t>
      </w:r>
      <w:r w:rsidRPr="00E6043D">
        <w:rPr>
          <w:noProof/>
          <w:sz w:val="20"/>
          <w:lang w:val="x-none"/>
        </w:rPr>
        <w:t xml:space="preserve"> seagrass bed following seasonal low tide exposure during daylight. </w:t>
      </w:r>
      <w:r w:rsidRPr="00E6043D">
        <w:rPr>
          <w:i/>
          <w:noProof/>
          <w:sz w:val="20"/>
          <w:lang w:val="x-none"/>
        </w:rPr>
        <w:t>Marine Ecology Progress Series, 148</w:t>
      </w:r>
      <w:r w:rsidRPr="00E6043D">
        <w:rPr>
          <w:noProof/>
          <w:sz w:val="20"/>
          <w:lang w:val="x-none"/>
        </w:rPr>
        <w:t xml:space="preserve">, 251-262. </w:t>
      </w:r>
      <w:bookmarkEnd w:id="845"/>
    </w:p>
    <w:p w:rsidR="00E6043D" w:rsidRPr="00E6043D" w:rsidRDefault="00E6043D" w:rsidP="00E6043D">
      <w:pPr>
        <w:spacing w:after="0"/>
        <w:ind w:left="720" w:hanging="720"/>
        <w:rPr>
          <w:noProof/>
          <w:sz w:val="20"/>
          <w:lang w:val="x-none"/>
        </w:rPr>
      </w:pPr>
      <w:bookmarkStart w:id="846" w:name="_ENREF_222"/>
      <w:r w:rsidRPr="00E6043D">
        <w:rPr>
          <w:noProof/>
          <w:sz w:val="20"/>
          <w:lang w:val="x-none"/>
        </w:rPr>
        <w:t xml:space="preserve">Stieglitz, T. 2005, Submarine groundwater discharge into the near-shore zone of the Great Barrier Reef, Australia. </w:t>
      </w:r>
      <w:r w:rsidRPr="00E6043D">
        <w:rPr>
          <w:i/>
          <w:noProof/>
          <w:sz w:val="20"/>
          <w:lang w:val="x-none"/>
        </w:rPr>
        <w:t>Marine Pollution Bulletin, 51</w:t>
      </w:r>
      <w:r w:rsidRPr="00E6043D">
        <w:rPr>
          <w:noProof/>
          <w:sz w:val="20"/>
          <w:lang w:val="x-none"/>
        </w:rPr>
        <w:t xml:space="preserve">(1-4), 51-59. </w:t>
      </w:r>
      <w:bookmarkEnd w:id="846"/>
    </w:p>
    <w:p w:rsidR="00E6043D" w:rsidRPr="00E6043D" w:rsidRDefault="00E6043D" w:rsidP="00E6043D">
      <w:pPr>
        <w:spacing w:after="0"/>
        <w:ind w:left="720" w:hanging="720"/>
        <w:rPr>
          <w:noProof/>
          <w:sz w:val="20"/>
          <w:lang w:val="x-none"/>
        </w:rPr>
      </w:pPr>
      <w:bookmarkStart w:id="847" w:name="_ENREF_223"/>
      <w:r w:rsidRPr="00E6043D">
        <w:rPr>
          <w:noProof/>
          <w:sz w:val="20"/>
          <w:lang w:val="x-none"/>
        </w:rPr>
        <w:t xml:space="preserve">Thorogood, J., and Boggon, T. (1999). </w:t>
      </w:r>
      <w:r w:rsidRPr="00E6043D">
        <w:rPr>
          <w:i/>
          <w:noProof/>
          <w:sz w:val="20"/>
          <w:lang w:val="x-none"/>
        </w:rPr>
        <w:t>Pioneer Bay environmental monitoring program. Fourth monitoring event, November 1999.</w:t>
      </w:r>
      <w:r w:rsidRPr="00E6043D">
        <w:rPr>
          <w:noProof/>
          <w:sz w:val="20"/>
          <w:lang w:val="x-none"/>
        </w:rPr>
        <w:t xml:space="preserve"> Wellington Point, Brisbane: FRC Coastal Resource &amp; Environmental.</w:t>
      </w:r>
      <w:bookmarkEnd w:id="847"/>
    </w:p>
    <w:p w:rsidR="00E6043D" w:rsidRPr="00E6043D" w:rsidRDefault="00E6043D" w:rsidP="00E6043D">
      <w:pPr>
        <w:spacing w:after="0"/>
        <w:ind w:left="720" w:hanging="720"/>
        <w:rPr>
          <w:noProof/>
          <w:sz w:val="20"/>
          <w:lang w:val="x-none"/>
        </w:rPr>
      </w:pPr>
      <w:bookmarkStart w:id="848" w:name="_ENREF_224"/>
      <w:r w:rsidRPr="00E6043D">
        <w:rPr>
          <w:noProof/>
          <w:sz w:val="20"/>
          <w:lang w:val="x-none"/>
        </w:rPr>
        <w:t>Tomasko, D.A., Dawes, C.J., and Hall, M.O. 1996, The effects of anthropogenic nutrient enrichment on turtle grass (</w:t>
      </w:r>
      <w:r w:rsidRPr="00E6043D">
        <w:rPr>
          <w:i/>
          <w:noProof/>
          <w:sz w:val="20"/>
          <w:lang w:val="x-none"/>
        </w:rPr>
        <w:t>Thalassia testudinum</w:t>
      </w:r>
      <w:r w:rsidRPr="00E6043D">
        <w:rPr>
          <w:noProof/>
          <w:sz w:val="20"/>
          <w:lang w:val="x-none"/>
        </w:rPr>
        <w:t xml:space="preserve">) in Sarasota Bay, Florida. </w:t>
      </w:r>
      <w:r w:rsidRPr="00E6043D">
        <w:rPr>
          <w:i/>
          <w:noProof/>
          <w:sz w:val="20"/>
          <w:lang w:val="x-none"/>
        </w:rPr>
        <w:t>Estuaries And Coasts, 19</w:t>
      </w:r>
      <w:r w:rsidRPr="00E6043D">
        <w:rPr>
          <w:noProof/>
          <w:sz w:val="20"/>
          <w:lang w:val="x-none"/>
        </w:rPr>
        <w:t xml:space="preserve">, 448–456. </w:t>
      </w:r>
      <w:bookmarkEnd w:id="848"/>
    </w:p>
    <w:p w:rsidR="00E6043D" w:rsidRPr="00E6043D" w:rsidRDefault="00E6043D" w:rsidP="00E6043D">
      <w:pPr>
        <w:spacing w:after="0"/>
        <w:ind w:left="720" w:hanging="720"/>
        <w:rPr>
          <w:noProof/>
          <w:sz w:val="20"/>
          <w:lang w:val="x-none"/>
        </w:rPr>
      </w:pPr>
      <w:bookmarkStart w:id="849" w:name="_ENREF_225"/>
      <w:r w:rsidRPr="00E6043D">
        <w:rPr>
          <w:noProof/>
          <w:sz w:val="20"/>
          <w:lang w:val="x-none"/>
        </w:rPr>
        <w:t xml:space="preserve">Tomasko, D.A., and Lapointe, B.E. 1991, Productivity and biomass of Thalassia Testudinum as related to the water column nutrient availability and epiphyte levels: Field observations and experimental studies. </w:t>
      </w:r>
      <w:r w:rsidRPr="00E6043D">
        <w:rPr>
          <w:i/>
          <w:noProof/>
          <w:sz w:val="20"/>
          <w:lang w:val="x-none"/>
        </w:rPr>
        <w:t>Marine Ecology Progress Series, 75</w:t>
      </w:r>
      <w:r w:rsidRPr="00E6043D">
        <w:rPr>
          <w:noProof/>
          <w:sz w:val="20"/>
          <w:lang w:val="x-none"/>
        </w:rPr>
        <w:t xml:space="preserve">, 9-17. </w:t>
      </w:r>
      <w:bookmarkEnd w:id="849"/>
    </w:p>
    <w:p w:rsidR="00E6043D" w:rsidRPr="00E6043D" w:rsidRDefault="00E6043D" w:rsidP="00E6043D">
      <w:pPr>
        <w:spacing w:after="0"/>
        <w:ind w:left="720" w:hanging="720"/>
        <w:rPr>
          <w:noProof/>
          <w:sz w:val="20"/>
          <w:lang w:val="x-none"/>
        </w:rPr>
      </w:pPr>
      <w:bookmarkStart w:id="850" w:name="_ENREF_226"/>
      <w:r w:rsidRPr="00E6043D">
        <w:rPr>
          <w:noProof/>
          <w:sz w:val="20"/>
          <w:lang w:val="x-none"/>
        </w:rPr>
        <w:t xml:space="preserve">Touchette, B.W. 2000, Review of nitrogen and phosphorous metabolism in seagrasses. </w:t>
      </w:r>
      <w:r w:rsidRPr="00E6043D">
        <w:rPr>
          <w:i/>
          <w:noProof/>
          <w:sz w:val="20"/>
          <w:lang w:val="x-none"/>
        </w:rPr>
        <w:t>Journal of Experimental Marine Biology and Ecology, 250</w:t>
      </w:r>
      <w:r w:rsidRPr="00E6043D">
        <w:rPr>
          <w:noProof/>
          <w:sz w:val="20"/>
          <w:lang w:val="x-none"/>
        </w:rPr>
        <w:t xml:space="preserve">, 133-167. </w:t>
      </w:r>
      <w:bookmarkEnd w:id="850"/>
    </w:p>
    <w:p w:rsidR="00E6043D" w:rsidRPr="00E6043D" w:rsidRDefault="00E6043D" w:rsidP="00E6043D">
      <w:pPr>
        <w:spacing w:after="0"/>
        <w:ind w:left="720" w:hanging="720"/>
        <w:rPr>
          <w:noProof/>
          <w:sz w:val="20"/>
          <w:lang w:val="x-none"/>
        </w:rPr>
      </w:pPr>
      <w:bookmarkStart w:id="851" w:name="_ENREF_227"/>
      <w:r w:rsidRPr="00E6043D">
        <w:rPr>
          <w:noProof/>
          <w:sz w:val="20"/>
          <w:lang w:val="x-none"/>
        </w:rPr>
        <w:t xml:space="preserve">Udy, J.W., and Dennison, W.C. 1997a, Growth and physiological responses of three Seagrass species to elevated sediment nutrients in Moreton Bay, Australia. </w:t>
      </w:r>
      <w:r w:rsidRPr="00E6043D">
        <w:rPr>
          <w:i/>
          <w:noProof/>
          <w:sz w:val="20"/>
          <w:lang w:val="x-none"/>
        </w:rPr>
        <w:t>Journal of Experimental Marine Biology and Ecology, 217</w:t>
      </w:r>
      <w:r w:rsidRPr="00E6043D">
        <w:rPr>
          <w:noProof/>
          <w:sz w:val="20"/>
          <w:lang w:val="x-none"/>
        </w:rPr>
        <w:t xml:space="preserve">(2), 253-277. </w:t>
      </w:r>
      <w:bookmarkEnd w:id="851"/>
    </w:p>
    <w:p w:rsidR="00E6043D" w:rsidRPr="00E6043D" w:rsidRDefault="00E6043D" w:rsidP="00E6043D">
      <w:pPr>
        <w:spacing w:after="0"/>
        <w:ind w:left="720" w:hanging="720"/>
        <w:rPr>
          <w:noProof/>
          <w:sz w:val="20"/>
          <w:lang w:val="x-none"/>
        </w:rPr>
      </w:pPr>
      <w:bookmarkStart w:id="852" w:name="_ENREF_228"/>
      <w:r w:rsidRPr="00E6043D">
        <w:rPr>
          <w:noProof/>
          <w:sz w:val="20"/>
          <w:lang w:val="x-none"/>
        </w:rPr>
        <w:t xml:space="preserve">Udy, J.W., and Dennison, W.C. 1997b, Physiological responses of seagrasses used to identify anthropogenic nutrient inputs. </w:t>
      </w:r>
      <w:r w:rsidRPr="00E6043D">
        <w:rPr>
          <w:i/>
          <w:noProof/>
          <w:sz w:val="20"/>
          <w:lang w:val="x-none"/>
        </w:rPr>
        <w:t>Marine and Freshwater Research, 48</w:t>
      </w:r>
      <w:r w:rsidRPr="00E6043D">
        <w:rPr>
          <w:noProof/>
          <w:sz w:val="20"/>
          <w:lang w:val="x-none"/>
        </w:rPr>
        <w:t xml:space="preserve">(7), 605-614. doi: </w:t>
      </w:r>
      <w:hyperlink r:id="rId189" w:history="1">
        <w:r w:rsidRPr="00E6043D">
          <w:rPr>
            <w:rStyle w:val="Hyperlink"/>
            <w:noProof/>
            <w:sz w:val="20"/>
            <w:lang w:val="x-none"/>
          </w:rPr>
          <w:t>http://dx.doi.org/10.1071/MF97001</w:t>
        </w:r>
        <w:bookmarkEnd w:id="852"/>
      </w:hyperlink>
    </w:p>
    <w:p w:rsidR="00E6043D" w:rsidRPr="00E6043D" w:rsidRDefault="00E6043D" w:rsidP="00E6043D">
      <w:pPr>
        <w:spacing w:after="0"/>
        <w:ind w:left="720" w:hanging="720"/>
        <w:rPr>
          <w:noProof/>
          <w:sz w:val="20"/>
          <w:lang w:val="x-none"/>
        </w:rPr>
      </w:pPr>
      <w:bookmarkStart w:id="853" w:name="_ENREF_229"/>
      <w:r w:rsidRPr="00E6043D">
        <w:rPr>
          <w:noProof/>
          <w:sz w:val="20"/>
          <w:lang w:val="x-none"/>
        </w:rPr>
        <w:t xml:space="preserve">Udy, J.W., Dennison, W.C., Lee Long, W.J., and McKenzie, L.J. 1999, Responses of seagrass to nutrients in the Great Barrier Reef, Australia. </w:t>
      </w:r>
      <w:r w:rsidRPr="00E6043D">
        <w:rPr>
          <w:i/>
          <w:noProof/>
          <w:sz w:val="20"/>
          <w:lang w:val="x-none"/>
        </w:rPr>
        <w:t>Marine Ecology Progress Series, 185</w:t>
      </w:r>
      <w:r w:rsidRPr="00E6043D">
        <w:rPr>
          <w:noProof/>
          <w:sz w:val="20"/>
          <w:lang w:val="x-none"/>
        </w:rPr>
        <w:t xml:space="preserve">, 257-271. </w:t>
      </w:r>
      <w:bookmarkEnd w:id="853"/>
    </w:p>
    <w:p w:rsidR="00E6043D" w:rsidRPr="00E6043D" w:rsidRDefault="00E6043D" w:rsidP="00E6043D">
      <w:pPr>
        <w:spacing w:after="0"/>
        <w:ind w:left="720" w:hanging="720"/>
        <w:rPr>
          <w:noProof/>
          <w:sz w:val="20"/>
          <w:lang w:val="x-none"/>
        </w:rPr>
      </w:pPr>
      <w:bookmarkStart w:id="854" w:name="_ENREF_230"/>
      <w:r w:rsidRPr="00E6043D">
        <w:rPr>
          <w:noProof/>
          <w:sz w:val="20"/>
          <w:lang w:val="x-none"/>
        </w:rPr>
        <w:t xml:space="preserve">Unsworth, R.K., Collier, C.J., Henderson, G.M., and McKenzie, L.J. 2012a, Tropical seagrass meadows modify seawater carbon chemistry: implications for coral reefs impacted by ocean acidification. </w:t>
      </w:r>
      <w:r w:rsidRPr="00E6043D">
        <w:rPr>
          <w:i/>
          <w:noProof/>
          <w:sz w:val="20"/>
          <w:lang w:val="x-none"/>
        </w:rPr>
        <w:t>Environmental Research Letters, 7</w:t>
      </w:r>
      <w:r w:rsidRPr="00E6043D">
        <w:rPr>
          <w:noProof/>
          <w:sz w:val="20"/>
          <w:lang w:val="x-none"/>
        </w:rPr>
        <w:t xml:space="preserve">(2), 024026. </w:t>
      </w:r>
      <w:bookmarkEnd w:id="854"/>
    </w:p>
    <w:p w:rsidR="00E6043D" w:rsidRPr="00E6043D" w:rsidRDefault="00E6043D" w:rsidP="00E6043D">
      <w:pPr>
        <w:spacing w:after="0"/>
        <w:ind w:left="720" w:hanging="720"/>
        <w:rPr>
          <w:noProof/>
          <w:sz w:val="20"/>
          <w:lang w:val="x-none"/>
        </w:rPr>
      </w:pPr>
      <w:bookmarkStart w:id="855" w:name="_ENREF_231"/>
      <w:r w:rsidRPr="00E6043D">
        <w:rPr>
          <w:noProof/>
          <w:sz w:val="20"/>
          <w:lang w:val="x-none"/>
        </w:rPr>
        <w:lastRenderedPageBreak/>
        <w:t xml:space="preserve">Unsworth, R.K.F., Collier, C.J., Waycott, M., McKenzie, L.J., and Cullen-Unsworth, L.C. 2015, A framework for the resilience of seagrass ecosystems. </w:t>
      </w:r>
      <w:r w:rsidRPr="00E6043D">
        <w:rPr>
          <w:i/>
          <w:noProof/>
          <w:sz w:val="20"/>
          <w:lang w:val="x-none"/>
        </w:rPr>
        <w:t>Marine Pollution Bulletin, 100</w:t>
      </w:r>
      <w:r w:rsidRPr="00E6043D">
        <w:rPr>
          <w:noProof/>
          <w:sz w:val="20"/>
          <w:lang w:val="x-none"/>
        </w:rPr>
        <w:t xml:space="preserve">(1), 34-46. doi: </w:t>
      </w:r>
      <w:hyperlink r:id="rId190" w:history="1">
        <w:r w:rsidRPr="00E6043D">
          <w:rPr>
            <w:rStyle w:val="Hyperlink"/>
            <w:noProof/>
            <w:sz w:val="20"/>
            <w:lang w:val="x-none"/>
          </w:rPr>
          <w:t>http://dx.doi.org/10.1016/j.marpolbul.2015.08.016</w:t>
        </w:r>
        <w:bookmarkEnd w:id="855"/>
      </w:hyperlink>
    </w:p>
    <w:p w:rsidR="00E6043D" w:rsidRPr="00E6043D" w:rsidRDefault="00E6043D" w:rsidP="00E6043D">
      <w:pPr>
        <w:spacing w:after="0"/>
        <w:ind w:left="720" w:hanging="720"/>
        <w:rPr>
          <w:noProof/>
          <w:sz w:val="20"/>
          <w:lang w:val="x-none"/>
        </w:rPr>
      </w:pPr>
      <w:bookmarkStart w:id="856" w:name="_ENREF_232"/>
      <w:r w:rsidRPr="00E6043D">
        <w:rPr>
          <w:noProof/>
          <w:sz w:val="20"/>
          <w:lang w:val="x-none"/>
        </w:rPr>
        <w:t xml:space="preserve">Unsworth, R.K.F., Rasheed, M.A., Chartrand, K.M., and Roelofs, A.J. 2012b, Solar radiation and tidal exposure as environmental drivers of </w:t>
      </w:r>
      <w:r w:rsidRPr="00E6043D">
        <w:rPr>
          <w:i/>
          <w:noProof/>
          <w:sz w:val="20"/>
          <w:lang w:val="x-none"/>
        </w:rPr>
        <w:t>Enhalus acoroides</w:t>
      </w:r>
      <w:r w:rsidRPr="00E6043D">
        <w:rPr>
          <w:noProof/>
          <w:sz w:val="20"/>
          <w:lang w:val="x-none"/>
        </w:rPr>
        <w:t xml:space="preserve"> dominated seagrass meadows. </w:t>
      </w:r>
      <w:r w:rsidRPr="00E6043D">
        <w:rPr>
          <w:i/>
          <w:noProof/>
          <w:sz w:val="20"/>
          <w:lang w:val="x-none"/>
        </w:rPr>
        <w:t>Plos One, 7</w:t>
      </w:r>
      <w:r w:rsidRPr="00E6043D">
        <w:rPr>
          <w:noProof/>
          <w:sz w:val="20"/>
          <w:lang w:val="x-none"/>
        </w:rPr>
        <w:t>(3). doi: 10.1371/journal.pone.0034133</w:t>
      </w:r>
      <w:bookmarkEnd w:id="856"/>
    </w:p>
    <w:p w:rsidR="00E6043D" w:rsidRPr="00E6043D" w:rsidRDefault="00E6043D" w:rsidP="00E6043D">
      <w:pPr>
        <w:spacing w:after="0"/>
        <w:ind w:left="720" w:hanging="720"/>
        <w:rPr>
          <w:noProof/>
          <w:sz w:val="20"/>
          <w:lang w:val="x-none"/>
        </w:rPr>
      </w:pPr>
      <w:bookmarkStart w:id="857" w:name="_ENREF_233"/>
      <w:r w:rsidRPr="00E6043D">
        <w:rPr>
          <w:noProof/>
          <w:sz w:val="20"/>
          <w:lang w:val="x-none"/>
        </w:rPr>
        <w:t xml:space="preserve">van Katwijk, M.M., Bos, A.R., Hermus, D.C.R., and Suykerbuyk, W. 2010, Sediment modification by seagrass beds: Muddification and sandification induced by plant cover and environmental conditions. </w:t>
      </w:r>
      <w:r w:rsidRPr="00E6043D">
        <w:rPr>
          <w:i/>
          <w:noProof/>
          <w:sz w:val="20"/>
          <w:lang w:val="x-none"/>
        </w:rPr>
        <w:t>Estuarine Coastal And Shelf Science, 89</w:t>
      </w:r>
      <w:r w:rsidRPr="00E6043D">
        <w:rPr>
          <w:noProof/>
          <w:sz w:val="20"/>
          <w:lang w:val="x-none"/>
        </w:rPr>
        <w:t>(2), 175-181. doi: 10.1016/j.ecss.2010.06.008</w:t>
      </w:r>
      <w:bookmarkEnd w:id="857"/>
    </w:p>
    <w:p w:rsidR="00E6043D" w:rsidRPr="00E6043D" w:rsidRDefault="00E6043D" w:rsidP="00E6043D">
      <w:pPr>
        <w:spacing w:after="0"/>
        <w:ind w:left="720" w:hanging="720"/>
        <w:rPr>
          <w:noProof/>
          <w:sz w:val="20"/>
          <w:lang w:val="x-none"/>
        </w:rPr>
      </w:pPr>
      <w:bookmarkStart w:id="858" w:name="_ENREF_234"/>
      <w:r w:rsidRPr="00E6043D">
        <w:rPr>
          <w:noProof/>
          <w:sz w:val="20"/>
          <w:lang w:val="x-none"/>
        </w:rPr>
        <w:t xml:space="preserve">van Katwijk, M.M., Vergeer, L.H.T., Schmitz, G.H.W., and Roelofs, J.G.M. 1997, Ammonium toxicity in eelgrass </w:t>
      </w:r>
      <w:r w:rsidRPr="00E6043D">
        <w:rPr>
          <w:i/>
          <w:noProof/>
          <w:sz w:val="20"/>
          <w:lang w:val="x-none"/>
        </w:rPr>
        <w:t>Zostera marina</w:t>
      </w:r>
      <w:r w:rsidRPr="00E6043D">
        <w:rPr>
          <w:noProof/>
          <w:sz w:val="20"/>
          <w:lang w:val="x-none"/>
        </w:rPr>
        <w:t xml:space="preserve">. </w:t>
      </w:r>
      <w:r w:rsidRPr="00E6043D">
        <w:rPr>
          <w:i/>
          <w:noProof/>
          <w:sz w:val="20"/>
          <w:lang w:val="x-none"/>
        </w:rPr>
        <w:t>Marine Ecology Progress Series, 157</w:t>
      </w:r>
      <w:r w:rsidRPr="00E6043D">
        <w:rPr>
          <w:noProof/>
          <w:sz w:val="20"/>
          <w:lang w:val="x-none"/>
        </w:rPr>
        <w:t xml:space="preserve">, 159-173. </w:t>
      </w:r>
      <w:bookmarkEnd w:id="858"/>
    </w:p>
    <w:p w:rsidR="00E6043D" w:rsidRPr="00E6043D" w:rsidRDefault="00E6043D" w:rsidP="00E6043D">
      <w:pPr>
        <w:spacing w:after="0"/>
        <w:ind w:left="720" w:hanging="720"/>
        <w:rPr>
          <w:noProof/>
          <w:sz w:val="20"/>
          <w:lang w:val="x-none"/>
        </w:rPr>
      </w:pPr>
      <w:bookmarkStart w:id="859" w:name="_ENREF_235"/>
      <w:r w:rsidRPr="00E6043D">
        <w:rPr>
          <w:noProof/>
          <w:sz w:val="20"/>
          <w:lang w:val="x-none"/>
        </w:rPr>
        <w:t xml:space="preserve">Walker, D.I., and McComb, A.J. 1992, Seagrass degradation in Australian coastal waters. </w:t>
      </w:r>
      <w:r w:rsidRPr="00E6043D">
        <w:rPr>
          <w:i/>
          <w:noProof/>
          <w:sz w:val="20"/>
          <w:lang w:val="x-none"/>
        </w:rPr>
        <w:t>Marine Pollution Bulletin, 25</w:t>
      </w:r>
      <w:r w:rsidRPr="00E6043D">
        <w:rPr>
          <w:noProof/>
          <w:sz w:val="20"/>
          <w:lang w:val="x-none"/>
        </w:rPr>
        <w:t xml:space="preserve">, 191-195. </w:t>
      </w:r>
      <w:bookmarkEnd w:id="859"/>
    </w:p>
    <w:p w:rsidR="00E6043D" w:rsidRPr="00E6043D" w:rsidRDefault="00E6043D" w:rsidP="00E6043D">
      <w:pPr>
        <w:spacing w:after="0"/>
        <w:ind w:left="720" w:hanging="720"/>
        <w:rPr>
          <w:noProof/>
          <w:sz w:val="20"/>
          <w:lang w:val="x-none"/>
        </w:rPr>
      </w:pPr>
      <w:bookmarkStart w:id="860" w:name="_ENREF_236"/>
      <w:r w:rsidRPr="00E6043D">
        <w:rPr>
          <w:noProof/>
          <w:sz w:val="20"/>
          <w:lang w:val="x-none"/>
        </w:rPr>
        <w:t xml:space="preserve">Walker, M., and Esslemont, G. (2008). </w:t>
      </w:r>
      <w:r w:rsidRPr="00E6043D">
        <w:rPr>
          <w:i/>
          <w:noProof/>
          <w:sz w:val="20"/>
          <w:lang w:val="x-none"/>
        </w:rPr>
        <w:t>Mary Water Quality Improvement Plan, Draft Version 1.2.</w:t>
      </w:r>
      <w:r w:rsidRPr="00E6043D">
        <w:rPr>
          <w:noProof/>
          <w:sz w:val="20"/>
          <w:lang w:val="x-none"/>
        </w:rPr>
        <w:t xml:space="preserve"> Bundaberg: Wide Bay Water Corporation and Burnett Mary Regional Group for Natural Resource Management.</w:t>
      </w:r>
      <w:bookmarkEnd w:id="860"/>
    </w:p>
    <w:p w:rsidR="00E6043D" w:rsidRPr="00E6043D" w:rsidRDefault="00E6043D" w:rsidP="00E6043D">
      <w:pPr>
        <w:spacing w:after="0"/>
        <w:ind w:left="720" w:hanging="720"/>
        <w:rPr>
          <w:noProof/>
          <w:sz w:val="20"/>
          <w:lang w:val="x-none"/>
        </w:rPr>
      </w:pPr>
      <w:bookmarkStart w:id="861" w:name="_ENREF_237"/>
      <w:r w:rsidRPr="00E6043D">
        <w:rPr>
          <w:noProof/>
          <w:sz w:val="20"/>
          <w:lang w:val="x-none"/>
        </w:rPr>
        <w:t xml:space="preserve">Watson, R.A., Coles, R.G., and Lee Long, W.J. 1993, Simulation estimates of annual yield and landed value for commercial penaeid prawns from a tropical seagrass habitat, northern Queensland, Australia. </w:t>
      </w:r>
      <w:r w:rsidRPr="00E6043D">
        <w:rPr>
          <w:i/>
          <w:noProof/>
          <w:sz w:val="20"/>
          <w:lang w:val="x-none"/>
        </w:rPr>
        <w:t>Australian Journal of Marine and Freshwater Research, 44</w:t>
      </w:r>
      <w:r w:rsidRPr="00E6043D">
        <w:rPr>
          <w:noProof/>
          <w:sz w:val="20"/>
          <w:lang w:val="x-none"/>
        </w:rPr>
        <w:t xml:space="preserve">(1), 211-220. </w:t>
      </w:r>
      <w:bookmarkEnd w:id="861"/>
    </w:p>
    <w:p w:rsidR="00E6043D" w:rsidRPr="00E6043D" w:rsidRDefault="00E6043D" w:rsidP="00E6043D">
      <w:pPr>
        <w:spacing w:after="0"/>
        <w:ind w:left="720" w:hanging="720"/>
        <w:rPr>
          <w:noProof/>
          <w:sz w:val="20"/>
          <w:lang w:val="x-none"/>
        </w:rPr>
      </w:pPr>
      <w:bookmarkStart w:id="862" w:name="_ENREF_238"/>
      <w:r w:rsidRPr="00E6043D">
        <w:rPr>
          <w:noProof/>
          <w:sz w:val="20"/>
          <w:lang w:val="x-none"/>
        </w:rPr>
        <w:t xml:space="preserve">Waycott, M., Collier, C., McMahon, K., Ralph, P.J., McKenzie, L.J., Udy, J.W., and Grech, A. (2007). Vulnerability of seagrasses in the Great Barrier Reef to climate change - Chapter 8: . In JE Johnson &amp; PA Marshall (Eds.), </w:t>
      </w:r>
      <w:r w:rsidRPr="00E6043D">
        <w:rPr>
          <w:i/>
          <w:noProof/>
          <w:sz w:val="20"/>
          <w:lang w:val="x-none"/>
        </w:rPr>
        <w:t>Climate Change and the Great Barrier Reef: A Vulnerability Assessment, Part II: Species and species groups</w:t>
      </w:r>
      <w:r w:rsidRPr="00E6043D">
        <w:rPr>
          <w:noProof/>
          <w:sz w:val="20"/>
          <w:lang w:val="x-none"/>
        </w:rPr>
        <w:t xml:space="preserve"> (pp. 193-236). Townsville: Great Barrier Reef Marine Park Authority     </w:t>
      </w:r>
      <w:bookmarkEnd w:id="862"/>
    </w:p>
    <w:p w:rsidR="00E6043D" w:rsidRPr="00E6043D" w:rsidRDefault="00E6043D" w:rsidP="00E6043D">
      <w:pPr>
        <w:spacing w:after="0"/>
        <w:ind w:left="720" w:hanging="720"/>
        <w:rPr>
          <w:noProof/>
          <w:sz w:val="20"/>
          <w:lang w:val="x-none"/>
        </w:rPr>
      </w:pPr>
      <w:bookmarkStart w:id="863" w:name="_ENREF_239"/>
      <w:r w:rsidRPr="00E6043D">
        <w:rPr>
          <w:noProof/>
          <w:sz w:val="20"/>
          <w:lang w:val="x-none"/>
        </w:rPr>
        <w:t xml:space="preserve">Waycott, M., McKenzie, L.J., Mellors, J.E., Ellison, J.C., Sheaves, M.T., Collier, C., Schwarz, A.-M., Webb, A., Johnson, J., and Payri, C.E. (2011). Vulnerability of mangroves, seagrasses and intertidal flats in the tropical Pacific to climate change. In JD Bell, JE Johnson &amp; AJ Hobday (Eds.), </w:t>
      </w:r>
      <w:r w:rsidRPr="00E6043D">
        <w:rPr>
          <w:i/>
          <w:noProof/>
          <w:sz w:val="20"/>
          <w:lang w:val="x-none"/>
        </w:rPr>
        <w:t>Vulnerability of fisheries and aquaculture in the Pacific to climate change</w:t>
      </w:r>
      <w:r w:rsidRPr="00E6043D">
        <w:rPr>
          <w:noProof/>
          <w:sz w:val="20"/>
          <w:lang w:val="x-none"/>
        </w:rPr>
        <w:t xml:space="preserve"> (pp. 97-168). Noumea, New Caledonia: Secretariat of the Pacific Community.</w:t>
      </w:r>
      <w:bookmarkEnd w:id="863"/>
    </w:p>
    <w:p w:rsidR="00E6043D" w:rsidRPr="00E6043D" w:rsidRDefault="00E6043D" w:rsidP="00E6043D">
      <w:pPr>
        <w:spacing w:after="0"/>
        <w:ind w:left="720" w:hanging="720"/>
        <w:rPr>
          <w:noProof/>
          <w:sz w:val="20"/>
          <w:lang w:val="x-none"/>
        </w:rPr>
      </w:pPr>
      <w:bookmarkStart w:id="864" w:name="_ENREF_240"/>
      <w:r w:rsidRPr="00E6043D">
        <w:rPr>
          <w:noProof/>
          <w:sz w:val="20"/>
          <w:lang w:val="x-none"/>
        </w:rPr>
        <w:t xml:space="preserve">Waycott, M., McMahon, K.M., Mellors, J.E., Calladine, A., and Kleine, D. (2004). </w:t>
      </w:r>
      <w:r w:rsidRPr="00E6043D">
        <w:rPr>
          <w:i/>
          <w:noProof/>
          <w:sz w:val="20"/>
          <w:lang w:val="x-none"/>
        </w:rPr>
        <w:t>A guide to tropical seagrasses of the Indo-West Pacific</w:t>
      </w:r>
      <w:r w:rsidRPr="00E6043D">
        <w:rPr>
          <w:noProof/>
          <w:sz w:val="20"/>
          <w:lang w:val="x-none"/>
        </w:rPr>
        <w:t>. Townsville: James Cook University.</w:t>
      </w:r>
      <w:bookmarkEnd w:id="864"/>
    </w:p>
    <w:p w:rsidR="00E6043D" w:rsidRPr="00E6043D" w:rsidRDefault="00E6043D" w:rsidP="00E6043D">
      <w:pPr>
        <w:spacing w:after="0"/>
        <w:ind w:left="720" w:hanging="720"/>
        <w:rPr>
          <w:noProof/>
          <w:sz w:val="20"/>
          <w:lang w:val="x-none"/>
        </w:rPr>
      </w:pPr>
      <w:bookmarkStart w:id="865" w:name="_ENREF_241"/>
      <w:r w:rsidRPr="00E6043D">
        <w:rPr>
          <w:noProof/>
          <w:sz w:val="20"/>
          <w:lang w:val="x-none"/>
        </w:rPr>
        <w:t xml:space="preserve">Webster, I., and Ford, P. 2010, Delivery, deposition and redistribution of fine sediments within macrotidal Fitzroy Estuary/Keppel Bay: southern Great Barrier Reef, Australia. </w:t>
      </w:r>
      <w:r w:rsidRPr="00E6043D">
        <w:rPr>
          <w:i/>
          <w:noProof/>
          <w:sz w:val="20"/>
          <w:lang w:val="x-none"/>
        </w:rPr>
        <w:t>Continental Shelf Research, 30</w:t>
      </w:r>
      <w:r w:rsidRPr="00E6043D">
        <w:rPr>
          <w:noProof/>
          <w:sz w:val="20"/>
          <w:lang w:val="x-none"/>
        </w:rPr>
        <w:t xml:space="preserve">, 793–805. </w:t>
      </w:r>
      <w:bookmarkEnd w:id="865"/>
    </w:p>
    <w:p w:rsidR="00E6043D" w:rsidRPr="00E6043D" w:rsidRDefault="00E6043D" w:rsidP="00E6043D">
      <w:pPr>
        <w:spacing w:after="0"/>
        <w:ind w:left="720" w:hanging="720"/>
        <w:rPr>
          <w:noProof/>
          <w:sz w:val="20"/>
          <w:lang w:val="x-none"/>
        </w:rPr>
      </w:pPr>
      <w:bookmarkStart w:id="866" w:name="_ENREF_242"/>
      <w:r w:rsidRPr="00E6043D">
        <w:rPr>
          <w:noProof/>
          <w:sz w:val="20"/>
          <w:lang w:val="x-none"/>
        </w:rPr>
        <w:t xml:space="preserve">Whinney, J. (2007). </w:t>
      </w:r>
      <w:r w:rsidRPr="00E6043D">
        <w:rPr>
          <w:i/>
          <w:noProof/>
          <w:sz w:val="20"/>
          <w:lang w:val="x-none"/>
        </w:rPr>
        <w:t>Physical conditions on marginal coral reefs.</w:t>
      </w:r>
      <w:r w:rsidRPr="00E6043D">
        <w:rPr>
          <w:noProof/>
          <w:sz w:val="20"/>
          <w:lang w:val="x-none"/>
        </w:rPr>
        <w:t xml:space="preserve"> PhD, James Cook University, Townsville.   </w:t>
      </w:r>
      <w:bookmarkEnd w:id="866"/>
    </w:p>
    <w:p w:rsidR="00E6043D" w:rsidRPr="00E6043D" w:rsidRDefault="00E6043D" w:rsidP="00E6043D">
      <w:pPr>
        <w:spacing w:after="0"/>
        <w:ind w:left="720" w:hanging="720"/>
        <w:rPr>
          <w:noProof/>
          <w:sz w:val="20"/>
          <w:lang w:val="x-none"/>
        </w:rPr>
      </w:pPr>
      <w:bookmarkStart w:id="867" w:name="_ENREF_243"/>
      <w:r w:rsidRPr="00E6043D">
        <w:rPr>
          <w:noProof/>
          <w:sz w:val="20"/>
          <w:lang w:val="x-none"/>
        </w:rPr>
        <w:t xml:space="preserve">Womersley, H. (Ed.). (1981). </w:t>
      </w:r>
      <w:r w:rsidRPr="00E6043D">
        <w:rPr>
          <w:i/>
          <w:noProof/>
          <w:sz w:val="20"/>
          <w:lang w:val="x-none"/>
        </w:rPr>
        <w:t>Marine Ecology and zonation of temperate coasts</w:t>
      </w:r>
      <w:r w:rsidRPr="00E6043D">
        <w:rPr>
          <w:noProof/>
          <w:sz w:val="20"/>
          <w:lang w:val="x-none"/>
        </w:rPr>
        <w:t>. Melbourne: Longman Chieshire.</w:t>
      </w:r>
      <w:bookmarkEnd w:id="867"/>
    </w:p>
    <w:p w:rsidR="00E6043D" w:rsidRPr="00E6043D" w:rsidRDefault="00E6043D" w:rsidP="00E6043D">
      <w:pPr>
        <w:spacing w:after="0"/>
        <w:ind w:left="720" w:hanging="720"/>
        <w:rPr>
          <w:noProof/>
          <w:sz w:val="20"/>
          <w:lang w:val="x-none"/>
        </w:rPr>
      </w:pPr>
      <w:bookmarkStart w:id="868" w:name="_ENREF_244"/>
      <w:r w:rsidRPr="00E6043D">
        <w:rPr>
          <w:noProof/>
          <w:sz w:val="20"/>
          <w:lang w:val="x-none"/>
        </w:rPr>
        <w:t xml:space="preserve">Wood, S. 2014, Mixed GAM Computation Vehicle with GCV/AIC/REML Smoothness Estimation, version 1.8-9. </w:t>
      </w:r>
      <w:r w:rsidRPr="00E6043D">
        <w:rPr>
          <w:i/>
          <w:noProof/>
          <w:sz w:val="20"/>
          <w:lang w:val="x-none"/>
        </w:rPr>
        <w:t>Comprehensive R Archive Network</w:t>
      </w:r>
      <w:r w:rsidRPr="00E6043D">
        <w:rPr>
          <w:noProof/>
          <w:sz w:val="20"/>
          <w:lang w:val="x-none"/>
        </w:rPr>
        <w:t xml:space="preserve">(cran.r-project.org), 10. </w:t>
      </w:r>
      <w:bookmarkEnd w:id="868"/>
    </w:p>
    <w:p w:rsidR="00E6043D" w:rsidRPr="00E6043D" w:rsidRDefault="00E6043D" w:rsidP="00E6043D">
      <w:pPr>
        <w:spacing w:after="0"/>
        <w:ind w:left="720" w:hanging="720"/>
        <w:rPr>
          <w:noProof/>
          <w:sz w:val="20"/>
          <w:lang w:val="x-none"/>
        </w:rPr>
      </w:pPr>
      <w:bookmarkStart w:id="869" w:name="_ENREF_245"/>
      <w:r w:rsidRPr="00E6043D">
        <w:rPr>
          <w:noProof/>
          <w:sz w:val="20"/>
          <w:lang w:val="x-none"/>
        </w:rPr>
        <w:t xml:space="preserve">Wood, S.N. (2006). </w:t>
      </w:r>
      <w:r w:rsidRPr="00E6043D">
        <w:rPr>
          <w:i/>
          <w:noProof/>
          <w:sz w:val="20"/>
          <w:lang w:val="x-none"/>
        </w:rPr>
        <w:t>Generalized Additive Models: An Introduction with R</w:t>
      </w:r>
      <w:r w:rsidRPr="00E6043D">
        <w:rPr>
          <w:noProof/>
          <w:sz w:val="20"/>
          <w:lang w:val="x-none"/>
        </w:rPr>
        <w:t>: Chapman &amp; Hall/CRC.</w:t>
      </w:r>
      <w:bookmarkEnd w:id="869"/>
    </w:p>
    <w:p w:rsidR="00E6043D" w:rsidRPr="00E6043D" w:rsidRDefault="00E6043D" w:rsidP="00E6043D">
      <w:pPr>
        <w:spacing w:after="0"/>
        <w:ind w:left="720" w:hanging="720"/>
        <w:rPr>
          <w:noProof/>
          <w:sz w:val="20"/>
          <w:lang w:val="x-none"/>
        </w:rPr>
      </w:pPr>
      <w:bookmarkStart w:id="870" w:name="_ENREF_246"/>
      <w:r w:rsidRPr="00E6043D">
        <w:rPr>
          <w:noProof/>
          <w:sz w:val="20"/>
          <w:lang w:val="x-none"/>
        </w:rPr>
        <w:t xml:space="preserve">York, P., Scott, E., and Rasheed, M. (2015). </w:t>
      </w:r>
      <w:r w:rsidRPr="00E6043D">
        <w:rPr>
          <w:i/>
          <w:noProof/>
          <w:sz w:val="20"/>
          <w:lang w:val="x-none"/>
        </w:rPr>
        <w:t>Long-term seagrass monitoring in the Port of Mourilyan – 2014</w:t>
      </w:r>
      <w:r w:rsidRPr="00E6043D">
        <w:rPr>
          <w:noProof/>
          <w:sz w:val="20"/>
          <w:lang w:val="x-none"/>
        </w:rPr>
        <w:t>. Cairns: JCU Publication, Centre for Tropical Water &amp; Aquatic Ecosystem Research.</w:t>
      </w:r>
      <w:bookmarkEnd w:id="870"/>
    </w:p>
    <w:p w:rsidR="00E6043D" w:rsidRPr="00E6043D" w:rsidRDefault="00E6043D" w:rsidP="00E6043D">
      <w:pPr>
        <w:ind w:left="720" w:hanging="720"/>
        <w:rPr>
          <w:noProof/>
          <w:sz w:val="20"/>
          <w:lang w:val="x-none"/>
        </w:rPr>
      </w:pPr>
      <w:bookmarkStart w:id="871" w:name="_ENREF_247"/>
      <w:r w:rsidRPr="00E6043D">
        <w:rPr>
          <w:noProof/>
          <w:sz w:val="20"/>
          <w:lang w:val="x-none"/>
        </w:rPr>
        <w:t xml:space="preserve">York, P.H., Davies, J.N., and Rasheed, M.A. (2014). </w:t>
      </w:r>
      <w:r w:rsidRPr="00E6043D">
        <w:rPr>
          <w:i/>
          <w:noProof/>
          <w:sz w:val="20"/>
          <w:lang w:val="x-none"/>
        </w:rPr>
        <w:t>Long-term seagrass monitoring in the Port of Mourilyan – 2013, JCU Publication, Centre for Tropical Water &amp; Aquatic Ecosystem Research report 14/06</w:t>
      </w:r>
      <w:r w:rsidRPr="00E6043D">
        <w:rPr>
          <w:noProof/>
          <w:sz w:val="20"/>
          <w:lang w:val="x-none"/>
        </w:rPr>
        <w:t>. Cairns: James Cook University.</w:t>
      </w:r>
      <w:bookmarkEnd w:id="871"/>
    </w:p>
    <w:p w:rsidR="00E6043D" w:rsidRDefault="00E6043D" w:rsidP="00E6043D">
      <w:pPr>
        <w:rPr>
          <w:noProof/>
          <w:sz w:val="20"/>
          <w:lang w:val="x-none"/>
        </w:rPr>
      </w:pPr>
    </w:p>
    <w:p w:rsidR="009A0520" w:rsidRDefault="009A0520" w:rsidP="009A0520">
      <w:pPr>
        <w:rPr>
          <w:color w:val="000000"/>
          <w:szCs w:val="22"/>
        </w:rPr>
      </w:pPr>
      <w:r>
        <w:rPr>
          <w:lang w:val="x-none"/>
        </w:rPr>
        <w:fldChar w:fldCharType="end"/>
      </w:r>
    </w:p>
    <w:p w:rsidR="005D3CAE" w:rsidRDefault="005D3CAE" w:rsidP="004223A0">
      <w:pPr>
        <w:ind w:left="540" w:hanging="540"/>
        <w:rPr>
          <w:color w:val="000000"/>
          <w:szCs w:val="22"/>
        </w:rPr>
      </w:pPr>
    </w:p>
    <w:p w:rsidR="004A36C2" w:rsidRDefault="004A36C2" w:rsidP="004223A0">
      <w:pPr>
        <w:ind w:left="540" w:hanging="540"/>
        <w:rPr>
          <w:color w:val="000000"/>
          <w:szCs w:val="22"/>
        </w:rPr>
        <w:sectPr w:rsidR="004A36C2" w:rsidSect="00104000">
          <w:headerReference w:type="even" r:id="rId191"/>
          <w:headerReference w:type="default" r:id="rId192"/>
          <w:headerReference w:type="first" r:id="rId193"/>
          <w:footerReference w:type="first" r:id="rId194"/>
          <w:pgSz w:w="11906" w:h="16838"/>
          <w:pgMar w:top="1418" w:right="1418" w:bottom="1418" w:left="1418" w:header="709" w:footer="709" w:gutter="0"/>
          <w:cols w:space="708"/>
          <w:docGrid w:linePitch="360"/>
        </w:sectPr>
      </w:pPr>
    </w:p>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8A429D" w:rsidRPr="007D5A48" w:rsidRDefault="00035426" w:rsidP="00F12624">
      <w:pPr>
        <w:pStyle w:val="Heading1"/>
        <w:pageBreakBefore w:val="0"/>
        <w:ind w:left="431" w:hanging="431"/>
      </w:pPr>
      <w:bookmarkStart w:id="872" w:name="_Toc462047376"/>
      <w:r w:rsidRPr="007D5A48">
        <w:t>Background to the NRMs, including conceptual models</w:t>
      </w:r>
      <w:bookmarkEnd w:id="872"/>
    </w:p>
    <w:p w:rsidR="008A429D" w:rsidRDefault="008A429D" w:rsidP="008A429D"/>
    <w:p w:rsidR="00035426" w:rsidRDefault="00035426" w:rsidP="008A429D">
      <w:r w:rsidRPr="00035426">
        <w:t>Results and discussion of monitoring are presented firstly in a GBR general overview and then by the NRM regions identified in the GBR area. These discrete regions have been used for stratifying issues of land and catchment based resource management and used to report downstream impacts on the reef environment such as from the effect of water quality. There are 56 NRM regions identified in Australia, 15 are in Queensland and six are part of the coastal processes of the GBR. These regions are mostly based on catchments or bioregions using assessments from the National Land and Water Resources Audit. Regional plans have been developed for each of these setting out the means for identifying and achieving natural resource management targets and detailing catchment-wide activities addressing natural resource management issues including land and water management, biodiversity and agricultural practices. Seagrass habitat data forms part of these targets and activities.</w:t>
      </w:r>
    </w:p>
    <w:p w:rsidR="008A429D" w:rsidRDefault="008A429D" w:rsidP="008A429D"/>
    <w:p w:rsidR="00035426" w:rsidRDefault="00035426">
      <w:pPr>
        <w:spacing w:before="0" w:after="0"/>
      </w:pPr>
      <w:r>
        <w:br w:type="page"/>
      </w:r>
    </w:p>
    <w:p w:rsidR="00035426" w:rsidRPr="00BB52BF" w:rsidRDefault="00035426" w:rsidP="007D5A48">
      <w:pPr>
        <w:pStyle w:val="Heading2"/>
      </w:pPr>
      <w:bookmarkStart w:id="873" w:name="_Toc462047377"/>
      <w:r>
        <w:lastRenderedPageBreak/>
        <w:t>Cape York</w:t>
      </w:r>
      <w:bookmarkEnd w:id="873"/>
    </w:p>
    <w:p w:rsidR="00035426" w:rsidRDefault="00035426" w:rsidP="00035426">
      <w:r>
        <w:t xml:space="preserve">Cape York Peninsula is the northernmost extremity of Australia. From its tip at Cape York it extends southward in Queensland for about 800 km, widening to its base, which spans 650 km from Cairns (east) to the Gilbert River (west). The largest rivers empty into the Gulf of Carpentaria on the west, however there are several significant catchments which empty into the GBR. Major catchments of the region include the </w:t>
      </w:r>
      <w:proofErr w:type="spellStart"/>
      <w:r>
        <w:t>Macmillian</w:t>
      </w:r>
      <w:proofErr w:type="spellEnd"/>
      <w:r>
        <w:t>, Olive, Pascoe, Lockhart, Stewart, Normanby, Jeannie, and Annan Rivers (</w:t>
      </w:r>
      <w:r w:rsidR="00010926">
        <w:fldChar w:fldCharType="begin"/>
      </w:r>
      <w:r w:rsidR="00010926">
        <w:instrText xml:space="preserve"> REF _Ref442553657 \h </w:instrText>
      </w:r>
      <w:r w:rsidR="00010926">
        <w:fldChar w:fldCharType="separate"/>
      </w:r>
      <w:r w:rsidR="009C068F">
        <w:rPr>
          <w:color w:val="000000"/>
        </w:rPr>
        <w:t xml:space="preserve">Figure </w:t>
      </w:r>
      <w:r w:rsidR="009C068F">
        <w:rPr>
          <w:noProof/>
          <w:color w:val="000000"/>
        </w:rPr>
        <w:t>215</w:t>
      </w:r>
      <w:r w:rsidR="00010926">
        <w:fldChar w:fldCharType="end"/>
      </w:r>
      <w:r>
        <w:t xml:space="preserve">). </w:t>
      </w:r>
    </w:p>
    <w:p w:rsidR="00035426" w:rsidRDefault="00035426" w:rsidP="00035426">
      <w:r>
        <w:t>The region has a monsoonal climate with distinct wet and dry seasons with mean annual rainfall ranging from 1715 mm (Starke region) to 2159 mm (Lockhart River airport). Most rain falls between December and April.  Mean daily air temperatures in the area range between 19.2 – 32.1°C. The prevailing winds are from the south east and persist throughout the year (</w:t>
      </w:r>
      <w:hyperlink w:anchor="_ENREF_98" w:tooltip="Earth Tech, 2005 #9645" w:history="1">
        <w:r w:rsidR="00E6043D">
          <w:fldChar w:fldCharType="begin"/>
        </w:r>
        <w:r w:rsidR="00E6043D">
          <w:instrText xml:space="preserve"> ADDIN EN.CITE &lt;EndNote&gt;&lt;Cite&gt;&lt;Author&gt;Earth Tech&lt;/Author&gt;&lt;Year&gt;2005&lt;/Year&gt;&lt;RecNum&gt;9645&lt;/RecNum&gt;&lt;DisplayText&gt;Earth Tech 2005&lt;/DisplayText&gt;&lt;record&gt;&lt;rec-number&gt;9645&lt;/rec-number&gt;&lt;foreign-keys&gt;&lt;key app="EN" db-id="0eve55x9y5vfd6e9dacxtew4eatve2dzds9a"&gt;9645&lt;/key&gt;&lt;/foreign-keys&gt;&lt;ref-type name="Book"&gt;6&lt;/ref-type&gt;&lt;contributors&gt;&lt;authors&gt;&lt;author&gt;Earth Tech,&lt;/author&gt;&lt;/authors&gt;&lt;/contributors&gt;&lt;titles&gt;&lt;title&gt;Cape York Peninsula Natural Resource Management Plan&lt;/title&gt;&lt;/titles&gt;&lt;pages&gt;241&lt;/pages&gt;&lt;dates&gt;&lt;year&gt;2005&lt;/year&gt;&lt;/dates&gt;&lt;publisher&gt;Cape York Interim Advisory Group (February 2005)&lt;/publisher&gt;&lt;urls&gt;&lt;/urls&gt;&lt;/record&gt;&lt;/Cite&gt;&lt;/EndNote&gt;</w:instrText>
        </w:r>
        <w:r w:rsidR="00E6043D">
          <w:fldChar w:fldCharType="separate"/>
        </w:r>
        <w:r w:rsidR="00E6043D">
          <w:rPr>
            <w:noProof/>
          </w:rPr>
          <w:t>Earth Tech 2005</w:t>
        </w:r>
        <w:r w:rsidR="00E6043D">
          <w:fldChar w:fldCharType="end"/>
        </w:r>
      </w:hyperlink>
      <w:r>
        <w:t>).</w:t>
      </w:r>
    </w:p>
    <w:p w:rsidR="00035426" w:rsidRDefault="00035426" w:rsidP="00035426">
      <w:r>
        <w:t xml:space="preserve">Cape York Peninsula is an area of exceptional conservation value and has cultural value of great significance to both Indigenous and non-Indigenous communities. The majority of the land is relatively undeveloped, therefore water entering the GBR lagoon is perceived to be of a high quality. Cattle station leases occupy about 52% of the total area, mostly located in central Cape York Peninsula but only around 33% are active leases. Indigenous land comprises about 22%, with a significant area of the West coast being held under Native title and other areas being under native title claim. The remainder is mostly declared as National Park including joint management areas with local traditional owners or under other conservations tenures e.g. nature refuges, conservation areas, wildlife reserves. Mining, agriculture, and commercial and recreational fishing are the major economic activities. All these activities have the potential to expand in this region and with this expansion the risk of increased pollutants. </w:t>
      </w:r>
    </w:p>
    <w:p w:rsidR="00674430" w:rsidRDefault="00674430" w:rsidP="00674430">
      <w:r w:rsidRPr="00546CE1">
        <w:t xml:space="preserve">Extensive seagrass meadows are present in the </w:t>
      </w:r>
      <w:r>
        <w:t xml:space="preserve">GBRWHA </w:t>
      </w:r>
      <w:r w:rsidRPr="00546CE1">
        <w:t xml:space="preserve">waters </w:t>
      </w:r>
      <w:r>
        <w:t>of the Cape York NRM region</w:t>
      </w:r>
      <w:r w:rsidRPr="00546CE1">
        <w:t xml:space="preserve">. </w:t>
      </w:r>
      <w:r>
        <w:t xml:space="preserve">The seagrass </w:t>
      </w:r>
      <w:r>
        <w:rPr>
          <w:color w:val="000000"/>
        </w:rPr>
        <w:t xml:space="preserve">historical baseline for </w:t>
      </w:r>
      <w:r>
        <w:t xml:space="preserve">the region </w:t>
      </w:r>
      <w:r>
        <w:rPr>
          <w:color w:val="000000"/>
        </w:rPr>
        <w:t xml:space="preserve">was established in October-November 1984 </w:t>
      </w:r>
      <w:r>
        <w:t>(</w:t>
      </w:r>
      <w:hyperlink w:anchor="_ENREF_52" w:tooltip="Coles, 1987 #517" w:history="1">
        <w:r w:rsidR="00E6043D">
          <w:fldChar w:fldCharType="begin"/>
        </w:r>
        <w:r w:rsidR="00E6043D">
          <w:instrText xml:space="preserve"> ADDIN EN.CITE &lt;EndNote&gt;&lt;Cite&gt;&lt;Author&gt;Coles&lt;/Author&gt;&lt;Year&gt;1987&lt;/Year&gt;&lt;RecNum&gt;517&lt;/RecNum&gt;&lt;DisplayText&gt;Coles&lt;style face="italic"&gt; et al.&lt;/style&gt; 1987&lt;/DisplayText&gt;&lt;record&gt;&lt;rec-number&gt;517&lt;/rec-number&gt;&lt;foreign-keys&gt;&lt;key app="EN" db-id="0eve55x9y5vfd6e9dacxtew4eatve2dzds9a"&gt;517&lt;/key&gt;&lt;/foreign-keys&gt;&lt;ref-type name="Journal Article"&gt;17&lt;/ref-type&gt;&lt;contributors&gt;&lt;authors&gt;&lt;author&gt;Coles, Robert G.&lt;/author&gt;&lt;author&gt;Lee Long, Warren J.&lt;/author&gt;&lt;author&gt;Squire, B. A.&lt;/author&gt;&lt;author&gt;Squire, L. C.&lt;/author&gt;&lt;author&gt;Bibby, J. M.&lt;/author&gt;&lt;/authors&gt;&lt;/contributors&gt;&lt;titles&gt;&lt;title&gt;Distribution of seagrass and associated juvenile commercial penaeid prawns in North-Eastern Queensland waters&lt;/title&gt;&lt;secondary-title&gt;Australian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Research&lt;/abbr-1&gt;&lt;/alt-periodical&gt;&lt;pages&gt;103-119&lt;/pages&gt;&lt;volume&gt;38&lt;/volume&gt;&lt;number&gt;1&lt;/number&gt;&lt;keywords&gt;&lt;keyword&gt;MCKENZIE 1996&lt;/keyword&gt;&lt;/keywords&gt;&lt;dates&gt;&lt;year&gt;1987&lt;/year&gt;&lt;/dates&gt;&lt;label&gt;493&lt;/label&gt;&lt;urls&gt;&lt;/urls&gt;&lt;custom1&gt;Annex&lt;/custom1&gt;&lt;/record&gt;&lt;/Cite&gt;&lt;/EndNote&gt;</w:instrText>
        </w:r>
        <w:r w:rsidR="00E6043D">
          <w:fldChar w:fldCharType="separate"/>
        </w:r>
        <w:r w:rsidR="00E6043D">
          <w:rPr>
            <w:noProof/>
          </w:rPr>
          <w:t>Coles</w:t>
        </w:r>
        <w:r w:rsidR="00E6043D" w:rsidRPr="00644A84">
          <w:rPr>
            <w:i/>
            <w:noProof/>
          </w:rPr>
          <w:t xml:space="preserve"> et al.</w:t>
        </w:r>
        <w:r w:rsidR="00E6043D">
          <w:rPr>
            <w:noProof/>
          </w:rPr>
          <w:t xml:space="preserve"> 1987</w:t>
        </w:r>
        <w:r w:rsidR="00E6043D">
          <w:fldChar w:fldCharType="end"/>
        </w:r>
      </w:hyperlink>
      <w:r>
        <w:t>)</w:t>
      </w:r>
      <w:r>
        <w:rPr>
          <w:color w:val="000000"/>
        </w:rPr>
        <w:t xml:space="preserve">, when the nearshore seagrasses (shallower than 15m depth) were mapped as part of a </w:t>
      </w:r>
      <w:proofErr w:type="spellStart"/>
      <w:r>
        <w:rPr>
          <w:color w:val="000000"/>
        </w:rPr>
        <w:t>multi year</w:t>
      </w:r>
      <w:proofErr w:type="spellEnd"/>
      <w:r>
        <w:rPr>
          <w:color w:val="000000"/>
        </w:rPr>
        <w:t xml:space="preserve"> mapping project for the entire Queensland coast (</w:t>
      </w:r>
      <w:hyperlink w:anchor="_ENREF_147" w:tooltip="Lee Long, 1993 #682" w:history="1">
        <w:r w:rsidR="00E6043D">
          <w:rPr>
            <w:color w:val="000000"/>
          </w:rPr>
          <w:fldChar w:fldCharType="begin"/>
        </w:r>
        <w:r w:rsidR="00E6043D">
          <w:rPr>
            <w:color w:val="000000"/>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E6043D">
          <w:rPr>
            <w:color w:val="000000"/>
          </w:rPr>
          <w:fldChar w:fldCharType="separate"/>
        </w:r>
        <w:r w:rsidR="00E6043D">
          <w:rPr>
            <w:noProof/>
            <w:color w:val="000000"/>
          </w:rPr>
          <w:t>Lee Long</w:t>
        </w:r>
        <w:r w:rsidR="00E6043D" w:rsidRPr="00644A84">
          <w:rPr>
            <w:i/>
            <w:noProof/>
            <w:color w:val="000000"/>
          </w:rPr>
          <w:t>, et al.</w:t>
        </w:r>
        <w:r w:rsidR="00E6043D">
          <w:rPr>
            <w:noProof/>
            <w:color w:val="000000"/>
          </w:rPr>
          <w:t xml:space="preserve"> 1993</w:t>
        </w:r>
        <w:r w:rsidR="00E6043D">
          <w:rPr>
            <w:color w:val="000000"/>
          </w:rPr>
          <w:fldChar w:fldCharType="end"/>
        </w:r>
      </w:hyperlink>
      <w:r>
        <w:rPr>
          <w:color w:val="000000"/>
        </w:rPr>
        <w:t xml:space="preserve">). </w:t>
      </w:r>
      <w:r w:rsidRPr="00546CE1">
        <w:t xml:space="preserve">Initial mapping results from the </w:t>
      </w:r>
      <w:r>
        <w:t>Cape York region</w:t>
      </w:r>
      <w:r w:rsidRPr="00546CE1">
        <w:t xml:space="preserve"> were first published in 1985</w:t>
      </w:r>
      <w:r>
        <w:t>, however</w:t>
      </w:r>
      <w:r w:rsidRPr="00F6046A">
        <w:t xml:space="preserve"> </w:t>
      </w:r>
      <w:r w:rsidRPr="00546CE1">
        <w:t>in 2001</w:t>
      </w:r>
      <w:r>
        <w:t xml:space="preserve">, this data </w:t>
      </w:r>
      <w:r w:rsidRPr="00546CE1">
        <w:t xml:space="preserve">was </w:t>
      </w:r>
      <w:r>
        <w:t xml:space="preserve">entered into a relational database, </w:t>
      </w:r>
      <w:r w:rsidRPr="00546CE1">
        <w:t xml:space="preserve">validated </w:t>
      </w:r>
      <w:r>
        <w:t xml:space="preserve">and migrated to </w:t>
      </w:r>
      <w:r w:rsidRPr="00546CE1">
        <w:t>GIS format (</w:t>
      </w:r>
      <w:hyperlink w:anchor="_ENREF_57" w:tooltip="Coles, 2001 #9759" w:history="1">
        <w:r w:rsidR="00E6043D">
          <w:fldChar w:fldCharType="begin"/>
        </w:r>
        <w:r w:rsidR="00E6043D">
          <w:instrText xml:space="preserve"> ADDIN EN.CITE &lt;EndNote&gt;&lt;Cite&gt;&lt;Author&gt;Coles&lt;/Author&gt;&lt;Year&gt;2001&lt;/Year&gt;&lt;RecNum&gt;9759&lt;/RecNum&gt;&lt;DisplayText&gt;Coles&lt;style face="italic"&gt;, et al.&lt;/style&gt; 2001c&lt;/DisplayText&gt;&lt;record&gt;&lt;rec-number&gt;9759&lt;/rec-number&gt;&lt;foreign-keys&gt;&lt;key app="EN" db-id="0eve55x9y5vfd6e9dacxtew4eatve2dzds9a"&gt;9759&lt;/key&gt;&lt;/foreign-keys&gt;&lt;ref-type name="Report"&gt;27&lt;/ref-type&gt;&lt;contributors&gt;&lt;authors&gt;&lt;author&gt;Coles, R G&lt;/author&gt;&lt;author&gt;McKenzie, Len J&lt;/author&gt;&lt;author&gt;Yoshida, Rudi L&lt;/author&gt;&lt;/authors&gt;&lt;/contributors&gt;&lt;titles&gt;&lt;title&gt;Validation and GIS of seagrass surveys between Cape York and Cairns - November 1984&lt;/title&gt;&lt;/titles&gt;&lt;pages&gt;CD Rom.&lt;/pages&gt;&lt;dates&gt;&lt;year&gt;2001&lt;/year&gt;&lt;/dates&gt;&lt;pub-location&gt;Cairns&lt;/pub-location&gt;&lt;publisher&gt;DPI, QFS&lt;/publisher&gt;&lt;urls&gt;&lt;/urls&gt;&lt;/record&gt;&lt;/Cite&gt;&lt;/EndNote&gt;</w:instrText>
        </w:r>
        <w:r w:rsidR="00E6043D">
          <w:fldChar w:fldCharType="separate"/>
        </w:r>
        <w:r w:rsidR="00E6043D">
          <w:rPr>
            <w:noProof/>
          </w:rPr>
          <w:t>Coles</w:t>
        </w:r>
        <w:r w:rsidR="00E6043D" w:rsidRPr="00644A84">
          <w:rPr>
            <w:i/>
            <w:noProof/>
          </w:rPr>
          <w:t>, et al.</w:t>
        </w:r>
        <w:r w:rsidR="00E6043D">
          <w:rPr>
            <w:noProof/>
          </w:rPr>
          <w:t xml:space="preserve"> 2001c</w:t>
        </w:r>
        <w:r w:rsidR="00E6043D">
          <w:fldChar w:fldCharType="end"/>
        </w:r>
      </w:hyperlink>
      <w:r w:rsidRPr="00546CE1">
        <w:t>)</w:t>
      </w:r>
      <w:r>
        <w:t xml:space="preserve">. </w:t>
      </w:r>
      <w:r>
        <w:rPr>
          <w:color w:val="000000"/>
        </w:rPr>
        <w:t xml:space="preserve">To complement the nearshore mapping, the </w:t>
      </w:r>
      <w:r>
        <w:t xml:space="preserve">seagrass </w:t>
      </w:r>
      <w:r>
        <w:rPr>
          <w:color w:val="000000"/>
        </w:rPr>
        <w:t>historical baseline for deeper water (15m and deeper) seagrass meadows was established in November 1994 (south of Cape Weymouth) and November 1998 (north of Cape Weymouth) (</w:t>
      </w:r>
      <w:hyperlink w:anchor="_ENREF_49" w:tooltip="Coles, 2009 #9367" w:history="1">
        <w:r w:rsidR="00E6043D">
          <w:rPr>
            <w:color w:val="000000"/>
          </w:rPr>
          <w:fldChar w:fldCharType="begin"/>
        </w:r>
        <w:r w:rsidR="00E6043D">
          <w:rPr>
            <w:color w:val="000000"/>
          </w:rPr>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E6043D">
          <w:rPr>
            <w:color w:val="000000"/>
          </w:rPr>
          <w:fldChar w:fldCharType="separate"/>
        </w:r>
        <w:r w:rsidR="00E6043D">
          <w:rPr>
            <w:noProof/>
            <w:color w:val="000000"/>
          </w:rPr>
          <w:t>Coles</w:t>
        </w:r>
        <w:r w:rsidR="00E6043D" w:rsidRPr="00644A84">
          <w:rPr>
            <w:i/>
            <w:noProof/>
            <w:color w:val="000000"/>
          </w:rPr>
          <w:t>, et al.</w:t>
        </w:r>
        <w:r w:rsidR="00E6043D">
          <w:rPr>
            <w:noProof/>
            <w:color w:val="000000"/>
          </w:rPr>
          <w:t xml:space="preserve"> 2009</w:t>
        </w:r>
        <w:r w:rsidR="00E6043D">
          <w:rPr>
            <w:color w:val="000000"/>
          </w:rPr>
          <w:fldChar w:fldCharType="end"/>
        </w:r>
      </w:hyperlink>
      <w:r>
        <w:rPr>
          <w:color w:val="000000"/>
        </w:rPr>
        <w:t>).</w:t>
      </w:r>
    </w:p>
    <w:p w:rsidR="00674430" w:rsidRPr="00546CE1" w:rsidRDefault="00674430" w:rsidP="00674430">
      <w:r>
        <w:t xml:space="preserve">Since the historical baselines, there have been several </w:t>
      </w:r>
      <w:r w:rsidRPr="00546CE1">
        <w:t>issued focussed fine</w:t>
      </w:r>
      <w:r>
        <w:t>-</w:t>
      </w:r>
      <w:r w:rsidRPr="00546CE1">
        <w:t xml:space="preserve">scale mapping </w:t>
      </w:r>
      <w:r>
        <w:t xml:space="preserve">surveys and the establishment of monitoring sites for the MMP. </w:t>
      </w:r>
      <w:r w:rsidRPr="00546CE1">
        <w:t>Seagrass meadows have been found from intertidal regions to depths of 6</w:t>
      </w:r>
      <w:r>
        <w:t>1</w:t>
      </w:r>
      <w:r w:rsidRPr="00546CE1">
        <w:t xml:space="preserve">m near Lizard Island </w:t>
      </w:r>
      <w:r>
        <w:rPr>
          <w:color w:val="000000"/>
        </w:rPr>
        <w:t>(</w:t>
      </w:r>
      <w:hyperlink w:anchor="_ENREF_49" w:tooltip="Coles, 2009 #9367" w:history="1">
        <w:r w:rsidR="00E6043D">
          <w:rPr>
            <w:color w:val="000000"/>
          </w:rPr>
          <w:fldChar w:fldCharType="begin"/>
        </w:r>
        <w:r w:rsidR="00E6043D">
          <w:rPr>
            <w:color w:val="000000"/>
          </w:rPr>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E6043D">
          <w:rPr>
            <w:color w:val="000000"/>
          </w:rPr>
          <w:fldChar w:fldCharType="separate"/>
        </w:r>
        <w:r w:rsidR="00E6043D">
          <w:rPr>
            <w:noProof/>
            <w:color w:val="000000"/>
          </w:rPr>
          <w:t>Coles</w:t>
        </w:r>
        <w:r w:rsidR="00E6043D" w:rsidRPr="00644A84">
          <w:rPr>
            <w:i/>
            <w:noProof/>
            <w:color w:val="000000"/>
          </w:rPr>
          <w:t>, et al.</w:t>
        </w:r>
        <w:r w:rsidR="00E6043D">
          <w:rPr>
            <w:noProof/>
            <w:color w:val="000000"/>
          </w:rPr>
          <w:t xml:space="preserve"> 2009</w:t>
        </w:r>
        <w:r w:rsidR="00E6043D">
          <w:rPr>
            <w:color w:val="000000"/>
          </w:rPr>
          <w:fldChar w:fldCharType="end"/>
        </w:r>
      </w:hyperlink>
      <w:r>
        <w:rPr>
          <w:color w:val="000000"/>
        </w:rPr>
        <w:t>)</w:t>
      </w:r>
      <w:r w:rsidRPr="00546CE1">
        <w:t xml:space="preserve">. </w:t>
      </w:r>
      <w:r w:rsidRPr="00C60941">
        <w:t>Approximately 1,887 km</w:t>
      </w:r>
      <w:r w:rsidRPr="00C60941">
        <w:rPr>
          <w:vertAlign w:val="superscript"/>
        </w:rPr>
        <w:t>2</w:t>
      </w:r>
      <w:r w:rsidRPr="00C60941">
        <w:t xml:space="preserve"> of seagrass meadows have been mapped in </w:t>
      </w:r>
      <w:r>
        <w:t xml:space="preserve">the </w:t>
      </w:r>
      <w:r w:rsidRPr="00C60941">
        <w:t xml:space="preserve">inshore waters </w:t>
      </w:r>
      <w:r>
        <w:t>of the Cape York region</w:t>
      </w:r>
      <w:r w:rsidRPr="00C60941">
        <w:t xml:space="preserve"> to 15m </w:t>
      </w:r>
      <w:proofErr w:type="spellStart"/>
      <w:r w:rsidRPr="00C60941">
        <w:t>bMSL</w:t>
      </w:r>
      <w:proofErr w:type="spellEnd"/>
      <w:r w:rsidRPr="00C60941">
        <w:t xml:space="preserve"> (</w:t>
      </w:r>
      <w:hyperlink w:anchor="_ENREF_180" w:tooltip="McKenzie, 2010 #9646" w:history="1">
        <w:r w:rsidR="00E6043D">
          <w:fldChar w:fldCharType="begin"/>
        </w:r>
        <w:r w:rsidR="00E6043D">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fldChar w:fldCharType="separate"/>
        </w:r>
        <w:r w:rsidR="00E6043D">
          <w:rPr>
            <w:noProof/>
          </w:rPr>
          <w:t>McKenzie</w:t>
        </w:r>
        <w:r w:rsidR="00E6043D" w:rsidRPr="00644A84">
          <w:rPr>
            <w:i/>
            <w:noProof/>
          </w:rPr>
          <w:t>, et al.</w:t>
        </w:r>
        <w:r w:rsidR="00E6043D">
          <w:rPr>
            <w:noProof/>
          </w:rPr>
          <w:t xml:space="preserve"> 2010c</w:t>
        </w:r>
        <w:r w:rsidR="00E6043D">
          <w:fldChar w:fldCharType="end"/>
        </w:r>
      </w:hyperlink>
      <w:r w:rsidRPr="00C60941">
        <w:t xml:space="preserve">; C. </w:t>
      </w:r>
      <w:proofErr w:type="spellStart"/>
      <w:r w:rsidRPr="00C60941">
        <w:t>Howley</w:t>
      </w:r>
      <w:proofErr w:type="spellEnd"/>
      <w:r w:rsidRPr="00C60941">
        <w:t xml:space="preserve">, Unpublished data; </w:t>
      </w:r>
      <w:r w:rsidR="00644A84">
        <w:fldChar w:fldCharType="begin">
          <w:fldData xml:space="preserve">PEVuZE5vdGU+PENpdGU+PEF1dGhvcj5DYXJ0ZXI8L0F1dGhvcj48WWVhcj4yMDEyPC9ZZWFyPjxS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</w:fldData>
        </w:fldChar>
      </w:r>
      <w:r w:rsidR="00644A84">
        <w:instrText xml:space="preserve"> ADDIN EN.CITE </w:instrText>
      </w:r>
      <w:r w:rsidR="00644A84">
        <w:fldChar w:fldCharType="begin">
          <w:fldData xml:space="preserve">PEVuZE5vdGU+PENpdGU+PEF1dGhvcj5DYXJ0ZXI8L0F1dGhvcj48WWVhcj4yMDEyPC9ZZWFyPjxS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</w:fldData>
        </w:fldChar>
      </w:r>
      <w:r w:rsidR="00644A84">
        <w:instrText xml:space="preserve"> ADDIN EN.CITE.DATA </w:instrText>
      </w:r>
      <w:r w:rsidR="00644A84">
        <w:fldChar w:fldCharType="end"/>
      </w:r>
      <w:r w:rsidR="00644A84">
        <w:fldChar w:fldCharType="separate"/>
      </w:r>
      <w:hyperlink w:anchor="_ENREF_36" w:tooltip="Carter, 2012 #10292" w:history="1">
        <w:r w:rsidR="00E6043D">
          <w:rPr>
            <w:noProof/>
          </w:rPr>
          <w:t>Carter</w:t>
        </w:r>
        <w:r w:rsidR="00E6043D" w:rsidRPr="00644A84">
          <w:rPr>
            <w:i/>
            <w:noProof/>
          </w:rPr>
          <w:t xml:space="preserve"> et al.</w:t>
        </w:r>
        <w:r w:rsidR="00E6043D">
          <w:rPr>
            <w:noProof/>
          </w:rPr>
          <w:t xml:space="preserve"> 2012</w:t>
        </w:r>
      </w:hyperlink>
      <w:r w:rsidR="00644A84">
        <w:rPr>
          <w:noProof/>
        </w:rPr>
        <w:t xml:space="preserve">; </w:t>
      </w:r>
      <w:hyperlink w:anchor="_ENREF_39" w:tooltip="Carter, 2013 #10293" w:history="1">
        <w:r w:rsidR="00E6043D">
          <w:rPr>
            <w:noProof/>
          </w:rPr>
          <w:t>Carter and Rasheed 2013</w:t>
        </w:r>
      </w:hyperlink>
      <w:r w:rsidR="00644A84">
        <w:rPr>
          <w:noProof/>
        </w:rPr>
        <w:t xml:space="preserve">; </w:t>
      </w:r>
      <w:hyperlink w:anchor="_ENREF_42" w:tooltip="Carter, 2014 #10307" w:history="1">
        <w:r w:rsidR="00E6043D">
          <w:rPr>
            <w:noProof/>
          </w:rPr>
          <w:t>Carter and Rasheed 2014</w:t>
        </w:r>
      </w:hyperlink>
      <w:r w:rsidR="00644A84">
        <w:rPr>
          <w:noProof/>
        </w:rPr>
        <w:t xml:space="preserve">, </w:t>
      </w:r>
      <w:hyperlink w:anchor="_ENREF_43" w:tooltip="Carter, 2015 #10306" w:history="1">
        <w:r w:rsidR="00E6043D">
          <w:rPr>
            <w:noProof/>
          </w:rPr>
          <w:t>2015</w:t>
        </w:r>
      </w:hyperlink>
      <w:r w:rsidR="00644A84">
        <w:rPr>
          <w:noProof/>
        </w:rPr>
        <w:t xml:space="preserve">; </w:t>
      </w:r>
      <w:hyperlink w:anchor="_ENREF_213" w:tooltip="Saunders, 2015 #10291" w:history="1">
        <w:r w:rsidR="00E6043D">
          <w:rPr>
            <w:noProof/>
          </w:rPr>
          <w:t>Saunders</w:t>
        </w:r>
        <w:r w:rsidR="00E6043D" w:rsidRPr="00644A84">
          <w:rPr>
            <w:i/>
            <w:noProof/>
          </w:rPr>
          <w:t xml:space="preserve"> et al.</w:t>
        </w:r>
        <w:r w:rsidR="00E6043D">
          <w:rPr>
            <w:noProof/>
          </w:rPr>
          <w:t xml:space="preserve"> 2015</w:t>
        </w:r>
      </w:hyperlink>
      <w:r w:rsidR="00644A84">
        <w:fldChar w:fldCharType="end"/>
      </w:r>
      <w:r w:rsidRPr="00C60941">
        <w:t xml:space="preserve">) and </w:t>
      </w:r>
      <w:r>
        <w:t xml:space="preserve">an additional </w:t>
      </w:r>
      <w:r w:rsidRPr="00C60941">
        <w:t>10,878 km</w:t>
      </w:r>
      <w:r w:rsidRPr="00C60941">
        <w:rPr>
          <w:vertAlign w:val="superscript"/>
        </w:rPr>
        <w:t>2</w:t>
      </w:r>
      <w:r w:rsidRPr="00C60941">
        <w:t xml:space="preserve"> in offshore waters (&gt;15m depth)</w:t>
      </w:r>
      <w:r>
        <w:t xml:space="preserve"> (</w:t>
      </w:r>
      <w:hyperlink w:anchor="_ENREF_180" w:tooltip="McKenzie, 2010 #9646" w:history="1">
        <w:r w:rsidR="00E6043D">
          <w:fldChar w:fldCharType="begin"/>
        </w:r>
        <w:r w:rsidR="00E6043D">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fldChar w:fldCharType="separate"/>
        </w:r>
        <w:r w:rsidR="00E6043D">
          <w:rPr>
            <w:noProof/>
          </w:rPr>
          <w:t>McKenzie</w:t>
        </w:r>
        <w:r w:rsidR="00E6043D" w:rsidRPr="00644A84">
          <w:rPr>
            <w:i/>
            <w:noProof/>
          </w:rPr>
          <w:t>, et al.</w:t>
        </w:r>
        <w:r w:rsidR="00E6043D">
          <w:rPr>
            <w:noProof/>
          </w:rPr>
          <w:t xml:space="preserve"> 2010c</w:t>
        </w:r>
        <w:r w:rsidR="00E6043D">
          <w:fldChar w:fldCharType="end"/>
        </w:r>
      </w:hyperlink>
      <w:r>
        <w:t>)</w:t>
      </w:r>
      <w:r w:rsidRPr="00546CE1">
        <w:t xml:space="preserve">.  Approximately 60% of the </w:t>
      </w:r>
      <w:r>
        <w:t xml:space="preserve">mapped </w:t>
      </w:r>
      <w:r w:rsidRPr="00546CE1">
        <w:t xml:space="preserve">seagrass </w:t>
      </w:r>
      <w:r>
        <w:t>area</w:t>
      </w:r>
      <w:r w:rsidRPr="00546CE1">
        <w:t xml:space="preserve"> in the shallow waters (&lt;15m) of the GBR</w:t>
      </w:r>
      <w:r>
        <w:t>WHA</w:t>
      </w:r>
      <w:r w:rsidRPr="00546CE1">
        <w:t xml:space="preserve"> occurs in the Cape York NRM (</w:t>
      </w:r>
      <w:hyperlink w:anchor="_ENREF_180" w:tooltip="McKenzie, 2010 #9646" w:history="1">
        <w:r w:rsidR="00E6043D">
          <w:fldChar w:fldCharType="begin"/>
        </w:r>
        <w:r w:rsidR="00E6043D">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fldChar w:fldCharType="separate"/>
        </w:r>
        <w:r w:rsidR="00E6043D">
          <w:rPr>
            <w:noProof/>
          </w:rPr>
          <w:t>McKenzie</w:t>
        </w:r>
        <w:r w:rsidR="00E6043D" w:rsidRPr="00644A84">
          <w:rPr>
            <w:i/>
            <w:noProof/>
          </w:rPr>
          <w:t>, et al.</w:t>
        </w:r>
        <w:r w:rsidR="00E6043D">
          <w:rPr>
            <w:noProof/>
          </w:rPr>
          <w:t xml:space="preserve"> 2010c</w:t>
        </w:r>
        <w:r w:rsidR="00E6043D">
          <w:fldChar w:fldCharType="end"/>
        </w:r>
      </w:hyperlink>
      <w:r w:rsidRPr="00546CE1">
        <w:t xml:space="preserve">). </w:t>
      </w:r>
      <w:r>
        <w:t>Seagrass meadows in the Cape York region</w:t>
      </w:r>
      <w:r w:rsidRPr="00546CE1">
        <w:t xml:space="preserve"> were characterized by high diversity and relatively small total biomass </w:t>
      </w:r>
      <w:r>
        <w:rPr>
          <w:color w:val="000000"/>
        </w:rPr>
        <w:t>(</w:t>
      </w:r>
      <w:hyperlink w:anchor="_ENREF_147" w:tooltip="Lee Long, 1993 #682" w:history="1">
        <w:r w:rsidR="00E6043D">
          <w:rPr>
            <w:color w:val="000000"/>
          </w:rPr>
          <w:fldChar w:fldCharType="begin"/>
        </w:r>
        <w:r w:rsidR="00E6043D">
          <w:rPr>
            <w:color w:val="000000"/>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E6043D">
          <w:rPr>
            <w:color w:val="000000"/>
          </w:rPr>
          <w:fldChar w:fldCharType="separate"/>
        </w:r>
        <w:r w:rsidR="00E6043D">
          <w:rPr>
            <w:noProof/>
            <w:color w:val="000000"/>
          </w:rPr>
          <w:t>Lee Long</w:t>
        </w:r>
        <w:r w:rsidR="00E6043D" w:rsidRPr="00644A84">
          <w:rPr>
            <w:i/>
            <w:noProof/>
            <w:color w:val="000000"/>
          </w:rPr>
          <w:t>, et al.</w:t>
        </w:r>
        <w:r w:rsidR="00E6043D">
          <w:rPr>
            <w:noProof/>
            <w:color w:val="000000"/>
          </w:rPr>
          <w:t xml:space="preserve"> 1993</w:t>
        </w:r>
        <w:r w:rsidR="00E6043D">
          <w:rPr>
            <w:color w:val="000000"/>
          </w:rPr>
          <w:fldChar w:fldCharType="end"/>
        </w:r>
      </w:hyperlink>
      <w:r>
        <w:rPr>
          <w:color w:val="000000"/>
        </w:rPr>
        <w:t xml:space="preserve">). </w:t>
      </w:r>
      <w:r w:rsidRPr="00546CE1">
        <w:t xml:space="preserve">Fifteen species of seagrass have been identified </w:t>
      </w:r>
      <w:r>
        <w:t>in the region</w:t>
      </w:r>
      <w:r w:rsidRPr="00546CE1">
        <w:t xml:space="preserve"> (</w:t>
      </w:r>
      <w:r w:rsidR="00644A84">
        <w:fldChar w:fldCharType="begin">
          <w:fldData xml:space="preserve">PEVuZE5vdGU+PENpdGU+PEF1dGhvcj5Db2xlczwvQXV0aG9yPjxZZWFyPjE5ODU8L1llYXI+PFJl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</w:fldData>
        </w:fldChar>
      </w:r>
      <w:r w:rsidR="00644A84">
        <w:instrText xml:space="preserve"> ADDIN EN.CITE </w:instrText>
      </w:r>
      <w:r w:rsidR="00644A84">
        <w:fldChar w:fldCharType="begin">
          <w:fldData xml:space="preserve">PEVuZE5vdGU+PENpdGU+PEF1dGhvcj5Db2xlczwvQXV0aG9yPjxZZWFyPjE5ODU8L1llYXI+PFJl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</w:fldData>
        </w:fldChar>
      </w:r>
      <w:r w:rsidR="00644A84">
        <w:instrText xml:space="preserve"> ADDIN EN.CITE.DATA </w:instrText>
      </w:r>
      <w:r w:rsidR="00644A84">
        <w:fldChar w:fldCharType="end"/>
      </w:r>
      <w:r w:rsidR="00644A84">
        <w:fldChar w:fldCharType="separate"/>
      </w:r>
      <w:hyperlink w:anchor="_ENREF_53" w:tooltip="Coles, 1985 #521" w:history="1">
        <w:r w:rsidR="00E6043D">
          <w:rPr>
            <w:noProof/>
          </w:rPr>
          <w:t>Coles</w:t>
        </w:r>
        <w:r w:rsidR="00E6043D" w:rsidRPr="00644A84">
          <w:rPr>
            <w:i/>
            <w:noProof/>
          </w:rPr>
          <w:t xml:space="preserve"> et al.</w:t>
        </w:r>
        <w:r w:rsidR="00E6043D">
          <w:rPr>
            <w:noProof/>
          </w:rPr>
          <w:t xml:space="preserve"> 1985</w:t>
        </w:r>
      </w:hyperlink>
      <w:r w:rsidR="00644A84">
        <w:rPr>
          <w:noProof/>
        </w:rPr>
        <w:t xml:space="preserve">; </w:t>
      </w:r>
      <w:hyperlink w:anchor="_ENREF_52" w:tooltip="Coles, 1987 #517" w:history="1">
        <w:r w:rsidR="00E6043D">
          <w:rPr>
            <w:noProof/>
          </w:rPr>
          <w:t>Coles</w:t>
        </w:r>
        <w:r w:rsidR="00E6043D" w:rsidRPr="00644A84">
          <w:rPr>
            <w:i/>
            <w:noProof/>
          </w:rPr>
          <w:t>, et al.</w:t>
        </w:r>
        <w:r w:rsidR="00E6043D">
          <w:rPr>
            <w:noProof/>
          </w:rPr>
          <w:t xml:space="preserve"> 1987</w:t>
        </w:r>
      </w:hyperlink>
      <w:r w:rsidR="00644A84">
        <w:rPr>
          <w:noProof/>
        </w:rPr>
        <w:t xml:space="preserve">; </w:t>
      </w:r>
      <w:hyperlink w:anchor="_ENREF_147" w:tooltip="Lee Long, 1993 #682" w:history="1">
        <w:r w:rsidR="00E6043D">
          <w:rPr>
            <w:noProof/>
          </w:rPr>
          <w:t>Lee Long</w:t>
        </w:r>
        <w:r w:rsidR="00E6043D" w:rsidRPr="00644A84">
          <w:rPr>
            <w:i/>
            <w:noProof/>
          </w:rPr>
          <w:t>, et al.</w:t>
        </w:r>
        <w:r w:rsidR="00E6043D">
          <w:rPr>
            <w:noProof/>
          </w:rPr>
          <w:t xml:space="preserve"> 1993</w:t>
        </w:r>
      </w:hyperlink>
      <w:r w:rsidR="00644A84">
        <w:rPr>
          <w:noProof/>
        </w:rPr>
        <w:t xml:space="preserve">; </w:t>
      </w:r>
      <w:hyperlink w:anchor="_ENREF_203" w:tooltip="Rasheed, 2005 #9647" w:history="1">
        <w:r w:rsidR="00E6043D">
          <w:rPr>
            <w:noProof/>
          </w:rPr>
          <w:t>Rasheed</w:t>
        </w:r>
        <w:r w:rsidR="00E6043D" w:rsidRPr="00644A84">
          <w:rPr>
            <w:i/>
            <w:noProof/>
          </w:rPr>
          <w:t xml:space="preserve"> et al.</w:t>
        </w:r>
        <w:r w:rsidR="00E6043D">
          <w:rPr>
            <w:noProof/>
          </w:rPr>
          <w:t xml:space="preserve"> 2005</w:t>
        </w:r>
      </w:hyperlink>
      <w:r w:rsidR="00644A84">
        <w:fldChar w:fldCharType="end"/>
      </w:r>
      <w:r>
        <w:t>)</w:t>
      </w:r>
      <w:r w:rsidRPr="00546CE1">
        <w:t xml:space="preserve">: </w:t>
      </w:r>
      <w:proofErr w:type="spellStart"/>
      <w:r w:rsidRPr="00DA1B17">
        <w:rPr>
          <w:i/>
        </w:rPr>
        <w:t>Enhalus</w:t>
      </w:r>
      <w:proofErr w:type="spellEnd"/>
      <w:r w:rsidRPr="00DA1B17">
        <w:rPr>
          <w:i/>
        </w:rPr>
        <w:t xml:space="preserve"> </w:t>
      </w:r>
      <w:proofErr w:type="spellStart"/>
      <w:r w:rsidRPr="00DA1B17">
        <w:rPr>
          <w:i/>
        </w:rPr>
        <w:t>acoroides</w:t>
      </w:r>
      <w:proofErr w:type="spellEnd"/>
      <w:r w:rsidRPr="00DA1B17">
        <w:rPr>
          <w:i/>
        </w:rPr>
        <w:t xml:space="preserve">, </w:t>
      </w:r>
      <w:proofErr w:type="spellStart"/>
      <w:r w:rsidRPr="00DA1B17">
        <w:rPr>
          <w:i/>
        </w:rPr>
        <w:t>Halodule</w:t>
      </w:r>
      <w:proofErr w:type="spellEnd"/>
      <w:r w:rsidRPr="00DA1B17">
        <w:rPr>
          <w:i/>
        </w:rPr>
        <w:t xml:space="preserve"> </w:t>
      </w:r>
      <w:proofErr w:type="spellStart"/>
      <w:r w:rsidRPr="00DA1B17">
        <w:rPr>
          <w:i/>
        </w:rPr>
        <w:t>pinifolia</w:t>
      </w:r>
      <w:proofErr w:type="spellEnd"/>
      <w:r w:rsidRPr="00DA1B17">
        <w:rPr>
          <w:i/>
        </w:rPr>
        <w:t xml:space="preserve">, </w:t>
      </w:r>
      <w:proofErr w:type="spellStart"/>
      <w:r w:rsidRPr="00DA1B17">
        <w:rPr>
          <w:i/>
        </w:rPr>
        <w:t>Halodule</w:t>
      </w:r>
      <w:proofErr w:type="spellEnd"/>
      <w:r w:rsidRPr="00DA1B17">
        <w:rPr>
          <w:i/>
        </w:rPr>
        <w:t xml:space="preserve"> </w:t>
      </w:r>
      <w:proofErr w:type="spellStart"/>
      <w:r w:rsidRPr="00DA1B17">
        <w:rPr>
          <w:i/>
        </w:rPr>
        <w:t>uninervis</w:t>
      </w:r>
      <w:proofErr w:type="spellEnd"/>
      <w:r w:rsidRPr="00DA1B17">
        <w:rPr>
          <w:i/>
        </w:rPr>
        <w:t xml:space="preserve">, </w:t>
      </w:r>
      <w:proofErr w:type="spellStart"/>
      <w:r w:rsidRPr="00DA1B17">
        <w:rPr>
          <w:i/>
        </w:rPr>
        <w:t>Halophila</w:t>
      </w:r>
      <w:proofErr w:type="spellEnd"/>
      <w:r w:rsidRPr="00DA1B17">
        <w:rPr>
          <w:i/>
        </w:rPr>
        <w:t xml:space="preserve"> </w:t>
      </w:r>
      <w:proofErr w:type="spellStart"/>
      <w:r w:rsidRPr="00DA1B17">
        <w:rPr>
          <w:i/>
        </w:rPr>
        <w:t>capricorni</w:t>
      </w:r>
      <w:proofErr w:type="spellEnd"/>
      <w:r w:rsidRPr="00DA1B17">
        <w:rPr>
          <w:i/>
        </w:rPr>
        <w:t xml:space="preserve">, </w:t>
      </w:r>
      <w:proofErr w:type="spellStart"/>
      <w:r w:rsidRPr="00DA1B17">
        <w:rPr>
          <w:i/>
        </w:rPr>
        <w:t>Halophila</w:t>
      </w:r>
      <w:proofErr w:type="spellEnd"/>
      <w:r w:rsidRPr="00DA1B17">
        <w:rPr>
          <w:i/>
        </w:rPr>
        <w:t xml:space="preserve"> </w:t>
      </w:r>
      <w:proofErr w:type="spellStart"/>
      <w:r w:rsidRPr="00DA1B17">
        <w:rPr>
          <w:i/>
        </w:rPr>
        <w:t>decipiens</w:t>
      </w:r>
      <w:proofErr w:type="spellEnd"/>
      <w:r w:rsidRPr="00DA1B17">
        <w:rPr>
          <w:i/>
        </w:rPr>
        <w:t xml:space="preserve">, </w:t>
      </w:r>
      <w:proofErr w:type="spellStart"/>
      <w:r w:rsidRPr="00DA1B17">
        <w:rPr>
          <w:i/>
        </w:rPr>
        <w:t>Halophila</w:t>
      </w:r>
      <w:proofErr w:type="spellEnd"/>
      <w:r w:rsidRPr="00DA1B17">
        <w:rPr>
          <w:i/>
        </w:rPr>
        <w:t xml:space="preserve"> minor, </w:t>
      </w:r>
      <w:proofErr w:type="spellStart"/>
      <w:r w:rsidRPr="00DA1B17">
        <w:rPr>
          <w:i/>
        </w:rPr>
        <w:t>Halophila</w:t>
      </w:r>
      <w:proofErr w:type="spellEnd"/>
      <w:r w:rsidRPr="00DA1B17">
        <w:rPr>
          <w:i/>
        </w:rPr>
        <w:t xml:space="preserve"> </w:t>
      </w:r>
      <w:proofErr w:type="spellStart"/>
      <w:r w:rsidRPr="00DA1B17">
        <w:rPr>
          <w:i/>
        </w:rPr>
        <w:t>ovalis</w:t>
      </w:r>
      <w:proofErr w:type="spellEnd"/>
      <w:r w:rsidRPr="00DA1B17">
        <w:rPr>
          <w:i/>
        </w:rPr>
        <w:t xml:space="preserve">, </w:t>
      </w:r>
      <w:proofErr w:type="spellStart"/>
      <w:r w:rsidRPr="00DA1B17">
        <w:rPr>
          <w:i/>
        </w:rPr>
        <w:t>Halophila</w:t>
      </w:r>
      <w:proofErr w:type="spellEnd"/>
      <w:r w:rsidRPr="00DA1B17">
        <w:rPr>
          <w:i/>
        </w:rPr>
        <w:t xml:space="preserve"> </w:t>
      </w:r>
      <w:proofErr w:type="spellStart"/>
      <w:r w:rsidRPr="00DA1B17">
        <w:rPr>
          <w:i/>
        </w:rPr>
        <w:t>spinulosa</w:t>
      </w:r>
      <w:proofErr w:type="spellEnd"/>
      <w:r w:rsidRPr="00DA1B17">
        <w:rPr>
          <w:i/>
        </w:rPr>
        <w:t xml:space="preserve">, </w:t>
      </w:r>
      <w:proofErr w:type="spellStart"/>
      <w:r w:rsidRPr="00DA1B17">
        <w:rPr>
          <w:i/>
        </w:rPr>
        <w:t>Halophila</w:t>
      </w:r>
      <w:proofErr w:type="spellEnd"/>
      <w:r w:rsidRPr="00DA1B17">
        <w:rPr>
          <w:i/>
        </w:rPr>
        <w:t xml:space="preserve"> </w:t>
      </w:r>
      <w:proofErr w:type="spellStart"/>
      <w:r w:rsidRPr="00DA1B17">
        <w:rPr>
          <w:i/>
        </w:rPr>
        <w:t>tricostata</w:t>
      </w:r>
      <w:proofErr w:type="spellEnd"/>
      <w:r w:rsidRPr="00DA1B17">
        <w:rPr>
          <w:i/>
        </w:rPr>
        <w:t xml:space="preserve">, </w:t>
      </w:r>
      <w:proofErr w:type="spellStart"/>
      <w:r w:rsidRPr="00DA1B17">
        <w:rPr>
          <w:i/>
        </w:rPr>
        <w:t>Cymodocea</w:t>
      </w:r>
      <w:proofErr w:type="spellEnd"/>
      <w:r w:rsidRPr="00DA1B17">
        <w:rPr>
          <w:i/>
        </w:rPr>
        <w:t xml:space="preserve"> </w:t>
      </w:r>
      <w:proofErr w:type="spellStart"/>
      <w:r w:rsidRPr="00DA1B17">
        <w:rPr>
          <w:i/>
        </w:rPr>
        <w:t>rotundata</w:t>
      </w:r>
      <w:proofErr w:type="spellEnd"/>
      <w:r w:rsidRPr="00DA1B17">
        <w:rPr>
          <w:i/>
        </w:rPr>
        <w:t xml:space="preserve">, </w:t>
      </w:r>
      <w:proofErr w:type="spellStart"/>
      <w:r w:rsidRPr="00DA1B17">
        <w:rPr>
          <w:i/>
        </w:rPr>
        <w:t>Cymodocea</w:t>
      </w:r>
      <w:proofErr w:type="spellEnd"/>
      <w:r w:rsidRPr="00DA1B17">
        <w:rPr>
          <w:i/>
        </w:rPr>
        <w:t xml:space="preserve"> </w:t>
      </w:r>
      <w:proofErr w:type="spellStart"/>
      <w:r w:rsidRPr="00DA1B17">
        <w:rPr>
          <w:i/>
        </w:rPr>
        <w:t>serrulata</w:t>
      </w:r>
      <w:proofErr w:type="spellEnd"/>
      <w:r w:rsidRPr="00DA1B17">
        <w:rPr>
          <w:i/>
        </w:rPr>
        <w:t xml:space="preserve">, </w:t>
      </w:r>
      <w:proofErr w:type="spellStart"/>
      <w:r w:rsidRPr="00DA1B17">
        <w:rPr>
          <w:i/>
        </w:rPr>
        <w:t>Syringodium</w:t>
      </w:r>
      <w:proofErr w:type="spellEnd"/>
      <w:r w:rsidRPr="00DA1B17">
        <w:rPr>
          <w:i/>
        </w:rPr>
        <w:t xml:space="preserve"> </w:t>
      </w:r>
      <w:proofErr w:type="spellStart"/>
      <w:r w:rsidRPr="00DA1B17">
        <w:rPr>
          <w:i/>
        </w:rPr>
        <w:t>isoetifolium</w:t>
      </w:r>
      <w:proofErr w:type="spellEnd"/>
      <w:r w:rsidRPr="00DA1B17">
        <w:rPr>
          <w:i/>
        </w:rPr>
        <w:t xml:space="preserve">, </w:t>
      </w:r>
      <w:proofErr w:type="spellStart"/>
      <w:r w:rsidRPr="00DA1B17">
        <w:rPr>
          <w:i/>
        </w:rPr>
        <w:t>Thalassia</w:t>
      </w:r>
      <w:proofErr w:type="spellEnd"/>
      <w:r w:rsidRPr="00DA1B17">
        <w:rPr>
          <w:i/>
        </w:rPr>
        <w:t xml:space="preserve"> </w:t>
      </w:r>
      <w:proofErr w:type="spellStart"/>
      <w:r w:rsidRPr="00DA1B17">
        <w:rPr>
          <w:i/>
        </w:rPr>
        <w:t>hemprichii</w:t>
      </w:r>
      <w:proofErr w:type="spellEnd"/>
      <w:r w:rsidRPr="00DA1B17">
        <w:rPr>
          <w:i/>
        </w:rPr>
        <w:t xml:space="preserve">, </w:t>
      </w:r>
      <w:proofErr w:type="spellStart"/>
      <w:r w:rsidRPr="00DA1B17">
        <w:rPr>
          <w:i/>
        </w:rPr>
        <w:t>Thalassodendron</w:t>
      </w:r>
      <w:proofErr w:type="spellEnd"/>
      <w:r w:rsidRPr="00DA1B17">
        <w:rPr>
          <w:i/>
        </w:rPr>
        <w:t xml:space="preserve"> </w:t>
      </w:r>
      <w:proofErr w:type="spellStart"/>
      <w:r w:rsidRPr="00DA1B17">
        <w:rPr>
          <w:i/>
        </w:rPr>
        <w:t>ciliatum</w:t>
      </w:r>
      <w:proofErr w:type="spellEnd"/>
      <w:r w:rsidRPr="00DA1B17">
        <w:t xml:space="preserve"> and </w:t>
      </w:r>
      <w:proofErr w:type="spellStart"/>
      <w:r w:rsidRPr="00DA1B17">
        <w:rPr>
          <w:i/>
        </w:rPr>
        <w:t>Zostera</w:t>
      </w:r>
      <w:proofErr w:type="spellEnd"/>
      <w:r w:rsidRPr="00DA1B17">
        <w:rPr>
          <w:i/>
        </w:rPr>
        <w:t xml:space="preserve"> </w:t>
      </w:r>
      <w:proofErr w:type="spellStart"/>
      <w:r w:rsidRPr="00DA1B17">
        <w:rPr>
          <w:i/>
        </w:rPr>
        <w:t>muelleri</w:t>
      </w:r>
      <w:proofErr w:type="spellEnd"/>
      <w:r w:rsidRPr="00DA1B17">
        <w:t xml:space="preserve"> ssp. </w:t>
      </w:r>
      <w:proofErr w:type="spellStart"/>
      <w:r w:rsidRPr="00DA1B17">
        <w:rPr>
          <w:i/>
        </w:rPr>
        <w:t>capricorni</w:t>
      </w:r>
      <w:proofErr w:type="spellEnd"/>
      <w:r w:rsidRPr="00DA1B17">
        <w:t>. Areas notable as</w:t>
      </w:r>
      <w:r w:rsidRPr="00546CE1">
        <w:t xml:space="preserve"> species rich include Barrow Point to Murdoch Point (12 species), Flinders Island and Princess Charlotte Bay (9 species), Weymouth Bay, Cape Direction, Murdoch Point - Lookout Point and Bedford Bay - Cedar Bay (8 species) and Escape River Margaret Bay, Bathurst Bay, </w:t>
      </w:r>
      <w:proofErr w:type="spellStart"/>
      <w:r w:rsidRPr="00546CE1">
        <w:t>Ninian</w:t>
      </w:r>
      <w:proofErr w:type="spellEnd"/>
      <w:r w:rsidRPr="00546CE1">
        <w:t xml:space="preserve"> River and Cape Flattery (7 species).</w:t>
      </w:r>
    </w:p>
    <w:p w:rsidR="00E369D2" w:rsidRDefault="00674430" w:rsidP="00E369D2">
      <w:proofErr w:type="spellStart"/>
      <w:r w:rsidRPr="00217B0F">
        <w:rPr>
          <w:i/>
        </w:rPr>
        <w:lastRenderedPageBreak/>
        <w:t>Halodule</w:t>
      </w:r>
      <w:proofErr w:type="spellEnd"/>
      <w:r w:rsidRPr="00217B0F">
        <w:rPr>
          <w:i/>
        </w:rPr>
        <w:t xml:space="preserve"> </w:t>
      </w:r>
      <w:proofErr w:type="spellStart"/>
      <w:r w:rsidRPr="00217B0F">
        <w:rPr>
          <w:i/>
        </w:rPr>
        <w:t>uninervis</w:t>
      </w:r>
      <w:proofErr w:type="spellEnd"/>
      <w:r w:rsidRPr="00546CE1">
        <w:t xml:space="preserve"> and </w:t>
      </w:r>
      <w:proofErr w:type="spellStart"/>
      <w:r w:rsidRPr="00217B0F">
        <w:rPr>
          <w:i/>
        </w:rPr>
        <w:t>Halophila</w:t>
      </w:r>
      <w:proofErr w:type="spellEnd"/>
      <w:r w:rsidRPr="00217B0F">
        <w:rPr>
          <w:i/>
        </w:rPr>
        <w:t xml:space="preserve"> </w:t>
      </w:r>
      <w:proofErr w:type="spellStart"/>
      <w:r w:rsidRPr="00217B0F">
        <w:rPr>
          <w:i/>
        </w:rPr>
        <w:t>ovalis</w:t>
      </w:r>
      <w:proofErr w:type="spellEnd"/>
      <w:r w:rsidRPr="00217B0F">
        <w:rPr>
          <w:i/>
        </w:rPr>
        <w:t xml:space="preserve"> </w:t>
      </w:r>
      <w:r w:rsidRPr="00546CE1">
        <w:t xml:space="preserve">are the most common species in coastal intertidal areas. </w:t>
      </w:r>
      <w:proofErr w:type="spellStart"/>
      <w:r w:rsidRPr="00217B0F">
        <w:rPr>
          <w:i/>
        </w:rPr>
        <w:t>Cymodocea</w:t>
      </w:r>
      <w:proofErr w:type="spellEnd"/>
      <w:r w:rsidRPr="00217B0F">
        <w:rPr>
          <w:i/>
        </w:rPr>
        <w:t xml:space="preserve"> </w:t>
      </w:r>
      <w:proofErr w:type="spellStart"/>
      <w:r w:rsidRPr="00217B0F">
        <w:rPr>
          <w:i/>
        </w:rPr>
        <w:t>serrulata</w:t>
      </w:r>
      <w:proofErr w:type="spellEnd"/>
      <w:r w:rsidRPr="00546CE1">
        <w:t xml:space="preserve"> and </w:t>
      </w:r>
      <w:proofErr w:type="spellStart"/>
      <w:r w:rsidRPr="00217B0F">
        <w:rPr>
          <w:i/>
        </w:rPr>
        <w:t>Syringodium</w:t>
      </w:r>
      <w:proofErr w:type="spellEnd"/>
      <w:r w:rsidRPr="00217B0F">
        <w:rPr>
          <w:i/>
        </w:rPr>
        <w:t xml:space="preserve"> </w:t>
      </w:r>
      <w:proofErr w:type="spellStart"/>
      <w:r w:rsidRPr="00217B0F">
        <w:rPr>
          <w:i/>
        </w:rPr>
        <w:t>isoetifolium</w:t>
      </w:r>
      <w:proofErr w:type="spellEnd"/>
      <w:r w:rsidRPr="00546CE1">
        <w:t xml:space="preserve"> are found in shallow subtidal areas that are sheltered from the south-east winds in a variety of habitats including estuaries and muddy bays and reef tops (</w:t>
      </w:r>
      <w:r w:rsidR="00644A84">
        <w:fldChar w:fldCharType="begin">
          <w:fldData xml:space="preserve">PEVuZE5vdGU+PENpdGU+PEF1dGhvcj5Db2xlczwvQXV0aG9yPjxZZWFyPjE5ODc8L1llYXI+PFJl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</w:fldData>
        </w:fldChar>
      </w:r>
      <w:r w:rsidR="00644A84">
        <w:instrText xml:space="preserve"> ADDIN EN.CITE </w:instrText>
      </w:r>
      <w:r w:rsidR="00644A84">
        <w:fldChar w:fldCharType="begin">
          <w:fldData xml:space="preserve">PEVuZE5vdGU+PENpdGU+PEF1dGhvcj5Db2xlczwvQXV0aG9yPjxZZWFyPjE5ODc8L1llYXI+PFJl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</w:fldData>
        </w:fldChar>
      </w:r>
      <w:r w:rsidR="00644A84">
        <w:instrText xml:space="preserve"> ADDIN EN.CITE.DATA </w:instrText>
      </w:r>
      <w:r w:rsidR="00644A84">
        <w:fldChar w:fldCharType="end"/>
      </w:r>
      <w:r w:rsidR="00644A84">
        <w:fldChar w:fldCharType="separate"/>
      </w:r>
      <w:hyperlink w:anchor="_ENREF_52" w:tooltip="Coles, 1987 #517" w:history="1">
        <w:r w:rsidR="00E6043D">
          <w:rPr>
            <w:noProof/>
          </w:rPr>
          <w:t>Coles</w:t>
        </w:r>
        <w:r w:rsidR="00E6043D" w:rsidRPr="00644A84">
          <w:rPr>
            <w:i/>
            <w:noProof/>
          </w:rPr>
          <w:t>, et al.</w:t>
        </w:r>
        <w:r w:rsidR="00E6043D">
          <w:rPr>
            <w:noProof/>
          </w:rPr>
          <w:t xml:space="preserve"> 1987</w:t>
        </w:r>
      </w:hyperlink>
      <w:r w:rsidR="00644A84">
        <w:rPr>
          <w:noProof/>
        </w:rPr>
        <w:t xml:space="preserve">; </w:t>
      </w:r>
      <w:hyperlink w:anchor="_ENREF_147" w:tooltip="Lee Long, 1993 #682" w:history="1">
        <w:r w:rsidR="00E6043D">
          <w:rPr>
            <w:noProof/>
          </w:rPr>
          <w:t>Lee Long</w:t>
        </w:r>
        <w:r w:rsidR="00E6043D" w:rsidRPr="00644A84">
          <w:rPr>
            <w:i/>
            <w:noProof/>
          </w:rPr>
          <w:t>, et al.</w:t>
        </w:r>
        <w:r w:rsidR="00E6043D">
          <w:rPr>
            <w:noProof/>
          </w:rPr>
          <w:t xml:space="preserve"> 1993</w:t>
        </w:r>
      </w:hyperlink>
      <w:r w:rsidR="00644A84">
        <w:fldChar w:fldCharType="end"/>
      </w:r>
      <w:r w:rsidRPr="00546CE1">
        <w:t xml:space="preserve">). Subtidal meadows of </w:t>
      </w:r>
      <w:proofErr w:type="spellStart"/>
      <w:r w:rsidRPr="00217B0F">
        <w:rPr>
          <w:i/>
        </w:rPr>
        <w:t>Halophila</w:t>
      </w:r>
      <w:proofErr w:type="spellEnd"/>
      <w:r w:rsidRPr="00217B0F">
        <w:rPr>
          <w:i/>
        </w:rPr>
        <w:t xml:space="preserve"> </w:t>
      </w:r>
      <w:proofErr w:type="spellStart"/>
      <w:r w:rsidRPr="00217B0F">
        <w:rPr>
          <w:i/>
        </w:rPr>
        <w:t>ovalis</w:t>
      </w:r>
      <w:proofErr w:type="spellEnd"/>
      <w:r w:rsidRPr="00546CE1">
        <w:t xml:space="preserve"> and </w:t>
      </w:r>
      <w:proofErr w:type="spellStart"/>
      <w:r w:rsidRPr="00217B0F">
        <w:rPr>
          <w:i/>
        </w:rPr>
        <w:t>Halophila</w:t>
      </w:r>
      <w:proofErr w:type="spellEnd"/>
      <w:r w:rsidRPr="00217B0F">
        <w:rPr>
          <w:i/>
        </w:rPr>
        <w:t xml:space="preserve"> </w:t>
      </w:r>
      <w:proofErr w:type="spellStart"/>
      <w:r w:rsidRPr="00217B0F">
        <w:rPr>
          <w:i/>
        </w:rPr>
        <w:t>spinulosa</w:t>
      </w:r>
      <w:proofErr w:type="spellEnd"/>
      <w:r w:rsidRPr="00546CE1">
        <w:t xml:space="preserve"> are also quite extensive (</w:t>
      </w:r>
      <w:hyperlink w:anchor="_ENREF_147" w:tooltip="Lee Long, 1993 #682" w:history="1">
        <w:r w:rsidR="00E6043D">
          <w:fldChar w:fldCharType="begin"/>
        </w:r>
        <w:r w:rsidR="00E6043D">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E6043D">
          <w:fldChar w:fldCharType="separate"/>
        </w:r>
        <w:r w:rsidR="00E6043D">
          <w:rPr>
            <w:noProof/>
          </w:rPr>
          <w:t>Lee Long</w:t>
        </w:r>
        <w:r w:rsidR="00E6043D" w:rsidRPr="00644A84">
          <w:rPr>
            <w:i/>
            <w:noProof/>
          </w:rPr>
          <w:t>, et al.</w:t>
        </w:r>
        <w:r w:rsidR="00E6043D">
          <w:rPr>
            <w:noProof/>
          </w:rPr>
          <w:t xml:space="preserve"> 1993</w:t>
        </w:r>
        <w:r w:rsidR="00E6043D">
          <w:fldChar w:fldCharType="end"/>
        </w:r>
      </w:hyperlink>
      <w:r w:rsidRPr="00546CE1">
        <w:t xml:space="preserve">). Species common on coral reef platforms include </w:t>
      </w:r>
      <w:proofErr w:type="spellStart"/>
      <w:r w:rsidRPr="00217B0F">
        <w:rPr>
          <w:i/>
        </w:rPr>
        <w:t>Thalassia</w:t>
      </w:r>
      <w:proofErr w:type="spellEnd"/>
      <w:r w:rsidRPr="00217B0F">
        <w:rPr>
          <w:i/>
        </w:rPr>
        <w:t xml:space="preserve"> </w:t>
      </w:r>
      <w:proofErr w:type="spellStart"/>
      <w:r w:rsidRPr="00217B0F">
        <w:rPr>
          <w:i/>
        </w:rPr>
        <w:t>hemprichii</w:t>
      </w:r>
      <w:proofErr w:type="spellEnd"/>
      <w:r w:rsidRPr="00546CE1">
        <w:t xml:space="preserve"> and </w:t>
      </w:r>
      <w:proofErr w:type="spellStart"/>
      <w:r w:rsidRPr="00217B0F">
        <w:rPr>
          <w:i/>
        </w:rPr>
        <w:t>Cymodocea</w:t>
      </w:r>
      <w:proofErr w:type="spellEnd"/>
      <w:r w:rsidRPr="00217B0F">
        <w:rPr>
          <w:i/>
        </w:rPr>
        <w:t xml:space="preserve"> </w:t>
      </w:r>
      <w:proofErr w:type="spellStart"/>
      <w:r w:rsidRPr="00217B0F">
        <w:rPr>
          <w:i/>
        </w:rPr>
        <w:t>rotundata</w:t>
      </w:r>
      <w:proofErr w:type="spellEnd"/>
      <w:r w:rsidRPr="00546CE1">
        <w:t>, generally around islands and on vegetated cays (</w:t>
      </w:r>
      <w:hyperlink w:anchor="_ENREF_47" w:tooltip="Coles, 2007 #9281" w:history="1">
        <w:r w:rsidR="00E6043D">
          <w:fldChar w:fldCharType="begin"/>
        </w:r>
        <w:r w:rsidR="00E6043D">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6043D">
          <w:fldChar w:fldCharType="separate"/>
        </w:r>
        <w:r w:rsidR="00E6043D">
          <w:rPr>
            <w:noProof/>
          </w:rPr>
          <w:t>Coles</w:t>
        </w:r>
        <w:r w:rsidR="00E6043D" w:rsidRPr="00644A84">
          <w:rPr>
            <w:i/>
            <w:noProof/>
          </w:rPr>
          <w:t xml:space="preserve"> et al.</w:t>
        </w:r>
        <w:r w:rsidR="00E6043D">
          <w:rPr>
            <w:noProof/>
          </w:rPr>
          <w:t xml:space="preserve"> 2007</w:t>
        </w:r>
        <w:r w:rsidR="00E6043D">
          <w:fldChar w:fldCharType="end"/>
        </w:r>
      </w:hyperlink>
      <w:r w:rsidRPr="00546CE1">
        <w:t xml:space="preserve">). </w:t>
      </w:r>
      <w:proofErr w:type="spellStart"/>
      <w:r w:rsidRPr="00217B0F">
        <w:rPr>
          <w:i/>
        </w:rPr>
        <w:t>Enhalus</w:t>
      </w:r>
      <w:proofErr w:type="spellEnd"/>
      <w:r w:rsidRPr="00217B0F">
        <w:rPr>
          <w:i/>
        </w:rPr>
        <w:t xml:space="preserve"> </w:t>
      </w:r>
      <w:proofErr w:type="spellStart"/>
      <w:r w:rsidRPr="00217B0F">
        <w:rPr>
          <w:i/>
        </w:rPr>
        <w:t>acoroides</w:t>
      </w:r>
      <w:proofErr w:type="spellEnd"/>
      <w:r w:rsidRPr="00546CE1">
        <w:t xml:space="preserve"> is </w:t>
      </w:r>
      <w:r>
        <w:t>usually</w:t>
      </w:r>
      <w:r w:rsidRPr="00546CE1">
        <w:t xml:space="preserve"> found as small isolated patches in sheltered </w:t>
      </w:r>
      <w:proofErr w:type="spellStart"/>
      <w:r w:rsidRPr="00546CE1">
        <w:t>embayments</w:t>
      </w:r>
      <w:proofErr w:type="spellEnd"/>
      <w:r w:rsidRPr="00546CE1">
        <w:t xml:space="preserve"> (</w:t>
      </w:r>
      <w:r w:rsidR="00644A84">
        <w:fldChar w:fldCharType="begin"/>
      </w:r>
      <w:r w:rsidR="00644A84">
        <w:instrText xml:space="preserve"> ADDIN EN.CITE &lt;EndNote&gt;&lt;Cite&gt;&lt;Author&gt;Womersley&lt;/Author&gt;&lt;Year&gt;1981&lt;/Year&gt;&lt;RecNum&gt;10310&lt;/RecNum&gt;&lt;DisplayText&gt;Womersley 1981; Coles&lt;style face="italic"&gt; et al.&lt;/style&gt; 2003&lt;/DisplayText&gt;&lt;record&gt;&lt;rec-number&gt;10310&lt;/rec-number&gt;&lt;foreign-keys&gt;&lt;key app="EN" db-id="0eve55x9y5vfd6e9dacxtew4eatve2dzds9a"&gt;10310&lt;/key&gt;&lt;/foreign-keys&gt;&lt;ref-type name="Edited Book"&gt;28&lt;/ref-type&gt;&lt;contributors&gt;&lt;authors&gt;&lt;author&gt;Womersley, HBS&lt;/author&gt;&lt;/authors&gt;&lt;secondary-authors&gt;&lt;author&gt;Clayton, M&lt;/author&gt;&lt;author&gt;King, R&lt;/author&gt;&lt;/secondary-authors&gt;&lt;/contributors&gt;&lt;titles&gt;&lt;title&gt;Marine Ecology and zonation of temperate coasts&lt;/title&gt;&lt;secondary-title&gt;Marine Botany: An Australian Perspective&lt;/secondary-title&gt;&lt;/titles&gt;&lt;dates&gt;&lt;year&gt;1981&lt;/year&gt;&lt;/dates&gt;&lt;pub-location&gt;Melbourne&lt;/pub-location&gt;&lt;publisher&gt;Longman Chieshire&lt;/publisher&gt;&lt;urls&gt;&lt;/urls&gt;&lt;/record&gt;&lt;/Cite&gt;&lt;Cite&gt;&lt;Author&gt;Coles&lt;/Author&gt;&lt;Year&gt;2003&lt;/Year&gt;&lt;RecNum&gt;7281&lt;/RecNum&gt;&lt;record&gt;&lt;rec-number&gt;7281&lt;/rec-number&gt;&lt;foreign-keys&gt;&lt;key app="EN" db-id="0eve55x9y5vfd6e9dacxtew4eatve2dzds9a"&gt;7281&lt;/key&gt;&lt;/foreign-keys&gt;&lt;ref-type name="Book Section"&gt;5&lt;/ref-type&gt;&lt;contributors&gt;&lt;authors&gt;&lt;author&gt;Coles, R&lt;/author&gt;&lt;author&gt;McKenzie, Len J&lt;/author&gt;&lt;author&gt;Campbell, S&lt;/author&gt;&lt;/authors&gt;&lt;secondary-authors&gt;&lt;author&gt;Green, E P&lt;/author&gt;&lt;author&gt;Short, F T&lt;/author&gt;&lt;/secondary-authors&gt;&lt;/contributors&gt;&lt;titles&gt;&lt;title&gt;The seagrasses of Eastern Australia&lt;/title&gt;&lt;secondary-title&gt;The World Atlas of Seagrasses: present status and future conservation.&lt;/secondary-title&gt;&lt;/titles&gt;&lt;pages&gt;119-133&lt;/pages&gt;&lt;section&gt;11&lt;/section&gt;&lt;dates&gt;&lt;year&gt;2003&lt;/year&gt;&lt;/dates&gt;&lt;pub-location&gt;Los Angeles, USA&lt;/pub-location&gt;&lt;publisher&gt;University of California Press&lt;/publisher&gt;&lt;isbn&gt;0-520-24047-2&lt;/isbn&gt;&lt;urls&gt;&lt;/urls&gt;&lt;/record&gt;&lt;/Cite&gt;&lt;/EndNote&gt;</w:instrText>
      </w:r>
      <w:r w:rsidR="00644A84">
        <w:fldChar w:fldCharType="separate"/>
      </w:r>
      <w:hyperlink w:anchor="_ENREF_243" w:tooltip="Womersley, 1981 #10310" w:history="1">
        <w:r w:rsidR="00E6043D">
          <w:rPr>
            <w:noProof/>
          </w:rPr>
          <w:t>Womersley 1981</w:t>
        </w:r>
      </w:hyperlink>
      <w:r w:rsidR="00644A84">
        <w:rPr>
          <w:noProof/>
        </w:rPr>
        <w:t xml:space="preserve">; </w:t>
      </w:r>
      <w:hyperlink w:anchor="_ENREF_48" w:tooltip="Coles, 2003 #7281" w:history="1">
        <w:r w:rsidR="00E6043D">
          <w:rPr>
            <w:noProof/>
          </w:rPr>
          <w:t>Coles</w:t>
        </w:r>
        <w:r w:rsidR="00E6043D" w:rsidRPr="00644A84">
          <w:rPr>
            <w:i/>
            <w:noProof/>
          </w:rPr>
          <w:t xml:space="preserve"> et al.</w:t>
        </w:r>
        <w:r w:rsidR="00E6043D">
          <w:rPr>
            <w:noProof/>
          </w:rPr>
          <w:t xml:space="preserve"> 2003</w:t>
        </w:r>
      </w:hyperlink>
      <w:r w:rsidR="00644A84">
        <w:fldChar w:fldCharType="end"/>
      </w:r>
      <w:r w:rsidRPr="00546CE1">
        <w:t xml:space="preserve">).  Sites that have been revisited since the </w:t>
      </w:r>
      <w:proofErr w:type="spellStart"/>
      <w:r w:rsidRPr="00546CE1">
        <w:t>broadscale</w:t>
      </w:r>
      <w:proofErr w:type="spellEnd"/>
      <w:r w:rsidRPr="00546CE1">
        <w:t xml:space="preserve"> surveys in the </w:t>
      </w:r>
      <w:proofErr w:type="spellStart"/>
      <w:r w:rsidRPr="00546CE1">
        <w:t>mid 1980s</w:t>
      </w:r>
      <w:proofErr w:type="spellEnd"/>
      <w:r w:rsidRPr="00546CE1">
        <w:t xml:space="preserve"> show that seagrasses generally occurred in similar areas but when surveyed at a finer scale were more extensive (</w:t>
      </w:r>
      <w:hyperlink w:anchor="_ENREF_47" w:tooltip="Coles, 2007 #9281" w:history="1">
        <w:r w:rsidR="00E6043D">
          <w:fldChar w:fldCharType="begin"/>
        </w:r>
        <w:r w:rsidR="00E6043D">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6043D">
          <w:fldChar w:fldCharType="separate"/>
        </w:r>
        <w:r w:rsidR="00E6043D">
          <w:rPr>
            <w:noProof/>
          </w:rPr>
          <w:t>Coles</w:t>
        </w:r>
        <w:r w:rsidR="00E6043D" w:rsidRPr="00644A84">
          <w:rPr>
            <w:i/>
            <w:noProof/>
          </w:rPr>
          <w:t>, et al.</w:t>
        </w:r>
        <w:r w:rsidR="00E6043D">
          <w:rPr>
            <w:noProof/>
          </w:rPr>
          <w:t xml:space="preserve"> 2007</w:t>
        </w:r>
        <w:r w:rsidR="00E6043D">
          <w:fldChar w:fldCharType="end"/>
        </w:r>
      </w:hyperlink>
      <w:r w:rsidRPr="00546CE1">
        <w:t>).</w:t>
      </w:r>
      <w:r w:rsidR="00E369D2">
        <w:t xml:space="preserve"> </w:t>
      </w:r>
    </w:p>
    <w:p w:rsidR="00E369D2" w:rsidRDefault="00E369D2" w:rsidP="00E369D2">
      <w:r w:rsidRPr="00546CE1">
        <w:t xml:space="preserve">Seagrasses in </w:t>
      </w:r>
      <w:r>
        <w:t xml:space="preserve">the </w:t>
      </w:r>
      <w:r w:rsidRPr="00546CE1">
        <w:t>deep</w:t>
      </w:r>
      <w:r>
        <w:t>er</w:t>
      </w:r>
      <w:r w:rsidRPr="00546CE1">
        <w:t xml:space="preserve"> water</w:t>
      </w:r>
      <w:r>
        <w:t>s</w:t>
      </w:r>
      <w:r w:rsidRPr="00546CE1">
        <w:t xml:space="preserve"> (&gt;15m) have been </w:t>
      </w:r>
      <w:r>
        <w:t xml:space="preserve">assessed </w:t>
      </w:r>
      <w:r w:rsidRPr="00546CE1">
        <w:t>twice</w:t>
      </w:r>
      <w:r>
        <w:t>;</w:t>
      </w:r>
      <w:r w:rsidRPr="00546CE1">
        <w:t xml:space="preserve"> once between 1994 and 1999 (</w:t>
      </w:r>
      <w:hyperlink w:anchor="_ENREF_49" w:tooltip="Coles, 2009 #9367" w:history="1">
        <w:r w:rsidR="00E6043D">
          <w:fldChar w:fldCharType="begin"/>
        </w:r>
        <w:r w:rsidR="00E6043D">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E6043D">
          <w:fldChar w:fldCharType="separate"/>
        </w:r>
        <w:r w:rsidR="00E6043D">
          <w:rPr>
            <w:noProof/>
          </w:rPr>
          <w:t>Coles</w:t>
        </w:r>
        <w:r w:rsidR="00E6043D" w:rsidRPr="00644A84">
          <w:rPr>
            <w:i/>
            <w:noProof/>
          </w:rPr>
          <w:t>, et al.</w:t>
        </w:r>
        <w:r w:rsidR="00E6043D">
          <w:rPr>
            <w:noProof/>
          </w:rPr>
          <w:t xml:space="preserve"> 2009</w:t>
        </w:r>
        <w:r w:rsidR="00E6043D">
          <w:fldChar w:fldCharType="end"/>
        </w:r>
      </w:hyperlink>
      <w:r w:rsidRPr="00546CE1">
        <w:t>) and again between 2003 and 2006 (</w:t>
      </w:r>
      <w:hyperlink w:anchor="_ENREF_197" w:tooltip="Pitcher, 2007 #9878" w:history="1">
        <w:r w:rsidR="00E6043D">
          <w:fldChar w:fldCharType="begin">
            <w:fldData xml:space="preserve">PEVuZE5vdGU+PENpdGU+PEF1dGhvcj5QaXRjaGVyPC9BdXRob3I+PFllYXI+MjAwNzwvWWVhcj48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</w:fldData>
          </w:fldChar>
        </w:r>
        <w:r w:rsidR="00E6043D">
          <w:instrText xml:space="preserve"> ADDIN EN.CITE </w:instrText>
        </w:r>
        <w:r w:rsidR="00E6043D">
          <w:fldChar w:fldCharType="begin">
            <w:fldData xml:space="preserve">PEVuZE5vdGU+PENpdGU+PEF1dGhvcj5QaXRjaGVyPC9BdXRob3I+PFllYXI+MjAwNzwvWWVhcj48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</w:fldData>
          </w:fldChar>
        </w:r>
        <w:r w:rsidR="00E6043D">
          <w:instrText xml:space="preserve"> ADDIN EN.CITE.DATA </w:instrText>
        </w:r>
        <w:r w:rsidR="00E6043D">
          <w:fldChar w:fldCharType="end"/>
        </w:r>
        <w:r w:rsidR="00E6043D">
          <w:fldChar w:fldCharType="separate"/>
        </w:r>
        <w:r w:rsidR="00E6043D">
          <w:rPr>
            <w:noProof/>
          </w:rPr>
          <w:t>Pitcher</w:t>
        </w:r>
        <w:r w:rsidR="00E6043D" w:rsidRPr="00644A84">
          <w:rPr>
            <w:i/>
            <w:noProof/>
          </w:rPr>
          <w:t xml:space="preserve"> et al.</w:t>
        </w:r>
        <w:r w:rsidR="00E6043D">
          <w:rPr>
            <w:noProof/>
          </w:rPr>
          <w:t xml:space="preserve"> 2007</w:t>
        </w:r>
        <w:r w:rsidR="00E6043D">
          <w:fldChar w:fldCharType="end"/>
        </w:r>
      </w:hyperlink>
      <w:r w:rsidRPr="00546CE1">
        <w:t>). The modelled distribution of seagrass species for both time periods shows spatial discontinuities in deep water seagrass meadows along the north-south axis with a low probability of seagrass being present north of Princess Charlotte Bay and extensive seagrass areas in the south of the region extending out from the coast in the Lizard Island region (</w:t>
      </w:r>
      <w:r w:rsidR="00644A84">
        <w:fldChar w:fldCharType="begin"/>
      </w:r>
      <w:r w:rsidR="00644A84">
        <w:instrText xml:space="preserve"> ADDIN EN.CITE &lt;EndNote&gt;&lt;Cite&gt;&lt;Author&gt;De’ath&lt;/Author&gt;&lt;Year&gt;2007&lt;/Year&gt;&lt;RecNum&gt;9879&lt;/RecNum&gt;&lt;DisplayText&gt;De’ath&lt;style face="italic"&gt; et al.&lt;/style&gt; 2007; Coles&lt;style face="italic"&gt;, et al.&lt;/style&gt; 2009&lt;/DisplayText&gt;&lt;record&gt;&lt;rec-number&gt;9879&lt;/rec-number&gt;&lt;foreign-keys&gt;&lt;key app="EN" db-id="0eve55x9y5vfd6e9dacxtew4eatve2dzds9a"&gt;9879&lt;/key&gt;&lt;/foreign-keys&gt;&lt;ref-type name="Book"&gt;6&lt;/ref-type&gt;&lt;contributors&gt;&lt;authors&gt;&lt;author&gt;De’ath, G&lt;/author&gt;&lt;author&gt;Coles, R&lt;/author&gt;&lt;author&gt;McKenzie, Len J&lt;/author&gt;&lt;author&gt;Pitcher, R&lt;/author&gt;&lt;/authors&gt;&lt;/contributors&gt;&lt;titles&gt;&lt;title&gt;Spatial Distributions and temporal change in distributions of deep water seagrasses in the GRR region. QDPI&amp;amp;F report to MTSRF &lt;/title&gt;&lt;/titles&gt;&lt;section&gt;19&lt;/section&gt;&lt;dates&gt;&lt;year&gt;2007&lt;/year&gt;&lt;/dates&gt;&lt;pub-location&gt;Cairns&lt;/pub-location&gt;&lt;publisher&gt;QDPIF&lt;/publisher&gt;&lt;urls&gt;&lt;/urls&gt;&lt;/record&gt;&lt;/Cite&gt;&lt;Cite&gt;&lt;Author&gt;Coles&lt;/Author&gt;&lt;Year&gt;2009&lt;/Year&gt;&lt;RecNum&gt;9367&lt;/RecNum&gt;&lt;record&gt;&lt;rec-number&gt;9367&lt;/rec-number&gt;&lt;foreign-keys&gt;&lt;key app="EN" db-id="0eve55x9y5vfd6e9dacxtew4eatve2dzds9a"&gt;9367&lt;/key&gt;&lt;/foreign-keys&gt;&lt;ref-type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644A84">
        <w:fldChar w:fldCharType="separate"/>
      </w:r>
      <w:hyperlink w:anchor="_ENREF_85" w:tooltip="De’ath, 2007 #9879" w:history="1">
        <w:r w:rsidR="00E6043D">
          <w:rPr>
            <w:noProof/>
          </w:rPr>
          <w:t>De’ath</w:t>
        </w:r>
        <w:r w:rsidR="00E6043D" w:rsidRPr="00644A84">
          <w:rPr>
            <w:i/>
            <w:noProof/>
          </w:rPr>
          <w:t xml:space="preserve"> et al.</w:t>
        </w:r>
        <w:r w:rsidR="00E6043D">
          <w:rPr>
            <w:noProof/>
          </w:rPr>
          <w:t xml:space="preserve"> 2007</w:t>
        </w:r>
      </w:hyperlink>
      <w:r w:rsidR="00644A84">
        <w:rPr>
          <w:noProof/>
        </w:rPr>
        <w:t xml:space="preserve">; </w:t>
      </w:r>
      <w:hyperlink w:anchor="_ENREF_49" w:tooltip="Coles, 2009 #9367" w:history="1">
        <w:r w:rsidR="00E6043D">
          <w:rPr>
            <w:noProof/>
          </w:rPr>
          <w:t>Coles</w:t>
        </w:r>
        <w:r w:rsidR="00E6043D" w:rsidRPr="00644A84">
          <w:rPr>
            <w:i/>
            <w:noProof/>
          </w:rPr>
          <w:t>, et al.</w:t>
        </w:r>
        <w:r w:rsidR="00E6043D">
          <w:rPr>
            <w:noProof/>
          </w:rPr>
          <w:t xml:space="preserve"> 2009</w:t>
        </w:r>
      </w:hyperlink>
      <w:r w:rsidR="00644A84">
        <w:fldChar w:fldCharType="end"/>
      </w:r>
      <w:r w:rsidRPr="00546CE1">
        <w:t xml:space="preserve">). </w:t>
      </w:r>
      <w:proofErr w:type="spellStart"/>
      <w:r w:rsidRPr="00A902A7">
        <w:rPr>
          <w:i/>
        </w:rPr>
        <w:t>Halophila</w:t>
      </w:r>
      <w:proofErr w:type="spellEnd"/>
      <w:r w:rsidRPr="00A902A7">
        <w:rPr>
          <w:i/>
        </w:rPr>
        <w:t xml:space="preserve"> </w:t>
      </w:r>
      <w:proofErr w:type="spellStart"/>
      <w:r w:rsidRPr="00A902A7">
        <w:rPr>
          <w:i/>
        </w:rPr>
        <w:t>ovalis</w:t>
      </w:r>
      <w:proofErr w:type="spellEnd"/>
      <w:r w:rsidRPr="00A902A7">
        <w:rPr>
          <w:i/>
        </w:rPr>
        <w:t xml:space="preserve">, </w:t>
      </w:r>
      <w:proofErr w:type="spellStart"/>
      <w:r w:rsidRPr="00A902A7">
        <w:rPr>
          <w:i/>
        </w:rPr>
        <w:t>Halophila</w:t>
      </w:r>
      <w:proofErr w:type="spellEnd"/>
      <w:r w:rsidRPr="00A902A7">
        <w:rPr>
          <w:i/>
        </w:rPr>
        <w:t xml:space="preserve"> </w:t>
      </w:r>
      <w:proofErr w:type="spellStart"/>
      <w:r w:rsidRPr="00A902A7">
        <w:rPr>
          <w:i/>
        </w:rPr>
        <w:t>spinulosa</w:t>
      </w:r>
      <w:proofErr w:type="spellEnd"/>
      <w:r w:rsidRPr="00A902A7">
        <w:rPr>
          <w:i/>
        </w:rPr>
        <w:t xml:space="preserve">, </w:t>
      </w:r>
      <w:proofErr w:type="spellStart"/>
      <w:r w:rsidRPr="00A902A7">
        <w:rPr>
          <w:i/>
        </w:rPr>
        <w:t>Halophila</w:t>
      </w:r>
      <w:proofErr w:type="spellEnd"/>
      <w:r w:rsidRPr="00A902A7">
        <w:rPr>
          <w:i/>
        </w:rPr>
        <w:t xml:space="preserve"> </w:t>
      </w:r>
      <w:proofErr w:type="spellStart"/>
      <w:r w:rsidRPr="00A902A7">
        <w:rPr>
          <w:i/>
        </w:rPr>
        <w:t>tricostata</w:t>
      </w:r>
      <w:proofErr w:type="spellEnd"/>
      <w:r w:rsidRPr="00A902A7">
        <w:rPr>
          <w:i/>
        </w:rPr>
        <w:t xml:space="preserve">, </w:t>
      </w:r>
      <w:proofErr w:type="spellStart"/>
      <w:r w:rsidRPr="00A902A7">
        <w:rPr>
          <w:i/>
        </w:rPr>
        <w:t>Halophila</w:t>
      </w:r>
      <w:proofErr w:type="spellEnd"/>
      <w:r w:rsidRPr="00A902A7">
        <w:rPr>
          <w:i/>
        </w:rPr>
        <w:t xml:space="preserve"> </w:t>
      </w:r>
      <w:proofErr w:type="spellStart"/>
      <w:r w:rsidRPr="00A902A7">
        <w:rPr>
          <w:i/>
        </w:rPr>
        <w:t>decipiens</w:t>
      </w:r>
      <w:proofErr w:type="spellEnd"/>
      <w:r w:rsidRPr="00546CE1">
        <w:t xml:space="preserve"> and </w:t>
      </w:r>
      <w:proofErr w:type="spellStart"/>
      <w:r w:rsidRPr="00A902A7">
        <w:rPr>
          <w:i/>
        </w:rPr>
        <w:t>Halophila</w:t>
      </w:r>
      <w:proofErr w:type="spellEnd"/>
      <w:r w:rsidRPr="00A902A7">
        <w:rPr>
          <w:i/>
        </w:rPr>
        <w:t xml:space="preserve"> </w:t>
      </w:r>
      <w:proofErr w:type="spellStart"/>
      <w:r w:rsidRPr="00A902A7">
        <w:rPr>
          <w:i/>
        </w:rPr>
        <w:t>capricorni</w:t>
      </w:r>
      <w:proofErr w:type="spellEnd"/>
      <w:r w:rsidRPr="00546CE1">
        <w:t xml:space="preserve"> dominated the meadows in both surveys. The distribution of </w:t>
      </w:r>
      <w:proofErr w:type="spellStart"/>
      <w:r w:rsidRPr="00546CE1">
        <w:t>deepwater</w:t>
      </w:r>
      <w:proofErr w:type="spellEnd"/>
      <w:r w:rsidRPr="00546CE1">
        <w:t xml:space="preserve"> seagrasses appears to be mainly influenced by water clarity and a combination of propagule dispersal, nutrient supply, and current stress.  </w:t>
      </w:r>
      <w:r>
        <w:t>Unfortunately monitoring in the deeper waters is beyond the scope of the MMP funds</w:t>
      </w:r>
      <w:r w:rsidR="003503F4">
        <w:t xml:space="preserve"> and o</w:t>
      </w:r>
      <w:r>
        <w:t xml:space="preserve">nly </w:t>
      </w:r>
      <w:r w:rsidR="003503F4">
        <w:t xml:space="preserve">intertidal </w:t>
      </w:r>
      <w:r>
        <w:t xml:space="preserve">reef and coastal seagrass habitats </w:t>
      </w:r>
      <w:r w:rsidR="003503F4">
        <w:t>are currently</w:t>
      </w:r>
      <w:r>
        <w:t xml:space="preserve"> monitored.</w:t>
      </w:r>
    </w:p>
    <w:p w:rsidR="00035426" w:rsidRDefault="00035426" w:rsidP="00035426">
      <w:r>
        <w:t xml:space="preserve">Reef habitats in the Cape York region support diverse seagrass assemblages. Approximately 3% of all mapped seagrass meadows in the Cape York region are located on fringing-reefs </w:t>
      </w:r>
      <w:r w:rsidR="003503F4" w:rsidRPr="00546CE1">
        <w:t>(</w:t>
      </w:r>
      <w:hyperlink w:anchor="_ENREF_47" w:tooltip="Coles, 2007 #9281" w:history="1">
        <w:r w:rsidR="00E6043D">
          <w:fldChar w:fldCharType="begin"/>
        </w:r>
        <w:r w:rsidR="00E6043D">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6043D">
          <w:fldChar w:fldCharType="separate"/>
        </w:r>
        <w:r w:rsidR="00E6043D">
          <w:rPr>
            <w:noProof/>
          </w:rPr>
          <w:t>Coles</w:t>
        </w:r>
        <w:r w:rsidR="00E6043D" w:rsidRPr="00644A84">
          <w:rPr>
            <w:i/>
            <w:noProof/>
          </w:rPr>
          <w:t>, et al.</w:t>
        </w:r>
        <w:r w:rsidR="00E6043D">
          <w:rPr>
            <w:noProof/>
          </w:rPr>
          <w:t xml:space="preserve"> 2007</w:t>
        </w:r>
        <w:r w:rsidR="00E6043D">
          <w:fldChar w:fldCharType="end"/>
        </w:r>
      </w:hyperlink>
      <w:r w:rsidR="003503F4" w:rsidRPr="00546CE1">
        <w:t>)</w:t>
      </w:r>
      <w:r>
        <w:t>. In these environments, physical disturbance from waves and swell and associated sediment movement primarily control seagrass growth (</w:t>
      </w:r>
      <w:r w:rsidR="00010926">
        <w:rPr>
          <w:color w:val="0000FF"/>
        </w:rPr>
        <w:fldChar w:fldCharType="begin"/>
      </w:r>
      <w:r w:rsidR="00010926">
        <w:instrText xml:space="preserve"> REF _Ref442553694 \h </w:instrText>
      </w:r>
      <w:r w:rsidR="00010926">
        <w:rPr>
          <w:color w:val="0000FF"/>
        </w:rPr>
      </w:r>
      <w:r w:rsidR="00010926">
        <w:rPr>
          <w:color w:val="0000FF"/>
        </w:rPr>
        <w:fldChar w:fldCharType="separate"/>
      </w:r>
      <w:r w:rsidR="009C068F">
        <w:rPr>
          <w:color w:val="000000"/>
        </w:rPr>
        <w:t xml:space="preserve">Figure </w:t>
      </w:r>
      <w:r w:rsidR="009C068F">
        <w:rPr>
          <w:noProof/>
          <w:color w:val="000000"/>
        </w:rPr>
        <w:t>115</w:t>
      </w:r>
      <w:r w:rsidR="00010926">
        <w:rPr>
          <w:color w:val="0000FF"/>
        </w:rPr>
        <w:fldChar w:fldCharType="end"/>
      </w:r>
      <w:r>
        <w:t>). Shallow unstable sediment, fluctuating temperature, and variable salinity also characterize these habitats. Sediment movement due to bioturbation and prevalent wave exposure creates an unstable environment where it is difficult for seagrass seedlings to establish or persist.</w:t>
      </w:r>
    </w:p>
    <w:p w:rsidR="00035426" w:rsidRDefault="00035426" w:rsidP="008A429D"/>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2DE8909B" wp14:editId="4E005FF1">
            <wp:extent cx="5762625" cy="2191385"/>
            <wp:effectExtent l="0" t="0" r="9525" b="0"/>
            <wp:docPr id="10219" name="Picture 10219" descr="Conceptual diagram of seagrass meadow processes for reef habitats in the Cape York region showing major control is pulsed physical disturbance,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pe_York_NRM_reef"/>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a:noFill/>
                    </a:ln>
                  </pic:spPr>
                </pic:pic>
              </a:graphicData>
            </a:graphic>
          </wp:inline>
        </w:drawing>
      </w:r>
    </w:p>
    <w:p w:rsidR="00035426" w:rsidRDefault="00035426" w:rsidP="00035426">
      <w:pPr>
        <w:rPr>
          <w:i/>
          <w:vanish/>
          <w:color w:val="000000"/>
          <w:szCs w:val="22"/>
          <w:specVanish/>
        </w:rPr>
      </w:pPr>
      <w:bookmarkStart w:id="874" w:name="_Ref442553694"/>
      <w:bookmarkStart w:id="875" w:name="_Toc462684955"/>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115</w:t>
      </w:r>
      <w:r w:rsidR="0073595B">
        <w:rPr>
          <w:color w:val="000000"/>
        </w:rPr>
        <w:fldChar w:fldCharType="end"/>
      </w:r>
      <w:bookmarkEnd w:id="874"/>
      <w:r>
        <w:rPr>
          <w:color w:val="000000"/>
        </w:rPr>
        <w:t xml:space="preserve">. </w:t>
      </w:r>
      <w:r>
        <w:rPr>
          <w:i/>
          <w:color w:val="000000"/>
        </w:rPr>
        <w:t>Conceptual diagram of reef habitat in the Cape York region</w:t>
      </w:r>
      <w:bookmarkEnd w:id="875"/>
    </w:p>
    <w:p w:rsidR="00035426" w:rsidRDefault="00035426" w:rsidP="00035426">
      <w:pPr>
        <w:rPr>
          <w:color w:val="000000"/>
        </w:rPr>
      </w:pPr>
      <w:r>
        <w:rPr>
          <w:i/>
          <w:color w:val="000000"/>
        </w:rPr>
        <w:t xml:space="preserve"> – </w:t>
      </w:r>
      <w:proofErr w:type="gramStart"/>
      <w:r>
        <w:rPr>
          <w:i/>
          <w:color w:val="000000"/>
        </w:rPr>
        <w:t>major</w:t>
      </w:r>
      <w:proofErr w:type="gramEnd"/>
      <w:r>
        <w:rPr>
          <w:i/>
          <w:color w:val="000000"/>
        </w:rPr>
        <w:t xml:space="preserve"> control is pulsed physical disturbance, salinity and temperature extremes: general habitat and seagrass meadow processes (see </w:t>
      </w:r>
      <w:r w:rsidR="00010926">
        <w:rPr>
          <w:i/>
          <w:color w:val="000000"/>
        </w:rPr>
        <w:fldChar w:fldCharType="begin"/>
      </w:r>
      <w:r w:rsidR="00010926">
        <w:rPr>
          <w:i/>
          <w:color w:val="000000"/>
        </w:rPr>
        <w:instrText xml:space="preserve"> REF _Ref442553728 \h </w:instrText>
      </w:r>
      <w:r w:rsidR="00010926">
        <w:rPr>
          <w:i/>
          <w:color w:val="000000"/>
        </w:rPr>
      </w:r>
      <w:r w:rsidR="00010926">
        <w:rPr>
          <w:i/>
          <w:color w:val="000000"/>
        </w:rPr>
        <w:fldChar w:fldCharType="separate"/>
      </w:r>
      <w:r w:rsidR="009C068F">
        <w:rPr>
          <w:color w:val="000000"/>
          <w:szCs w:val="22"/>
        </w:rPr>
        <w:t xml:space="preserve">Figure </w:t>
      </w:r>
      <w:r w:rsidR="009C068F">
        <w:rPr>
          <w:noProof/>
          <w:color w:val="000000"/>
          <w:szCs w:val="22"/>
        </w:rPr>
        <w:t>128</w:t>
      </w:r>
      <w:r w:rsidR="00010926">
        <w:rPr>
          <w:i/>
          <w:color w:val="000000"/>
        </w:rPr>
        <w:fldChar w:fldCharType="end"/>
      </w:r>
      <w:r w:rsidR="00010926">
        <w:rPr>
          <w:i/>
          <w:color w:val="000000"/>
        </w:rPr>
        <w:t xml:space="preserve"> </w:t>
      </w:r>
      <w:r>
        <w:rPr>
          <w:i/>
          <w:color w:val="000000"/>
        </w:rPr>
        <w:t>for icon explanation).</w:t>
      </w:r>
      <w:r>
        <w:rPr>
          <w:color w:val="000000"/>
        </w:rPr>
        <w:t xml:space="preserve"> </w:t>
      </w:r>
    </w:p>
    <w:p w:rsidR="00035426" w:rsidRPr="00035426" w:rsidRDefault="00035426" w:rsidP="00035426"/>
    <w:p w:rsidR="00035426" w:rsidRPr="00035426" w:rsidRDefault="00035426" w:rsidP="00035426">
      <w:r w:rsidRPr="00035426">
        <w:t>Seagrass meadows on inshore reef habitats were monitored at 3 locations, from the north of the region (12.25°S), to the south (15.6°S) (</w:t>
      </w:r>
      <w:r w:rsidR="00010926">
        <w:rPr>
          <w:color w:val="0000FF"/>
        </w:rPr>
        <w:fldChar w:fldCharType="begin"/>
      </w:r>
      <w:r w:rsidR="00010926">
        <w:instrText xml:space="preserve"> REF _Ref236539751 \h </w:instrText>
      </w:r>
      <w:r w:rsidR="00010926">
        <w:rPr>
          <w:color w:val="0000FF"/>
        </w:rPr>
      </w:r>
      <w:r w:rsidR="00010926">
        <w:rPr>
          <w:color w:val="0000FF"/>
        </w:rPr>
        <w:fldChar w:fldCharType="separate"/>
      </w:r>
      <w:r w:rsidR="009C068F" w:rsidRPr="00015190">
        <w:rPr>
          <w:color w:val="000000"/>
          <w:szCs w:val="22"/>
        </w:rPr>
        <w:t xml:space="preserve">Table </w:t>
      </w:r>
      <w:r w:rsidR="009C068F">
        <w:rPr>
          <w:noProof/>
          <w:color w:val="000000"/>
          <w:szCs w:val="22"/>
        </w:rPr>
        <w:t>3</w:t>
      </w:r>
      <w:r w:rsidR="00010926">
        <w:rPr>
          <w:color w:val="0000FF"/>
        </w:rPr>
        <w:fldChar w:fldCharType="end"/>
      </w:r>
      <w:r w:rsidRPr="00035426">
        <w:t xml:space="preserve">).  The most southern location (Archer Point) includes a legacy site which has been monitored over the longest time period for the region. The sites at </w:t>
      </w:r>
      <w:r w:rsidRPr="00035426">
        <w:lastRenderedPageBreak/>
        <w:t>Archer Point were located in a sheltered section of bay adjacent to Archer Point, fringed by mangroves, approximately 15km south of Cooktown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9C068F">
        <w:rPr>
          <w:color w:val="000000"/>
        </w:rPr>
        <w:t xml:space="preserve">Figure </w:t>
      </w:r>
      <w:r w:rsidR="009C068F">
        <w:rPr>
          <w:noProof/>
          <w:color w:val="000000"/>
        </w:rPr>
        <w:t>215</w:t>
      </w:r>
      <w:r w:rsidR="00010926">
        <w:rPr>
          <w:color w:val="0000FF"/>
        </w:rPr>
        <w:fldChar w:fldCharType="end"/>
      </w:r>
      <w:r w:rsidRPr="00035426">
        <w:t>). There are two major rivers within the immediate area: the Endeavour and the Annan River. The Endeavour River is the larger of the two river systems and has a catchment area of approximately 992 km</w:t>
      </w:r>
      <w:r w:rsidRPr="003503F4">
        <w:rPr>
          <w:vertAlign w:val="superscript"/>
        </w:rPr>
        <w:t>2</w:t>
      </w:r>
      <w:r w:rsidRPr="00035426">
        <w:t>. The Annan River is located approximately 5 km south of Cooktown and extends inland from Walker Bay. The Annan River catchment area is approximately 850 km</w:t>
      </w:r>
      <w:r w:rsidRPr="003503F4">
        <w:rPr>
          <w:vertAlign w:val="superscript"/>
        </w:rPr>
        <w:t>2</w:t>
      </w:r>
      <w:r w:rsidRPr="00035426">
        <w:t xml:space="preserve"> (</w:t>
      </w:r>
      <w:hyperlink w:anchor="_ENREF_127" w:tooltip="Hortle, 1990 #9672" w:history="1">
        <w:r w:rsidR="00E6043D">
          <w:fldChar w:fldCharType="begin"/>
        </w:r>
        <w:r w:rsidR="00E6043D">
          <w:instrText xml:space="preserve"> ADDIN EN.CITE &lt;EndNote&gt;&lt;Cite&gt;&lt;Author&gt;Hortle&lt;/Author&gt;&lt;Year&gt;1990&lt;/Year&gt;&lt;RecNum&gt;9672&lt;/RecNum&gt;&lt;DisplayText&gt;Hortle and Person 1990&lt;/DisplayText&gt;&lt;record&gt;&lt;rec-number&gt;9672&lt;/rec-number&gt;&lt;foreign-keys&gt;&lt;key app="EN" db-id="0eve55x9y5vfd6e9dacxtew4eatve2dzds9a"&gt;9672&lt;/key&gt;&lt;/foreign-keys&gt;&lt;ref-type name="Journal Article"&gt;17&lt;/ref-type&gt;&lt;contributors&gt;&lt;authors&gt;&lt;author&gt;Hortle, KG&lt;/author&gt;&lt;author&gt;Person, RG&lt;/author&gt;&lt;/authors&gt;&lt;/contributors&gt;&lt;titles&gt;&lt;title&gt;Fauna of the Annan River System, far North Queensland, with reference to the Impact of Tin Mining. I. Fishes&lt;/title&gt;&lt;secondary-title&gt;Marine and Freshwater Research&lt;/secondary-title&gt;&lt;/titles&gt;&lt;periodical&gt;&lt;full-title&gt;Marine and Freshwater Research&lt;/full-title&gt;&lt;/periodical&gt;&lt;pages&gt;677-694&lt;/pages&gt;&lt;volume&gt;41&lt;/volume&gt;&lt;number&gt;6&lt;/number&gt;&lt;dates&gt;&lt;year&gt;1990&lt;/year&gt;&lt;/dates&gt;&lt;urls&gt;&lt;related-urls&gt;&lt;url&gt;http://www.publish.csiro.au/paper/MF9900677&lt;/url&gt;&lt;/related-urls&gt;&lt;/urls&gt;&lt;electronic-resource-num&gt;http://dx.doi.org/10.1071/MF9900677&lt;/electronic-resource-num&gt;&lt;/record&gt;&lt;/Cite&gt;&lt;/EndNote&gt;</w:instrText>
        </w:r>
        <w:r w:rsidR="00E6043D">
          <w:fldChar w:fldCharType="separate"/>
        </w:r>
        <w:r w:rsidR="00E6043D">
          <w:rPr>
            <w:noProof/>
          </w:rPr>
          <w:t>Hortle and Person 1990</w:t>
        </w:r>
        <w:r w:rsidR="00E6043D">
          <w:fldChar w:fldCharType="end"/>
        </w:r>
      </w:hyperlink>
      <w:r w:rsidRPr="00035426">
        <w:t xml:space="preserve">). </w:t>
      </w:r>
    </w:p>
    <w:p w:rsidR="00035426" w:rsidRDefault="00035426" w:rsidP="00035426">
      <w:r w:rsidRPr="00035426">
        <w:t>The other two reef habitat locations were included for monitoring from early 2012: Stanley Island and Piper Reef. Stanley Island is within the Flinders Island group north of Bathurst Bay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9C068F">
        <w:rPr>
          <w:color w:val="000000"/>
        </w:rPr>
        <w:t xml:space="preserve">Figure </w:t>
      </w:r>
      <w:r w:rsidR="009C068F">
        <w:rPr>
          <w:noProof/>
          <w:color w:val="000000"/>
        </w:rPr>
        <w:t>215</w:t>
      </w:r>
      <w:r w:rsidR="00010926">
        <w:rPr>
          <w:color w:val="0000FF"/>
        </w:rPr>
        <w:fldChar w:fldCharType="end"/>
      </w:r>
      <w:r w:rsidRPr="00035426">
        <w:t xml:space="preserve">). The site is a fringing reef site also fringed with mangroves. The islands are influenced by the Princess Charlotte Bay catchment which has four river systems, the Normanby, </w:t>
      </w:r>
      <w:proofErr w:type="spellStart"/>
      <w:r w:rsidRPr="00035426">
        <w:t>Marrett</w:t>
      </w:r>
      <w:proofErr w:type="spellEnd"/>
      <w:r w:rsidRPr="00035426">
        <w:t xml:space="preserve">, </w:t>
      </w:r>
      <w:proofErr w:type="spellStart"/>
      <w:r w:rsidRPr="00035426">
        <w:t>Bizant</w:t>
      </w:r>
      <w:proofErr w:type="spellEnd"/>
      <w:r w:rsidRPr="00035426">
        <w:t xml:space="preserve"> and North Kennedy Rivers. Piper Reef is approximately 45km </w:t>
      </w:r>
      <w:proofErr w:type="gramStart"/>
      <w:r w:rsidRPr="00035426">
        <w:t>north west</w:t>
      </w:r>
      <w:proofErr w:type="gramEnd"/>
      <w:r w:rsidRPr="00035426">
        <w:t xml:space="preserve"> of Portland Roads, </w:t>
      </w:r>
      <w:r w:rsidR="003503F4">
        <w:t>15 km off the mainland coast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9C068F">
        <w:rPr>
          <w:color w:val="000000"/>
        </w:rPr>
        <w:t xml:space="preserve">Figure </w:t>
      </w:r>
      <w:r w:rsidR="009C068F">
        <w:rPr>
          <w:noProof/>
          <w:color w:val="000000"/>
        </w:rPr>
        <w:t>215</w:t>
      </w:r>
      <w:r w:rsidR="00010926">
        <w:rPr>
          <w:color w:val="0000FF"/>
        </w:rPr>
        <w:fldChar w:fldCharType="end"/>
      </w:r>
      <w:r w:rsidRPr="00035426">
        <w:t xml:space="preserve">). It is influenced by coastal waters from the Olive and Pascoe Rivers along with the Temple Bay catchment. There are minor land use activities in these catchments with some small level housing on the Pascoe River at the Wattle Hills settlement. </w:t>
      </w:r>
    </w:p>
    <w:p w:rsidR="00035426" w:rsidRPr="00035426" w:rsidRDefault="00E369D2" w:rsidP="00035426">
      <w:r w:rsidRPr="00546CE1">
        <w:t xml:space="preserve">Most </w:t>
      </w:r>
      <w:r>
        <w:t xml:space="preserve">inshore </w:t>
      </w:r>
      <w:r w:rsidRPr="00546CE1">
        <w:t xml:space="preserve">seagrass meadows in the </w:t>
      </w:r>
      <w:r>
        <w:t xml:space="preserve">Cape York </w:t>
      </w:r>
      <w:r w:rsidRPr="00546CE1">
        <w:t>region are within coastal habitats. The majority of these meadows are in the shallow subtidal waters of large bays sheltered from the prevailing trade winds. These seagrass meadows are also highly productive and provide important nursery grounds for fisheries (</w:t>
      </w:r>
      <w:hyperlink w:anchor="_ENREF_52" w:tooltip="Coles, 1987 #517" w:history="1">
        <w:r w:rsidR="00E6043D">
          <w:fldChar w:fldCharType="begin"/>
        </w:r>
        <w:r w:rsidR="00E6043D">
          <w:instrText xml:space="preserve"> ADDIN EN.CITE &lt;EndNote&gt;&lt;Cite&gt;&lt;Author&gt;Coles&lt;/Author&gt;&lt;Year&gt;1987&lt;/Year&gt;&lt;RecNum&gt;517&lt;/RecNum&gt;&lt;DisplayText&gt;Coles&lt;style face="italic"&gt;, et al.&lt;/style&gt; 1987&lt;/DisplayText&gt;&lt;record&gt;&lt;rec-number&gt;517&lt;/rec-number&gt;&lt;foreign-keys&gt;&lt;key app="EN" db-id="0eve55x9y5vfd6e9dacxtew4eatve2dzds9a"&gt;517&lt;/key&gt;&lt;/foreign-keys&gt;&lt;ref-type name="Journal Article"&gt;17&lt;/ref-type&gt;&lt;contributors&gt;&lt;authors&gt;&lt;author&gt;Coles, Robert G.&lt;/author&gt;&lt;author&gt;Lee Long, Warren J.&lt;/author&gt;&lt;author&gt;Squire, B. A.&lt;/author&gt;&lt;author&gt;Squire, L. C.&lt;/author&gt;&lt;author&gt;Bibby, J. M.&lt;/author&gt;&lt;/authors&gt;&lt;/contributors&gt;&lt;titles&gt;&lt;title&gt;Distribution of seagrass and associated juvenile commercial penaeid prawns in North-Eastern Queensland waters&lt;/title&gt;&lt;secondary-title&gt;Australian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Research&lt;/abbr-1&gt;&lt;/alt-periodical&gt;&lt;pages&gt;103-119&lt;/pages&gt;&lt;volume&gt;38&lt;/volume&gt;&lt;number&gt;1&lt;/number&gt;&lt;keywords&gt;&lt;keyword&gt;MCKENZIE 1996&lt;/keyword&gt;&lt;/keywords&gt;&lt;dates&gt;&lt;year&gt;1987&lt;/year&gt;&lt;/dates&gt;&lt;label&gt;493&lt;/label&gt;&lt;urls&gt;&lt;/urls&gt;&lt;custom1&gt;Annex&lt;/custom1&gt;&lt;/record&gt;&lt;/Cite&gt;&lt;/EndNote&gt;</w:instrText>
        </w:r>
        <w:r w:rsidR="00E6043D">
          <w:fldChar w:fldCharType="separate"/>
        </w:r>
        <w:r w:rsidR="00E6043D">
          <w:rPr>
            <w:noProof/>
          </w:rPr>
          <w:t>Coles</w:t>
        </w:r>
        <w:r w:rsidR="00E6043D" w:rsidRPr="00644A84">
          <w:rPr>
            <w:i/>
            <w:noProof/>
          </w:rPr>
          <w:t>, et al.</w:t>
        </w:r>
        <w:r w:rsidR="00E6043D">
          <w:rPr>
            <w:noProof/>
          </w:rPr>
          <w:t xml:space="preserve"> 1987</w:t>
        </w:r>
        <w:r w:rsidR="00E6043D">
          <w:fldChar w:fldCharType="end"/>
        </w:r>
      </w:hyperlink>
      <w:r w:rsidRPr="00546CE1">
        <w:t>). The meadows are also of important to the large dugong population within the region (</w:t>
      </w:r>
      <w:hyperlink w:anchor="_ENREF_156" w:tooltip="Marsh, 2002 #9877" w:history="1">
        <w:r w:rsidR="00E6043D">
          <w:fldChar w:fldCharType="begin"/>
        </w:r>
        <w:r w:rsidR="00E6043D">
          <w:instrText xml:space="preserve"> ADDIN EN.CITE &lt;EndNote&gt;&lt;Cite&gt;&lt;Author&gt;Marsh&lt;/Author&gt;&lt;Year&gt;2002&lt;/Year&gt;&lt;RecNum&gt;9877&lt;/RecNum&gt;&lt;DisplayText&gt;Marsh and R 2002&lt;/DisplayText&gt;&lt;record&gt;&lt;rec-number&gt;9877&lt;/rec-number&gt;&lt;foreign-keys&gt;&lt;key app="EN" db-id="0eve55x9y5vfd6e9dacxtew4eatve2dzds9a"&gt;9877&lt;/key&gt;&lt;/foreign-keys&gt;&lt;ref-type name="Book"&gt;6&lt;/ref-type&gt;&lt;contributors&gt;&lt;authors&gt;&lt;author&gt;Marsh, Helene D&lt;/author&gt;&lt;author&gt;Lawler Ivan R&lt;/author&gt;&lt;/authors&gt;&lt;/contributors&gt;&lt;titles&gt;&lt;title&gt;Dugong distribution and abundance in the northern Great Barrier Reef Marine Park - November 2000. Research Publication No 77&lt;/title&gt;&lt;/titles&gt;&lt;section&gt;62&lt;/section&gt;&lt;dates&gt;&lt;year&gt;2002&lt;/year&gt;&lt;/dates&gt;&lt;pub-location&gt;Townsville&lt;/pub-location&gt;&lt;publisher&gt;Great Barrier Reef Marine Park Authority&lt;/publisher&gt;&lt;urls&gt;&lt;/urls&gt;&lt;/record&gt;&lt;/Cite&gt;&lt;/EndNote&gt;</w:instrText>
        </w:r>
        <w:r w:rsidR="00E6043D">
          <w:fldChar w:fldCharType="separate"/>
        </w:r>
        <w:r w:rsidR="00E6043D">
          <w:rPr>
            <w:noProof/>
          </w:rPr>
          <w:t>Marsh and R 2002</w:t>
        </w:r>
        <w:r w:rsidR="00E6043D">
          <w:fldChar w:fldCharType="end"/>
        </w:r>
      </w:hyperlink>
      <w:r w:rsidRPr="00546CE1">
        <w:t xml:space="preserve">). </w:t>
      </w:r>
      <w:r w:rsidRPr="00035426">
        <w:t>In early 2012, coastal seagrass habitat locations paired with the new reef habitat locations, were also included for monitoring, they included: Bathurst Head (paired with Stanley Island) and Shelburne Bay (paired with Piper Reef). The coastal seagrass meadows at Bathurst Head and Shelburne Bay are located on naturally dynamic sand banks.</w:t>
      </w:r>
      <w:r>
        <w:t xml:space="preserve"> </w:t>
      </w:r>
      <w:r w:rsidR="00035426" w:rsidRPr="00035426">
        <w:t xml:space="preserve">These meadows are dominated by </w:t>
      </w:r>
      <w:proofErr w:type="spellStart"/>
      <w:r w:rsidR="00035426" w:rsidRPr="00E369D2">
        <w:rPr>
          <w:i/>
        </w:rPr>
        <w:t>Halodule</w:t>
      </w:r>
      <w:proofErr w:type="spellEnd"/>
      <w:r w:rsidR="00035426" w:rsidRPr="00E369D2">
        <w:rPr>
          <w:i/>
        </w:rPr>
        <w:t xml:space="preserve"> </w:t>
      </w:r>
      <w:proofErr w:type="spellStart"/>
      <w:r w:rsidR="00035426" w:rsidRPr="00E369D2">
        <w:rPr>
          <w:i/>
        </w:rPr>
        <w:t>uninervis</w:t>
      </w:r>
      <w:proofErr w:type="spellEnd"/>
      <w:r w:rsidR="00035426" w:rsidRPr="00035426">
        <w:t xml:space="preserve"> with some </w:t>
      </w:r>
      <w:proofErr w:type="spellStart"/>
      <w:r w:rsidR="00035426" w:rsidRPr="00E369D2">
        <w:rPr>
          <w:i/>
        </w:rPr>
        <w:t>Halophila</w:t>
      </w:r>
      <w:proofErr w:type="spellEnd"/>
      <w:r w:rsidR="00035426" w:rsidRPr="00E369D2">
        <w:rPr>
          <w:i/>
        </w:rPr>
        <w:t xml:space="preserve"> </w:t>
      </w:r>
      <w:proofErr w:type="spellStart"/>
      <w:r w:rsidR="00035426" w:rsidRPr="00E369D2">
        <w:rPr>
          <w:i/>
        </w:rPr>
        <w:t>ovalis</w:t>
      </w:r>
      <w:proofErr w:type="spellEnd"/>
      <w:r w:rsidR="00035426" w:rsidRPr="00035426">
        <w:t xml:space="preserve"> and are often exposed to regular periods of disturbance from wave action and consequent sediment movement. A dominant influence to these coastal meadows is exposure to wind/wave disturbance and terrigenous runoff from seasonal rains </w:t>
      </w:r>
      <w:r w:rsidRPr="00546CE1">
        <w:t>(</w:t>
      </w:r>
      <w:hyperlink w:anchor="_ENREF_35" w:tooltip="Carruthers, 2002 #8021" w:history="1">
        <w:r w:rsidR="00E6043D">
          <w:fldChar w:fldCharType="begin"/>
        </w:r>
        <w:r w:rsidR="00E6043D">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E6043D">
          <w:fldChar w:fldCharType="separate"/>
        </w:r>
        <w:r w:rsidR="00E6043D">
          <w:rPr>
            <w:noProof/>
          </w:rPr>
          <w:t>Carruthers</w:t>
        </w:r>
        <w:r w:rsidR="00E6043D" w:rsidRPr="00644A84">
          <w:rPr>
            <w:i/>
            <w:noProof/>
          </w:rPr>
          <w:t>, et al.</w:t>
        </w:r>
        <w:r w:rsidR="00E6043D">
          <w:rPr>
            <w:noProof/>
          </w:rPr>
          <w:t xml:space="preserve"> 2002</w:t>
        </w:r>
        <w:r w:rsidR="00E6043D">
          <w:fldChar w:fldCharType="end"/>
        </w:r>
      </w:hyperlink>
      <w:r w:rsidRPr="00546CE1">
        <w:t>)</w:t>
      </w:r>
      <w:r w:rsidRPr="00035426">
        <w:t xml:space="preserve"> </w:t>
      </w:r>
      <w:r w:rsidR="00035426" w:rsidRPr="00035426">
        <w:t>(</w:t>
      </w:r>
      <w:r w:rsidR="00010926">
        <w:fldChar w:fldCharType="begin"/>
      </w:r>
      <w:r w:rsidR="00010926">
        <w:instrText xml:space="preserve"> REF _Ref442553884 \h </w:instrText>
      </w:r>
      <w:r w:rsidR="00010926">
        <w:fldChar w:fldCharType="separate"/>
      </w:r>
      <w:r w:rsidR="009C068F">
        <w:rPr>
          <w:color w:val="000000"/>
        </w:rPr>
        <w:t xml:space="preserve">Figure </w:t>
      </w:r>
      <w:r w:rsidR="009C068F">
        <w:rPr>
          <w:noProof/>
          <w:color w:val="000000"/>
        </w:rPr>
        <w:t>116</w:t>
      </w:r>
      <w:r w:rsidR="00010926">
        <w:fldChar w:fldCharType="end"/>
      </w:r>
      <w:r w:rsidR="00035426" w:rsidRPr="00035426">
        <w:t xml:space="preserve">). </w:t>
      </w:r>
    </w:p>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7F6D82BE" wp14:editId="273DA19F">
            <wp:extent cx="5751195" cy="2179320"/>
            <wp:effectExtent l="0" t="0" r="1905" b="0"/>
            <wp:docPr id="10218" name="Picture 10218" descr="Conceptual diagram of seagrass meadow processes for coastal habitats in the Cape York region showing major control is pulsed physical disturbance,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ape_York_NRM_coast"/>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rsidR="00035426" w:rsidRDefault="00035426" w:rsidP="00035426">
      <w:pPr>
        <w:rPr>
          <w:i/>
          <w:vanish/>
          <w:color w:val="000000"/>
          <w:szCs w:val="22"/>
          <w:specVanish/>
        </w:rPr>
      </w:pPr>
      <w:bookmarkStart w:id="876" w:name="_Ref442553884"/>
      <w:bookmarkStart w:id="877" w:name="_Toc462684956"/>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116</w:t>
      </w:r>
      <w:r w:rsidR="0073595B">
        <w:rPr>
          <w:color w:val="000000"/>
        </w:rPr>
        <w:fldChar w:fldCharType="end"/>
      </w:r>
      <w:bookmarkEnd w:id="876"/>
      <w:r>
        <w:rPr>
          <w:color w:val="000000"/>
        </w:rPr>
        <w:t xml:space="preserve">. </w:t>
      </w:r>
      <w:r>
        <w:rPr>
          <w:i/>
          <w:color w:val="000000"/>
        </w:rPr>
        <w:t>Conceptual diagram of coastal habitat in the Cape York region</w:t>
      </w:r>
      <w:bookmarkEnd w:id="877"/>
    </w:p>
    <w:p w:rsidR="00035426" w:rsidRDefault="00035426" w:rsidP="00035426">
      <w:pPr>
        <w:rPr>
          <w:color w:val="000000"/>
        </w:rPr>
      </w:pPr>
      <w:r>
        <w:rPr>
          <w:i/>
          <w:color w:val="000000"/>
        </w:rPr>
        <w:t xml:space="preserve"> – </w:t>
      </w:r>
      <w:proofErr w:type="gramStart"/>
      <w:r>
        <w:rPr>
          <w:i/>
          <w:color w:val="000000"/>
        </w:rPr>
        <w:t>major</w:t>
      </w:r>
      <w:proofErr w:type="gramEnd"/>
      <w:r>
        <w:rPr>
          <w:i/>
          <w:color w:val="000000"/>
        </w:rPr>
        <w:t xml:space="preserve"> control is pulsed terrigenous runoff, salinity and temperature extremes: general habitat, seagrass meadow processes and threats/impacts (see </w:t>
      </w:r>
      <w:r w:rsidR="00010926">
        <w:fldChar w:fldCharType="begin"/>
      </w:r>
      <w:r w:rsidR="00010926">
        <w:rPr>
          <w:i/>
          <w:color w:val="000000"/>
        </w:rPr>
        <w:instrText xml:space="preserve"> REF _Ref442553728 \h </w:instrText>
      </w:r>
      <w:r w:rsidR="00010926">
        <w:fldChar w:fldCharType="separate"/>
      </w:r>
      <w:r w:rsidR="009C068F">
        <w:rPr>
          <w:color w:val="000000"/>
          <w:szCs w:val="22"/>
        </w:rPr>
        <w:t xml:space="preserve">Figure </w:t>
      </w:r>
      <w:r w:rsidR="009C068F">
        <w:rPr>
          <w:noProof/>
          <w:color w:val="000000"/>
          <w:szCs w:val="22"/>
        </w:rPr>
        <w:t>128</w:t>
      </w:r>
      <w:r w:rsidR="00010926">
        <w:fldChar w:fldCharType="end"/>
      </w:r>
      <w:r>
        <w:rPr>
          <w:i/>
          <w:color w:val="000000"/>
        </w:rPr>
        <w:t xml:space="preserve"> for icon explanation). </w:t>
      </w:r>
    </w:p>
    <w:p w:rsidR="00035426" w:rsidRPr="00035426" w:rsidRDefault="00035426" w:rsidP="00035426"/>
    <w:p w:rsidR="00035426" w:rsidRDefault="00035426" w:rsidP="00035426">
      <w:r>
        <w:t>Bathurst Head is located just east of Combe Point in the Bathurst Bay area to the east of Princess Charlotte Bay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9C068F">
        <w:rPr>
          <w:color w:val="000000"/>
        </w:rPr>
        <w:t xml:space="preserve">Figure </w:t>
      </w:r>
      <w:r w:rsidR="009C068F">
        <w:rPr>
          <w:noProof/>
          <w:color w:val="000000"/>
        </w:rPr>
        <w:t>215</w:t>
      </w:r>
      <w:r w:rsidR="00010926">
        <w:rPr>
          <w:color w:val="0000FF"/>
        </w:rPr>
        <w:fldChar w:fldCharType="end"/>
      </w:r>
      <w:r>
        <w:t>). It is a coastal location fringed by mangroves on the eastern edge of the bay. The sites are within 20km of the mouths of the Normanby and Margaret Rivers. The Normanby River is the fourth largest river system flowing into the Great Barrier Reef. The catchment area covers 24,228 km</w:t>
      </w:r>
      <w:r w:rsidRPr="00010926">
        <w:rPr>
          <w:vertAlign w:val="superscript"/>
        </w:rPr>
        <w:t>2</w:t>
      </w:r>
      <w:r>
        <w:t xml:space="preserve"> and consists of one of Queensland’s largest conservation areas, extensive cattle grazing country (75% of the catchment), and rich agricultural land at Lakeland Downs (</w:t>
      </w:r>
      <w:hyperlink w:anchor="_ENREF_208" w:tooltip="Reef Water Quality Protection Plan Secretariat, 2011 #9673" w:history="1">
        <w:r w:rsidR="00E6043D">
          <w:fldChar w:fldCharType="begin"/>
        </w:r>
        <w:r w:rsidR="00E6043D">
          <w:instrText xml:space="preserve"> ADDIN EN.CITE &lt;EndNote&gt;&lt;Cite&gt;&lt;Author&gt;Reef Water Quality Protection Plan Secretariat&lt;/Author&gt;&lt;Year&gt;2011&lt;/Year&gt;&lt;RecNum&gt;9673&lt;/RecNum&gt;&lt;DisplayText&gt;Reef Water Quality Protection Plan Secretariat 2011&lt;/DisplayText&gt;&lt;record&gt;&lt;rec-number&gt;9673&lt;/rec-number&gt;&lt;foreign-keys&gt;&lt;key app="EN" db-id="0eve55x9y5vfd6e9dacxtew4eatve2dzds9a"&gt;9673&lt;/key&gt;&lt;/foreign-keys&gt;&lt;ref-type name="Book"&gt;6&lt;/ref-type&gt;&lt;contributors&gt;&lt;authors&gt;&lt;author&gt;Reef Water Quality Protection Plan Secretariat,&lt;/author&gt;&lt;/authors&gt;&lt;/contributors&gt;&lt;titles&gt;&lt;title&gt;Great Barrier Reef, First Report Card, 2009 Baseline.&lt;/title&gt;&lt;/titles&gt;&lt;pages&gt;140&lt;/pages&gt;&lt;dates&gt;&lt;year&gt;2011&lt;/year&gt;&lt;/dates&gt;&lt;pub-location&gt;Brisbane, Australia&lt;/pub-location&gt;&lt;publisher&gt;The State of Queensland (Department of the Premier and Cabinet),&lt;/publisher&gt;&lt;urls&gt;&lt;/urls&gt;&lt;/record&gt;&lt;/Cite&gt;&lt;/EndNote&gt;</w:instrText>
        </w:r>
        <w:r w:rsidR="00E6043D">
          <w:fldChar w:fldCharType="separate"/>
        </w:r>
        <w:r w:rsidR="00E6043D">
          <w:rPr>
            <w:noProof/>
          </w:rPr>
          <w:t xml:space="preserve">Reef Water Quality </w:t>
        </w:r>
        <w:r w:rsidR="00E6043D">
          <w:rPr>
            <w:noProof/>
          </w:rPr>
          <w:lastRenderedPageBreak/>
          <w:t>Protection Plan Secretariat 2011</w:t>
        </w:r>
        <w:r w:rsidR="00E6043D">
          <w:fldChar w:fldCharType="end"/>
        </w:r>
      </w:hyperlink>
      <w:r>
        <w:t xml:space="preserve">). Less than 5% of the catchment has been cleared </w:t>
      </w:r>
      <w:hyperlink w:anchor="_ENREF_208" w:tooltip="Reef Water Quality Protection Plan Secretariat, 2011 #9673" w:history="1">
        <w:r w:rsidR="00E6043D">
          <w:fldChar w:fldCharType="begin"/>
        </w:r>
        <w:r w:rsidR="00E6043D">
          <w:instrText xml:space="preserve"> ADDIN EN.CITE &lt;EndNote&gt;&lt;Cite&gt;&lt;Author&gt;Reef Water Quality Protection Plan Secretariat&lt;/Author&gt;&lt;Year&gt;2011&lt;/Year&gt;&lt;RecNum&gt;9673&lt;/RecNum&gt;&lt;DisplayText&gt;Reef Water Quality Protection Plan Secretariat 2011&lt;/DisplayText&gt;&lt;record&gt;&lt;rec-number&gt;9673&lt;/rec-number&gt;&lt;foreign-keys&gt;&lt;key app="EN" db-id="0eve55x9y5vfd6e9dacxtew4eatve2dzds9a"&gt;9673&lt;/key&gt;&lt;/foreign-keys&gt;&lt;ref-type name="Book"&gt;6&lt;/ref-type&gt;&lt;contributors&gt;&lt;authors&gt;&lt;author&gt;Reef Water Quality Protection Plan Secretariat,&lt;/author&gt;&lt;/authors&gt;&lt;/contributors&gt;&lt;titles&gt;&lt;title&gt;Great Barrier Reef, First Report Card, 2009 Baseline.&lt;/title&gt;&lt;/titles&gt;&lt;pages&gt;140&lt;/pages&gt;&lt;dates&gt;&lt;year&gt;2011&lt;/year&gt;&lt;/dates&gt;&lt;pub-location&gt;Brisbane, Australia&lt;/pub-location&gt;&lt;publisher&gt;The State of Queensland (Department of the Premier and Cabinet),&lt;/publisher&gt;&lt;urls&gt;&lt;/urls&gt;&lt;/record&gt;&lt;/Cite&gt;&lt;/EndNote&gt;</w:instrText>
        </w:r>
        <w:r w:rsidR="00E6043D">
          <w:fldChar w:fldCharType="separate"/>
        </w:r>
        <w:r w:rsidR="00E6043D">
          <w:rPr>
            <w:noProof/>
          </w:rPr>
          <w:t>Reef Water Quality Protection Plan Secretariat 2011</w:t>
        </w:r>
        <w:r w:rsidR="00E6043D">
          <w:fldChar w:fldCharType="end"/>
        </w:r>
      </w:hyperlink>
      <w:r>
        <w:t>). Grazing densities are generally low on Cape York Peninsula (~1 beast/40 ha), however, the productive pastures in the Normanby catchment can have densities from ~1 beast/20 ha to &gt;1 beast/5 ha (</w:t>
      </w:r>
      <w:hyperlink w:anchor="_ENREF_78" w:tooltip="Cotter, 1995 #9671" w:history="1">
        <w:r w:rsidR="00E6043D">
          <w:fldChar w:fldCharType="begin"/>
        </w:r>
        <w:r w:rsidR="00E6043D">
          <w:instrText xml:space="preserve"> ADDIN EN.CITE &lt;EndNote&gt;&lt;Cite&gt;&lt;Author&gt;Cotter&lt;/Author&gt;&lt;Year&gt;1995&lt;/Year&gt;&lt;RecNum&gt;9671&lt;/RecNum&gt;&lt;DisplayText&gt;Cotter 1995&lt;/DisplayText&gt;&lt;record&gt;&lt;rec-number&gt;9671&lt;/rec-number&gt;&lt;foreign-keys&gt;&lt;key app="EN" db-id="0eve55x9y5vfd6e9dacxtew4eatve2dzds9a"&gt;9671&lt;/key&gt;&lt;/foreign-keys&gt;&lt;ref-type name="Book"&gt;6&lt;/ref-type&gt;&lt;contributors&gt;&lt;authors&gt;&lt;author&gt;Cotter, G F&lt;/author&gt;&lt;/authors&gt;&lt;/contributors&gt;&lt;titles&gt;&lt;title&gt;A study of the pastoral industry of Cape York Peninsula. Cape York Peninsula Land Use Strategy (CYPLUS), Natural Resources Analysis Program.&lt;/title&gt;&lt;/titles&gt;&lt;pages&gt;137&lt;/pages&gt;&lt;dates&gt;&lt;year&gt;1995&lt;/year&gt;&lt;/dates&gt;&lt;pub-location&gt;Brisbane&lt;/pub-location&gt;&lt;publisher&gt;Department of Primary Industries and Queensland Department of Lands&lt;/publisher&gt;&lt;urls&gt;&lt;/urls&gt;&lt;/record&gt;&lt;/Cite&gt;&lt;/EndNote&gt;</w:instrText>
        </w:r>
        <w:r w:rsidR="00E6043D">
          <w:fldChar w:fldCharType="separate"/>
        </w:r>
        <w:r w:rsidR="00E6043D">
          <w:rPr>
            <w:noProof/>
          </w:rPr>
          <w:t>Cotter 1995</w:t>
        </w:r>
        <w:r w:rsidR="00E6043D">
          <w:fldChar w:fldCharType="end"/>
        </w:r>
      </w:hyperlink>
      <w:r>
        <w:t>).</w:t>
      </w:r>
    </w:p>
    <w:p w:rsidR="00035426" w:rsidRDefault="00035426" w:rsidP="00035426">
      <w:r>
        <w:t>Shelburne Bay is located 112 km north of Lockhart River and 122 km southeast of Bamaga on the east coast of the GBR. The bay has a limited catchment with only Harmer Creek discharging directly into it, and the MacMillan River discharging into the adjacent Margaret Bay.  The catchment contains one of the least disturbed parabolic sand dunes areas in the world and is made up of seasonal wetlands and sand ridges. There are no current land use activities occurring in this catchment. The area is prone to extreme weather with the cyclone database stating that 47 cyclones have tracked within 200km of Shelburne Bay between 1906 and 2007. The monitoring site at Shelburne Bay is approximately 5 km west of the mouth of Harmer Creek mouth.</w:t>
      </w:r>
    </w:p>
    <w:p w:rsidR="00E369D2" w:rsidRDefault="00E369D2" w:rsidP="00E369D2"/>
    <w:p w:rsidR="00E369D2" w:rsidRDefault="00E369D2" w:rsidP="008A429D"/>
    <w:p w:rsidR="00E369D2" w:rsidRDefault="00E369D2" w:rsidP="008A429D"/>
    <w:p w:rsidR="00035426" w:rsidRDefault="00035426">
      <w:pPr>
        <w:spacing w:before="0" w:after="0"/>
      </w:pPr>
      <w:r>
        <w:br w:type="page"/>
      </w:r>
    </w:p>
    <w:p w:rsidR="00035426" w:rsidRDefault="00035426" w:rsidP="007D5A48">
      <w:pPr>
        <w:pStyle w:val="Heading2"/>
      </w:pPr>
      <w:bookmarkStart w:id="878" w:name="_Toc462047378"/>
      <w:r>
        <w:lastRenderedPageBreak/>
        <w:t>Wet Tropics</w:t>
      </w:r>
      <w:bookmarkEnd w:id="878"/>
    </w:p>
    <w:p w:rsidR="00035426" w:rsidRDefault="00035426" w:rsidP="00035426">
      <w:r>
        <w:t>The Wet Tropics region covers 22,000 km</w:t>
      </w:r>
      <w:r w:rsidRPr="003503F4">
        <w:rPr>
          <w:vertAlign w:val="superscript"/>
        </w:rPr>
        <w:t>2</w:t>
      </w:r>
      <w:r>
        <w:t xml:space="preserve"> and land use practices include primary production such as cane and banana farming, dairying, beef, cropp</w:t>
      </w:r>
      <w:r w:rsidR="003503F4">
        <w:t>ing and tropical horticulture (</w:t>
      </w:r>
      <w:hyperlink w:anchor="_ENREF_74" w:tooltip="Commonwealth of Australia, 2013 #9677" w:history="1">
        <w:r w:rsidR="00E6043D">
          <w:fldChar w:fldCharType="begin"/>
        </w:r>
        <w:r w:rsidR="00E6043D">
          <w:instrText xml:space="preserve"> ADDIN EN.CITE &lt;EndNote&gt;&lt;Cite&gt;&lt;Author&gt;Commonwealth of Australia&lt;/Author&gt;&lt;Year&gt;2013&lt;/Year&gt;&lt;RecNum&gt;9677&lt;/RecNum&gt;&lt;DisplayText&gt;Commonwealth of Australia 2013e&lt;/DisplayText&gt;&lt;record&gt;&lt;rec-number&gt;9677&lt;/rec-number&gt;&lt;foreign-keys&gt;&lt;key app="EN" db-id="0eve55x9y5vfd6e9dacxtew4eatve2dzds9a"&gt;9677&lt;/key&gt;&lt;/foreign-keys&gt;&lt;ref-type name="Web Page"&gt;12&lt;/ref-type&gt;&lt;contributors&gt;&lt;authors&gt;&lt;author&gt;Commonwealth of Australia,&lt;/author&gt;&lt;/authors&gt;&lt;/contributors&gt;&lt;titles&gt;&lt;title&gt;Wet Tropics Natural Resource Management region&lt;/title&gt;&lt;/titles&gt;&lt;number&gt;18 February 2014&lt;/number&gt;&lt;dates&gt;&lt;year&gt;2013&lt;/year&gt;&lt;/dates&gt;&lt;urls&gt;&lt;related-urls&gt;&lt;url&gt;http://www.nrm.gov.au/about/nrm/regions/qld-wetr.html&lt;/url&gt;&lt;/related-urls&gt;&lt;/urls&gt;&lt;/record&gt;&lt;/Cite&gt;&lt;/EndNote&gt;</w:instrText>
        </w:r>
        <w:r w:rsidR="00E6043D">
          <w:fldChar w:fldCharType="separate"/>
        </w:r>
        <w:r w:rsidR="00E6043D">
          <w:rPr>
            <w:noProof/>
          </w:rPr>
          <w:t>Commonwealth of Australia 2013e</w:t>
        </w:r>
        <w:r w:rsidR="00E6043D">
          <w:fldChar w:fldCharType="end"/>
        </w:r>
      </w:hyperlink>
      <w:r>
        <w:t xml:space="preserve">). Approximately 6.5% of the seagrass </w:t>
      </w:r>
      <w:r w:rsidR="003503F4">
        <w:t xml:space="preserve">area </w:t>
      </w:r>
      <w:r>
        <w:t xml:space="preserve">mapped in the shallow waters (&lt;15m) of the GBR occurs in the Wet Tropics </w:t>
      </w:r>
      <w:r w:rsidR="003503F4">
        <w:t>region</w:t>
      </w:r>
      <w:r>
        <w:t xml:space="preserve"> (</w:t>
      </w:r>
      <w:hyperlink w:anchor="_ENREF_180" w:tooltip="McKenzie, 2010 #9646" w:history="1">
        <w:r w:rsidR="00E6043D">
          <w:fldChar w:fldCharType="begin"/>
        </w:r>
        <w:r w:rsidR="00E6043D">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fldChar w:fldCharType="separate"/>
        </w:r>
        <w:r w:rsidR="00E6043D">
          <w:rPr>
            <w:noProof/>
          </w:rPr>
          <w:t>McKenzie</w:t>
        </w:r>
        <w:r w:rsidR="00E6043D" w:rsidRPr="00644A84">
          <w:rPr>
            <w:i/>
            <w:noProof/>
          </w:rPr>
          <w:t>, et al.</w:t>
        </w:r>
        <w:r w:rsidR="00E6043D">
          <w:rPr>
            <w:noProof/>
          </w:rPr>
          <w:t xml:space="preserve"> 2010c</w:t>
        </w:r>
        <w:r w:rsidR="00E6043D">
          <w:fldChar w:fldCharType="end"/>
        </w:r>
      </w:hyperlink>
      <w:r>
        <w:t>). The most extensive areas of seagrass in this region occur around Low Isles, Cairns Harbour, Green Island, Mourilyan Harbour and the Hinchinbrook Island area (between Dunk Island and Lucinda)</w:t>
      </w:r>
      <w:r w:rsidR="003503F4">
        <w:t xml:space="preserve"> (</w:t>
      </w:r>
      <w:hyperlink w:anchor="_ENREF_47" w:tooltip="Coles, 2007 #9281" w:history="1">
        <w:r w:rsidR="00E6043D">
          <w:fldChar w:fldCharType="begin"/>
        </w:r>
        <w:r w:rsidR="00E6043D">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6043D">
          <w:fldChar w:fldCharType="separate"/>
        </w:r>
        <w:r w:rsidR="00E6043D">
          <w:rPr>
            <w:noProof/>
          </w:rPr>
          <w:t>Coles</w:t>
        </w:r>
        <w:r w:rsidR="00E6043D" w:rsidRPr="00644A84">
          <w:rPr>
            <w:i/>
            <w:noProof/>
          </w:rPr>
          <w:t>, et al.</w:t>
        </w:r>
        <w:r w:rsidR="00E6043D">
          <w:rPr>
            <w:noProof/>
          </w:rPr>
          <w:t xml:space="preserve"> 2007</w:t>
        </w:r>
        <w:r w:rsidR="00E6043D">
          <w:fldChar w:fldCharType="end"/>
        </w:r>
      </w:hyperlink>
      <w:r>
        <w:t>). Thirteen seagrass species have be</w:t>
      </w:r>
      <w:r w:rsidR="003503F4">
        <w:t>en recognised for this region (</w:t>
      </w:r>
      <w:hyperlink w:anchor="_ENREF_147" w:tooltip="Lee Long, 1993 #682" w:history="1">
        <w:r w:rsidR="00E6043D">
          <w:fldChar w:fldCharType="begin"/>
        </w:r>
        <w:r w:rsidR="00E6043D">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E6043D">
          <w:fldChar w:fldCharType="separate"/>
        </w:r>
        <w:r w:rsidR="00E6043D">
          <w:rPr>
            <w:noProof/>
          </w:rPr>
          <w:t>Lee Long</w:t>
        </w:r>
        <w:r w:rsidR="00E6043D" w:rsidRPr="00644A84">
          <w:rPr>
            <w:i/>
            <w:noProof/>
          </w:rPr>
          <w:t>, et al.</w:t>
        </w:r>
        <w:r w:rsidR="00E6043D">
          <w:rPr>
            <w:noProof/>
          </w:rPr>
          <w:t xml:space="preserve"> 1993</w:t>
        </w:r>
        <w:r w:rsidR="00E6043D">
          <w:fldChar w:fldCharType="end"/>
        </w:r>
      </w:hyperlink>
      <w:r>
        <w:t xml:space="preserve">). Nearshore seagrass meadows are situated on sand and mud banks and mostly dominated by </w:t>
      </w:r>
      <w:proofErr w:type="spellStart"/>
      <w:r w:rsidRPr="003503F4">
        <w:rPr>
          <w:i/>
        </w:rPr>
        <w:t>Halodule</w:t>
      </w:r>
      <w:proofErr w:type="spellEnd"/>
      <w:r w:rsidRPr="003503F4">
        <w:rPr>
          <w:i/>
        </w:rPr>
        <w:t xml:space="preserve"> </w:t>
      </w:r>
      <w:proofErr w:type="spellStart"/>
      <w:r w:rsidRPr="003503F4">
        <w:rPr>
          <w:i/>
        </w:rPr>
        <w:t>uninerv</w:t>
      </w:r>
      <w:r>
        <w:t>is</w:t>
      </w:r>
      <w:proofErr w:type="spellEnd"/>
      <w:r>
        <w:t xml:space="preserve"> with some </w:t>
      </w:r>
      <w:proofErr w:type="spellStart"/>
      <w:r w:rsidRPr="003503F4">
        <w:rPr>
          <w:i/>
        </w:rPr>
        <w:t>Halophila</w:t>
      </w:r>
      <w:proofErr w:type="spellEnd"/>
      <w:r>
        <w:t xml:space="preserve"> in the northern and southern areas.  Intertidal meadows in Cairns Harbour and southern Hinchinbrook channel are dominated by </w:t>
      </w:r>
      <w:proofErr w:type="spellStart"/>
      <w:r w:rsidRPr="003503F4">
        <w:rPr>
          <w:i/>
        </w:rPr>
        <w:t>Zostera</w:t>
      </w:r>
      <w:proofErr w:type="spellEnd"/>
      <w:r w:rsidRPr="003503F4">
        <w:rPr>
          <w:i/>
        </w:rPr>
        <w:t xml:space="preserve"> </w:t>
      </w:r>
      <w:proofErr w:type="spellStart"/>
      <w:r w:rsidRPr="003503F4">
        <w:rPr>
          <w:i/>
        </w:rPr>
        <w:t>muelleri</w:t>
      </w:r>
      <w:proofErr w:type="spellEnd"/>
      <w:r>
        <w:t xml:space="preserve">. Shallow subtidal coastal meadows consist of </w:t>
      </w:r>
      <w:proofErr w:type="spellStart"/>
      <w:r w:rsidRPr="003503F4">
        <w:rPr>
          <w:i/>
        </w:rPr>
        <w:t>Halodule</w:t>
      </w:r>
      <w:proofErr w:type="spellEnd"/>
      <w:r w:rsidRPr="003503F4">
        <w:rPr>
          <w:i/>
        </w:rPr>
        <w:t xml:space="preserve"> </w:t>
      </w:r>
      <w:proofErr w:type="spellStart"/>
      <w:r w:rsidRPr="003503F4">
        <w:rPr>
          <w:i/>
        </w:rPr>
        <w:t>uninervis</w:t>
      </w:r>
      <w:proofErr w:type="spellEnd"/>
      <w:r>
        <w:t xml:space="preserve"> and </w:t>
      </w:r>
      <w:proofErr w:type="spellStart"/>
      <w:r w:rsidRPr="003503F4">
        <w:rPr>
          <w:i/>
        </w:rPr>
        <w:t>Halophila</w:t>
      </w:r>
      <w:proofErr w:type="spellEnd"/>
      <w:r>
        <w:t xml:space="preserve"> communities mostly along sheltered coasts and harbours (e.g. Cairns Harbour and Mourilyan Harbour). </w:t>
      </w:r>
      <w:proofErr w:type="spellStart"/>
      <w:r w:rsidRPr="003503F4">
        <w:rPr>
          <w:i/>
        </w:rPr>
        <w:t>Cymodocea</w:t>
      </w:r>
      <w:proofErr w:type="spellEnd"/>
      <w:r>
        <w:t xml:space="preserve"> spp., </w:t>
      </w:r>
      <w:proofErr w:type="spellStart"/>
      <w:r w:rsidRPr="003503F4">
        <w:rPr>
          <w:i/>
        </w:rPr>
        <w:t>Thalassia</w:t>
      </w:r>
      <w:proofErr w:type="spellEnd"/>
      <w:r>
        <w:t xml:space="preserve"> and a suite of </w:t>
      </w:r>
      <w:proofErr w:type="spellStart"/>
      <w:r w:rsidRPr="003503F4">
        <w:rPr>
          <w:i/>
        </w:rPr>
        <w:t>Halophila</w:t>
      </w:r>
      <w:proofErr w:type="spellEnd"/>
      <w:r>
        <w:t xml:space="preserve"> species tend to dominate island habitats in the region (e.g. Dunk Island and northern Hinchinbrook Island).  Only reef </w:t>
      </w:r>
      <w:r w:rsidR="003503F4">
        <w:t xml:space="preserve">(subtidal and intertidal) </w:t>
      </w:r>
      <w:r>
        <w:t>and coastal seagrass habitats are currently monitored</w:t>
      </w:r>
      <w:r w:rsidR="003503F4">
        <w:t xml:space="preserve"> in the Wet Tropics region</w:t>
      </w:r>
      <w:r>
        <w:t>.</w:t>
      </w:r>
    </w:p>
    <w:p w:rsidR="00035426" w:rsidRDefault="00035426" w:rsidP="00035426">
      <w:r>
        <w:t xml:space="preserve">Coastal seagrass habitats were monitored at Yule Point in the north and Lugger Bay in the south of the region. The seagrass meadows at Yule Point and Lugger Bay occur on shallow sand banks, protected by fringing reefs. Coastal seagrass meadows are dominated by </w:t>
      </w:r>
      <w:proofErr w:type="spellStart"/>
      <w:r w:rsidRPr="005543F9">
        <w:rPr>
          <w:i/>
        </w:rPr>
        <w:t>Halodule</w:t>
      </w:r>
      <w:proofErr w:type="spellEnd"/>
      <w:r w:rsidRPr="005543F9">
        <w:rPr>
          <w:i/>
        </w:rPr>
        <w:t xml:space="preserve"> </w:t>
      </w:r>
      <w:proofErr w:type="spellStart"/>
      <w:r w:rsidRPr="005543F9">
        <w:rPr>
          <w:i/>
        </w:rPr>
        <w:t>uninervis</w:t>
      </w:r>
      <w:proofErr w:type="spellEnd"/>
      <w:r>
        <w:t xml:space="preserve"> with some </w:t>
      </w:r>
      <w:proofErr w:type="spellStart"/>
      <w:r w:rsidRPr="005543F9">
        <w:rPr>
          <w:i/>
        </w:rPr>
        <w:t>Halophila</w:t>
      </w:r>
      <w:proofErr w:type="spellEnd"/>
      <w:r w:rsidRPr="005543F9">
        <w:rPr>
          <w:i/>
        </w:rPr>
        <w:t xml:space="preserve"> </w:t>
      </w:r>
      <w:proofErr w:type="spellStart"/>
      <w:r w:rsidRPr="005543F9">
        <w:rPr>
          <w:i/>
        </w:rPr>
        <w:t>ovalis</w:t>
      </w:r>
      <w:proofErr w:type="spellEnd"/>
      <w:r>
        <w:t xml:space="preserve"> and are often exposed to regular periods of disturbance from wave action and consequent sediment movement. The sediments in these habitats are relatively unstable restricting seagrass growth and distribution. A dominant influence of these meadows is terrigenous runoff from seasonal rains (</w:t>
      </w:r>
      <w:r w:rsidR="00A770E4">
        <w:rPr>
          <w:color w:val="0000FF"/>
        </w:rPr>
        <w:fldChar w:fldCharType="begin"/>
      </w:r>
      <w:r w:rsidR="00A770E4">
        <w:instrText xml:space="preserve"> REF _Ref442554035 \h </w:instrText>
      </w:r>
      <w:r w:rsidR="00A770E4">
        <w:rPr>
          <w:color w:val="0000FF"/>
        </w:rPr>
      </w:r>
      <w:r w:rsidR="00A770E4">
        <w:rPr>
          <w:color w:val="0000FF"/>
        </w:rPr>
        <w:fldChar w:fldCharType="separate"/>
      </w:r>
      <w:r w:rsidR="009C068F">
        <w:rPr>
          <w:color w:val="000000"/>
        </w:rPr>
        <w:t xml:space="preserve">Figure </w:t>
      </w:r>
      <w:r w:rsidR="009C068F">
        <w:rPr>
          <w:noProof/>
          <w:color w:val="000000"/>
        </w:rPr>
        <w:t>117</w:t>
      </w:r>
      <w:r w:rsidR="00A770E4">
        <w:rPr>
          <w:color w:val="0000FF"/>
        </w:rPr>
        <w:fldChar w:fldCharType="end"/>
      </w:r>
      <w:r>
        <w:t>). The Barron, Tully and Hull Rivers are a major source of pulsed sediment and nutrient input to these coastal meadows.</w:t>
      </w:r>
    </w:p>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026E0823" wp14:editId="523AE31B">
            <wp:extent cx="5751195" cy="2179320"/>
            <wp:effectExtent l="0" t="0" r="1905" b="0"/>
            <wp:docPr id="10217" name="Picture 10217" descr="Conceptual diagram of seagrass meadow processes for coastal habitats in the Wet Tropics region showing major control is pulsed terrigenous runoff,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Wet_Tropics_NRM_coast"/>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rsidR="00035426" w:rsidRDefault="00035426" w:rsidP="00035426">
      <w:pPr>
        <w:rPr>
          <w:i/>
          <w:vanish/>
          <w:color w:val="000000"/>
          <w:szCs w:val="22"/>
          <w:specVanish/>
        </w:rPr>
      </w:pPr>
      <w:bookmarkStart w:id="879" w:name="_Ref442554035"/>
      <w:bookmarkStart w:id="880" w:name="_Toc462684957"/>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117</w:t>
      </w:r>
      <w:r w:rsidR="0073595B">
        <w:rPr>
          <w:color w:val="000000"/>
        </w:rPr>
        <w:fldChar w:fldCharType="end"/>
      </w:r>
      <w:bookmarkEnd w:id="879"/>
      <w:r>
        <w:rPr>
          <w:color w:val="000000"/>
        </w:rPr>
        <w:t xml:space="preserve">. </w:t>
      </w:r>
      <w:r>
        <w:rPr>
          <w:i/>
          <w:color w:val="000000"/>
        </w:rPr>
        <w:t>Conceptual diagram of coastal habitat (&lt;15m) in the Wet Tropics region</w:t>
      </w:r>
      <w:bookmarkEnd w:id="880"/>
    </w:p>
    <w:p w:rsidR="00035426" w:rsidRDefault="00035426" w:rsidP="00035426">
      <w:pPr>
        <w:rPr>
          <w:color w:val="000000"/>
        </w:rPr>
      </w:pPr>
      <w:r>
        <w:rPr>
          <w:i/>
          <w:color w:val="000000"/>
        </w:rPr>
        <w:t xml:space="preserve"> – </w:t>
      </w:r>
      <w:proofErr w:type="gramStart"/>
      <w:r>
        <w:rPr>
          <w:i/>
          <w:color w:val="000000"/>
        </w:rPr>
        <w:t>major</w:t>
      </w:r>
      <w:proofErr w:type="gramEnd"/>
      <w:r>
        <w:rPr>
          <w:i/>
          <w:color w:val="000000"/>
        </w:rPr>
        <w:t xml:space="preserve"> control is pulsed terrigenous runoff, salinity and temperature extremes: general habitat, seagrass meadow processes and threats/impacts (see </w:t>
      </w:r>
      <w:r w:rsidR="00113EFF">
        <w:rPr>
          <w:color w:val="0000FF"/>
        </w:rPr>
        <w:fldChar w:fldCharType="begin"/>
      </w:r>
      <w:r w:rsidR="00113EFF">
        <w:rPr>
          <w:i/>
          <w:color w:val="000000"/>
        </w:rPr>
        <w:instrText xml:space="preserve"> REF _Ref442553728 \h </w:instrText>
      </w:r>
      <w:r w:rsidR="00113EFF">
        <w:rPr>
          <w:color w:val="0000FF"/>
        </w:rPr>
      </w:r>
      <w:r w:rsidR="00113EFF">
        <w:rPr>
          <w:color w:val="0000FF"/>
        </w:rPr>
        <w:fldChar w:fldCharType="separate"/>
      </w:r>
      <w:r w:rsidR="009C068F">
        <w:rPr>
          <w:color w:val="000000"/>
          <w:szCs w:val="22"/>
        </w:rPr>
        <w:t xml:space="preserve">Figure </w:t>
      </w:r>
      <w:r w:rsidR="009C068F">
        <w:rPr>
          <w:noProof/>
          <w:color w:val="000000"/>
          <w:szCs w:val="22"/>
        </w:rPr>
        <w:t>128</w:t>
      </w:r>
      <w:r w:rsidR="00113EFF">
        <w:rPr>
          <w:color w:val="0000FF"/>
        </w:rPr>
        <w:fldChar w:fldCharType="end"/>
      </w:r>
      <w:r>
        <w:rPr>
          <w:i/>
          <w:color w:val="000000"/>
        </w:rPr>
        <w:t xml:space="preserve"> for icon explanation). </w:t>
      </w:r>
    </w:p>
    <w:p w:rsidR="00035426" w:rsidRDefault="00035426" w:rsidP="008A429D">
      <w:r w:rsidRPr="00035426">
        <w:t>Reef seagrass habitats were monitored at Low Isles, Green Island and Dunk Island. Low Isles is located in the north of the region and the monitoring sites were paired intertidal and subtidal (not replicated) (</w:t>
      </w:r>
      <w:r w:rsidR="00113EFF">
        <w:rPr>
          <w:color w:val="0000FF"/>
        </w:rPr>
        <w:fldChar w:fldCharType="begin"/>
      </w:r>
      <w:r w:rsidR="00113EFF">
        <w:instrText xml:space="preserve"> REF _Ref442554072 \h </w:instrText>
      </w:r>
      <w:r w:rsidR="00113EFF">
        <w:rPr>
          <w:color w:val="0000FF"/>
        </w:rPr>
      </w:r>
      <w:r w:rsidR="00113EFF">
        <w:rPr>
          <w:color w:val="0000FF"/>
        </w:rPr>
        <w:fldChar w:fldCharType="separate"/>
      </w:r>
      <w:r w:rsidR="009C068F">
        <w:rPr>
          <w:color w:val="000000"/>
        </w:rPr>
        <w:t xml:space="preserve">Figure </w:t>
      </w:r>
      <w:r w:rsidR="009C068F">
        <w:rPr>
          <w:noProof/>
          <w:color w:val="000000"/>
        </w:rPr>
        <w:t>216</w:t>
      </w:r>
      <w:r w:rsidR="00113EFF">
        <w:rPr>
          <w:color w:val="0000FF"/>
        </w:rPr>
        <w:fldChar w:fldCharType="end"/>
      </w:r>
      <w:r w:rsidRPr="00035426">
        <w:t xml:space="preserve">). Low Isles is an inshore reef located 15km south east of the Daintree River mouth. Low Isles refers to the two islets of Low Isles reef: Low Island (the cay) and Woody Island (predominantly </w:t>
      </w:r>
      <w:proofErr w:type="spellStart"/>
      <w:r w:rsidRPr="005543F9">
        <w:rPr>
          <w:i/>
        </w:rPr>
        <w:t>Rhizophora</w:t>
      </w:r>
      <w:proofErr w:type="spellEnd"/>
      <w:r w:rsidRPr="00035426">
        <w:t xml:space="preserve"> forest).  The intertidal site was located near the northern edge of the reef platform between Low Island and Woody Island. This area is dominated by </w:t>
      </w:r>
      <w:proofErr w:type="spellStart"/>
      <w:r w:rsidRPr="005543F9">
        <w:rPr>
          <w:i/>
        </w:rPr>
        <w:t>Halodule</w:t>
      </w:r>
      <w:proofErr w:type="spellEnd"/>
      <w:r w:rsidRPr="005543F9">
        <w:rPr>
          <w:i/>
        </w:rPr>
        <w:t xml:space="preserve"> </w:t>
      </w:r>
      <w:proofErr w:type="spellStart"/>
      <w:r w:rsidRPr="005543F9">
        <w:rPr>
          <w:i/>
        </w:rPr>
        <w:t>uninervis</w:t>
      </w:r>
      <w:proofErr w:type="spellEnd"/>
      <w:r w:rsidRPr="00035426">
        <w:t xml:space="preserve"> and </w:t>
      </w:r>
      <w:proofErr w:type="spellStart"/>
      <w:r w:rsidRPr="005543F9">
        <w:rPr>
          <w:i/>
        </w:rPr>
        <w:t>Halophila</w:t>
      </w:r>
      <w:proofErr w:type="spellEnd"/>
      <w:r w:rsidRPr="005543F9">
        <w:rPr>
          <w:i/>
        </w:rPr>
        <w:t xml:space="preserve"> </w:t>
      </w:r>
      <w:proofErr w:type="spellStart"/>
      <w:r w:rsidRPr="005543F9">
        <w:rPr>
          <w:i/>
        </w:rPr>
        <w:t>ovalis</w:t>
      </w:r>
      <w:proofErr w:type="spellEnd"/>
      <w:r w:rsidRPr="00035426">
        <w:t xml:space="preserve">. The subtidal site was approximately 250 north of the intertidal site, in the eastern edge of the anchorage (Low Isles lagoon), and was dominated by </w:t>
      </w:r>
      <w:proofErr w:type="spellStart"/>
      <w:r w:rsidRPr="005543F9">
        <w:rPr>
          <w:i/>
        </w:rPr>
        <w:t>Halophila</w:t>
      </w:r>
      <w:proofErr w:type="spellEnd"/>
      <w:r w:rsidRPr="005543F9">
        <w:rPr>
          <w:i/>
        </w:rPr>
        <w:t xml:space="preserve"> </w:t>
      </w:r>
      <w:proofErr w:type="spellStart"/>
      <w:r w:rsidRPr="005543F9">
        <w:rPr>
          <w:i/>
        </w:rPr>
        <w:t>ovalis</w:t>
      </w:r>
      <w:proofErr w:type="spellEnd"/>
      <w:r w:rsidRPr="00035426">
        <w:t xml:space="preserve"> and </w:t>
      </w:r>
      <w:proofErr w:type="spellStart"/>
      <w:r w:rsidRPr="005543F9">
        <w:rPr>
          <w:i/>
        </w:rPr>
        <w:t>Halodule</w:t>
      </w:r>
      <w:proofErr w:type="spellEnd"/>
      <w:r w:rsidRPr="005543F9">
        <w:rPr>
          <w:i/>
        </w:rPr>
        <w:t xml:space="preserve"> </w:t>
      </w:r>
      <w:proofErr w:type="spellStart"/>
      <w:r w:rsidRPr="005543F9">
        <w:rPr>
          <w:i/>
        </w:rPr>
        <w:t>uninervis</w:t>
      </w:r>
      <w:proofErr w:type="spellEnd"/>
      <w:r w:rsidRPr="00035426">
        <w:t>.</w:t>
      </w:r>
    </w:p>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lastRenderedPageBreak/>
        <w:drawing>
          <wp:inline distT="0" distB="0" distL="0" distR="0" wp14:anchorId="38276C16" wp14:editId="5B6A5A56">
            <wp:extent cx="5751195" cy="2191385"/>
            <wp:effectExtent l="0" t="0" r="1905" b="0"/>
            <wp:docPr id="10216" name="Picture 10216" descr="Conceptual diagram of seagrass meadow processes for reef habitats in the Wet Tropics region showing major control is nutrient limitation, temperature extremes, light and gra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Wet_Tropics_NRM_reef"/>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5751195" cy="2191385"/>
                    </a:xfrm>
                    <a:prstGeom prst="rect">
                      <a:avLst/>
                    </a:prstGeom>
                    <a:noFill/>
                    <a:ln>
                      <a:noFill/>
                    </a:ln>
                  </pic:spPr>
                </pic:pic>
              </a:graphicData>
            </a:graphic>
          </wp:inline>
        </w:drawing>
      </w:r>
    </w:p>
    <w:p w:rsidR="00035426" w:rsidRDefault="00035426" w:rsidP="00035426">
      <w:pPr>
        <w:rPr>
          <w:i/>
          <w:vanish/>
          <w:color w:val="000000"/>
          <w:szCs w:val="22"/>
          <w:specVanish/>
        </w:rPr>
      </w:pPr>
      <w:bookmarkStart w:id="881" w:name="_Ref442554147"/>
      <w:bookmarkStart w:id="882" w:name="_Toc462684958"/>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118</w:t>
      </w:r>
      <w:r w:rsidR="0073595B">
        <w:rPr>
          <w:color w:val="000000"/>
        </w:rPr>
        <w:fldChar w:fldCharType="end"/>
      </w:r>
      <w:bookmarkEnd w:id="881"/>
      <w:r>
        <w:rPr>
          <w:color w:val="000000"/>
        </w:rPr>
        <w:t xml:space="preserve">. </w:t>
      </w:r>
      <w:r>
        <w:rPr>
          <w:i/>
          <w:color w:val="000000"/>
        </w:rPr>
        <w:t>Conceptual diagram of reef habitat (&lt;15m) in the Wet Tropics region</w:t>
      </w:r>
      <w:bookmarkEnd w:id="882"/>
    </w:p>
    <w:p w:rsidR="00035426" w:rsidRDefault="00035426" w:rsidP="00035426">
      <w:pPr>
        <w:rPr>
          <w:color w:val="000000"/>
        </w:rPr>
      </w:pPr>
      <w:r>
        <w:rPr>
          <w:i/>
          <w:color w:val="000000"/>
        </w:rPr>
        <w:t xml:space="preserve"> – </w:t>
      </w:r>
      <w:proofErr w:type="gramStart"/>
      <w:r>
        <w:rPr>
          <w:i/>
          <w:color w:val="000000"/>
        </w:rPr>
        <w:t>major</w:t>
      </w:r>
      <w:proofErr w:type="gramEnd"/>
      <w:r>
        <w:rPr>
          <w:i/>
          <w:color w:val="000000"/>
        </w:rPr>
        <w:t xml:space="preserve"> control is nutrient limitation, temperature extremes, light and grazing: general habitat, seagrass meadow processes and threats/impacts (see </w:t>
      </w:r>
      <w:r w:rsidR="00113EFF">
        <w:rPr>
          <w:color w:val="0000FF"/>
        </w:rPr>
        <w:fldChar w:fldCharType="begin"/>
      </w:r>
      <w:r w:rsidR="00113EFF">
        <w:rPr>
          <w:i/>
          <w:color w:val="000000"/>
        </w:rPr>
        <w:instrText xml:space="preserve"> REF _Ref442553728 \h </w:instrText>
      </w:r>
      <w:r w:rsidR="00113EFF">
        <w:rPr>
          <w:color w:val="0000FF"/>
        </w:rPr>
      </w:r>
      <w:r w:rsidR="00113EFF">
        <w:rPr>
          <w:color w:val="0000FF"/>
        </w:rPr>
        <w:fldChar w:fldCharType="separate"/>
      </w:r>
      <w:r w:rsidR="009C068F">
        <w:rPr>
          <w:color w:val="000000"/>
          <w:szCs w:val="22"/>
        </w:rPr>
        <w:t xml:space="preserve">Figure </w:t>
      </w:r>
      <w:r w:rsidR="009C068F">
        <w:rPr>
          <w:noProof/>
          <w:color w:val="000000"/>
          <w:szCs w:val="22"/>
        </w:rPr>
        <w:t>128</w:t>
      </w:r>
      <w:r w:rsidR="00113EFF">
        <w:rPr>
          <w:color w:val="0000FF"/>
        </w:rPr>
        <w:fldChar w:fldCharType="end"/>
      </w:r>
      <w:r>
        <w:rPr>
          <w:i/>
          <w:color w:val="000000"/>
        </w:rPr>
        <w:t xml:space="preserve"> for icon explanation). </w:t>
      </w:r>
    </w:p>
    <w:p w:rsidR="00035426" w:rsidRDefault="00035426" w:rsidP="00035426">
      <w:r>
        <w:t xml:space="preserve">Green Island is a </w:t>
      </w:r>
      <w:proofErr w:type="spellStart"/>
      <w:r>
        <w:t>mid shelf</w:t>
      </w:r>
      <w:proofErr w:type="spellEnd"/>
      <w:r>
        <w:t xml:space="preserve"> reef located 26km north east of Cairns and the Barron River mouth, in approximately the centre of the Wet Tropics region (</w:t>
      </w:r>
      <w:r w:rsidR="00113EFF">
        <w:rPr>
          <w:color w:val="0000FF"/>
        </w:rPr>
        <w:fldChar w:fldCharType="begin"/>
      </w:r>
      <w:r w:rsidR="00113EFF">
        <w:instrText xml:space="preserve"> REF _Ref442554072 \h </w:instrText>
      </w:r>
      <w:r w:rsidR="00113EFF">
        <w:rPr>
          <w:color w:val="0000FF"/>
        </w:rPr>
      </w:r>
      <w:r w:rsidR="00113EFF">
        <w:rPr>
          <w:color w:val="0000FF"/>
        </w:rPr>
        <w:fldChar w:fldCharType="separate"/>
      </w:r>
      <w:r w:rsidR="009C068F">
        <w:rPr>
          <w:color w:val="000000"/>
        </w:rPr>
        <w:t xml:space="preserve">Figure </w:t>
      </w:r>
      <w:r w:rsidR="009C068F">
        <w:rPr>
          <w:noProof/>
          <w:color w:val="000000"/>
        </w:rPr>
        <w:t>216</w:t>
      </w:r>
      <w:r w:rsidR="00113EFF">
        <w:rPr>
          <w:color w:val="0000FF"/>
        </w:rPr>
        <w:fldChar w:fldCharType="end"/>
      </w:r>
      <w:r>
        <w:t xml:space="preserve">). Monitoring at Green Island occurs on the large reef-platform and in the shallow lagoon to the south west and north west of the cay, respectively. The meadows are dominated by </w:t>
      </w:r>
      <w:proofErr w:type="spellStart"/>
      <w:r w:rsidRPr="005543F9">
        <w:rPr>
          <w:i/>
        </w:rPr>
        <w:t>Cymodocea</w:t>
      </w:r>
      <w:proofErr w:type="spellEnd"/>
      <w:r w:rsidRPr="005543F9">
        <w:rPr>
          <w:i/>
        </w:rPr>
        <w:t xml:space="preserve"> </w:t>
      </w:r>
      <w:proofErr w:type="spellStart"/>
      <w:r w:rsidRPr="005543F9">
        <w:rPr>
          <w:i/>
        </w:rPr>
        <w:t>rotundata</w:t>
      </w:r>
      <w:proofErr w:type="spellEnd"/>
      <w:r>
        <w:t xml:space="preserve"> and </w:t>
      </w:r>
      <w:proofErr w:type="spellStart"/>
      <w:r w:rsidRPr="005543F9">
        <w:rPr>
          <w:i/>
        </w:rPr>
        <w:t>Thalassia</w:t>
      </w:r>
      <w:proofErr w:type="spellEnd"/>
      <w:r w:rsidRPr="005543F9">
        <w:rPr>
          <w:i/>
        </w:rPr>
        <w:t xml:space="preserve"> </w:t>
      </w:r>
      <w:proofErr w:type="spellStart"/>
      <w:r w:rsidRPr="005543F9">
        <w:rPr>
          <w:i/>
        </w:rPr>
        <w:t>hemprichii</w:t>
      </w:r>
      <w:proofErr w:type="spellEnd"/>
      <w:r>
        <w:t xml:space="preserve"> with some </w:t>
      </w:r>
      <w:proofErr w:type="spellStart"/>
      <w:r w:rsidRPr="005543F9">
        <w:rPr>
          <w:i/>
        </w:rPr>
        <w:t>Halodule</w:t>
      </w:r>
      <w:proofErr w:type="spellEnd"/>
      <w:r w:rsidRPr="005543F9">
        <w:rPr>
          <w:i/>
        </w:rPr>
        <w:t xml:space="preserve"> </w:t>
      </w:r>
      <w:proofErr w:type="spellStart"/>
      <w:r w:rsidRPr="005543F9">
        <w:rPr>
          <w:i/>
        </w:rPr>
        <w:t>uninervis</w:t>
      </w:r>
      <w:proofErr w:type="spellEnd"/>
      <w:r>
        <w:t xml:space="preserve"> and </w:t>
      </w:r>
      <w:proofErr w:type="spellStart"/>
      <w:r w:rsidRPr="005543F9">
        <w:rPr>
          <w:i/>
        </w:rPr>
        <w:t>Halophila</w:t>
      </w:r>
      <w:proofErr w:type="spellEnd"/>
      <w:r w:rsidRPr="005543F9">
        <w:rPr>
          <w:i/>
        </w:rPr>
        <w:t xml:space="preserve"> </w:t>
      </w:r>
      <w:proofErr w:type="spellStart"/>
      <w:r w:rsidRPr="005543F9">
        <w:rPr>
          <w:i/>
        </w:rPr>
        <w:t>ovalis</w:t>
      </w:r>
      <w:proofErr w:type="spellEnd"/>
      <w:r>
        <w:t>. The seagrass meadows at Green Island have been the focus of research since the 1980's and monitoring includes a legacy site (GI1).</w:t>
      </w:r>
    </w:p>
    <w:p w:rsidR="00035426" w:rsidRDefault="00035426" w:rsidP="00035426">
      <w:r>
        <w:t>Dunk Island is an inshore continental island located in the southern section of the region (</w:t>
      </w:r>
      <w:r w:rsidR="00113EFF">
        <w:rPr>
          <w:color w:val="0000FF"/>
        </w:rPr>
        <w:fldChar w:fldCharType="begin"/>
      </w:r>
      <w:r w:rsidR="00113EFF">
        <w:instrText xml:space="preserve"> REF _Ref442554072 \h </w:instrText>
      </w:r>
      <w:r w:rsidR="00113EFF">
        <w:rPr>
          <w:color w:val="0000FF"/>
        </w:rPr>
      </w:r>
      <w:r w:rsidR="00113EFF">
        <w:rPr>
          <w:color w:val="0000FF"/>
        </w:rPr>
        <w:fldChar w:fldCharType="separate"/>
      </w:r>
      <w:r w:rsidR="009C068F">
        <w:rPr>
          <w:color w:val="000000"/>
        </w:rPr>
        <w:t xml:space="preserve">Figure </w:t>
      </w:r>
      <w:r w:rsidR="009C068F">
        <w:rPr>
          <w:noProof/>
          <w:color w:val="000000"/>
        </w:rPr>
        <w:t>216</w:t>
      </w:r>
      <w:r w:rsidR="00113EFF">
        <w:rPr>
          <w:color w:val="0000FF"/>
        </w:rPr>
        <w:fldChar w:fldCharType="end"/>
      </w:r>
      <w:r>
        <w:t xml:space="preserve">). Intertidal monitoring sites are located on the sand spit between the main island and </w:t>
      </w:r>
      <w:proofErr w:type="spellStart"/>
      <w:r>
        <w:t>Kumboola</w:t>
      </w:r>
      <w:proofErr w:type="spellEnd"/>
      <w:r>
        <w:t xml:space="preserve"> Island. The subtidal site is located in the lee of the island, in front of the former Dunk Island resort. </w:t>
      </w:r>
    </w:p>
    <w:p w:rsidR="00035426" w:rsidRDefault="00035426" w:rsidP="00035426">
      <w:r>
        <w:t>Shallow unstable sediment, fluctuating temperature, and variable salinity in shallow regions characterise reef habitats. Physical disturbance from waves and swell and associated sediment movement primary forcing factors which control seagrass growing in these habitats (</w:t>
      </w:r>
      <w:r w:rsidR="00113EFF">
        <w:rPr>
          <w:color w:val="0000FF"/>
        </w:rPr>
        <w:fldChar w:fldCharType="begin"/>
      </w:r>
      <w:r w:rsidR="00113EFF">
        <w:instrText xml:space="preserve"> REF _Ref442554147 \h </w:instrText>
      </w:r>
      <w:r w:rsidR="00113EFF">
        <w:rPr>
          <w:color w:val="0000FF"/>
        </w:rPr>
      </w:r>
      <w:r w:rsidR="00113EFF">
        <w:rPr>
          <w:color w:val="0000FF"/>
        </w:rPr>
        <w:fldChar w:fldCharType="separate"/>
      </w:r>
      <w:r w:rsidR="009C068F">
        <w:rPr>
          <w:color w:val="000000"/>
        </w:rPr>
        <w:t xml:space="preserve">Figure </w:t>
      </w:r>
      <w:r w:rsidR="009C068F">
        <w:rPr>
          <w:noProof/>
          <w:color w:val="000000"/>
        </w:rPr>
        <w:t>118</w:t>
      </w:r>
      <w:r w:rsidR="00113EFF">
        <w:rPr>
          <w:color w:val="0000FF"/>
        </w:rPr>
        <w:fldChar w:fldCharType="end"/>
      </w:r>
      <w:r>
        <w:t xml:space="preserve">). Reef seagrass habitats in the region are often adjacent to areas of high tourism use and boating activity with propeller and anchor scarring impacts. Globally, nutrient concentrations are generally low in reef habitats due to the coarse nature of the coral sand sediments. In these carbonate sediments the primary limiting nutrient for seagrass </w:t>
      </w:r>
      <w:r w:rsidR="005543F9">
        <w:t>growth is generally phosphate (</w:t>
      </w:r>
      <w:r w:rsidR="00644A84">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bC48L3N0eWxlPiAxOTkyYTsgRXJmdGVtZWlqZXIgYW5kIE1pZGRlbGJ1cmcgMTk5MzwvRGlzcGxh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</w:fldData>
        </w:fldChar>
      </w:r>
      <w:r w:rsidR="00644A84">
        <w:instrText xml:space="preserve"> ADDIN EN.CITE </w:instrText>
      </w:r>
      <w:r w:rsidR="00644A84">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bC48L3N0eWxlPiAxOTkyYTsgRXJmdGVtZWlqZXIgYW5kIE1pZGRlbGJ1cmcgMTk5MzwvRGlzcGxh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</w:fldData>
        </w:fldChar>
      </w:r>
      <w:r w:rsidR="00644A84">
        <w:instrText xml:space="preserve"> ADDIN EN.CITE.DATA </w:instrText>
      </w:r>
      <w:r w:rsidR="00644A84">
        <w:fldChar w:fldCharType="end"/>
      </w:r>
      <w:r w:rsidR="00644A84">
        <w:fldChar w:fldCharType="separate"/>
      </w:r>
      <w:hyperlink w:anchor="_ENREF_218" w:tooltip="Short, 1990 #128" w:history="1">
        <w:r w:rsidR="00E6043D">
          <w:rPr>
            <w:noProof/>
          </w:rPr>
          <w:t>Short</w:t>
        </w:r>
        <w:r w:rsidR="00E6043D" w:rsidRPr="00644A84">
          <w:rPr>
            <w:i/>
            <w:noProof/>
          </w:rPr>
          <w:t xml:space="preserve"> et al.</w:t>
        </w:r>
        <w:r w:rsidR="00E6043D">
          <w:rPr>
            <w:noProof/>
          </w:rPr>
          <w:t xml:space="preserve"> 1990</w:t>
        </w:r>
      </w:hyperlink>
      <w:r w:rsidR="00644A84">
        <w:rPr>
          <w:noProof/>
        </w:rPr>
        <w:t xml:space="preserve">; </w:t>
      </w:r>
      <w:hyperlink w:anchor="_ENREF_111" w:tooltip="Fourqurean, 1992 #9074" w:history="1">
        <w:r w:rsidR="00E6043D">
          <w:rPr>
            <w:noProof/>
          </w:rPr>
          <w:t>Fourqurean</w:t>
        </w:r>
        <w:r w:rsidR="00E6043D" w:rsidRPr="00644A84">
          <w:rPr>
            <w:i/>
            <w:noProof/>
          </w:rPr>
          <w:t xml:space="preserve"> et al.</w:t>
        </w:r>
        <w:r w:rsidR="00E6043D">
          <w:rPr>
            <w:noProof/>
          </w:rPr>
          <w:t xml:space="preserve"> 1992a</w:t>
        </w:r>
      </w:hyperlink>
      <w:r w:rsidR="00644A84">
        <w:rPr>
          <w:noProof/>
        </w:rPr>
        <w:t xml:space="preserve">; </w:t>
      </w:r>
      <w:hyperlink w:anchor="_ENREF_101" w:tooltip="Erftemeijer, 1993 #208" w:history="1">
        <w:r w:rsidR="00E6043D">
          <w:rPr>
            <w:noProof/>
          </w:rPr>
          <w:t>Erftemeijer and Middelburg 1993</w:t>
        </w:r>
      </w:hyperlink>
      <w:r w:rsidR="00644A84">
        <w:fldChar w:fldCharType="end"/>
      </w:r>
      <w:r>
        <w:t>). This is due to the sequestering of the phosphate by the calcium carbonate. In this region seagrass meadows inhabiting the near shore inner reefs and fringing reefs of coastal islands inhabit a mixture of terrigenous and carbonate sediments, such as Green Island. Seagrasses at this location in the 1990’s were</w:t>
      </w:r>
      <w:r w:rsidR="005543F9">
        <w:t xml:space="preserve"> shown to be nitrogen limited (</w:t>
      </w:r>
      <w:hyperlink w:anchor="_ENREF_229" w:tooltip="Udy, 1999 #2371" w:history="1">
        <w:r w:rsidR="00E6043D">
          <w:fldChar w:fldCharType="begin"/>
        </w:r>
        <w:r w:rsidR="00E6043D">
          <w:instrText xml:space="preserve"> ADDIN EN.CITE &lt;EndNote&gt;&lt;Cite&gt;&lt;Author&gt;Udy&lt;/Author&gt;&lt;Year&gt;1999&lt;/Year&gt;&lt;RecNum&gt;2371&lt;/RecNum&gt;&lt;DisplayText&gt;Udy&lt;style face="italic"&gt;, et al.&lt;/style&gt; 1999&lt;/DisplayText&gt;&lt;record&gt;&lt;rec-number&gt;2371&lt;/rec-number&gt;&lt;foreign-keys&gt;&lt;key app="EN" db-id="0eve55x9y5vfd6e9dacxtew4eatve2dzds9a"&gt;2371&lt;/key&gt;&lt;/foreign-keys&gt;&lt;ref-type name="Journal Article"&gt;17&lt;/ref-type&gt;&lt;contributors&gt;&lt;authors&gt;&lt;author&gt;Udy, James W.&lt;/author&gt;&lt;author&gt;Dennison, W. C.&lt;/author&gt;&lt;author&gt;Lee Long, W. J.&lt;/author&gt;&lt;author&gt;McKenzie, Len J.&lt;/author&gt;&lt;/authors&gt;&lt;/contributors&gt;&lt;titles&gt;&lt;title&gt;Responses of seagrass to nutrients in the Great Barrier Reef, Australia.&lt;/title&gt;&lt;secondary-title&gt;Marine Ecology Progress Series&lt;/secondary-title&gt;&lt;/titles&gt;&lt;periodical&gt;&lt;full-title&gt;Marine Ecology Progress Series&lt;/full-title&gt;&lt;/periodical&gt;&lt;pages&gt;257-271&lt;/pages&gt;&lt;volume&gt;185&lt;/volume&gt;&lt;keywords&gt;&lt;keyword&gt;Seagrass, Great Barrier Reef, Nutrients&lt;/keyword&gt;&lt;/keywords&gt;&lt;dates&gt;&lt;year&gt;1999&lt;/year&gt;&lt;pub-dates&gt;&lt;date&gt;August 20&lt;/date&gt;&lt;/pub-dates&gt;&lt;/dates&gt;&lt;urls&gt;&lt;/urls&gt;&lt;custom1&gt;Annex. Len McKenzie Collection&lt;/custom1&gt;&lt;/record&gt;&lt;/Cite&gt;&lt;/EndNote&gt;</w:instrText>
        </w:r>
        <w:r w:rsidR="00E6043D">
          <w:fldChar w:fldCharType="separate"/>
        </w:r>
        <w:r w:rsidR="00E6043D">
          <w:rPr>
            <w:noProof/>
          </w:rPr>
          <w:t>Udy</w:t>
        </w:r>
        <w:r w:rsidR="00E6043D" w:rsidRPr="00644A84">
          <w:rPr>
            <w:i/>
            <w:noProof/>
          </w:rPr>
          <w:t>, et al.</w:t>
        </w:r>
        <w:r w:rsidR="00E6043D">
          <w:rPr>
            <w:noProof/>
          </w:rPr>
          <w:t xml:space="preserve"> 1999</w:t>
        </w:r>
        <w:r w:rsidR="00E6043D">
          <w:fldChar w:fldCharType="end"/>
        </w:r>
      </w:hyperlink>
      <w:r>
        <w:t>).</w:t>
      </w:r>
    </w:p>
    <w:p w:rsidR="00035426" w:rsidRDefault="00035426" w:rsidP="008A429D"/>
    <w:p w:rsidR="00035426" w:rsidRDefault="00035426">
      <w:pPr>
        <w:spacing w:before="0" w:after="0"/>
      </w:pPr>
      <w:r>
        <w:br w:type="page"/>
      </w:r>
    </w:p>
    <w:p w:rsidR="00035426" w:rsidRPr="007D5A48" w:rsidRDefault="00035426" w:rsidP="007D5A48">
      <w:pPr>
        <w:pStyle w:val="Heading2"/>
      </w:pPr>
      <w:bookmarkStart w:id="883" w:name="_Toc462047379"/>
      <w:r w:rsidRPr="007D5A48">
        <w:lastRenderedPageBreak/>
        <w:t>Burdekin</w:t>
      </w:r>
      <w:bookmarkEnd w:id="883"/>
    </w:p>
    <w:p w:rsidR="00035426" w:rsidRDefault="00035426" w:rsidP="00035426">
      <w:r>
        <w:t xml:space="preserve">The Burdekin region, includes an aggregation of the Burdekin, Don, Haughton and Ross River catchments and several smaller coastal catchments, all of which empty into </w:t>
      </w:r>
      <w:r w:rsidR="00E6365C">
        <w:t>the Great Barrier Reef lagoon (</w:t>
      </w:r>
      <w:hyperlink w:anchor="_ENREF_70" w:tooltip="Commonwealth of Australia, 2013 #9678" w:history="1">
        <w:r w:rsidR="00E6043D">
          <w:fldChar w:fldCharType="begin"/>
        </w:r>
        <w:r w:rsidR="00E6043D">
          <w:instrText xml:space="preserve"> ADDIN EN.CITE &lt;EndNote&gt;&lt;Cite&gt;&lt;Author&gt;Commonwealth of Australia&lt;/Author&gt;&lt;Year&gt;2013&lt;/Year&gt;&lt;RecNum&gt;9678&lt;/RecNum&gt;&lt;DisplayText&gt;Commonwealth of Australia 2013a&lt;/DisplayText&gt;&lt;record&gt;&lt;rec-number&gt;9678&lt;/rec-number&gt;&lt;foreign-keys&gt;&lt;key app="EN" db-id="0eve55x9y5vfd6e9dacxtew4eatve2dzds9a"&gt;9678&lt;/key&gt;&lt;/foreign-keys&gt;&lt;ref-type name="Web Page"&gt;12&lt;/ref-type&gt;&lt;contributors&gt;&lt;authors&gt;&lt;author&gt;Commonwealth of Australia,&lt;/author&gt;&lt;/authors&gt;&lt;/contributors&gt;&lt;titles&gt;&lt;title&gt;Burdekin Natural Resource Management region, http://www.nrm.gov.au/about/nrm/regions/qld-burd.html&lt;/title&gt;&lt;/titles&gt;&lt;number&gt;18 February 2014&lt;/number&gt;&lt;dates&gt;&lt;year&gt;2013&lt;/year&gt;&lt;/dates&gt;&lt;urls&gt;&lt;related-urls&gt;&lt;url&gt;http://www.nrm.gov.au/about/nrm/regions/qld-burd.html&lt;/url&gt;&lt;/related-urls&gt;&lt;/urls&gt;&lt;/record&gt;&lt;/Cite&gt;&lt;/EndNote&gt;</w:instrText>
        </w:r>
        <w:r w:rsidR="00E6043D">
          <w:fldChar w:fldCharType="separate"/>
        </w:r>
        <w:r w:rsidR="00E6043D">
          <w:rPr>
            <w:noProof/>
          </w:rPr>
          <w:t>Commonwealth of Australia 2013a</w:t>
        </w:r>
        <w:r w:rsidR="00E6043D">
          <w:fldChar w:fldCharType="end"/>
        </w:r>
      </w:hyperlink>
      <w:r>
        <w:t>). Rainfall is lower than other regions within tropical Queensland with an annual average of approximately 1,150 mm from on average 91 rain days. There is, however, considerable year-to-year variation due to the sporadic nature of tropical lows and storms. Approximately 75% of the average annual rainfall is rece</w:t>
      </w:r>
      <w:r w:rsidR="00E6365C">
        <w:t>ived during December to March (</w:t>
      </w:r>
      <w:hyperlink w:anchor="_ENREF_216" w:tooltip="Scheltinga, 2005 #9675" w:history="1">
        <w:r w:rsidR="00E6043D">
          <w:fldChar w:fldCharType="begin"/>
        </w:r>
        <w:r w:rsidR="00E6043D">
          <w:instrText xml:space="preserve"> ADDIN EN.CITE &lt;EndNote&gt;&lt;Cite&gt;&lt;Author&gt;Scheltinga&lt;/Author&gt;&lt;Year&gt;2005&lt;/Year&gt;&lt;RecNum&gt;9675&lt;/RecNum&gt;&lt;DisplayText&gt;Scheltinga and Heydon 2005&lt;/DisplayText&gt;&lt;record&gt;&lt;rec-number&gt;9675&lt;/rec-number&gt;&lt;foreign-keys&gt;&lt;key app="EN" db-id="0eve55x9y5vfd6e9dacxtew4eatve2dzds9a"&gt;9675&lt;/key&gt;&lt;/foreign-keys&gt;&lt;ref-type name="Edited Book"&gt;28&lt;/ref-type&gt;&lt;contributors&gt;&lt;authors&gt;&lt;author&gt;Scheltinga, D M&lt;/author&gt;&lt;author&gt;Heydon, L&lt;/author&gt;&lt;/authors&gt;&lt;/contributors&gt;&lt;titles&gt;&lt;title&gt;Report on the Condition of Estuarine, Coastal and Marine Resources of the Burdekin Dry Tropics Region, Commissioned by the Burdekin Dry Tropics Board. &lt;/title&gt;&lt;/titles&gt;&lt;pages&gt;230&lt;/pages&gt;&lt;dates&gt;&lt;year&gt;2005&lt;/year&gt;&lt;/dates&gt;&lt;pub-location&gt;Townsville&lt;/pub-location&gt;&lt;publisher&gt;Cooperative Research Centre for Coastal Zone, Estuary and Waterway Management&lt;/publisher&gt;&lt;urls&gt;&lt;/urls&gt;&lt;/record&gt;&lt;/Cite&gt;&lt;/EndNote&gt;</w:instrText>
        </w:r>
        <w:r w:rsidR="00E6043D">
          <w:fldChar w:fldCharType="separate"/>
        </w:r>
        <w:r w:rsidR="00E6043D">
          <w:rPr>
            <w:noProof/>
          </w:rPr>
          <w:t>Scheltinga and Heydon 2005</w:t>
        </w:r>
        <w:r w:rsidR="00E6043D">
          <w:fldChar w:fldCharType="end"/>
        </w:r>
      </w:hyperlink>
      <w:r>
        <w:t xml:space="preserve">). </w:t>
      </w:r>
    </w:p>
    <w:p w:rsidR="00035426" w:rsidRDefault="00035426" w:rsidP="00035426">
      <w:r>
        <w:t xml:space="preserve">Approximately 18% of the seagrass </w:t>
      </w:r>
      <w:r w:rsidR="00566193">
        <w:t xml:space="preserve">area </w:t>
      </w:r>
      <w:r>
        <w:t>mapped in the shallow waters (&lt;15m) of the GBR occurs in the Burdekin NRM region (</w:t>
      </w:r>
      <w:hyperlink w:anchor="_ENREF_180" w:tooltip="McKenzie, 2010 #9646" w:history="1">
        <w:r w:rsidR="00E6043D">
          <w:fldChar w:fldCharType="begin"/>
        </w:r>
        <w:r w:rsidR="00E6043D">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fldChar w:fldCharType="separate"/>
        </w:r>
        <w:r w:rsidR="00E6043D">
          <w:rPr>
            <w:noProof/>
          </w:rPr>
          <w:t>McKenzie</w:t>
        </w:r>
        <w:r w:rsidR="00E6043D" w:rsidRPr="00644A84">
          <w:rPr>
            <w:i/>
            <w:noProof/>
          </w:rPr>
          <w:t>, et al.</w:t>
        </w:r>
        <w:r w:rsidR="00E6043D">
          <w:rPr>
            <w:noProof/>
          </w:rPr>
          <w:t xml:space="preserve"> 2010c</w:t>
        </w:r>
        <w:r w:rsidR="00E6043D">
          <w:fldChar w:fldCharType="end"/>
        </w:r>
      </w:hyperlink>
      <w:r>
        <w:t>). Intertidal seagrasses and shallow subtidal seagrasses dominate in this region, the majority of whic</w:t>
      </w:r>
      <w:r w:rsidR="00E6365C">
        <w:t>h are within coastal habitats (</w:t>
      </w:r>
      <w:hyperlink w:anchor="_ENREF_47" w:tooltip="Coles, 2007 #9281" w:history="1">
        <w:r w:rsidR="00E6043D">
          <w:fldChar w:fldCharType="begin"/>
        </w:r>
        <w:r w:rsidR="00E6043D">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6043D">
          <w:fldChar w:fldCharType="separate"/>
        </w:r>
        <w:r w:rsidR="00E6043D">
          <w:rPr>
            <w:noProof/>
          </w:rPr>
          <w:t>Coles</w:t>
        </w:r>
        <w:r w:rsidR="00E6043D" w:rsidRPr="00644A84">
          <w:rPr>
            <w:i/>
            <w:noProof/>
          </w:rPr>
          <w:t>, et al.</w:t>
        </w:r>
        <w:r w:rsidR="00E6043D">
          <w:rPr>
            <w:noProof/>
          </w:rPr>
          <w:t xml:space="preserve"> 2007</w:t>
        </w:r>
        <w:r w:rsidR="00E6043D">
          <w:fldChar w:fldCharType="end"/>
        </w:r>
      </w:hyperlink>
      <w:r w:rsidR="00566193">
        <w:t xml:space="preserve">). </w:t>
      </w:r>
      <w:r>
        <w:t xml:space="preserve">Extensive seagrass meadows occur in Upstart, Cleveland, and Bowling Green Bays and off Magnetic Island. Twelve species have </w:t>
      </w:r>
      <w:r w:rsidR="00566193">
        <w:t>been found within this region (</w:t>
      </w:r>
      <w:r w:rsidR="00644A84">
        <w:fldChar w:fldCharType="begin">
          <w:fldData xml:space="preserve">PEVuZE5vdGU+PENpdGU+PEF1dGhvcj5MZWUgTG9uZzwvQXV0aG9yPjxZZWFyPjE5OTM8L1llYXI+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</w:fldData>
        </w:fldChar>
      </w:r>
      <w:r w:rsidR="00ED4C4C">
        <w:instrText xml:space="preserve"> ADDIN EN.CITE </w:instrText>
      </w:r>
      <w:r w:rsidR="00ED4C4C">
        <w:fldChar w:fldCharType="begin">
          <w:fldData xml:space="preserve">PEVuZE5vdGU+PENpdGU+PEF1dGhvcj5MZWUgTG9uZzwvQXV0aG9yPjxZZWFyPjE5OTM8L1llYXI+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</w:fldData>
        </w:fldChar>
      </w:r>
      <w:r w:rsidR="00ED4C4C">
        <w:instrText xml:space="preserve"> ADDIN EN.CITE.DATA </w:instrText>
      </w:r>
      <w:r w:rsidR="00ED4C4C">
        <w:fldChar w:fldCharType="end"/>
      </w:r>
      <w:r w:rsidR="00644A84">
        <w:fldChar w:fldCharType="separate"/>
      </w:r>
      <w:hyperlink w:anchor="_ENREF_147" w:tooltip="Lee Long, 1993 #682" w:history="1">
        <w:r w:rsidR="00E6043D">
          <w:rPr>
            <w:noProof/>
          </w:rPr>
          <w:t>Lee Long</w:t>
        </w:r>
        <w:r w:rsidR="00E6043D" w:rsidRPr="00ED4C4C">
          <w:rPr>
            <w:i/>
            <w:noProof/>
          </w:rPr>
          <w:t>, et al.</w:t>
        </w:r>
        <w:r w:rsidR="00E6043D">
          <w:rPr>
            <w:noProof/>
          </w:rPr>
          <w:t xml:space="preserve"> 1993</w:t>
        </w:r>
      </w:hyperlink>
      <w:r w:rsidR="00ED4C4C">
        <w:rPr>
          <w:noProof/>
        </w:rPr>
        <w:t xml:space="preserve">; </w:t>
      </w:r>
      <w:hyperlink w:anchor="_ENREF_141" w:tooltip="Lee Long, 1996 #951" w:history="1">
        <w:r w:rsidR="00E6043D">
          <w:rPr>
            <w:noProof/>
          </w:rPr>
          <w:t>Lee Long</w:t>
        </w:r>
        <w:r w:rsidR="00E6043D" w:rsidRPr="00ED4C4C">
          <w:rPr>
            <w:i/>
            <w:noProof/>
          </w:rPr>
          <w:t xml:space="preserve"> et al.</w:t>
        </w:r>
        <w:r w:rsidR="00E6043D">
          <w:rPr>
            <w:noProof/>
          </w:rPr>
          <w:t xml:space="preserve"> 1996a</w:t>
        </w:r>
      </w:hyperlink>
      <w:r w:rsidR="00644A84">
        <w:fldChar w:fldCharType="end"/>
      </w:r>
      <w:r>
        <w:t xml:space="preserve">). Deep water (&gt;15m) seagrasses occur in this region but are not as common or dense as </w:t>
      </w:r>
      <w:r w:rsidRPr="00113EFF">
        <w:t>occurs in regions further north (</w:t>
      </w:r>
      <w:hyperlink w:anchor="_ENREF_49" w:tooltip="Coles, 2009 #9367" w:history="1">
        <w:r w:rsidR="00E6043D">
          <w:fldChar w:fldCharType="begin"/>
        </w:r>
        <w:r w:rsidR="00E6043D">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E6043D">
          <w:fldChar w:fldCharType="separate"/>
        </w:r>
        <w:r w:rsidR="00E6043D">
          <w:rPr>
            <w:noProof/>
          </w:rPr>
          <w:t>Coles</w:t>
        </w:r>
        <w:r w:rsidR="00E6043D" w:rsidRPr="00D821F1">
          <w:rPr>
            <w:i/>
            <w:noProof/>
          </w:rPr>
          <w:t>, et al.</w:t>
        </w:r>
        <w:r w:rsidR="00E6043D">
          <w:rPr>
            <w:noProof/>
          </w:rPr>
          <w:t xml:space="preserve"> 2009</w:t>
        </w:r>
        <w:r w:rsidR="00E6043D">
          <w:fldChar w:fldCharType="end"/>
        </w:r>
      </w:hyperlink>
      <w:r w:rsidRPr="00113EFF">
        <w:t>).  Most fringing reefs associated with continental</w:t>
      </w:r>
      <w:r>
        <w:t xml:space="preserve"> islands support moderately dense mixed species meadows (especially </w:t>
      </w:r>
      <w:proofErr w:type="spellStart"/>
      <w:r w:rsidRPr="00566193">
        <w:rPr>
          <w:i/>
        </w:rPr>
        <w:t>Cymodocea</w:t>
      </w:r>
      <w:proofErr w:type="spellEnd"/>
      <w:r w:rsidRPr="00566193">
        <w:rPr>
          <w:i/>
        </w:rPr>
        <w:t xml:space="preserve"> </w:t>
      </w:r>
      <w:proofErr w:type="spellStart"/>
      <w:r w:rsidRPr="00566193">
        <w:rPr>
          <w:i/>
        </w:rPr>
        <w:t>serrulata</w:t>
      </w:r>
      <w:proofErr w:type="spellEnd"/>
      <w:r>
        <w:t>), which are not restricted to the confines of fringing reefs, but are also found in sheltered bays at continental isl</w:t>
      </w:r>
      <w:r w:rsidR="00566193">
        <w:t>ands or coastal localities (</w:t>
      </w:r>
      <w:hyperlink w:anchor="_ENREF_47" w:tooltip="Coles, 2007 #9281" w:history="1">
        <w:r w:rsidR="00E6043D">
          <w:fldChar w:fldCharType="begin"/>
        </w:r>
        <w:r w:rsidR="00E6043D">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6043D">
          <w:fldChar w:fldCharType="separate"/>
        </w:r>
        <w:r w:rsidR="00E6043D">
          <w:rPr>
            <w:noProof/>
          </w:rPr>
          <w:t>Coles</w:t>
        </w:r>
        <w:r w:rsidR="00E6043D" w:rsidRPr="00644A84">
          <w:rPr>
            <w:i/>
            <w:noProof/>
          </w:rPr>
          <w:t>, et al.</w:t>
        </w:r>
        <w:r w:rsidR="00E6043D">
          <w:rPr>
            <w:noProof/>
          </w:rPr>
          <w:t xml:space="preserve"> 2007</w:t>
        </w:r>
        <w:r w:rsidR="00E6043D">
          <w:fldChar w:fldCharType="end"/>
        </w:r>
      </w:hyperlink>
      <w:r>
        <w:t>).</w:t>
      </w:r>
    </w:p>
    <w:p w:rsidR="00035426" w:rsidRDefault="00035426" w:rsidP="00035426">
      <w:r>
        <w:t xml:space="preserve">Major threats to seagrass meadows in the region include: coastal development (reclamation); changes to hydrology; water quality declines (particularly nutrient enrichment or increased turbidity); downstream effects from agricultural (including sugarcane, horticultural, beef), industrial (including </w:t>
      </w:r>
      <w:r w:rsidR="00566193">
        <w:t>refineries) and urban centres (</w:t>
      </w:r>
      <w:hyperlink w:anchor="_ENREF_216" w:tooltip="Scheltinga, 2005 #9675" w:history="1">
        <w:r w:rsidR="00E6043D">
          <w:fldChar w:fldCharType="begin"/>
        </w:r>
        <w:r w:rsidR="00E6043D">
          <w:instrText xml:space="preserve"> ADDIN EN.CITE &lt;EndNote&gt;&lt;Cite&gt;&lt;Author&gt;Scheltinga&lt;/Author&gt;&lt;Year&gt;2005&lt;/Year&gt;&lt;RecNum&gt;9675&lt;/RecNum&gt;&lt;DisplayText&gt;Scheltinga and Heydon 2005&lt;/DisplayText&gt;&lt;record&gt;&lt;rec-number&gt;9675&lt;/rec-number&gt;&lt;foreign-keys&gt;&lt;key app="EN" db-id="0eve55x9y5vfd6e9dacxtew4eatve2dzds9a"&gt;9675&lt;/key&gt;&lt;/foreign-keys&gt;&lt;ref-type name="Edited Book"&gt;28&lt;/ref-type&gt;&lt;contributors&gt;&lt;authors&gt;&lt;author&gt;Scheltinga, D M&lt;/author&gt;&lt;author&gt;Heydon, L&lt;/author&gt;&lt;/authors&gt;&lt;/contributors&gt;&lt;titles&gt;&lt;title&gt;Report on the Condition of Estuarine, Coastal and Marine Resources of the Burdekin Dry Tropics Region, Commissioned by the Burdekin Dry Tropics Board. &lt;/title&gt;&lt;/titles&gt;&lt;pages&gt;230&lt;/pages&gt;&lt;dates&gt;&lt;year&gt;2005&lt;/year&gt;&lt;/dates&gt;&lt;pub-location&gt;Townsville&lt;/pub-location&gt;&lt;publisher&gt;Cooperative Research Centre for Coastal Zone, Estuary and Waterway Management&lt;/publisher&gt;&lt;urls&gt;&lt;/urls&gt;&lt;/record&gt;&lt;/Cite&gt;&lt;/EndNote&gt;</w:instrText>
        </w:r>
        <w:r w:rsidR="00E6043D">
          <w:fldChar w:fldCharType="separate"/>
        </w:r>
        <w:r w:rsidR="00E6043D">
          <w:rPr>
            <w:noProof/>
          </w:rPr>
          <w:t>Scheltinga and Heydon 2005</w:t>
        </w:r>
        <w:r w:rsidR="00E6043D">
          <w:fldChar w:fldCharType="end"/>
        </w:r>
      </w:hyperlink>
      <w:r>
        <w:t>; (Haynes et al. 2001)). All four generalised seagrass habitats are present within the Burdekin region, and MMP monitoring occurs at coastal and reef seagrass habitat locations.</w:t>
      </w:r>
    </w:p>
    <w:p w:rsidR="00035426" w:rsidRDefault="00035426" w:rsidP="00035426">
      <w:r>
        <w:t xml:space="preserve">The coastal monitoring sites are located on naturally dynamic shallow sand banks and are subject to sand waves and erosion blowouts moving through the meadows. The Townsville (Bushland Beach and Shelley Beach) area is a sediment deposition zone, so the meadow must also cope with incursions of sediment carried by </w:t>
      </w:r>
      <w:proofErr w:type="spellStart"/>
      <w:r>
        <w:t>long shore</w:t>
      </w:r>
      <w:proofErr w:type="spellEnd"/>
      <w:r>
        <w:t xml:space="preserve"> drift. The Bowling Green Bay (</w:t>
      </w:r>
      <w:proofErr w:type="spellStart"/>
      <w:r>
        <w:t>Jerona</w:t>
      </w:r>
      <w:proofErr w:type="spellEnd"/>
      <w:r>
        <w:t xml:space="preserve">) location is adjacent to the mouth of </w:t>
      </w:r>
      <w:proofErr w:type="spellStart"/>
      <w:r>
        <w:t>Barratta</w:t>
      </w:r>
      <w:proofErr w:type="spellEnd"/>
      <w:r>
        <w:t xml:space="preserve"> Creek. Sediments within this habitat are mud and sand that have been delivered to the coast during the episodic peak flows of the creeks and rivers (notably the Burdekin) in this area. While episodic riverine delivery of freshwater nutrients and sediment is a medium time scale factor in structuring these coastal seagrass meadows, it is the wind induced turbidity of the </w:t>
      </w:r>
      <w:proofErr w:type="spellStart"/>
      <w:r>
        <w:t>costal</w:t>
      </w:r>
      <w:proofErr w:type="spellEnd"/>
      <w:r>
        <w:t xml:space="preserve"> zone that is likely to be a major short term driver (</w:t>
      </w:r>
      <w:r w:rsidR="00113EFF">
        <w:fldChar w:fldCharType="begin"/>
      </w:r>
      <w:r w:rsidR="00113EFF">
        <w:instrText xml:space="preserve"> REF _Ref442554248 \h </w:instrText>
      </w:r>
      <w:r w:rsidR="00113EFF">
        <w:fldChar w:fldCharType="separate"/>
      </w:r>
      <w:r w:rsidR="009C068F">
        <w:rPr>
          <w:color w:val="000000"/>
        </w:rPr>
        <w:t xml:space="preserve">Figure </w:t>
      </w:r>
      <w:r w:rsidR="009C068F">
        <w:rPr>
          <w:noProof/>
          <w:color w:val="000000"/>
        </w:rPr>
        <w:t>119</w:t>
      </w:r>
      <w:r w:rsidR="00113EFF">
        <w:fldChar w:fldCharType="end"/>
      </w:r>
      <w:r>
        <w:t>). In these shallow coastal areas waves generated by the prevailing SE trade winds are greater than the depth of water, maintaining elevated levels of suspended sediments, limiting the amount of light availability for photosynthesis during the trade season. Another significant feature in this region is the influence of ground water (</w:t>
      </w:r>
      <w:hyperlink w:anchor="_ENREF_222" w:tooltip="Stieglitz, 2005 #9754" w:history="1">
        <w:r w:rsidR="00E6043D">
          <w:fldChar w:fldCharType="begin"/>
        </w:r>
        <w:r w:rsidR="00E6043D">
          <w:instrText xml:space="preserve"> ADDIN EN.CITE &lt;EndNote&gt;&lt;Cite&gt;&lt;Author&gt;Stieglitz&lt;/Author&gt;&lt;Year&gt;2005&lt;/Year&gt;&lt;RecNum&gt;9754&lt;/RecNum&gt;&lt;DisplayText&gt;Stieglitz 2005&lt;/DisplayText&gt;&lt;record&gt;&lt;rec-number&gt;9754&lt;/rec-number&gt;&lt;foreign-keys&gt;&lt;key app="EN" db-id="0eve55x9y5vfd6e9dacxtew4eatve2dzds9a"&gt;9754&lt;/key&gt;&lt;/foreign-keys&gt;&lt;ref-type name="Journal Article"&gt;17&lt;/ref-type&gt;&lt;contributors&gt;&lt;authors&gt;&lt;author&gt;Stieglitz, T&lt;/author&gt;&lt;/authors&gt;&lt;/contributors&gt;&lt;titles&gt;&lt;title&gt;Submarine groundwater discharge into the near-shore zone of the Great Barrier Reef, Australia.&lt;/title&gt;&lt;secondary-title&gt;Marine Pollution Bulletin&lt;/secondary-title&gt;&lt;/titles&gt;&lt;periodical&gt;&lt;full-title&gt;Marine Pollution Bulletin&lt;/full-title&gt;&lt;/periodical&gt;&lt;pages&gt;51-59&lt;/pages&gt;&lt;volume&gt;51&lt;/volume&gt;&lt;number&gt;1-4&lt;/number&gt;&lt;dates&gt;&lt;year&gt;2005&lt;/year&gt;&lt;/dates&gt;&lt;urls&gt;&lt;/urls&gt;&lt;/record&gt;&lt;/Cite&gt;&lt;/EndNote&gt;</w:instrText>
        </w:r>
        <w:r w:rsidR="00E6043D">
          <w:fldChar w:fldCharType="separate"/>
        </w:r>
        <w:r w:rsidR="00E6043D">
          <w:rPr>
            <w:noProof/>
          </w:rPr>
          <w:t>Stieglitz 2005</w:t>
        </w:r>
        <w:r w:rsidR="00E6043D">
          <w:fldChar w:fldCharType="end"/>
        </w:r>
      </w:hyperlink>
      <w:r>
        <w:t>). The meadows are also frequented by dugongs and turtles as witnessed by abundant grazing trails and patches of cropping .</w:t>
      </w:r>
    </w:p>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lastRenderedPageBreak/>
        <w:drawing>
          <wp:inline distT="0" distB="0" distL="0" distR="0" wp14:anchorId="1A1886FC" wp14:editId="39FF410C">
            <wp:extent cx="5751195" cy="2179320"/>
            <wp:effectExtent l="0" t="0" r="1905" b="0"/>
            <wp:docPr id="10215" name="Picture 10215" descr="Conceptual diagram of seagrass meadow processes for coastal habitats in the Burdekin region showing major control is wind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urdekin_NRM_coast"/>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rsidR="00035426" w:rsidRDefault="00035426" w:rsidP="00035426">
      <w:pPr>
        <w:rPr>
          <w:i/>
          <w:vanish/>
          <w:color w:val="000000"/>
          <w:szCs w:val="22"/>
          <w:specVanish/>
        </w:rPr>
      </w:pPr>
      <w:bookmarkStart w:id="884" w:name="_Ref442554248"/>
      <w:bookmarkStart w:id="885" w:name="_Toc462684959"/>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119</w:t>
      </w:r>
      <w:r w:rsidR="0073595B">
        <w:rPr>
          <w:color w:val="000000"/>
        </w:rPr>
        <w:fldChar w:fldCharType="end"/>
      </w:r>
      <w:bookmarkEnd w:id="884"/>
      <w:r>
        <w:rPr>
          <w:color w:val="000000"/>
        </w:rPr>
        <w:t xml:space="preserve">. </w:t>
      </w:r>
      <w:r>
        <w:rPr>
          <w:i/>
          <w:color w:val="000000"/>
        </w:rPr>
        <w:t>Conceptual diagram of coastal habitat in the Burdekin region</w:t>
      </w:r>
      <w:bookmarkEnd w:id="885"/>
    </w:p>
    <w:p w:rsidR="00035426" w:rsidRDefault="00035426" w:rsidP="00035426">
      <w:pPr>
        <w:rPr>
          <w:color w:val="000000"/>
        </w:rPr>
      </w:pPr>
      <w:r>
        <w:rPr>
          <w:i/>
          <w:color w:val="000000"/>
        </w:rPr>
        <w:t xml:space="preserve"> - </w:t>
      </w:r>
      <w:proofErr w:type="gramStart"/>
      <w:r>
        <w:rPr>
          <w:i/>
          <w:color w:val="000000"/>
        </w:rPr>
        <w:t>major</w:t>
      </w:r>
      <w:proofErr w:type="gramEnd"/>
      <w:r>
        <w:rPr>
          <w:i/>
          <w:color w:val="000000"/>
        </w:rPr>
        <w:t xml:space="preserve"> control is wind and temperature extremes, general habitat, seagrass meadow processes and threats/impacts (see </w:t>
      </w:r>
      <w:r w:rsidR="00113EFF">
        <w:fldChar w:fldCharType="begin"/>
      </w:r>
      <w:r w:rsidR="00113EFF">
        <w:rPr>
          <w:i/>
          <w:color w:val="000000"/>
        </w:rPr>
        <w:instrText xml:space="preserve"> REF _Ref442553728 \h </w:instrText>
      </w:r>
      <w:r w:rsidR="00113EFF">
        <w:fldChar w:fldCharType="separate"/>
      </w:r>
      <w:r w:rsidR="009C068F">
        <w:rPr>
          <w:color w:val="000000"/>
          <w:szCs w:val="22"/>
        </w:rPr>
        <w:t xml:space="preserve">Figure </w:t>
      </w:r>
      <w:r w:rsidR="009C068F">
        <w:rPr>
          <w:noProof/>
          <w:color w:val="000000"/>
          <w:szCs w:val="22"/>
        </w:rPr>
        <w:t>128</w:t>
      </w:r>
      <w:r w:rsidR="00113EFF">
        <w:fldChar w:fldCharType="end"/>
      </w:r>
      <w:r>
        <w:rPr>
          <w:i/>
          <w:color w:val="000000"/>
        </w:rPr>
        <w:t xml:space="preserve"> for icon explanation). </w:t>
      </w:r>
    </w:p>
    <w:p w:rsidR="00035426" w:rsidRDefault="00035426" w:rsidP="008A429D"/>
    <w:p w:rsidR="00035426" w:rsidRDefault="00035426" w:rsidP="008A429D">
      <w:r w:rsidRPr="00035426">
        <w:t>The reef habitats are mainly represented by fringing reefs on the many continental islands within this area. Most fringing reefs have seagrass meadows growing on their shallow banks. Nutrient supply to these meadows is by terrestrial inputs via riverine discharge, re-suspension of sediments and groundwater supply (</w:t>
      </w:r>
      <w:r w:rsidR="00113EFF">
        <w:fldChar w:fldCharType="begin"/>
      </w:r>
      <w:r w:rsidR="00113EFF">
        <w:instrText xml:space="preserve"> REF _Ref442554285 \h </w:instrText>
      </w:r>
      <w:r w:rsidR="00113EFF">
        <w:fldChar w:fldCharType="separate"/>
      </w:r>
      <w:r w:rsidR="009C068F">
        <w:rPr>
          <w:color w:val="000000"/>
        </w:rPr>
        <w:t xml:space="preserve">Figure </w:t>
      </w:r>
      <w:r w:rsidR="009C068F">
        <w:rPr>
          <w:noProof/>
          <w:color w:val="000000"/>
        </w:rPr>
        <w:t>120</w:t>
      </w:r>
      <w:r w:rsidR="00113EFF">
        <w:fldChar w:fldCharType="end"/>
      </w:r>
      <w:r w:rsidRPr="00035426">
        <w:t xml:space="preserve">). The meadows are typically composed of zones of seagrasses: </w:t>
      </w:r>
      <w:proofErr w:type="spellStart"/>
      <w:r w:rsidRPr="00113EFF">
        <w:rPr>
          <w:i/>
        </w:rPr>
        <w:t>Cymodocea</w:t>
      </w:r>
      <w:proofErr w:type="spellEnd"/>
      <w:r w:rsidRPr="00113EFF">
        <w:rPr>
          <w:i/>
        </w:rPr>
        <w:t xml:space="preserve"> </w:t>
      </w:r>
      <w:proofErr w:type="spellStart"/>
      <w:r w:rsidRPr="00113EFF">
        <w:rPr>
          <w:i/>
        </w:rPr>
        <w:t>serrulata</w:t>
      </w:r>
      <w:proofErr w:type="spellEnd"/>
      <w:r w:rsidRPr="00113EFF">
        <w:rPr>
          <w:i/>
        </w:rPr>
        <w:t xml:space="preserve">, </w:t>
      </w:r>
      <w:proofErr w:type="spellStart"/>
      <w:r w:rsidRPr="00113EFF">
        <w:rPr>
          <w:i/>
        </w:rPr>
        <w:t>Thalassia</w:t>
      </w:r>
      <w:proofErr w:type="spellEnd"/>
      <w:r w:rsidRPr="00113EFF">
        <w:rPr>
          <w:i/>
        </w:rPr>
        <w:t xml:space="preserve"> </w:t>
      </w:r>
      <w:proofErr w:type="spellStart"/>
      <w:r w:rsidRPr="00113EFF">
        <w:rPr>
          <w:i/>
        </w:rPr>
        <w:t>hemprichii</w:t>
      </w:r>
      <w:proofErr w:type="spellEnd"/>
      <w:r w:rsidRPr="00113EFF">
        <w:rPr>
          <w:i/>
        </w:rPr>
        <w:t xml:space="preserve"> </w:t>
      </w:r>
      <w:r w:rsidRPr="00035426">
        <w:t xml:space="preserve">and </w:t>
      </w:r>
      <w:proofErr w:type="spellStart"/>
      <w:r w:rsidRPr="00113EFF">
        <w:rPr>
          <w:i/>
        </w:rPr>
        <w:t>Halodule</w:t>
      </w:r>
      <w:proofErr w:type="spellEnd"/>
      <w:r w:rsidRPr="00113EFF">
        <w:rPr>
          <w:i/>
        </w:rPr>
        <w:t xml:space="preserve"> </w:t>
      </w:r>
      <w:proofErr w:type="spellStart"/>
      <w:r w:rsidRPr="00113EFF">
        <w:rPr>
          <w:i/>
        </w:rPr>
        <w:t>uninervis</w:t>
      </w:r>
      <w:proofErr w:type="spellEnd"/>
      <w:r w:rsidRPr="00035426">
        <w:t xml:space="preserve"> (wide leaf) often occupy the lower littoral/subtidal area, blending with </w:t>
      </w:r>
      <w:proofErr w:type="spellStart"/>
      <w:r w:rsidRPr="00113EFF">
        <w:rPr>
          <w:i/>
        </w:rPr>
        <w:t>Halodule</w:t>
      </w:r>
      <w:proofErr w:type="spellEnd"/>
      <w:r w:rsidRPr="00113EFF">
        <w:rPr>
          <w:i/>
        </w:rPr>
        <w:t xml:space="preserve"> </w:t>
      </w:r>
      <w:proofErr w:type="spellStart"/>
      <w:r w:rsidRPr="00113EFF">
        <w:rPr>
          <w:i/>
        </w:rPr>
        <w:t>uninervis</w:t>
      </w:r>
      <w:proofErr w:type="spellEnd"/>
      <w:r w:rsidRPr="00035426">
        <w:t xml:space="preserve"> (narrow leaved) and </w:t>
      </w:r>
      <w:proofErr w:type="spellStart"/>
      <w:r w:rsidRPr="00113EFF">
        <w:rPr>
          <w:i/>
        </w:rPr>
        <w:t>Halophila</w:t>
      </w:r>
      <w:proofErr w:type="spellEnd"/>
      <w:r w:rsidRPr="00113EFF">
        <w:rPr>
          <w:i/>
        </w:rPr>
        <w:t xml:space="preserve"> </w:t>
      </w:r>
      <w:proofErr w:type="spellStart"/>
      <w:r w:rsidRPr="00113EFF">
        <w:rPr>
          <w:i/>
        </w:rPr>
        <w:t>ovalis</w:t>
      </w:r>
      <w:proofErr w:type="spellEnd"/>
      <w:r w:rsidRPr="00035426">
        <w:t xml:space="preserve"> in the upper intertidal zone. Phosphate is often the nutrient most limiting to </w:t>
      </w:r>
      <w:proofErr w:type="spellStart"/>
      <w:r w:rsidRPr="00035426">
        <w:t>reefal</w:t>
      </w:r>
      <w:proofErr w:type="spellEnd"/>
      <w:r w:rsidRPr="00035426">
        <w:t xml:space="preserve"> seagrasses (</w:t>
      </w:r>
      <w:r w:rsidR="00D821F1">
        <w:fldChar w:fldCharType="begin">
          <w:fldData xml:space="preserve">PEVuZE5vdGU+PENpdGU+PEF1dGhvcj5TaG9ydDwvQXV0aG9yPjxZZWFyPjE5OTA8L1llYXI+PFJl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Z3kgUHJvZ3Jlc3MgU2VyaWVzPC9mdWxsLXRpdGxlPjwvcGVyaW9kaWNhbD48cGFnZXM+MTY5LTE3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</w:fldData>
        </w:fldChar>
      </w:r>
      <w:r w:rsidR="00D821F1">
        <w:instrText xml:space="preserve"> ADDIN EN.CITE </w:instrText>
      </w:r>
      <w:r w:rsidR="00D821F1">
        <w:fldChar w:fldCharType="begin">
          <w:fldData xml:space="preserve">PEVuZE5vdGU+PENpdGU+PEF1dGhvcj5TaG9ydDwvQXV0aG9yPjxZZWFyPjE5OTA8L1llYXI+PFJl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Z3kgUHJvZ3Jlc3MgU2VyaWVzPC9mdWxsLXRpdGxlPjwvcGVyaW9kaWNhbD48cGFnZXM+MTY5LTE3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</w:fldData>
        </w:fldChar>
      </w:r>
      <w:r w:rsidR="00D821F1">
        <w:instrText xml:space="preserve"> ADDIN EN.CITE.DATA </w:instrText>
      </w:r>
      <w:r w:rsidR="00D821F1">
        <w:fldChar w:fldCharType="end"/>
      </w:r>
      <w:r w:rsidR="00D821F1">
        <w:fldChar w:fldCharType="separate"/>
      </w:r>
      <w:hyperlink w:anchor="_ENREF_218" w:tooltip="Short, 1990 #128" w:history="1">
        <w:r w:rsidR="00E6043D">
          <w:rPr>
            <w:noProof/>
          </w:rPr>
          <w:t>Short</w:t>
        </w:r>
        <w:r w:rsidR="00E6043D" w:rsidRPr="00D821F1">
          <w:rPr>
            <w:i/>
            <w:noProof/>
          </w:rPr>
          <w:t>, et al.</w:t>
        </w:r>
        <w:r w:rsidR="00E6043D">
          <w:rPr>
            <w:noProof/>
          </w:rPr>
          <w:t xml:space="preserve"> 1990</w:t>
        </w:r>
      </w:hyperlink>
      <w:r w:rsidR="00D821F1">
        <w:rPr>
          <w:noProof/>
        </w:rPr>
        <w:t xml:space="preserve">; </w:t>
      </w:r>
      <w:hyperlink w:anchor="_ENREF_111" w:tooltip="Fourqurean, 1992 #9074" w:history="1">
        <w:r w:rsidR="00E6043D">
          <w:rPr>
            <w:noProof/>
          </w:rPr>
          <w:t>Fourqurean</w:t>
        </w:r>
        <w:r w:rsidR="00E6043D" w:rsidRPr="00D821F1">
          <w:rPr>
            <w:i/>
            <w:noProof/>
          </w:rPr>
          <w:t>, et al.</w:t>
        </w:r>
        <w:r w:rsidR="00E6043D">
          <w:rPr>
            <w:noProof/>
          </w:rPr>
          <w:t xml:space="preserve"> 1992a</w:t>
        </w:r>
      </w:hyperlink>
      <w:r w:rsidR="00D821F1">
        <w:fldChar w:fldCharType="end"/>
      </w:r>
      <w:r w:rsidRPr="00035426">
        <w:t>). Experimental studies on reef top seagrasses in this region however, have shown seagrasses to be nitrogen limited primarily with secondary phosphate limitation, once the plants have started to increase in biomass (</w:t>
      </w:r>
      <w:hyperlink w:anchor="_ENREF_187" w:tooltip="Mellors, 2003 #7086" w:history="1">
        <w:r w:rsidR="00E6043D">
          <w:fldChar w:fldCharType="begin"/>
        </w:r>
        <w:r w:rsidR="00E6043D">
          <w:instrText xml:space="preserve"> ADDIN EN.CITE &lt;EndNote&gt;&lt;Cite&gt;&lt;Author&gt;Mellors&lt;/Author&gt;&lt;Year&gt;2003&lt;/Year&gt;&lt;RecNum&gt;7086&lt;/RecNum&gt;&lt;DisplayText&gt;Mellors 2003&lt;/DisplayText&gt;&lt;record&gt;&lt;rec-number&gt;7086&lt;/rec-number&gt;&lt;foreign-keys&gt;&lt;key app="EN" db-id="0eve55x9y5vfd6e9dacxtew4eatve2dzds9a"&gt;7086&lt;/key&gt;&lt;/foreign-keys&gt;&lt;ref-type name="Book"&gt;6&lt;/ref-type&gt;&lt;contributors&gt;&lt;authors&gt;&lt;author&gt;Mellors, J. E.&lt;/author&gt;&lt;/authors&gt;&lt;/contributors&gt;&lt;titles&gt;&lt;title&gt;Sediment and nutrient dynamics in coastal intertidal seagrass of north eastern tropical Australia. PhD Thesis.&lt;/title&gt;&lt;/titles&gt;&lt;pages&gt;284&lt;/pages&gt;&lt;dates&gt;&lt;year&gt;2003&lt;/year&gt;&lt;/dates&gt;&lt;pub-location&gt;School of Tropical Environment Studies and Geography&lt;/pub-location&gt;&lt;publisher&gt;James Cook University, Townsville&lt;/publisher&gt;&lt;urls&gt;&lt;/urls&gt;&lt;/record&gt;&lt;/Cite&gt;&lt;/EndNote&gt;</w:instrText>
        </w:r>
        <w:r w:rsidR="00E6043D">
          <w:fldChar w:fldCharType="separate"/>
        </w:r>
        <w:r w:rsidR="00E6043D">
          <w:rPr>
            <w:noProof/>
          </w:rPr>
          <w:t>Mellors 2003</w:t>
        </w:r>
        <w:r w:rsidR="00E6043D">
          <w:fldChar w:fldCharType="end"/>
        </w:r>
      </w:hyperlink>
      <w:r w:rsidRPr="00035426">
        <w:t>). In these fringing reef top environments fine sediments are easily resuspended by tidal and wind generated currents making light availability a driver of meadow structure.</w:t>
      </w:r>
    </w:p>
    <w:p w:rsidR="00035426" w:rsidRDefault="00035426" w:rsidP="008A429D"/>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106F387D" wp14:editId="15D6BFB2">
            <wp:extent cx="5762625" cy="2191385"/>
            <wp:effectExtent l="0" t="0" r="9525" b="0"/>
            <wp:docPr id="10214" name="Picture 10214" descr="Conceptual diagram of seagrass meadow processes for reef habitats in the Burdekin region showing major control is nutrient supply (groundwater), light and shel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urdekin_NRM_reef"/>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a:noFill/>
                    </a:ln>
                  </pic:spPr>
                </pic:pic>
              </a:graphicData>
            </a:graphic>
          </wp:inline>
        </w:drawing>
      </w:r>
    </w:p>
    <w:p w:rsidR="00035426" w:rsidRDefault="00035426" w:rsidP="00035426">
      <w:pPr>
        <w:rPr>
          <w:i/>
          <w:vanish/>
          <w:color w:val="000000"/>
          <w:szCs w:val="22"/>
          <w:specVanish/>
        </w:rPr>
      </w:pPr>
      <w:bookmarkStart w:id="886" w:name="_Ref442554285"/>
      <w:bookmarkStart w:id="887" w:name="_Toc462684960"/>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120</w:t>
      </w:r>
      <w:r w:rsidR="0073595B">
        <w:rPr>
          <w:color w:val="000000"/>
        </w:rPr>
        <w:fldChar w:fldCharType="end"/>
      </w:r>
      <w:bookmarkEnd w:id="886"/>
      <w:r>
        <w:rPr>
          <w:color w:val="000000"/>
        </w:rPr>
        <w:t xml:space="preserve">. </w:t>
      </w:r>
      <w:r>
        <w:rPr>
          <w:i/>
          <w:color w:val="000000"/>
        </w:rPr>
        <w:t>Conceptual diagram of fringing reef habitat in the Burdekin region</w:t>
      </w:r>
      <w:bookmarkEnd w:id="887"/>
    </w:p>
    <w:p w:rsidR="00035426" w:rsidRDefault="00035426" w:rsidP="00035426">
      <w:pPr>
        <w:rPr>
          <w:color w:val="000000"/>
        </w:rPr>
      </w:pPr>
      <w:r>
        <w:rPr>
          <w:i/>
          <w:color w:val="000000"/>
        </w:rPr>
        <w:t xml:space="preserve"> - </w:t>
      </w:r>
      <w:proofErr w:type="gramStart"/>
      <w:r>
        <w:rPr>
          <w:i/>
          <w:color w:val="000000"/>
        </w:rPr>
        <w:t>major</w:t>
      </w:r>
      <w:proofErr w:type="gramEnd"/>
      <w:r>
        <w:rPr>
          <w:i/>
          <w:color w:val="000000"/>
        </w:rPr>
        <w:t xml:space="preserve"> control is nutrient supply (groundwater), light and shelter: general habitat and seagrass meadow processes (see </w:t>
      </w:r>
      <w:r w:rsidR="00113EFF">
        <w:fldChar w:fldCharType="begin"/>
      </w:r>
      <w:r w:rsidR="00113EFF">
        <w:rPr>
          <w:i/>
          <w:color w:val="000000"/>
        </w:rPr>
        <w:instrText xml:space="preserve"> REF _Ref442553728 \h </w:instrText>
      </w:r>
      <w:r w:rsidR="00113EFF">
        <w:fldChar w:fldCharType="separate"/>
      </w:r>
      <w:r w:rsidR="009C068F">
        <w:rPr>
          <w:color w:val="000000"/>
          <w:szCs w:val="22"/>
        </w:rPr>
        <w:t xml:space="preserve">Figure </w:t>
      </w:r>
      <w:r w:rsidR="009C068F">
        <w:rPr>
          <w:noProof/>
          <w:color w:val="000000"/>
          <w:szCs w:val="22"/>
        </w:rPr>
        <w:t>128</w:t>
      </w:r>
      <w:r w:rsidR="00113EFF">
        <w:fldChar w:fldCharType="end"/>
      </w:r>
      <w:r>
        <w:rPr>
          <w:i/>
          <w:color w:val="000000"/>
        </w:rPr>
        <w:t xml:space="preserve"> for icon explanation). </w:t>
      </w:r>
    </w:p>
    <w:p w:rsidR="00035426" w:rsidRDefault="00035426" w:rsidP="008A429D"/>
    <w:p w:rsidR="00035426" w:rsidRDefault="00035426">
      <w:pPr>
        <w:spacing w:before="0" w:after="0"/>
      </w:pPr>
      <w:r>
        <w:br w:type="page"/>
      </w:r>
    </w:p>
    <w:p w:rsidR="00035426" w:rsidRDefault="00035426" w:rsidP="007D5A48">
      <w:pPr>
        <w:pStyle w:val="Heading2"/>
      </w:pPr>
      <w:bookmarkStart w:id="888" w:name="_Toc462047380"/>
      <w:r>
        <w:lastRenderedPageBreak/>
        <w:t>Mackay</w:t>
      </w:r>
      <w:r w:rsidR="00BF59CF">
        <w:t xml:space="preserve"> </w:t>
      </w:r>
      <w:r>
        <w:t>Whitsunday</w:t>
      </w:r>
      <w:bookmarkEnd w:id="888"/>
    </w:p>
    <w:p w:rsidR="00035426" w:rsidRDefault="00035426" w:rsidP="00035426">
      <w:r>
        <w:t xml:space="preserve">The Mackay Whitsunday region comprises an area of almost 940,000 ha and extends from Bowen (Queens Beach) in the north to </w:t>
      </w:r>
      <w:proofErr w:type="spellStart"/>
      <w:r>
        <w:t>Clairview</w:t>
      </w:r>
      <w:proofErr w:type="spellEnd"/>
      <w:r>
        <w:t xml:space="preserve"> (</w:t>
      </w:r>
      <w:proofErr w:type="spellStart"/>
      <w:r>
        <w:t>Clairview</w:t>
      </w:r>
      <w:proofErr w:type="spellEnd"/>
      <w:r>
        <w:t xml:space="preserve"> Bluff) in the south and includes several large continental islands. The region includes the major population centres of Mackay, Proserpine, Airlie Beach and Sarina; encompassing the Proserpine, O’Connell, Pioneer and Plane Creek river systems (</w:t>
      </w:r>
      <w:hyperlink w:anchor="_ENREF_73" w:tooltip="Commonwealth of Australia, 2013 #9679" w:history="1">
        <w:r w:rsidR="00E6043D">
          <w:fldChar w:fldCharType="begin"/>
        </w:r>
        <w:r w:rsidR="00E6043D">
          <w:instrText xml:space="preserve"> ADDIN EN.CITE &lt;EndNote&gt;&lt;Cite&gt;&lt;Author&gt;Commonwealth of Australia&lt;/Author&gt;&lt;Year&gt;2013&lt;/Year&gt;&lt;RecNum&gt;9679&lt;/RecNum&gt;&lt;DisplayText&gt;Commonwealth of Australia 2013d&lt;/DisplayText&gt;&lt;record&gt;&lt;rec-number&gt;9679&lt;/rec-number&gt;&lt;foreign-keys&gt;&lt;key app="EN" db-id="0eve55x9y5vfd6e9dacxtew4eatve2dzds9a"&gt;9679&lt;/key&gt;&lt;/foreign-keys&gt;&lt;ref-type name="Web Page"&gt;12&lt;/ref-type&gt;&lt;contributors&gt;&lt;authors&gt;&lt;author&gt;Commonwealth of Australia,&lt;/author&gt;&lt;/authors&gt;&lt;/contributors&gt;&lt;titles&gt;&lt;title&gt;Mackay Whitsunday Natural Resource Management region, http://www.nrm.gov.au/about/nrm/regions/qld-mwhs.html&lt;/title&gt;&lt;/titles&gt;&lt;number&gt;18 February 2014&lt;/number&gt;&lt;dates&gt;&lt;year&gt;2013&lt;/year&gt;&lt;/dates&gt;&lt;urls&gt;&lt;related-urls&gt;&lt;url&gt;http://www.nrm.gov.au/about/nrm/regions/qld-mwhs.html&lt;/url&gt;&lt;/related-urls&gt;&lt;/urls&gt;&lt;/record&gt;&lt;/Cite&gt;&lt;/EndNote&gt;</w:instrText>
        </w:r>
        <w:r w:rsidR="00E6043D">
          <w:fldChar w:fldCharType="separate"/>
        </w:r>
        <w:r w:rsidR="00E6043D">
          <w:rPr>
            <w:noProof/>
          </w:rPr>
          <w:t>Commonwealth of Australia 2013d</w:t>
        </w:r>
        <w:r w:rsidR="00E6043D">
          <w:fldChar w:fldCharType="end"/>
        </w:r>
      </w:hyperlink>
      <w:r>
        <w:t xml:space="preserve">). </w:t>
      </w:r>
    </w:p>
    <w:p w:rsidR="00035426" w:rsidRDefault="00035426" w:rsidP="00035426">
      <w:r>
        <w:t>The Great Barrier Reef protects the coastline from predominantly south-easterly winds which often accompany a light south-easterly ocean swell (</w:t>
      </w:r>
      <w:hyperlink w:anchor="_ENREF_153" w:tooltip="Mackay Whitsunday Natural Resource Management Group Inc, 2005 #9680" w:history="1">
        <w:r w:rsidR="00E6043D">
          <w:fldChar w:fldCharType="begin"/>
        </w:r>
        <w:r w:rsidR="00E6043D">
          <w:instrText xml:space="preserve"> ADDIN EN.CITE &lt;EndNote&gt;&lt;Cite&gt;&lt;Author&gt;Mackay Whitsunday Natural Resource Management Group Inc&lt;/Author&gt;&lt;Year&gt;2005&lt;/Year&gt;&lt;RecNum&gt;9680&lt;/RecNum&gt;&lt;DisplayText&gt;Mackay Whitsunday Natural Resource Management Group Inc 2005&lt;/DisplayText&gt;&lt;record&gt;&lt;rec-number&gt;9680&lt;/rec-number&gt;&lt;foreign-keys&gt;&lt;key app="EN" db-id="0eve55x9y5vfd6e9dacxtew4eatve2dzds9a"&gt;9680&lt;/key&gt;&lt;/foreign-keys&gt;&lt;ref-type name="Web Page"&gt;12&lt;/ref-type&gt;&lt;contributors&gt;&lt;authors&gt;&lt;author&gt;Mackay Whitsunday Natural Resource Management Group Inc,&lt;/author&gt;&lt;/authors&gt;&lt;/contributors&gt;&lt;titles&gt;&lt;title&gt;Mackay Whitsunday Natural Resource Management Plan. http://nrmonline.nrm.gov.au/catalog/mql:2229&lt;/title&gt;&lt;/titles&gt;&lt;number&gt;18 February 2014&lt;/number&gt;&lt;dates&gt;&lt;year&gt;2005&lt;/year&gt;&lt;/dates&gt;&lt;urls&gt;&lt;/urls&gt;&lt;/record&gt;&lt;/Cite&gt;&lt;/EndNote&gt;</w:instrText>
        </w:r>
        <w:r w:rsidR="00E6043D">
          <w:fldChar w:fldCharType="separate"/>
        </w:r>
        <w:r w:rsidR="00E6043D">
          <w:rPr>
            <w:noProof/>
          </w:rPr>
          <w:t>Mackay Whitsunday Natural Resource Management Group Inc 2005</w:t>
        </w:r>
        <w:r w:rsidR="00E6043D">
          <w:fldChar w:fldCharType="end"/>
        </w:r>
      </w:hyperlink>
      <w:r>
        <w:t>). Coastal waters adjacent to the large rivers and mangrove-lined inlets are generally very turbid and shallow, with predominantly mud sediments. Tidal range in the south of the region is large, and in some places has the effect of creating extensive tidal banks. The region receive rainfall between 500-3000 mm annually, which falls mostly (~70%) from December to March. Average daily temperatures for Mackay range between 23 31°C in January and 11-22°C in July. The major land use of each catchment is livestock grazing, and crops such as sugar cane.</w:t>
      </w:r>
    </w:p>
    <w:p w:rsidR="00035426" w:rsidRDefault="00035426" w:rsidP="00035426">
      <w:r>
        <w:t>Extensive seagrass meadows occur both on shallow banks and in nearshore subtidal areas in the region. Approximately 448 km</w:t>
      </w:r>
      <w:r w:rsidRPr="005F7997">
        <w:rPr>
          <w:vertAlign w:val="superscript"/>
        </w:rPr>
        <w:t>2</w:t>
      </w:r>
      <w:r>
        <w:t xml:space="preserve"> of seagrass habitat has been mapped in the Mackay Whitsunday region over the past 3 decades, with 154 km</w:t>
      </w:r>
      <w:r w:rsidRPr="005F7997">
        <w:rPr>
          <w:vertAlign w:val="superscript"/>
        </w:rPr>
        <w:t>2</w:t>
      </w:r>
      <w:r>
        <w:t xml:space="preserve"> in shallow waters and 293 km</w:t>
      </w:r>
      <w:r w:rsidRPr="005F7997">
        <w:rPr>
          <w:vertAlign w:val="superscript"/>
        </w:rPr>
        <w:t>2</w:t>
      </w:r>
      <w:r>
        <w:t xml:space="preserve"> in deeper (&gt;15m) waters (</w:t>
      </w:r>
      <w:hyperlink w:anchor="_ENREF_180" w:tooltip="McKenzie, 2010 #9646" w:history="1">
        <w:r w:rsidR="00E6043D">
          <w:fldChar w:fldCharType="begin"/>
        </w:r>
        <w:r w:rsidR="00E6043D">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fldChar w:fldCharType="separate"/>
        </w:r>
        <w:r w:rsidR="00E6043D">
          <w:rPr>
            <w:noProof/>
          </w:rPr>
          <w:t>McKenzie</w:t>
        </w:r>
        <w:r w:rsidR="00E6043D" w:rsidRPr="00ED4C4C">
          <w:rPr>
            <w:i/>
            <w:noProof/>
          </w:rPr>
          <w:t>, et al.</w:t>
        </w:r>
        <w:r w:rsidR="00E6043D">
          <w:rPr>
            <w:noProof/>
          </w:rPr>
          <w:t xml:space="preserve"> 2010c</w:t>
        </w:r>
        <w:r w:rsidR="00E6043D">
          <w:fldChar w:fldCharType="end"/>
        </w:r>
      </w:hyperlink>
      <w:r>
        <w:t xml:space="preserve">). In 1999/2000, 5553 ±1182 hectares of seagrass was mapped from Midge Point in the south to </w:t>
      </w:r>
      <w:proofErr w:type="spellStart"/>
      <w:r>
        <w:t>Hydeaway</w:t>
      </w:r>
      <w:proofErr w:type="spellEnd"/>
      <w:r>
        <w:t xml:space="preserve"> Bay in the north (</w:t>
      </w:r>
      <w:hyperlink w:anchor="_ENREF_34" w:tooltip="Campbell, 2002 #9304" w:history="1">
        <w:r w:rsidR="00E6043D">
          <w:fldChar w:fldCharType="begin"/>
        </w:r>
        <w:r w:rsidR="00E6043D">
          <w:instrText xml:space="preserve"> ADDIN EN.CITE &lt;EndNote&gt;&lt;Cite&gt;&lt;Author&gt;Campbell&lt;/Author&gt;&lt;Year&gt;2002&lt;/Year&gt;&lt;RecNum&gt;9304&lt;/RecNum&gt;&lt;DisplayText&gt;Campbell&lt;style face="italic"&gt;, et al.&lt;/style&gt; 2002&lt;/DisplayText&gt;&lt;record&gt;&lt;rec-number&gt;9304&lt;/rec-number&gt;&lt;foreign-keys&gt;&lt;key app="EN" db-id="0eve55x9y5vfd6e9dacxtew4eatve2dzds9a"&gt;9304&lt;/key&gt;&lt;/foreign-keys&gt;&lt;ref-type name="Report"&gt;27&lt;/ref-type&gt;&lt;contributors&gt;&lt;authors&gt;&lt;author&gt;Campbell, Stuart J&lt;/author&gt;&lt;author&gt;Roder, Chantal A.&lt;/author&gt;&lt;author&gt;McKenzie, Len J&lt;/author&gt;&lt;author&gt;Lee Long, Warren J&lt;/author&gt;&lt;/authors&gt;&lt;/contributors&gt;&lt;titles&gt;&lt;title&gt;Seagrass resources in the Whitsunday region 1999 and 2000&lt;/title&gt;&lt;secondary-title&gt;DPI Information Series QI02043&lt;/secondary-title&gt;&lt;/titles&gt;&lt;pages&gt;50&lt;/pages&gt;&lt;dates&gt;&lt;year&gt;2002&lt;/year&gt;&lt;/dates&gt;&lt;pub-location&gt;Cairns&lt;/pub-location&gt;&lt;publisher&gt;DPI&lt;/publisher&gt;&lt;urls&gt;&lt;/urls&gt;&lt;/record&gt;&lt;/Cite&gt;&lt;/EndNote&gt;</w:instrText>
        </w:r>
        <w:r w:rsidR="00E6043D">
          <w:fldChar w:fldCharType="separate"/>
        </w:r>
        <w:r w:rsidR="00E6043D">
          <w:rPr>
            <w:noProof/>
          </w:rPr>
          <w:t>Campbell</w:t>
        </w:r>
        <w:r w:rsidR="00E6043D" w:rsidRPr="00ED4C4C">
          <w:rPr>
            <w:i/>
            <w:noProof/>
          </w:rPr>
          <w:t>, et al.</w:t>
        </w:r>
        <w:r w:rsidR="00E6043D">
          <w:rPr>
            <w:noProof/>
          </w:rPr>
          <w:t xml:space="preserve"> 2002</w:t>
        </w:r>
        <w:r w:rsidR="00E6043D">
          <w:fldChar w:fldCharType="end"/>
        </w:r>
      </w:hyperlink>
      <w:r>
        <w:t xml:space="preserve">). This represented a 40% increase in overall seagrass habitat compared to the 1987 baseline, however losses had occurred at some localities. For a detailed description of seagrass meadows and habitats across the region (see </w:t>
      </w:r>
      <w:hyperlink w:anchor="_ENREF_179" w:tooltip="McKenzie, 2012 #9681" w:history="1">
        <w:r w:rsidR="00E6043D">
          <w:fldChar w:fldCharType="begin"/>
        </w:r>
        <w:r w:rsidR="00E6043D">
          <w:instrText xml:space="preserve"> ADDIN EN.CITE &lt;EndNote&gt;&lt;Cite&gt;&lt;Author&gt;McKenzie&lt;/Author&gt;&lt;Year&gt;2012&lt;/Year&gt;&lt;RecNum&gt;9681&lt;/RecNum&gt;&lt;DisplayText&gt;McKenzie and Yoshida 2012&lt;/DisplayText&gt;&lt;record&gt;&lt;rec-number&gt;9681&lt;/rec-number&gt;&lt;foreign-keys&gt;&lt;key app="EN" db-id="0eve55x9y5vfd6e9dacxtew4eatve2dzds9a"&gt;9681&lt;/key&gt;&lt;/foreign-keys&gt;&lt;ref-type name="Book"&gt;6&lt;/ref-type&gt;&lt;contributors&gt;&lt;authors&gt;&lt;author&gt;McKenzie, Len J&lt;/author&gt;&lt;author&gt;Yoshida, Rudi L&lt;/author&gt;&lt;/authors&gt;&lt;/contributors&gt;&lt;titles&gt;&lt;title&gt;Seagrass-Watch: Proceedings of a Workshop for Monitoring Seagrass Habitats in the Mackay Whitsunday Region, Queensland, Australia. QPWS Whitsunday Information Centre, Jubilee Pocket, Airlie Beach, 13-14 October 2012.&lt;/title&gt;&lt;/titles&gt;&lt;pages&gt;78&lt;/pages&gt;&lt;dates&gt;&lt;year&gt;2012&lt;/year&gt;&lt;/dates&gt;&lt;pub-location&gt;Cairns&lt;/pub-location&gt;&lt;publisher&gt;Seagrass-Watch HQ&lt;/publisher&gt;&lt;urls&gt;&lt;/urls&gt;&lt;/record&gt;&lt;/Cite&gt;&lt;/EndNote&gt;</w:instrText>
        </w:r>
        <w:r w:rsidR="00E6043D">
          <w:fldChar w:fldCharType="separate"/>
        </w:r>
        <w:r w:rsidR="00E6043D">
          <w:rPr>
            <w:noProof/>
          </w:rPr>
          <w:t>McKenzie and Yoshida 2012</w:t>
        </w:r>
        <w:r w:rsidR="00E6043D">
          <w:fldChar w:fldCharType="end"/>
        </w:r>
      </w:hyperlink>
      <w:r>
        <w:t>).</w:t>
      </w:r>
    </w:p>
    <w:p w:rsidR="00035426" w:rsidRDefault="00035426" w:rsidP="00035426">
      <w:r>
        <w:t>Twelve species of seagrass have been recorded in the Mackay Whitsundays, representing 80% of the known species found in Queensland waters (</w:t>
      </w:r>
      <w:hyperlink w:anchor="_ENREF_179" w:tooltip="McKenzie, 2012 #9681" w:history="1">
        <w:r w:rsidR="00E6043D">
          <w:fldChar w:fldCharType="begin"/>
        </w:r>
        <w:r w:rsidR="00E6043D">
          <w:instrText xml:space="preserve"> ADDIN EN.CITE &lt;EndNote&gt;&lt;Cite&gt;&lt;Author&gt;McKenzie&lt;/Author&gt;&lt;Year&gt;2012&lt;/Year&gt;&lt;RecNum&gt;9681&lt;/RecNum&gt;&lt;DisplayText&gt;McKenzie and Yoshida 2012&lt;/DisplayText&gt;&lt;record&gt;&lt;rec-number&gt;9681&lt;/rec-number&gt;&lt;foreign-keys&gt;&lt;key app="EN" db-id="0eve55x9y5vfd6e9dacxtew4eatve2dzds9a"&gt;9681&lt;/key&gt;&lt;/foreign-keys&gt;&lt;ref-type name="Book"&gt;6&lt;/ref-type&gt;&lt;contributors&gt;&lt;authors&gt;&lt;author&gt;McKenzie, Len J&lt;/author&gt;&lt;author&gt;Yoshida, Rudi L&lt;/author&gt;&lt;/authors&gt;&lt;/contributors&gt;&lt;titles&gt;&lt;title&gt;Seagrass-Watch: Proceedings of a Workshop for Monitoring Seagrass Habitats in the Mackay Whitsunday Region, Queensland, Australia. QPWS Whitsunday Information Centre, Jubilee Pocket, Airlie Beach, 13-14 October 2012.&lt;/title&gt;&lt;/titles&gt;&lt;pages&gt;78&lt;/pages&gt;&lt;dates&gt;&lt;year&gt;2012&lt;/year&gt;&lt;/dates&gt;&lt;pub-location&gt;Cairns&lt;/pub-location&gt;&lt;publisher&gt;Seagrass-Watch HQ&lt;/publisher&gt;&lt;urls&gt;&lt;/urls&gt;&lt;/record&gt;&lt;/Cite&gt;&lt;/EndNote&gt;</w:instrText>
        </w:r>
        <w:r w:rsidR="00E6043D">
          <w:fldChar w:fldCharType="separate"/>
        </w:r>
        <w:r w:rsidR="00E6043D">
          <w:rPr>
            <w:noProof/>
          </w:rPr>
          <w:t>McKenzie and Yoshida 2012</w:t>
        </w:r>
        <w:r w:rsidR="00E6043D">
          <w:fldChar w:fldCharType="end"/>
        </w:r>
      </w:hyperlink>
      <w:r>
        <w:t xml:space="preserve">). The wide range of physical habitats where seagrasses were found undoubtedly contributes to the high species diversity. Habitats include intertidal and subtidal areas of estuary, coastal fringing reef environments and </w:t>
      </w:r>
      <w:proofErr w:type="spellStart"/>
      <w:r>
        <w:t>deepwater</w:t>
      </w:r>
      <w:proofErr w:type="spellEnd"/>
      <w:r>
        <w:t xml:space="preserve"> environments. MMP sites are located on three of the generalised seagrass habitats represented in the region, including estuarine, coastal and reef.</w:t>
      </w:r>
    </w:p>
    <w:p w:rsidR="00035426" w:rsidRDefault="00035426" w:rsidP="00035426">
      <w:r>
        <w:t>Estuarine seagrass habitats in the Mackay Whitsunday region tend to be intertidal on the large sand/mud banks of sheltered estuaries. Run-off through the catchments connected to these estuaries is variable, though the degrees of variability is moderate compared to the high variability of the Burdekin and the low variability of the Tully (</w:t>
      </w:r>
      <w:hyperlink w:anchor="_ENREF_18" w:tooltip="Brodie, 2004 #9682" w:history="1">
        <w:r w:rsidR="00E6043D">
          <w:fldChar w:fldCharType="begin"/>
        </w:r>
        <w:r w:rsidR="00E6043D">
          <w:instrText xml:space="preserve"> ADDIN EN.CITE &lt;EndNote&gt;&lt;Cite&gt;&lt;Author&gt;Brodie&lt;/Author&gt;&lt;Year&gt;2004&lt;/Year&gt;&lt;RecNum&gt;9682&lt;/RecNum&gt;&lt;DisplayText&gt;Brodie 2004&lt;/DisplayText&gt;&lt;record&gt;&lt;rec-number&gt;9682&lt;/rec-number&gt;&lt;foreign-keys&gt;&lt;key app="EN" db-id="0eve55x9y5vfd6e9dacxtew4eatve2dzds9a"&gt;9682&lt;/key&gt;&lt;/foreign-keys&gt;&lt;ref-type name="Book"&gt;6&lt;/ref-type&gt;&lt;contributors&gt;&lt;authors&gt;&lt;author&gt;Brodie, Jon&lt;/author&gt;&lt;/authors&gt;&lt;/contributors&gt;&lt;titles&gt;&lt;title&gt;Mackay Whitsunday Region: State of the Waterways Report 2004 ACTFR Report No. 02/03 for the Mackay Whitsunday Natural Resource Management Group&lt;/title&gt;&lt;/titles&gt;&lt;dates&gt;&lt;year&gt;2004&lt;/year&gt;&lt;/dates&gt;&lt;pub-location&gt;Yownsville&lt;/pub-location&gt;&lt;publisher&gt;ACTFR, James Cook University&lt;/publisher&gt;&lt;urls&gt;&lt;related-urls&gt;&lt;url&gt;http://wwwpublic.jcu.edu.au/idc/groups/public/documents/technical_report/jcudev_015439.pdf &lt;/url&gt;&lt;/related-urls&gt;&lt;/urls&gt;&lt;/record&gt;&lt;/Cite&gt;&lt;/EndNote&gt;</w:instrText>
        </w:r>
        <w:r w:rsidR="00E6043D">
          <w:fldChar w:fldCharType="separate"/>
        </w:r>
        <w:r w:rsidR="00E6043D">
          <w:rPr>
            <w:noProof/>
          </w:rPr>
          <w:t>Brodie 2004</w:t>
        </w:r>
        <w:r w:rsidR="00E6043D">
          <w:fldChar w:fldCharType="end"/>
        </w:r>
      </w:hyperlink>
      <w:r>
        <w:t>). Seagrass in this habitat must cope with extremes of flow, associated sediment and freshwater loads from December to April when 80% of the annual discharge occurs (</w:t>
      </w:r>
      <w:r w:rsidR="005F7997">
        <w:fldChar w:fldCharType="begin"/>
      </w:r>
      <w:r w:rsidR="005F7997">
        <w:instrText xml:space="preserve"> REF _Ref442618978 \h </w:instrText>
      </w:r>
      <w:r w:rsidR="005F7997">
        <w:fldChar w:fldCharType="separate"/>
      </w:r>
      <w:r w:rsidR="009C068F">
        <w:rPr>
          <w:color w:val="000000"/>
        </w:rPr>
        <w:t xml:space="preserve">Figure </w:t>
      </w:r>
      <w:r w:rsidR="009C068F">
        <w:rPr>
          <w:noProof/>
          <w:color w:val="000000"/>
        </w:rPr>
        <w:t>121</w:t>
      </w:r>
      <w:r w:rsidR="005F7997">
        <w:fldChar w:fldCharType="end"/>
      </w:r>
      <w:r>
        <w:t>).</w:t>
      </w:r>
    </w:p>
    <w:p w:rsidR="00035426" w:rsidRDefault="00035426" w:rsidP="008A429D"/>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lastRenderedPageBreak/>
        <w:drawing>
          <wp:inline distT="0" distB="0" distL="0" distR="0" wp14:anchorId="6A84D08D" wp14:editId="0441969B">
            <wp:extent cx="5751195" cy="2173605"/>
            <wp:effectExtent l="0" t="0" r="1905" b="0"/>
            <wp:docPr id="10213" name="Picture 10213" descr="Conceptual diagram of seagrass meadow processes for estuarine habitats in the Mackay Whitsunday region showing major control is pulsed terrigenous runoff,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kay_Whitsunday_NRM_estuary"/>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5751195" cy="2173605"/>
                    </a:xfrm>
                    <a:prstGeom prst="rect">
                      <a:avLst/>
                    </a:prstGeom>
                    <a:noFill/>
                    <a:ln>
                      <a:noFill/>
                    </a:ln>
                  </pic:spPr>
                </pic:pic>
              </a:graphicData>
            </a:graphic>
          </wp:inline>
        </w:drawing>
      </w:r>
    </w:p>
    <w:p w:rsidR="00035426" w:rsidRDefault="00035426" w:rsidP="00035426">
      <w:pPr>
        <w:rPr>
          <w:i/>
          <w:vanish/>
          <w:color w:val="000000"/>
          <w:szCs w:val="22"/>
          <w:specVanish/>
        </w:rPr>
      </w:pPr>
      <w:bookmarkStart w:id="889" w:name="_Ref442618978"/>
      <w:bookmarkStart w:id="890" w:name="_Toc462684961"/>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121</w:t>
      </w:r>
      <w:r w:rsidR="0073595B">
        <w:rPr>
          <w:color w:val="000000"/>
        </w:rPr>
        <w:fldChar w:fldCharType="end"/>
      </w:r>
      <w:bookmarkEnd w:id="889"/>
      <w:r>
        <w:rPr>
          <w:color w:val="000000"/>
        </w:rPr>
        <w:t xml:space="preserve">. </w:t>
      </w:r>
      <w:r>
        <w:rPr>
          <w:i/>
          <w:color w:val="000000"/>
        </w:rPr>
        <w:t>Conceptual diagram of estuary habitat in the Mackay Whitsunday region</w:t>
      </w:r>
      <w:bookmarkEnd w:id="890"/>
    </w:p>
    <w:p w:rsidR="00035426" w:rsidRDefault="00035426" w:rsidP="00035426">
      <w:pPr>
        <w:rPr>
          <w:color w:val="000000"/>
        </w:rPr>
      </w:pPr>
      <w:r>
        <w:rPr>
          <w:i/>
          <w:color w:val="000000"/>
        </w:rPr>
        <w:t xml:space="preserve">: </w:t>
      </w:r>
      <w:proofErr w:type="gramStart"/>
      <w:r>
        <w:rPr>
          <w:i/>
          <w:color w:val="000000"/>
        </w:rPr>
        <w:t>general</w:t>
      </w:r>
      <w:proofErr w:type="gramEnd"/>
      <w:r>
        <w:rPr>
          <w:i/>
          <w:color w:val="000000"/>
        </w:rPr>
        <w:t xml:space="preserve"> habitat and seagrass meadow processes (see </w:t>
      </w:r>
      <w:r w:rsidR="005F7997">
        <w:fldChar w:fldCharType="begin"/>
      </w:r>
      <w:r w:rsidR="005F7997">
        <w:rPr>
          <w:i/>
          <w:color w:val="000000"/>
        </w:rPr>
        <w:instrText xml:space="preserve"> REF _Ref442553728 \h </w:instrText>
      </w:r>
      <w:r w:rsidR="005F7997">
        <w:fldChar w:fldCharType="separate"/>
      </w:r>
      <w:r w:rsidR="009C068F">
        <w:rPr>
          <w:color w:val="000000"/>
          <w:szCs w:val="22"/>
        </w:rPr>
        <w:t xml:space="preserve">Figure </w:t>
      </w:r>
      <w:r w:rsidR="009C068F">
        <w:rPr>
          <w:noProof/>
          <w:color w:val="000000"/>
          <w:szCs w:val="22"/>
        </w:rPr>
        <w:t>128</w:t>
      </w:r>
      <w:r w:rsidR="005F7997">
        <w:fldChar w:fldCharType="end"/>
      </w:r>
      <w:r>
        <w:rPr>
          <w:i/>
          <w:color w:val="000000"/>
        </w:rPr>
        <w:t xml:space="preserve"> for icon explanation).</w:t>
      </w:r>
      <w:r>
        <w:rPr>
          <w:color w:val="000000"/>
        </w:rPr>
        <w:t xml:space="preserve"> </w:t>
      </w:r>
    </w:p>
    <w:p w:rsidR="00035426" w:rsidRDefault="00035426" w:rsidP="008A429D">
      <w:r w:rsidRPr="00035426">
        <w:t xml:space="preserve">Coastal seagrass habitats are found in areas such as the leeward side of inshore continental islands and in north opening bays. These areas offer protection from the south-easterly trade winds. </w:t>
      </w:r>
      <w:proofErr w:type="gramStart"/>
      <w:r w:rsidRPr="00035426">
        <w:t>Potential</w:t>
      </w:r>
      <w:r w:rsidR="005E09B7">
        <w:t xml:space="preserve"> </w:t>
      </w:r>
      <w:r w:rsidRPr="00035426">
        <w:t xml:space="preserve"> impacts</w:t>
      </w:r>
      <w:proofErr w:type="gramEnd"/>
      <w:r w:rsidRPr="00035426">
        <w:t xml:space="preserve"> to these habitats are issues of water quality associated with urban, marina development and agricultural land use (</w:t>
      </w:r>
      <w:r w:rsidR="005F7997">
        <w:fldChar w:fldCharType="begin"/>
      </w:r>
      <w:r w:rsidR="005F7997">
        <w:instrText xml:space="preserve"> REF _Ref442619012 \h </w:instrText>
      </w:r>
      <w:r w:rsidR="005F7997">
        <w:fldChar w:fldCharType="separate"/>
      </w:r>
      <w:r w:rsidR="009C068F">
        <w:rPr>
          <w:color w:val="000000"/>
        </w:rPr>
        <w:t xml:space="preserve">Figure </w:t>
      </w:r>
      <w:r w:rsidR="009C068F">
        <w:rPr>
          <w:noProof/>
          <w:color w:val="000000"/>
        </w:rPr>
        <w:t>122</w:t>
      </w:r>
      <w:r w:rsidR="005F7997">
        <w:fldChar w:fldCharType="end"/>
      </w:r>
      <w:r w:rsidRPr="00035426">
        <w:t>). Monitoring sites of coastal seagrass habitat were located on the sand/mud flats adjacent to Cannonvale in southern Pioneer Bay.</w:t>
      </w:r>
    </w:p>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633B6291" wp14:editId="78413F98">
            <wp:extent cx="5751195" cy="2179320"/>
            <wp:effectExtent l="0" t="0" r="1905" b="0"/>
            <wp:docPr id="10212" name="Picture 10212" descr="Conceptual diagram of seagrass meadow processes for coastal habitats in the Mackay Whitsunday region showing major control is shelter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kay_Whitsunday_NRM_coast"/>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rsidR="00035426" w:rsidRDefault="00035426" w:rsidP="00035426">
      <w:pPr>
        <w:rPr>
          <w:i/>
          <w:vanish/>
          <w:color w:val="000000"/>
          <w:szCs w:val="22"/>
          <w:specVanish/>
        </w:rPr>
      </w:pPr>
      <w:bookmarkStart w:id="891" w:name="_Ref442619012"/>
      <w:bookmarkStart w:id="892" w:name="_Toc462684962"/>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122</w:t>
      </w:r>
      <w:r w:rsidR="0073595B">
        <w:rPr>
          <w:color w:val="000000"/>
        </w:rPr>
        <w:fldChar w:fldCharType="end"/>
      </w:r>
      <w:bookmarkEnd w:id="891"/>
      <w:r>
        <w:rPr>
          <w:color w:val="000000"/>
        </w:rPr>
        <w:t xml:space="preserve">. </w:t>
      </w:r>
      <w:r>
        <w:rPr>
          <w:i/>
          <w:color w:val="000000"/>
        </w:rPr>
        <w:t>Conceptual diagram of coastal habitat in the Mackay Whitsunday region</w:t>
      </w:r>
      <w:bookmarkEnd w:id="892"/>
    </w:p>
    <w:p w:rsidR="00035426" w:rsidRDefault="00035426" w:rsidP="00035426">
      <w:pPr>
        <w:rPr>
          <w:color w:val="000000"/>
        </w:rPr>
      </w:pPr>
      <w:r>
        <w:rPr>
          <w:i/>
          <w:color w:val="000000"/>
        </w:rPr>
        <w:t xml:space="preserve"> – </w:t>
      </w:r>
      <w:proofErr w:type="gramStart"/>
      <w:r>
        <w:rPr>
          <w:i/>
          <w:color w:val="000000"/>
        </w:rPr>
        <w:t>major</w:t>
      </w:r>
      <w:proofErr w:type="gramEnd"/>
      <w:r>
        <w:rPr>
          <w:i/>
          <w:color w:val="000000"/>
        </w:rPr>
        <w:t xml:space="preserve"> control is shelter and temperature extremes: general habitat, seagrass meadow processes and threats/impacts (see </w:t>
      </w:r>
      <w:r w:rsidR="005F7997">
        <w:fldChar w:fldCharType="begin"/>
      </w:r>
      <w:r w:rsidR="005F7997">
        <w:rPr>
          <w:i/>
          <w:color w:val="000000"/>
        </w:rPr>
        <w:instrText xml:space="preserve"> REF _Ref442553728 \h </w:instrText>
      </w:r>
      <w:r w:rsidR="005F7997">
        <w:fldChar w:fldCharType="separate"/>
      </w:r>
      <w:r w:rsidR="009C068F">
        <w:rPr>
          <w:color w:val="000000"/>
          <w:szCs w:val="22"/>
        </w:rPr>
        <w:t xml:space="preserve">Figure </w:t>
      </w:r>
      <w:r w:rsidR="009C068F">
        <w:rPr>
          <w:noProof/>
          <w:color w:val="000000"/>
          <w:szCs w:val="22"/>
        </w:rPr>
        <w:t>128</w:t>
      </w:r>
      <w:r w:rsidR="005F7997">
        <w:fldChar w:fldCharType="end"/>
      </w:r>
      <w:r>
        <w:rPr>
          <w:i/>
          <w:color w:val="000000"/>
        </w:rPr>
        <w:t xml:space="preserve"> for icon explanation). </w:t>
      </w:r>
    </w:p>
    <w:p w:rsidR="00035426" w:rsidRDefault="00035426" w:rsidP="008A429D">
      <w:r w:rsidRPr="00035426">
        <w:t xml:space="preserve">Reef habitat seagrass meadows are found on the shallow fringing reefs adjacent to the mainlands or associated with the many islands in this region. The </w:t>
      </w:r>
      <w:proofErr w:type="gramStart"/>
      <w:r w:rsidRPr="00035426">
        <w:t>drivers of these habitats is</w:t>
      </w:r>
      <w:proofErr w:type="gramEnd"/>
      <w:r w:rsidRPr="00035426">
        <w:t xml:space="preserve"> exposure to waves and temperature extremes (</w:t>
      </w:r>
      <w:r w:rsidR="005F7997">
        <w:fldChar w:fldCharType="begin"/>
      </w:r>
      <w:r w:rsidR="005F7997">
        <w:instrText xml:space="preserve"> REF _Ref442619041 \h </w:instrText>
      </w:r>
      <w:r w:rsidR="005F7997">
        <w:fldChar w:fldCharType="separate"/>
      </w:r>
      <w:r w:rsidR="009C068F">
        <w:rPr>
          <w:color w:val="000000"/>
        </w:rPr>
        <w:t xml:space="preserve">Figure </w:t>
      </w:r>
      <w:r w:rsidR="009C068F">
        <w:rPr>
          <w:noProof/>
          <w:color w:val="000000"/>
        </w:rPr>
        <w:t>123</w:t>
      </w:r>
      <w:r w:rsidR="005F7997">
        <w:fldChar w:fldCharType="end"/>
      </w:r>
      <w:r w:rsidRPr="00035426">
        <w:t>). Major threats would be increased tourism activities including marina and coastal developments.</w:t>
      </w:r>
    </w:p>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lastRenderedPageBreak/>
        <w:drawing>
          <wp:inline distT="0" distB="0" distL="0" distR="0" wp14:anchorId="7A31B223" wp14:editId="5F8BD5BC">
            <wp:extent cx="5762625" cy="2191385"/>
            <wp:effectExtent l="0" t="0" r="9525" b="0"/>
            <wp:docPr id="10211" name="Picture 10211" descr="Conceptual diagram of seagrass meadow processes for reef habitats in the Mackay Whitsunday region showing major control is light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kay_Whitsunday_NRM_reef"/>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a:noFill/>
                    </a:ln>
                  </pic:spPr>
                </pic:pic>
              </a:graphicData>
            </a:graphic>
          </wp:inline>
        </w:drawing>
      </w:r>
    </w:p>
    <w:p w:rsidR="00035426" w:rsidRDefault="00035426" w:rsidP="00035426">
      <w:pPr>
        <w:rPr>
          <w:i/>
          <w:vanish/>
          <w:color w:val="000000"/>
          <w:szCs w:val="22"/>
          <w:specVanish/>
        </w:rPr>
      </w:pPr>
      <w:bookmarkStart w:id="893" w:name="_Ref442619041"/>
      <w:bookmarkStart w:id="894" w:name="_Toc462684963"/>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123</w:t>
      </w:r>
      <w:r w:rsidR="0073595B">
        <w:rPr>
          <w:color w:val="000000"/>
        </w:rPr>
        <w:fldChar w:fldCharType="end"/>
      </w:r>
      <w:bookmarkEnd w:id="893"/>
      <w:r>
        <w:rPr>
          <w:color w:val="000000"/>
        </w:rPr>
        <w:t xml:space="preserve">. </w:t>
      </w:r>
      <w:r>
        <w:rPr>
          <w:i/>
          <w:color w:val="000000"/>
        </w:rPr>
        <w:t>Conceptual diagram of reef habitat in the Mackay Whitsunday region</w:t>
      </w:r>
      <w:bookmarkEnd w:id="894"/>
    </w:p>
    <w:p w:rsidR="00035426" w:rsidRDefault="00035426" w:rsidP="00035426">
      <w:pPr>
        <w:rPr>
          <w:color w:val="000000"/>
        </w:rPr>
      </w:pPr>
      <w:r>
        <w:rPr>
          <w:i/>
          <w:color w:val="000000"/>
        </w:rPr>
        <w:t xml:space="preserve"> - </w:t>
      </w:r>
      <w:proofErr w:type="gramStart"/>
      <w:r>
        <w:rPr>
          <w:i/>
          <w:color w:val="000000"/>
        </w:rPr>
        <w:t>major</w:t>
      </w:r>
      <w:proofErr w:type="gramEnd"/>
      <w:r>
        <w:rPr>
          <w:i/>
          <w:color w:val="000000"/>
        </w:rPr>
        <w:t xml:space="preserve"> control is light and temperature extremes: general habitat, seagrass meadow processes and threats/impacts (see </w:t>
      </w:r>
      <w:r w:rsidR="005F7997">
        <w:fldChar w:fldCharType="begin"/>
      </w:r>
      <w:r w:rsidR="005F7997">
        <w:rPr>
          <w:i/>
          <w:color w:val="000000"/>
        </w:rPr>
        <w:instrText xml:space="preserve"> REF _Ref442553728 \h </w:instrText>
      </w:r>
      <w:r w:rsidR="005F7997">
        <w:fldChar w:fldCharType="separate"/>
      </w:r>
      <w:r w:rsidR="009C068F">
        <w:rPr>
          <w:color w:val="000000"/>
          <w:szCs w:val="22"/>
        </w:rPr>
        <w:t xml:space="preserve">Figure </w:t>
      </w:r>
      <w:r w:rsidR="009C068F">
        <w:rPr>
          <w:noProof/>
          <w:color w:val="000000"/>
          <w:szCs w:val="22"/>
        </w:rPr>
        <w:t>128</w:t>
      </w:r>
      <w:r w:rsidR="005F7997">
        <w:fldChar w:fldCharType="end"/>
      </w:r>
      <w:r>
        <w:rPr>
          <w:i/>
          <w:color w:val="000000"/>
        </w:rPr>
        <w:t xml:space="preserve"> for icon explanation). </w:t>
      </w:r>
    </w:p>
    <w:p w:rsidR="00035426" w:rsidRDefault="00035426" w:rsidP="008A429D"/>
    <w:p w:rsidR="00035426" w:rsidRDefault="00035426">
      <w:pPr>
        <w:spacing w:before="0" w:after="0"/>
      </w:pPr>
      <w:r>
        <w:br w:type="page"/>
      </w:r>
    </w:p>
    <w:p w:rsidR="00035426" w:rsidRDefault="00035426" w:rsidP="007D5A48">
      <w:pPr>
        <w:pStyle w:val="Heading2"/>
      </w:pPr>
      <w:bookmarkStart w:id="895" w:name="_Toc462047381"/>
      <w:r>
        <w:lastRenderedPageBreak/>
        <w:t>Fitzroy</w:t>
      </w:r>
      <w:bookmarkEnd w:id="895"/>
    </w:p>
    <w:p w:rsidR="00035426" w:rsidRDefault="00035426" w:rsidP="00035426">
      <w:r>
        <w:t>The Fitzroy region covers an area of nearly 300,000 km</w:t>
      </w:r>
      <w:r w:rsidRPr="002016D1">
        <w:rPr>
          <w:vertAlign w:val="superscript"/>
        </w:rPr>
        <w:t>2</w:t>
      </w:r>
      <w:r>
        <w:t>. It extends from Nebo in the north to Wandoan in the south, and encompasses the major systems of the Fitzroy, Boyne, and Calliope rivers as well as the catchments of the smaller coastal streams of th</w:t>
      </w:r>
      <w:r w:rsidR="002016D1">
        <w:t>e Capricorn and Curtis Coasts (</w:t>
      </w:r>
      <w:hyperlink w:anchor="_ENREF_72" w:tooltip="Commonwealth of Australia, 2013 #9683" w:history="1">
        <w:r w:rsidR="00E6043D">
          <w:fldChar w:fldCharType="begin"/>
        </w:r>
        <w:r w:rsidR="00E6043D">
          <w:instrText xml:space="preserve"> ADDIN EN.CITE &lt;EndNote&gt;&lt;Cite&gt;&lt;Author&gt;Commonwealth of Australia&lt;/Author&gt;&lt;Year&gt;2013&lt;/Year&gt;&lt;RecNum&gt;9683&lt;/RecNum&gt;&lt;DisplayText&gt;Commonwealth of Australia 2013c&lt;/DisplayText&gt;&lt;record&gt;&lt;rec-number&gt;9683&lt;/rec-number&gt;&lt;foreign-keys&gt;&lt;key app="EN" db-id="0eve55x9y5vfd6e9dacxtew4eatve2dzds9a"&gt;9683&lt;/key&gt;&lt;/foreign-keys&gt;&lt;ref-type name="Web Page"&gt;12&lt;/ref-type&gt;&lt;contributors&gt;&lt;authors&gt;&lt;author&gt;Commonwealth of Australia,&lt;/author&gt;&lt;/authors&gt;&lt;/contributors&gt;&lt;titles&gt;&lt;title&gt;Fitzroy Natural Resource Management region, http://www.nrm.gov.au/about/nrm/regions/qld-fitz.html&lt;/title&gt;&lt;/titles&gt;&lt;number&gt;18 February 2014&lt;/number&gt;&lt;dates&gt;&lt;year&gt;2013&lt;/year&gt;&lt;/dates&gt;&lt;urls&gt;&lt;related-urls&gt;&lt;url&gt;http://www.nrm.gov.au/about/nrm/regions/qld-fitz.html&lt;/url&gt;&lt;/related-urls&gt;&lt;/urls&gt;&lt;/record&gt;&lt;/Cite&gt;&lt;/EndNote&gt;</w:instrText>
        </w:r>
        <w:r w:rsidR="00E6043D">
          <w:fldChar w:fldCharType="separate"/>
        </w:r>
        <w:r w:rsidR="00E6043D">
          <w:rPr>
            <w:noProof/>
          </w:rPr>
          <w:t>Commonwealth of Australia 2013c</w:t>
        </w:r>
        <w:r w:rsidR="00E6043D">
          <w:fldChar w:fldCharType="end"/>
        </w:r>
      </w:hyperlink>
      <w:r>
        <w:t>). The Fitzroy River is the largest river system running to the east coast of Australia. The Boyne and Calliope Rivers drain the southern part of the region, entering the GBR lagoon at Gladstone. The region covers ten percent of Queensland’s land area and is home to approximately 200,000 people. It is one of the richest areas in the state in terms of land, mineral and water resources and supports grazing, irrigated and dryland agriculture, mining, forestry and tourism land uses (</w:t>
      </w:r>
      <w:hyperlink w:anchor="_ENREF_46" w:tooltip="Christensen, 2006 #9684" w:history="1">
        <w:r w:rsidR="00E6043D">
          <w:fldChar w:fldCharType="begin"/>
        </w:r>
        <w:r w:rsidR="00E6043D">
          <w:instrText xml:space="preserve"> ADDIN EN.CITE &lt;EndNote&gt;&lt;Cite&gt;&lt;Author&gt;Christensen&lt;/Author&gt;&lt;Year&gt;2006&lt;/Year&gt;&lt;RecNum&gt;9684&lt;/RecNum&gt;&lt;DisplayText&gt;Christensen&lt;style face="italic"&gt; et al.&lt;/style&gt; 2006&lt;/DisplayText&gt;&lt;record&gt;&lt;rec-number&gt;9684&lt;/rec-number&gt;&lt;foreign-keys&gt;&lt;key app="EN" db-id="0eve55x9y5vfd6e9dacxtew4eatve2dzds9a"&gt;9684&lt;/key&gt;&lt;/foreign-keys&gt;&lt;ref-type name="Book"&gt;6&lt;/ref-type&gt;&lt;contributors&gt;&lt;authors&gt;&lt;author&gt;Christensen, Suzie&lt;/author&gt;&lt;author&gt;Rodgers, Claire&lt;/author&gt;&lt;author&gt;Fitzroy Basin Association, Inc&lt;/author&gt;&lt;/authors&gt;&lt;/contributors&gt;&lt;titles&gt;&lt;title&gt;Central Queensland strategy for sustainability : 2004 and beyond. &lt;/title&gt;&lt;/titles&gt;&lt;pages&gt; 238&lt;/pages&gt;&lt;dates&gt;&lt;year&gt;2006&lt;/year&gt;&lt;/dates&gt;&lt;pub-location&gt;Rockhampton, Qld&lt;/pub-location&gt;&lt;publisher&gt;Fitzroy Basin Association&lt;/publisher&gt;&lt;urls&gt;&lt;/urls&gt;&lt;/record&gt;&lt;/Cite&gt;&lt;/EndNote&gt;</w:instrText>
        </w:r>
        <w:r w:rsidR="00E6043D">
          <w:fldChar w:fldCharType="separate"/>
        </w:r>
        <w:r w:rsidR="00E6043D">
          <w:rPr>
            <w:noProof/>
          </w:rPr>
          <w:t>Christensen</w:t>
        </w:r>
        <w:r w:rsidR="00E6043D" w:rsidRPr="00ED4C4C">
          <w:rPr>
            <w:i/>
            <w:noProof/>
          </w:rPr>
          <w:t xml:space="preserve"> et al.</w:t>
        </w:r>
        <w:r w:rsidR="00E6043D">
          <w:rPr>
            <w:noProof/>
          </w:rPr>
          <w:t xml:space="preserve"> 2006</w:t>
        </w:r>
        <w:r w:rsidR="00E6043D">
          <w:fldChar w:fldCharType="end"/>
        </w:r>
      </w:hyperlink>
      <w:r>
        <w:t xml:space="preserve">). Agricultural production constitutes the largest land use in Central Queensland, with nearly 90% of the land under agricultural production. Concomitant with this land use is concern of the quality of the water that is entering the GBR lagoon. </w:t>
      </w:r>
    </w:p>
    <w:p w:rsidR="00035426" w:rsidRDefault="00035426" w:rsidP="00035426">
      <w:r>
        <w:t xml:space="preserve">The Fitzroy region experiences a tropical to subtropical humid to </w:t>
      </w:r>
      <w:proofErr w:type="spellStart"/>
      <w:r>
        <w:t>semi arid</w:t>
      </w:r>
      <w:proofErr w:type="spellEnd"/>
      <w:r>
        <w:t xml:space="preserve"> climate. Annual median rainfall throughout the region is highly variable, ranging from about 800 mm to over 1000mm. Most rain falls in the summer, with many winters experiencing no rain at all. Because of the tropical influence on rainfall patterns, heavy storms can trigger flash flooding, and occasional cyclones wreak havoc. </w:t>
      </w:r>
    </w:p>
    <w:p w:rsidR="00035426" w:rsidRDefault="00035426" w:rsidP="00035426">
      <w:r>
        <w:t>The first broad scale survey of seagrass habitat in this region occurred in 1987, followed by more fine scale surveys of Shoalwater Bay (</w:t>
      </w:r>
      <w:hyperlink w:anchor="_ENREF_144" w:tooltip="Lee Long, 1996 #1102" w:history="1">
        <w:r w:rsidR="00E6043D">
          <w:fldChar w:fldCharType="begin"/>
        </w:r>
        <w:r w:rsidR="00E6043D">
          <w:instrText xml:space="preserve"> ADDIN EN.CITE &lt;EndNote&gt;&lt;Cite&gt;&lt;Author&gt;Lee Long&lt;/Author&gt;&lt;Year&gt;1996&lt;/Year&gt;&lt;RecNum&gt;1102&lt;/RecNum&gt;&lt;DisplayText&gt;Lee Long&lt;style face="italic"&gt; et al.&lt;/style&gt; 1996b&lt;/DisplayText&gt;&lt;record&gt;&lt;rec-number&gt;1102&lt;/rec-number&gt;&lt;foreign-keys&gt;&lt;key app="EN" db-id="0eve55x9y5vfd6e9dacxtew4eatve2dzds9a"&gt;1102&lt;/key&gt;&lt;/foreign-keys&gt;&lt;ref-type name="Book"&gt;6&lt;/ref-type&gt;&lt;contributors&gt;&lt;authors&gt;&lt;author&gt;Lee Long, Warren J.&lt;/author&gt;&lt;author&gt;McKenzie, Leonard J.&lt;/author&gt;&lt;author&gt;Coles, Robert G.&lt;/author&gt;&lt;/authors&gt;&lt;/contributors&gt;&lt;titles&gt;&lt;title&gt;Distribution of seagrasses in Shoalwater Bay, Queensland - September 1995&lt;/title&gt;&lt;/titles&gt;&lt;pages&gt;24&lt;/pages&gt;&lt;keywords&gt;&lt;keyword&gt;SEAGRASS GRP BIBLIO&lt;/keyword&gt;&lt;/keywords&gt;&lt;dates&gt;&lt;year&gt;1996&lt;/year&gt;&lt;/dates&gt;&lt;pub-location&gt;Cairns&lt;/pub-location&gt;&lt;publisher&gt;QDPI: NFC&lt;/publisher&gt;&lt;label&gt;1183&lt;/label&gt;&lt;urls&gt;&lt;/urls&gt;&lt;custom1&gt;Annex&lt;/custom1&gt;&lt;/record&gt;&lt;/Cite&gt;&lt;/EndNote&gt;</w:instrText>
        </w:r>
        <w:r w:rsidR="00E6043D">
          <w:fldChar w:fldCharType="separate"/>
        </w:r>
        <w:r w:rsidR="00E6043D">
          <w:rPr>
            <w:noProof/>
          </w:rPr>
          <w:t>Lee Long</w:t>
        </w:r>
        <w:r w:rsidR="00E6043D" w:rsidRPr="00ED4C4C">
          <w:rPr>
            <w:i/>
            <w:noProof/>
          </w:rPr>
          <w:t xml:space="preserve"> et al.</w:t>
        </w:r>
        <w:r w:rsidR="00E6043D">
          <w:rPr>
            <w:noProof/>
          </w:rPr>
          <w:t xml:space="preserve"> 1996b</w:t>
        </w:r>
        <w:r w:rsidR="00E6043D">
          <w:fldChar w:fldCharType="end"/>
        </w:r>
      </w:hyperlink>
      <w:r>
        <w:t xml:space="preserve">), the Dugong Protection Areas of Llewellyn Bay, </w:t>
      </w:r>
      <w:proofErr w:type="spellStart"/>
      <w:r>
        <w:t>Ince</w:t>
      </w:r>
      <w:proofErr w:type="spellEnd"/>
      <w:r>
        <w:t xml:space="preserve"> Bay and the </w:t>
      </w:r>
      <w:proofErr w:type="spellStart"/>
      <w:r>
        <w:t>Clairview</w:t>
      </w:r>
      <w:proofErr w:type="spellEnd"/>
      <w:r>
        <w:t xml:space="preserve"> Region (</w:t>
      </w:r>
      <w:hyperlink w:anchor="_ENREF_51" w:tooltip="Coles, 2002 #9363" w:history="1">
        <w:r w:rsidR="00E6043D">
          <w:fldChar w:fldCharType="begin"/>
        </w:r>
        <w:r w:rsidR="00E6043D">
          <w:instrText xml:space="preserve"> ADDIN EN.CITE &lt;EndNote&gt;&lt;Cite&gt;&lt;Author&gt;Coles&lt;/Author&gt;&lt;Year&gt;2002&lt;/Year&gt;&lt;RecNum&gt;9363&lt;/RecNum&gt;&lt;DisplayText&gt;Coles&lt;style face="italic"&gt; et al.&lt;/style&gt; 2002&lt;/DisplayText&gt;&lt;record&gt;&lt;rec-number&gt;9363&lt;/rec-number&gt;&lt;foreign-keys&gt;&lt;key app="EN" db-id="0eve55x9y5vfd6e9dacxtew4eatve2dzds9a"&gt;9363&lt;/key&gt;&lt;/foreign-keys&gt;&lt;ref-type name="Edited Book"&gt;28&lt;/ref-type&gt;&lt;contributors&gt;&lt;authors&gt;&lt;author&gt;Coles, Robert G&lt;/author&gt;&lt;author&gt;Lee Long, Warren J&lt;/author&gt;&lt;author&gt;McKenzie, Len J&lt;/author&gt;&lt;author&gt;Roder, Chantal A&lt;/author&gt;&lt;/authors&gt;&lt;/contributors&gt;&lt;titles&gt;&lt;title&gt;Seagrass and Marine Resources in the Dugong Protection Areas of Upstart Bay, Newry Region, Sand Bay, Llewellyn Bay, Ince Bay and the Clairview Region, April/May 1999 and October 1999&lt;/title&gt;&lt;secondary-title&gt;Research Publication No 72&lt;/secondary-title&gt;&lt;/titles&gt;&lt;pages&gt;131&lt;/pages&gt;&lt;dates&gt;&lt;year&gt;2002&lt;/year&gt;&lt;/dates&gt;&lt;pub-location&gt;Townsville&lt;/pub-location&gt;&lt;publisher&gt;Great Barrier Reef Marine Park Authority&lt;/publisher&gt;&lt;isbn&gt;1876945087&lt;/isbn&gt;&lt;urls&gt;&lt;/urls&gt;&lt;/record&gt;&lt;/Cite&gt;&lt;/EndNote&gt;</w:instrText>
        </w:r>
        <w:r w:rsidR="00E6043D">
          <w:fldChar w:fldCharType="separate"/>
        </w:r>
        <w:r w:rsidR="00E6043D">
          <w:rPr>
            <w:noProof/>
          </w:rPr>
          <w:t>Coles</w:t>
        </w:r>
        <w:r w:rsidR="00E6043D" w:rsidRPr="00ED4C4C">
          <w:rPr>
            <w:i/>
            <w:noProof/>
          </w:rPr>
          <w:t xml:space="preserve"> et al.</w:t>
        </w:r>
        <w:r w:rsidR="00E6043D">
          <w:rPr>
            <w:noProof/>
          </w:rPr>
          <w:t xml:space="preserve"> 2002</w:t>
        </w:r>
        <w:r w:rsidR="00E6043D">
          <w:fldChar w:fldCharType="end"/>
        </w:r>
      </w:hyperlink>
      <w:r>
        <w:t xml:space="preserve">) and Port Curtis to </w:t>
      </w:r>
      <w:proofErr w:type="spellStart"/>
      <w:r>
        <w:t>Rodds</w:t>
      </w:r>
      <w:proofErr w:type="spellEnd"/>
      <w:r>
        <w:t xml:space="preserve"> Bay (</w:t>
      </w:r>
      <w:hyperlink w:anchor="_ENREF_205" w:tooltip="Rasheed, 2003 #9496" w:history="1">
        <w:r w:rsidR="00E6043D">
          <w:fldChar w:fldCharType="begin"/>
        </w:r>
        <w:r w:rsidR="00E6043D">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E6043D">
          <w:fldChar w:fldCharType="separate"/>
        </w:r>
        <w:r w:rsidR="00E6043D">
          <w:rPr>
            <w:noProof/>
          </w:rPr>
          <w:t>Rasheed</w:t>
        </w:r>
        <w:r w:rsidR="00E6043D" w:rsidRPr="00ED4C4C">
          <w:rPr>
            <w:i/>
            <w:noProof/>
          </w:rPr>
          <w:t>, et al.</w:t>
        </w:r>
        <w:r w:rsidR="00E6043D">
          <w:rPr>
            <w:noProof/>
          </w:rPr>
          <w:t xml:space="preserve"> 2003</w:t>
        </w:r>
        <w:r w:rsidR="00E6043D">
          <w:fldChar w:fldCharType="end"/>
        </w:r>
      </w:hyperlink>
      <w:r>
        <w:t>). Ten species of seagrass have been recorded from this region ranging from the intertidal to a depth of 48m (</w:t>
      </w:r>
      <w:r w:rsidR="00ED4C4C">
        <w:fldChar w:fldCharType="begin"/>
      </w:r>
      <w:r w:rsidR="00ED4C4C">
        <w:instrText xml:space="preserve"> ADDIN EN.CITE &lt;EndNote&gt;&lt;Cite&gt;&lt;Author&gt;McKenzie&lt;/Author&gt;&lt;Year&gt;2010&lt;/Year&gt;&lt;RecNum&gt;9646&lt;/RecNum&gt;&lt;DisplayText&gt;Coles&lt;style face="italic"&gt;, et al.&lt;/style&gt; 2007; 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(DEEDI)&lt;/publisher&gt;&lt;urls&gt;&lt;/urls&gt;&lt;/record&gt;&lt;/Cite&gt;&lt;Cite&gt;&lt;Author&gt;Coles&lt;/Author&gt;&lt;Year&gt;2007&lt;/Year&gt;&lt;RecNum&gt;9281&lt;/RecNum&gt;&lt;record&gt;&lt;rec-number&gt;9281&lt;/rec-number&gt;&lt;foreign-keys&gt;&lt;key app="EN" db-id="0eve55x9y5vfd6e9dacxtew4eatve2dzds9a"&gt;9281&lt;/key&gt;&lt;/foreign-keys&gt;&lt;ref-type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D4C4C">
        <w:fldChar w:fldCharType="separate"/>
      </w:r>
      <w:hyperlink w:anchor="_ENREF_47" w:tooltip="Coles, 2007 #9281" w:history="1">
        <w:r w:rsidR="00E6043D">
          <w:rPr>
            <w:noProof/>
          </w:rPr>
          <w:t>Coles</w:t>
        </w:r>
        <w:r w:rsidR="00E6043D" w:rsidRPr="00ED4C4C">
          <w:rPr>
            <w:i/>
            <w:noProof/>
          </w:rPr>
          <w:t>, et al.</w:t>
        </w:r>
        <w:r w:rsidR="00E6043D">
          <w:rPr>
            <w:noProof/>
          </w:rPr>
          <w:t xml:space="preserve"> 2007</w:t>
        </w:r>
      </w:hyperlink>
      <w:r w:rsidR="00ED4C4C">
        <w:rPr>
          <w:noProof/>
        </w:rPr>
        <w:t xml:space="preserve">; </w:t>
      </w:r>
      <w:hyperlink w:anchor="_ENREF_180" w:tooltip="McKenzie, 2010 #9646" w:history="1">
        <w:r w:rsidR="00E6043D">
          <w:rPr>
            <w:noProof/>
          </w:rPr>
          <w:t>McKenzie</w:t>
        </w:r>
        <w:r w:rsidR="00E6043D" w:rsidRPr="00ED4C4C">
          <w:rPr>
            <w:i/>
            <w:noProof/>
          </w:rPr>
          <w:t>, et al.</w:t>
        </w:r>
        <w:r w:rsidR="00E6043D">
          <w:rPr>
            <w:noProof/>
          </w:rPr>
          <w:t xml:space="preserve"> 2010c</w:t>
        </w:r>
      </w:hyperlink>
      <w:r w:rsidR="00ED4C4C">
        <w:fldChar w:fldCharType="end"/>
      </w:r>
      <w:r>
        <w:t xml:space="preserve">). The majority of seagrass in this region exist on large shallow banks flats. Expansive meadows exist on the coastal intertidal flats of </w:t>
      </w:r>
      <w:proofErr w:type="spellStart"/>
      <w:r>
        <w:t>Ince</w:t>
      </w:r>
      <w:proofErr w:type="spellEnd"/>
      <w:r>
        <w:t xml:space="preserve"> Bay, </w:t>
      </w:r>
      <w:proofErr w:type="spellStart"/>
      <w:r>
        <w:t>Clairview</w:t>
      </w:r>
      <w:proofErr w:type="spellEnd"/>
      <w:r>
        <w:t xml:space="preserve">, Shoalwater Bay and </w:t>
      </w:r>
      <w:proofErr w:type="spellStart"/>
      <w:r>
        <w:t>Rodds</w:t>
      </w:r>
      <w:proofErr w:type="spellEnd"/>
      <w:r>
        <w:t xml:space="preserve"> Bay. </w:t>
      </w:r>
      <w:r w:rsidR="001E450E">
        <w:t xml:space="preserve"> </w:t>
      </w:r>
      <w:r>
        <w:t xml:space="preserve">The area of shallow subtidal coastal seagrass habitat in this region is small, as most of the coastline is exposed to south-east winds </w:t>
      </w:r>
      <w:r w:rsidR="002016D1">
        <w:t>(</w:t>
      </w:r>
      <w:hyperlink w:anchor="_ENREF_47" w:tooltip="Coles, 2007 #9281" w:history="1">
        <w:r w:rsidR="00E6043D">
          <w:fldChar w:fldCharType="begin"/>
        </w:r>
        <w:r w:rsidR="00E6043D">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6043D">
          <w:fldChar w:fldCharType="separate"/>
        </w:r>
        <w:r w:rsidR="00E6043D">
          <w:rPr>
            <w:noProof/>
          </w:rPr>
          <w:t>Coles</w:t>
        </w:r>
        <w:r w:rsidR="00E6043D" w:rsidRPr="00ED4C4C">
          <w:rPr>
            <w:i/>
            <w:noProof/>
          </w:rPr>
          <w:t>, et al.</w:t>
        </w:r>
        <w:r w:rsidR="00E6043D">
          <w:rPr>
            <w:noProof/>
          </w:rPr>
          <w:t xml:space="preserve"> 2007</w:t>
        </w:r>
        <w:r w:rsidR="00E6043D">
          <w:fldChar w:fldCharType="end"/>
        </w:r>
      </w:hyperlink>
      <w:r w:rsidR="002016D1">
        <w:t>).</w:t>
      </w:r>
      <w:r>
        <w:t xml:space="preserve"> A significant factor contributing to the lack of suitable coastal habitat is the scouring tidal currents and associated high water turbidity in this region which limits light penetration and therefore the depth to which seagrasses can grow. Deepwater seagrasses were generally not found in the central and northern parts of this region, apart from occasional sites i</w:t>
      </w:r>
      <w:r w:rsidR="002016D1">
        <w:t>n the lee of islands or reefs (</w:t>
      </w:r>
      <w:hyperlink w:anchor="_ENREF_49" w:tooltip="Coles, 2009 #9367" w:history="1">
        <w:r w:rsidR="00E6043D">
          <w:fldChar w:fldCharType="begin"/>
        </w:r>
        <w:r w:rsidR="00E6043D">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E6043D">
          <w:fldChar w:fldCharType="separate"/>
        </w:r>
        <w:r w:rsidR="00E6043D">
          <w:rPr>
            <w:noProof/>
          </w:rPr>
          <w:t>Coles</w:t>
        </w:r>
        <w:r w:rsidR="00E6043D" w:rsidRPr="00ED4C4C">
          <w:rPr>
            <w:i/>
            <w:noProof/>
          </w:rPr>
          <w:t>, et al.</w:t>
        </w:r>
        <w:r w:rsidR="00E6043D">
          <w:rPr>
            <w:noProof/>
          </w:rPr>
          <w:t xml:space="preserve"> 2009</w:t>
        </w:r>
        <w:r w:rsidR="00E6043D">
          <w:fldChar w:fldCharType="end"/>
        </w:r>
      </w:hyperlink>
      <w:r>
        <w:t xml:space="preserve">). </w:t>
      </w:r>
    </w:p>
    <w:p w:rsidR="001E450E" w:rsidRDefault="001E450E" w:rsidP="001E450E">
      <w:r>
        <w:t>MMP sites within this region are located in coastal, estuarine or fringing-reef seagrass habitats. Coastal sites are monitored in Shoalwater Bay and are located on the large shallow banks of the north western shores of Shoalwater Bay. The remoteness of this area (due to its zoning as a military exclusion zone) represents a near pristine environment, removed form anthropogenic influence. In contrast, the estuarine sites are located within Gladstone Harbour: a heavily industrialized port. Offshore reef sites are located at Monkey Beach, Great Keppel Island.</w:t>
      </w:r>
    </w:p>
    <w:p w:rsidR="001E450E" w:rsidRDefault="001E450E" w:rsidP="001E450E">
      <w:r>
        <w:t>The Shoalwater Bay monitoring sites are located in a bay which is a continuation of a coastal meadow that is protected by headlands. A feature of the region is the large tidal amplitudes and consequent strong tidal currents (</w:t>
      </w:r>
      <w:r>
        <w:fldChar w:fldCharType="begin"/>
      </w:r>
      <w:r>
        <w:instrText xml:space="preserve"> REF _Ref442620648 \h </w:instrText>
      </w:r>
      <w:r>
        <w:fldChar w:fldCharType="separate"/>
      </w:r>
      <w:r w:rsidR="009C068F">
        <w:rPr>
          <w:color w:val="000000"/>
        </w:rPr>
        <w:t xml:space="preserve">Figure </w:t>
      </w:r>
      <w:r w:rsidR="009C068F">
        <w:rPr>
          <w:noProof/>
          <w:color w:val="000000"/>
        </w:rPr>
        <w:t>124</w:t>
      </w:r>
      <w:r>
        <w:fldChar w:fldCharType="end"/>
      </w:r>
      <w:r>
        <w:t>). As part of this tidal regime, large intertidal banks are formed which are left exposed for many hours. Pooling of water in the high intertidal, results in small isolated seagrass patches 1-2m above Mean Sea Level (MSL).</w:t>
      </w:r>
    </w:p>
    <w:p w:rsidR="001E450E" w:rsidRDefault="001E450E" w:rsidP="001E450E"/>
    <w:p w:rsidR="001E450E" w:rsidRPr="009E6BC4" w:rsidRDefault="001E450E" w:rsidP="001E450E">
      <w:pPr>
        <w:keepNext/>
        <w:widowControl w:val="0"/>
        <w:spacing w:before="0" w:after="0"/>
        <w:jc w:val="center"/>
        <w:rPr>
          <w:noProof/>
          <w:color w:val="000000"/>
          <w:szCs w:val="22"/>
          <w:lang w:eastAsia="en-AU"/>
        </w:rPr>
      </w:pPr>
      <w:r w:rsidRPr="009E6BC4">
        <w:rPr>
          <w:noProof/>
          <w:color w:val="000000"/>
          <w:szCs w:val="22"/>
          <w:lang w:eastAsia="en-AU"/>
        </w:rPr>
        <w:lastRenderedPageBreak/>
        <w:drawing>
          <wp:inline distT="0" distB="0" distL="0" distR="0" wp14:anchorId="1293723A" wp14:editId="3D91E83F">
            <wp:extent cx="5751195" cy="2179320"/>
            <wp:effectExtent l="0" t="0" r="1905" b="0"/>
            <wp:docPr id="10209" name="Picture 10209" descr="Conceptual diagram of seagrass meadow processes for coastal habitats in the Fitzroy region showing major control is pulsed light,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itzroy_NRM_coast"/>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rsidR="001E450E" w:rsidRDefault="001E450E" w:rsidP="001E450E">
      <w:pPr>
        <w:rPr>
          <w:i/>
          <w:vanish/>
          <w:color w:val="000000"/>
          <w:szCs w:val="22"/>
          <w:specVanish/>
        </w:rPr>
      </w:pPr>
      <w:bookmarkStart w:id="896" w:name="_Ref442620648"/>
      <w:bookmarkStart w:id="897" w:name="_Toc462684964"/>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124</w:t>
      </w:r>
      <w:r>
        <w:rPr>
          <w:color w:val="000000"/>
        </w:rPr>
        <w:fldChar w:fldCharType="end"/>
      </w:r>
      <w:bookmarkEnd w:id="896"/>
      <w:r>
        <w:rPr>
          <w:color w:val="000000"/>
        </w:rPr>
        <w:t xml:space="preserve">. </w:t>
      </w:r>
      <w:r>
        <w:rPr>
          <w:i/>
          <w:color w:val="000000"/>
        </w:rPr>
        <w:t>Conceptual diagram of coastal habitat in the Fitzroy region</w:t>
      </w:r>
      <w:bookmarkEnd w:id="897"/>
    </w:p>
    <w:p w:rsidR="001E450E" w:rsidRDefault="001E450E" w:rsidP="001E450E">
      <w:pPr>
        <w:rPr>
          <w:color w:val="000000"/>
        </w:rPr>
      </w:pPr>
      <w:r>
        <w:rPr>
          <w:i/>
          <w:color w:val="000000"/>
        </w:rPr>
        <w:t xml:space="preserve"> – </w:t>
      </w:r>
      <w:proofErr w:type="gramStart"/>
      <w:r>
        <w:rPr>
          <w:i/>
          <w:color w:val="000000"/>
        </w:rPr>
        <w:t>major</w:t>
      </w:r>
      <w:proofErr w:type="gramEnd"/>
      <w:r>
        <w:rPr>
          <w:i/>
          <w:color w:val="000000"/>
        </w:rPr>
        <w:t xml:space="preserve"> control is pulsed light, salinity and temperature extremes: general habitat, seagrass meadow processes and threats/impacts (see </w:t>
      </w:r>
      <w:r>
        <w:fldChar w:fldCharType="begin"/>
      </w:r>
      <w:r>
        <w:rPr>
          <w:i/>
          <w:color w:val="000000"/>
        </w:rPr>
        <w:instrText xml:space="preserve"> REF _Ref442553728 \h </w:instrText>
      </w:r>
      <w:r>
        <w:fldChar w:fldCharType="separate"/>
      </w:r>
      <w:r w:rsidR="009C068F">
        <w:rPr>
          <w:color w:val="000000"/>
          <w:szCs w:val="22"/>
        </w:rPr>
        <w:t xml:space="preserve">Figure </w:t>
      </w:r>
      <w:r w:rsidR="009C068F">
        <w:rPr>
          <w:noProof/>
          <w:color w:val="000000"/>
          <w:szCs w:val="22"/>
        </w:rPr>
        <w:t>128</w:t>
      </w:r>
      <w:r>
        <w:fldChar w:fldCharType="end"/>
      </w:r>
      <w:r>
        <w:rPr>
          <w:i/>
          <w:color w:val="000000"/>
        </w:rPr>
        <w:t xml:space="preserve"> for icon explanation). </w:t>
      </w:r>
    </w:p>
    <w:p w:rsidR="001E450E" w:rsidRDefault="001E450E" w:rsidP="001E450E">
      <w:r w:rsidRPr="002016D1">
        <w:t xml:space="preserve">Reef habitat seagrass meadows are found intertidally on the top of the fringing reefs associated with the </w:t>
      </w:r>
      <w:r>
        <w:t>Keppel Isles and Cannibal Island groups, however many of the reefs in the north of the region have not been surveyed</w:t>
      </w:r>
      <w:r w:rsidRPr="002016D1">
        <w:t xml:space="preserve">. The drivers of these habitats are exposure and desiccation (intertidal meadows) </w:t>
      </w:r>
      <w:r>
        <w:t xml:space="preserve">and light limitation associated with wind driven resuspension </w:t>
      </w:r>
      <w:r w:rsidRPr="002016D1">
        <w:t>(</w:t>
      </w:r>
      <w:r>
        <w:fldChar w:fldCharType="begin"/>
      </w:r>
      <w:r>
        <w:instrText xml:space="preserve"> REF _Ref442620404 \h </w:instrText>
      </w:r>
      <w:r>
        <w:fldChar w:fldCharType="separate"/>
      </w:r>
      <w:r w:rsidR="009C068F">
        <w:rPr>
          <w:color w:val="000000"/>
        </w:rPr>
        <w:t xml:space="preserve">Figure </w:t>
      </w:r>
      <w:r w:rsidR="009C068F">
        <w:rPr>
          <w:noProof/>
          <w:color w:val="000000"/>
        </w:rPr>
        <w:t>125</w:t>
      </w:r>
      <w:r>
        <w:fldChar w:fldCharType="end"/>
      </w:r>
      <w:r w:rsidRPr="002016D1">
        <w:t xml:space="preserve">). </w:t>
      </w:r>
    </w:p>
    <w:p w:rsidR="001E450E" w:rsidRPr="009E6BC4" w:rsidRDefault="001E450E" w:rsidP="001E450E">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2187962D" wp14:editId="6998F54A">
            <wp:extent cx="5760000" cy="2188800"/>
            <wp:effectExtent l="0" t="0" r="0" b="2540"/>
            <wp:docPr id="10210" name="Picture 10210" descr="Conceptual diagram of seagrass meadow processes for reef habitats in the Fitzroy region showing major control is light and temperature extremes and benthic shear from tidal curr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Fitzroy_NRM_reef"/>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5760000" cy="2188800"/>
                    </a:xfrm>
                    <a:prstGeom prst="rect">
                      <a:avLst/>
                    </a:prstGeom>
                    <a:noFill/>
                    <a:ln>
                      <a:noFill/>
                    </a:ln>
                  </pic:spPr>
                </pic:pic>
              </a:graphicData>
            </a:graphic>
          </wp:inline>
        </w:drawing>
      </w:r>
    </w:p>
    <w:p w:rsidR="001E450E" w:rsidRDefault="001E450E" w:rsidP="001E450E">
      <w:pPr>
        <w:rPr>
          <w:i/>
          <w:vanish/>
          <w:color w:val="000000"/>
          <w:szCs w:val="22"/>
          <w:specVanish/>
        </w:rPr>
      </w:pPr>
      <w:bookmarkStart w:id="898" w:name="_Ref442620404"/>
      <w:bookmarkStart w:id="899" w:name="_Toc462684965"/>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9C068F">
        <w:rPr>
          <w:noProof/>
          <w:color w:val="000000"/>
        </w:rPr>
        <w:t>125</w:t>
      </w:r>
      <w:r>
        <w:rPr>
          <w:color w:val="000000"/>
        </w:rPr>
        <w:fldChar w:fldCharType="end"/>
      </w:r>
      <w:bookmarkEnd w:id="898"/>
      <w:r>
        <w:rPr>
          <w:color w:val="000000"/>
        </w:rPr>
        <w:t xml:space="preserve">. </w:t>
      </w:r>
      <w:r>
        <w:rPr>
          <w:i/>
          <w:color w:val="000000"/>
        </w:rPr>
        <w:t>Conceptual diagram of reef habitat in the Fitzroy region</w:t>
      </w:r>
      <w:bookmarkEnd w:id="899"/>
    </w:p>
    <w:p w:rsidR="001E450E" w:rsidRDefault="001E450E" w:rsidP="001E450E">
      <w:pPr>
        <w:rPr>
          <w:color w:val="000000"/>
        </w:rPr>
      </w:pPr>
      <w:r>
        <w:rPr>
          <w:i/>
          <w:color w:val="000000"/>
        </w:rPr>
        <w:t xml:space="preserve"> - </w:t>
      </w:r>
      <w:proofErr w:type="gramStart"/>
      <w:r>
        <w:rPr>
          <w:i/>
          <w:color w:val="000000"/>
        </w:rPr>
        <w:t>major</w:t>
      </w:r>
      <w:proofErr w:type="gramEnd"/>
      <w:r>
        <w:rPr>
          <w:i/>
          <w:color w:val="000000"/>
        </w:rPr>
        <w:t xml:space="preserve"> control is light and temperature extremes and benthic shear from tidal currents: general habitat, seagrass meadow processes and threats/impacts (see </w:t>
      </w:r>
      <w:r>
        <w:fldChar w:fldCharType="begin"/>
      </w:r>
      <w:r>
        <w:rPr>
          <w:i/>
          <w:color w:val="000000"/>
        </w:rPr>
        <w:instrText xml:space="preserve"> REF _Ref442553728 \h </w:instrText>
      </w:r>
      <w:r>
        <w:fldChar w:fldCharType="separate"/>
      </w:r>
      <w:r w:rsidR="009C068F">
        <w:rPr>
          <w:color w:val="000000"/>
          <w:szCs w:val="22"/>
        </w:rPr>
        <w:t xml:space="preserve">Figure </w:t>
      </w:r>
      <w:r w:rsidR="009C068F">
        <w:rPr>
          <w:noProof/>
          <w:color w:val="000000"/>
          <w:szCs w:val="22"/>
        </w:rPr>
        <w:t>128</w:t>
      </w:r>
      <w:r>
        <w:fldChar w:fldCharType="end"/>
      </w:r>
      <w:r>
        <w:rPr>
          <w:i/>
          <w:color w:val="000000"/>
        </w:rPr>
        <w:t xml:space="preserve"> for icon explanation).</w:t>
      </w:r>
      <w:r>
        <w:rPr>
          <w:color w:val="000000"/>
        </w:rPr>
        <w:t xml:space="preserve"> </w:t>
      </w:r>
    </w:p>
    <w:p w:rsidR="00035426" w:rsidRDefault="00035426" w:rsidP="008A429D">
      <w:r w:rsidRPr="00035426">
        <w:t>Estuarine seagrass habitats in the southern Fitzroy region tend to be intertidal, on the large sand/mud banks in sheltered areas of the estuaries. Tidal amplitude is not as great as in the north and estuaries that are protected by coastal islands and headlands support meadows of seagrass. These habitats feature scouring, high turbidity and desiccation (linked to this large tide regime), and are the main drivers of distribution and composition of seagrass meadows in this area (</w:t>
      </w:r>
      <w:r w:rsidR="001E450E">
        <w:fldChar w:fldCharType="begin"/>
      </w:r>
      <w:r w:rsidR="001E450E">
        <w:instrText xml:space="preserve"> REF _Ref442620703 \h </w:instrText>
      </w:r>
      <w:r w:rsidR="001E450E">
        <w:fldChar w:fldCharType="separate"/>
      </w:r>
      <w:r w:rsidR="009C068F">
        <w:rPr>
          <w:color w:val="000000"/>
        </w:rPr>
        <w:t xml:space="preserve">Figure </w:t>
      </w:r>
      <w:r w:rsidR="009C068F">
        <w:rPr>
          <w:noProof/>
          <w:color w:val="000000"/>
        </w:rPr>
        <w:t>126</w:t>
      </w:r>
      <w:r w:rsidR="001E450E">
        <w:fldChar w:fldCharType="end"/>
      </w:r>
      <w:r w:rsidRPr="00035426">
        <w:t>). These southern estuary seagrasses (Gladstone, Port Curtis) are highly susceptible to impacts from local industry and inputs from the Calliope River. Port Curtis is highly industrial with the world’s largest alumina refinery, Australia’s largest aluminium smelter and Queensland’s biggest power station. In addition, Port Curtis contains Queensland’s largest multi-cargo port (Port of Gladstone) with 50 million tonnes of coal passing through the port annually.</w:t>
      </w:r>
    </w:p>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lastRenderedPageBreak/>
        <w:drawing>
          <wp:inline distT="0" distB="0" distL="0" distR="0" wp14:anchorId="2C0719E3" wp14:editId="2778D290">
            <wp:extent cx="5751195" cy="2173605"/>
            <wp:effectExtent l="0" t="0" r="1905" b="0"/>
            <wp:docPr id="10208" name="Picture 10208" descr="Conceptual diagram of seagrass meadow processes for estuarine habitats in the Fitzroy region showing major control variable rainfall and tidal reg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tzroy_NRM_estuary"/>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5751195" cy="2173605"/>
                    </a:xfrm>
                    <a:prstGeom prst="rect">
                      <a:avLst/>
                    </a:prstGeom>
                    <a:noFill/>
                    <a:ln>
                      <a:noFill/>
                    </a:ln>
                  </pic:spPr>
                </pic:pic>
              </a:graphicData>
            </a:graphic>
          </wp:inline>
        </w:drawing>
      </w:r>
    </w:p>
    <w:p w:rsidR="00035426" w:rsidRDefault="00035426" w:rsidP="00035426">
      <w:pPr>
        <w:rPr>
          <w:i/>
          <w:vanish/>
          <w:color w:val="000000"/>
          <w:szCs w:val="22"/>
          <w:specVanish/>
        </w:rPr>
      </w:pPr>
      <w:bookmarkStart w:id="900" w:name="_Ref442620703"/>
      <w:bookmarkStart w:id="901" w:name="_Toc462684966"/>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126</w:t>
      </w:r>
      <w:r w:rsidR="0073595B">
        <w:rPr>
          <w:color w:val="000000"/>
        </w:rPr>
        <w:fldChar w:fldCharType="end"/>
      </w:r>
      <w:bookmarkEnd w:id="900"/>
      <w:r>
        <w:rPr>
          <w:color w:val="000000"/>
        </w:rPr>
        <w:t xml:space="preserve">. </w:t>
      </w:r>
      <w:r>
        <w:rPr>
          <w:i/>
          <w:color w:val="000000"/>
        </w:rPr>
        <w:t>Conceptual diagram of estuary habitat in the Fitzroy region</w:t>
      </w:r>
      <w:bookmarkEnd w:id="901"/>
    </w:p>
    <w:p w:rsidR="00035426" w:rsidRDefault="00035426" w:rsidP="00035426">
      <w:pPr>
        <w:rPr>
          <w:color w:val="000000"/>
        </w:rPr>
      </w:pPr>
      <w:r>
        <w:rPr>
          <w:i/>
          <w:color w:val="000000"/>
        </w:rPr>
        <w:t xml:space="preserve"> – major control variable rainfall and tidal regime: general habitat, seagrass meadow processes and threats/impacts (see Figure 2 for icon explanation). </w:t>
      </w:r>
    </w:p>
    <w:p w:rsidR="00035426" w:rsidRDefault="00035426" w:rsidP="008A429D"/>
    <w:p w:rsidR="00035426" w:rsidRDefault="00035426">
      <w:pPr>
        <w:spacing w:before="0" w:after="0"/>
      </w:pPr>
      <w:r>
        <w:br w:type="page"/>
      </w:r>
    </w:p>
    <w:p w:rsidR="00035426" w:rsidRDefault="00035426" w:rsidP="007D5A48">
      <w:pPr>
        <w:pStyle w:val="Heading2"/>
      </w:pPr>
      <w:bookmarkStart w:id="902" w:name="_Toc462047382"/>
      <w:r>
        <w:lastRenderedPageBreak/>
        <w:t>Burnett-Mary</w:t>
      </w:r>
      <w:bookmarkEnd w:id="902"/>
    </w:p>
    <w:p w:rsidR="00035426" w:rsidRDefault="00035426" w:rsidP="00035426">
      <w:r>
        <w:t>The Burnett Mary Region encompasses a land area of more than 56,000 km</w:t>
      </w:r>
      <w:r w:rsidRPr="00843009">
        <w:rPr>
          <w:vertAlign w:val="superscript"/>
        </w:rPr>
        <w:t>2</w:t>
      </w:r>
      <w:r>
        <w:t>, a marine area of almost 10,000 km</w:t>
      </w:r>
      <w:r w:rsidRPr="00843009">
        <w:rPr>
          <w:vertAlign w:val="superscript"/>
        </w:rPr>
        <w:t>2</w:t>
      </w:r>
      <w:r>
        <w:t xml:space="preserve"> and supports a population of over 200,000 people. The region is comprised of a number of catchments including the Baffle Creek, </w:t>
      </w:r>
      <w:proofErr w:type="spellStart"/>
      <w:r>
        <w:t>Kolan</w:t>
      </w:r>
      <w:proofErr w:type="spellEnd"/>
      <w:r>
        <w:t xml:space="preserve">, Burnett, </w:t>
      </w:r>
      <w:proofErr w:type="spellStart"/>
      <w:r>
        <w:t>Burrum</w:t>
      </w:r>
      <w:proofErr w:type="spellEnd"/>
      <w:r>
        <w:t xml:space="preserve"> and Mary Rivers (</w:t>
      </w:r>
      <w:hyperlink w:anchor="_ENREF_71" w:tooltip="Commonwealth of Australia, 2013 #9692" w:history="1">
        <w:r w:rsidR="00E6043D">
          <w:fldChar w:fldCharType="begin"/>
        </w:r>
        <w:r w:rsidR="00E6043D">
          <w:instrText xml:space="preserve"> ADDIN EN.CITE &lt;EndNote&gt;&lt;Cite&gt;&lt;Author&gt;Commonwealth of Australia&lt;/Author&gt;&lt;Year&gt;2013&lt;/Year&gt;&lt;RecNum&gt;9692&lt;/RecNum&gt;&lt;DisplayText&gt;Commonwealth of Australia 2013b&lt;/DisplayText&gt;&lt;record&gt;&lt;rec-number&gt;9692&lt;/rec-number&gt;&lt;foreign-keys&gt;&lt;key app="EN" db-id="0eve55x9y5vfd6e9dacxtew4eatve2dzds9a"&gt;9692&lt;/key&gt;&lt;/foreign-keys&gt;&lt;ref-type name="Web Page"&gt;12&lt;/ref-type&gt;&lt;contributors&gt;&lt;authors&gt;&lt;author&gt;Commonwealth of Australia,&lt;/author&gt;&lt;/authors&gt;&lt;/contributors&gt;&lt;titles&gt;&lt;title&gt;Burnett Mary Natural Resource Management region, http://www.nrm.gov.au/about/nrm/regions/qld-bmar.html&lt;/title&gt;&lt;/titles&gt;&lt;number&gt;18 February 2014&lt;/number&gt;&lt;dates&gt;&lt;year&gt;2013&lt;/year&gt;&lt;/dates&gt;&lt;urls&gt;&lt;related-urls&gt;&lt;url&gt;http://www.nrm.gov.au/about/nrm/regions/qld-fitz.html&lt;/url&gt;&lt;/related-urls&gt;&lt;/urls&gt;&lt;/record&gt;&lt;/Cite&gt;&lt;/EndNote&gt;</w:instrText>
        </w:r>
        <w:r w:rsidR="00E6043D">
          <w:fldChar w:fldCharType="separate"/>
        </w:r>
        <w:r w:rsidR="00E6043D">
          <w:rPr>
            <w:noProof/>
          </w:rPr>
          <w:t>Commonwealth of Australia 2013b</w:t>
        </w:r>
        <w:r w:rsidR="00E6043D">
          <w:fldChar w:fldCharType="end"/>
        </w:r>
      </w:hyperlink>
      <w:r>
        <w:t xml:space="preserve">). Only the northern most catchment of the Burnett Mary region, the Baffle Basin, is within the GBR and includes the tidal mudflats and mangroves in </w:t>
      </w:r>
      <w:proofErr w:type="spellStart"/>
      <w:r>
        <w:t>Rodds</w:t>
      </w:r>
      <w:proofErr w:type="spellEnd"/>
      <w:r>
        <w:t xml:space="preserve"> Peninsula/Turkey Beach considered ‘near pristine’ (</w:t>
      </w:r>
      <w:hyperlink w:anchor="_ENREF_26" w:tooltip="Burnett Mary Regional Group, 2005 #9693" w:history="1">
        <w:r w:rsidR="00E6043D">
          <w:fldChar w:fldCharType="begin"/>
        </w:r>
        <w:r w:rsidR="00E6043D">
          <w:instrText xml:space="preserve"> ADDIN EN.CITE &lt;EndNote&gt;&lt;Cite&gt;&lt;Author&gt;Burnett Mary Regional Group&lt;/Author&gt;&lt;Year&gt;2005&lt;/Year&gt;&lt;RecNum&gt;9693&lt;/RecNum&gt;&lt;DisplayText&gt;Burnett Mary Regional Group 2005&lt;/DisplayText&gt;&lt;record&gt;&lt;rec-number&gt;9693&lt;/rec-number&gt;&lt;foreign-keys&gt;&lt;key app="EN" db-id="0eve55x9y5vfd6e9dacxtew4eatve2dzds9a"&gt;9693&lt;/key&gt;&lt;/foreign-keys&gt;&lt;ref-type name="Book"&gt;6&lt;/ref-type&gt;&lt;contributors&gt;&lt;authors&gt;&lt;author&gt;Burnett Mary Regional Group,&lt;/author&gt;&lt;/authors&gt;&lt;/contributors&gt;&lt;titles&gt;&lt;title&gt;Country to Coast – A Healthy Sustainable Future Volume 1a  Background Report&lt;/title&gt;&lt;/titles&gt;&lt;pages&gt;235&lt;/pages&gt;&lt;dates&gt;&lt;year&gt;2005&lt;/year&gt;&lt;/dates&gt;&lt;pub-location&gt;Bundaberg, Qld&lt;/pub-location&gt;&lt;publisher&gt;Burnett Mary Regional Group&lt;/publisher&gt;&lt;isbn&gt;http://www.bmrg.org.au/files/9413/9407/2541/Vol1aBackgroundReport06Feb05.pdf&lt;/isbn&gt;&lt;urls&gt;&lt;/urls&gt;&lt;/record&gt;&lt;/Cite&gt;&lt;/EndNote&gt;</w:instrText>
        </w:r>
        <w:r w:rsidR="00E6043D">
          <w:fldChar w:fldCharType="separate"/>
        </w:r>
        <w:r w:rsidR="00E6043D">
          <w:rPr>
            <w:noProof/>
          </w:rPr>
          <w:t>Burnett Mary Regional Group 2005</w:t>
        </w:r>
        <w:r w:rsidR="00E6043D">
          <w:fldChar w:fldCharType="end"/>
        </w:r>
      </w:hyperlink>
      <w:r>
        <w:t xml:space="preserve">). </w:t>
      </w:r>
    </w:p>
    <w:p w:rsidR="00035426" w:rsidRDefault="00035426" w:rsidP="00035426">
      <w:r>
        <w:t>Principal land uses in the Burnett-Baffle area are beef cattle grazing (the largest though currently declining), small crop growers, forestry (including plantations), tourism and fishing (</w:t>
      </w:r>
      <w:hyperlink w:anchor="_ENREF_27" w:tooltip="Burnett Mary Regional Group, 2010 #9698" w:history="1">
        <w:r w:rsidR="00E6043D">
          <w:fldChar w:fldCharType="begin"/>
        </w:r>
        <w:r w:rsidR="00E6043D">
          <w:instrText xml:space="preserve"> ADDIN EN.CITE &lt;EndNote&gt;&lt;Cite&gt;&lt;Author&gt;Burnett Mary Regional Group&lt;/Author&gt;&lt;Year&gt;2010&lt;/Year&gt;&lt;RecNum&gt;9698&lt;/RecNum&gt;&lt;DisplayText&gt;Burnett Mary Regional Group 2010&lt;/DisplayText&gt;&lt;record&gt;&lt;rec-number&gt;9698&lt;/rec-number&gt;&lt;foreign-keys&gt;&lt;key app="EN" db-id="0eve55x9y5vfd6e9dacxtew4eatve2dzds9a"&gt;9698&lt;/key&gt;&lt;/foreign-keys&gt;&lt;ref-type name="Book"&gt;6&lt;/ref-type&gt;&lt;contributors&gt;&lt;authors&gt;&lt;author&gt;Burnett Mary Regional Group,&lt;/author&gt;&lt;/authors&gt;&lt;/contributors&gt;&lt;titles&gt;&lt;title&gt;Burnett-Baffle Water Quality Improvement Plan&lt;/title&gt;&lt;/titles&gt;&lt;pages&gt;54&lt;/pages&gt;&lt;dates&gt;&lt;year&gt;2010&lt;/year&gt;&lt;/dates&gt;&lt;pub-location&gt;Bundaberg&lt;/pub-location&gt;&lt;publisher&gt;Burnett Mary Regional Group&lt;/publisher&gt;&lt;urls&gt;&lt;/urls&gt;&lt;/record&gt;&lt;/Cite&gt;&lt;/EndNote&gt;</w:instrText>
        </w:r>
        <w:r w:rsidR="00E6043D">
          <w:fldChar w:fldCharType="separate"/>
        </w:r>
        <w:r w:rsidR="00E6043D">
          <w:rPr>
            <w:noProof/>
          </w:rPr>
          <w:t>Burnett Mary Regional Group 2010</w:t>
        </w:r>
        <w:r w:rsidR="00E6043D">
          <w:fldChar w:fldCharType="end"/>
        </w:r>
      </w:hyperlink>
      <w:r>
        <w:t>). Other significant land uses include conservation, rural and urban residential development (</w:t>
      </w:r>
      <w:hyperlink w:anchor="_ENREF_199" w:tooltip="Prange, 2004 #9697" w:history="1">
        <w:r w:rsidR="00E6043D">
          <w:fldChar w:fldCharType="begin"/>
        </w:r>
        <w:r w:rsidR="00E6043D">
          <w:instrText xml:space="preserve"> ADDIN EN.CITE &lt;EndNote&gt;&lt;Cite&gt;&lt;Author&gt;Prange&lt;/Author&gt;&lt;Year&gt;2004&lt;/Year&gt;&lt;RecNum&gt;9697&lt;/RecNum&gt;&lt;DisplayText&gt;Prange and Duke 2004&lt;/DisplayText&gt;&lt;record&gt;&lt;rec-number&gt;9697&lt;/rec-number&gt;&lt;foreign-keys&gt;&lt;key app="EN" db-id="0eve55x9y5vfd6e9dacxtew4eatve2dzds9a"&gt;9697&lt;/key&gt;&lt;/foreign-keys&gt;&lt;ref-type name="Book"&gt;6&lt;/ref-type&gt;&lt;contributors&gt;&lt;authors&gt;&lt;author&gt;Prange, J A&lt;/author&gt;&lt;author&gt;Duke, N C&lt;/author&gt;&lt;/authors&gt;&lt;/contributors&gt;&lt;titles&gt;&lt;title&gt;Burnett Mary Regional Assessment: Estuarine and Marine Water Quality and Wetland Habitats of the Burnett Mary Region. Report to Burnett Mary Regional Group for Natural Resource Management.&lt;/title&gt;&lt;/titles&gt;&lt;dates&gt;&lt;year&gt;2004&lt;/year&gt;&lt;/dates&gt;&lt;pub-location&gt;Brisbane&lt;/pub-location&gt;&lt;publisher&gt;Centre for Marine Studies, The University of Queensland&lt;/publisher&gt;&lt;urls&gt;&lt;/urls&gt;&lt;/record&gt;&lt;/Cite&gt;&lt;/EndNote&gt;</w:instrText>
        </w:r>
        <w:r w:rsidR="00E6043D">
          <w:fldChar w:fldCharType="separate"/>
        </w:r>
        <w:r w:rsidR="00E6043D">
          <w:rPr>
            <w:noProof/>
          </w:rPr>
          <w:t>Prange and Duke 2004</w:t>
        </w:r>
        <w:r w:rsidR="00E6043D">
          <w:fldChar w:fldCharType="end"/>
        </w:r>
      </w:hyperlink>
      <w:r>
        <w:t xml:space="preserve">). Located in the northern section of the region is </w:t>
      </w:r>
      <w:proofErr w:type="spellStart"/>
      <w:r>
        <w:t>Rodds</w:t>
      </w:r>
      <w:proofErr w:type="spellEnd"/>
      <w:r>
        <w:t xml:space="preserve"> Bay, where freshwater input is minor from seasonal flows in small catchments, and water quality generally good - little organic/inorganic pollution even though </w:t>
      </w:r>
      <w:proofErr w:type="spellStart"/>
      <w:r>
        <w:t>Rodds</w:t>
      </w:r>
      <w:proofErr w:type="spellEnd"/>
      <w:r>
        <w:t xml:space="preserve"> Harbour has elevated natural turbidity and minor increases in sediment loads from grazing and development (</w:t>
      </w:r>
      <w:hyperlink w:anchor="_ENREF_105" w:tooltip="Ford, 2004 #9699" w:history="1">
        <w:r w:rsidR="00E6043D">
          <w:fldChar w:fldCharType="begin"/>
        </w:r>
        <w:r w:rsidR="00E6043D">
          <w:instrText xml:space="preserve"> ADDIN EN.CITE &lt;EndNote&gt;&lt;Cite&gt;&lt;Author&gt;Ford&lt;/Author&gt;&lt;Year&gt;2004&lt;/Year&gt;&lt;RecNum&gt;9699&lt;/RecNum&gt;&lt;DisplayText&gt;Ford 2004&lt;/DisplayText&gt;&lt;record&gt;&lt;rec-number&gt;9699&lt;/rec-number&gt;&lt;foreign-keys&gt;&lt;key app="EN" db-id="0eve55x9y5vfd6e9dacxtew4eatve2dzds9a"&gt;9699&lt;/key&gt;&lt;/foreign-keys&gt;&lt;ref-type name="Web Page"&gt;12&lt;/ref-type&gt;&lt;contributors&gt;&lt;authors&gt;&lt;author&gt;Ford, G I&lt;/author&gt;&lt;/authors&gt;&lt;secondary-authors&gt;&lt;author&gt;Miller, G J&lt;/author&gt;&lt;author&gt;Worland, J L&lt;/author&gt;&lt;/secondary-authors&gt;&lt;/contributors&gt;&lt;titles&gt;&lt;title&gt;Colosseum Inlet - Rodds Bay - QLD129.&lt;/title&gt;&lt;secondary-title&gt;Directory of Important Wetlands in Australia - Information sheet&lt;/secondary-title&gt;&lt;/titles&gt;&lt;dates&gt;&lt;year&gt;2004&lt;/year&gt;&lt;/dates&gt;&lt;pub-location&gt;Canberra&lt;/pub-location&gt;&lt;publisher&gt;Department of Enivornment, Australian Government &lt;/publisher&gt;&lt;urls&gt;&lt;related-urls&gt;&lt;url&gt;http://www.environment.gov.au/node/25064&lt;/url&gt;&lt;/related-urls&gt;&lt;/urls&gt;&lt;/record&gt;&lt;/Cite&gt;&lt;/EndNote&gt;</w:instrText>
        </w:r>
        <w:r w:rsidR="00E6043D">
          <w:fldChar w:fldCharType="separate"/>
        </w:r>
        <w:r w:rsidR="00E6043D">
          <w:rPr>
            <w:noProof/>
          </w:rPr>
          <w:t>Ford 2004</w:t>
        </w:r>
        <w:r w:rsidR="00E6043D">
          <w:fldChar w:fldCharType="end"/>
        </w:r>
      </w:hyperlink>
      <w:r>
        <w:t>). The southern region includes the Mary River catchment (9181km²) and although outside the GBR Marine Park, is highly connected through oceanographic processes and plays a major driver of southern GBR ecosystems (</w:t>
      </w:r>
      <w:hyperlink w:anchor="_ENREF_28" w:tooltip="Burnett Mary Regional Group, 2013 #9696" w:history="1">
        <w:r w:rsidR="00E6043D">
          <w:fldChar w:fldCharType="begin"/>
        </w:r>
        <w:r w:rsidR="00E6043D">
          <w:instrText xml:space="preserve"> ADDIN EN.CITE &lt;EndNote&gt;&lt;Cite&gt;&lt;Author&gt;Burnett Mary Regional Group&lt;/Author&gt;&lt;Year&gt;2013&lt;/Year&gt;&lt;RecNum&gt;9696&lt;/RecNum&gt;&lt;DisplayText&gt;Burnett Mary Regional Group 2013&lt;/DisplayText&gt;&lt;record&gt;&lt;rec-number&gt;9696&lt;/rec-number&gt;&lt;foreign-keys&gt;&lt;key app="EN" db-id="0eve55x9y5vfd6e9dacxtew4eatve2dzds9a"&gt;9696&lt;/key&gt;&lt;/foreign-keys&gt;&lt;ref-type name="Book"&gt;6&lt;/ref-type&gt;&lt;contributors&gt;&lt;authors&gt;&lt;author&gt;Burnett Mary Regional Group,&lt;/author&gt;&lt;/authors&gt;&lt;/contributors&gt;&lt;titles&gt;&lt;title&gt;Wide Bay Burnett, Environment and Natural Resource Management Plan 2012-2031 - Regional targets to support the environment and sustainability framework of the Wide Bay Burnett Regional Plan&lt;/title&gt;&lt;/titles&gt;&lt;pages&gt;48&lt;/pages&gt;&lt;dates&gt;&lt;year&gt;2013&lt;/year&gt;&lt;/dates&gt;&lt;pub-location&gt;Bundaberg&lt;/pub-location&gt;&lt;publisher&gt;Burnett Mary Regional Group&lt;/publisher&gt;&lt;urls&gt;&lt;/urls&gt;&lt;/record&gt;&lt;/Cite&gt;&lt;/EndNote&gt;</w:instrText>
        </w:r>
        <w:r w:rsidR="00E6043D">
          <w:fldChar w:fldCharType="separate"/>
        </w:r>
        <w:r w:rsidR="00E6043D">
          <w:rPr>
            <w:noProof/>
          </w:rPr>
          <w:t>Burnett Mary Regional Group 2013</w:t>
        </w:r>
        <w:r w:rsidR="00E6043D">
          <w:fldChar w:fldCharType="end"/>
        </w:r>
      </w:hyperlink>
      <w:r>
        <w:t>). Grazing predominates and utilises 42% of the land area of the Mary catchment. High rainfall areas to the south and east host the majority of residential development, horticulture, and intensive livestock. Forestry and nature conservation, each of which occupies 18% of the catchment, are the second largest land uses, with intensive anthropogenic uses (residential, manufacturing, services, waste treatment, transport, and services) occupying 13% of the catchment area (</w:t>
      </w:r>
      <w:hyperlink w:anchor="_ENREF_236" w:tooltip="Walker, 2008 #9695" w:history="1">
        <w:r w:rsidR="00E6043D">
          <w:fldChar w:fldCharType="begin"/>
        </w:r>
        <w:r w:rsidR="00E6043D">
          <w:instrText xml:space="preserve"> ADDIN EN.CITE &lt;EndNote&gt;&lt;Cite&gt;&lt;Author&gt;Walker&lt;/Author&gt;&lt;Year&gt;2008&lt;/Year&gt;&lt;RecNum&gt;9695&lt;/RecNum&gt;&lt;DisplayText&gt;Walker and Esslemont 2008&lt;/DisplayText&gt;&lt;record&gt;&lt;rec-number&gt;9695&lt;/rec-number&gt;&lt;foreign-keys&gt;&lt;key app="EN" db-id="0eve55x9y5vfd6e9dacxtew4eatve2dzds9a"&gt;9695&lt;/key&gt;&lt;/foreign-keys&gt;&lt;ref-type name="Book"&gt;6&lt;/ref-type&gt;&lt;contributors&gt;&lt;authors&gt;&lt;author&gt;Walker, M&lt;/author&gt;&lt;author&gt;Esslemont, G&lt;/author&gt;&lt;/authors&gt;&lt;/contributors&gt;&lt;titles&gt;&lt;title&gt;Mary Water Quality Improvement Plan, Draft Version 1.2.&lt;/title&gt;&lt;/titles&gt;&lt;pages&gt;123&lt;/pages&gt;&lt;dates&gt;&lt;year&gt;2008&lt;/year&gt;&lt;/dates&gt;&lt;pub-location&gt;Bundaberg&lt;/pub-location&gt;&lt;publisher&gt;Wide Bay Water Corporation and Burnett Mary Regional Group for Natural Resource Management&lt;/publisher&gt;&lt;urls&gt;&lt;/urls&gt;&lt;/record&gt;&lt;/Cite&gt;&lt;/EndNote&gt;</w:instrText>
        </w:r>
        <w:r w:rsidR="00E6043D">
          <w:fldChar w:fldCharType="separate"/>
        </w:r>
        <w:r w:rsidR="00E6043D">
          <w:rPr>
            <w:noProof/>
          </w:rPr>
          <w:t>Walker and Esslemont 2008</w:t>
        </w:r>
        <w:r w:rsidR="00E6043D">
          <w:fldChar w:fldCharType="end"/>
        </w:r>
      </w:hyperlink>
      <w:r>
        <w:t>). Sediment, total nitrogen and total phosphorus exports from the Mary catchment to the coastal receiving waters are estimated to be 455 kt.yr</w:t>
      </w:r>
      <w:r w:rsidRPr="00843009">
        <w:rPr>
          <w:vertAlign w:val="superscript"/>
        </w:rPr>
        <w:t>-1</w:t>
      </w:r>
      <w:r>
        <w:t>, 1.541 kt.yr</w:t>
      </w:r>
      <w:r w:rsidRPr="00843009">
        <w:rPr>
          <w:vertAlign w:val="superscript"/>
        </w:rPr>
        <w:t>-1</w:t>
      </w:r>
      <w:r>
        <w:t xml:space="preserve"> and 0.344 kt.yr</w:t>
      </w:r>
      <w:r w:rsidRPr="00843009">
        <w:rPr>
          <w:vertAlign w:val="superscript"/>
        </w:rPr>
        <w:t>-1</w:t>
      </w:r>
      <w:r>
        <w:t>, respectively (</w:t>
      </w:r>
      <w:hyperlink w:anchor="_ENREF_93" w:tooltip="DeRose, 2002 #9694" w:history="1">
        <w:r w:rsidR="00E6043D">
          <w:fldChar w:fldCharType="begin"/>
        </w:r>
        <w:r w:rsidR="00E6043D">
          <w:instrText xml:space="preserve"> ADDIN EN.CITE &lt;EndNote&gt;&lt;Cite&gt;&lt;Author&gt;DeRose&lt;/Author&gt;&lt;Year&gt;2002&lt;/Year&gt;&lt;RecNum&gt;9694&lt;/RecNum&gt;&lt;DisplayText&gt;DeRose&lt;style face="italic"&gt; et al.&lt;/style&gt; 2002&lt;/DisplayText&gt;&lt;record&gt;&lt;rec-number&gt;9694&lt;/rec-number&gt;&lt;foreign-keys&gt;&lt;key app="EN" db-id="0eve55x9y5vfd6e9dacxtew4eatve2dzds9a"&gt;9694&lt;/key&gt;&lt;/foreign-keys&gt;&lt;ref-type name="Book"&gt;6&lt;/ref-type&gt;&lt;contributors&gt;&lt;authors&gt;&lt;author&gt;DeRose, R C&lt;/author&gt;&lt;author&gt;Prosser, I P&lt;/author&gt;&lt;author&gt;Wilkinson, L J&lt;/author&gt;&lt;author&gt;Hughes, A O&lt;/author&gt;&lt;author&gt;Young, W J&lt;/author&gt;&lt;/authors&gt;&lt;/contributors&gt;&lt;titles&gt;&lt;title&gt;Regional Patterns of Erosion and Sediment and Nutrient Transport in the Mary River Catchment, Queensland. Technical Report 37/02, August 2002.&lt;/title&gt;&lt;/titles&gt;&lt;dates&gt;&lt;year&gt;2002&lt;/year&gt;&lt;/dates&gt;&lt;pub-location&gt;Canberra&lt;/pub-location&gt;&lt;publisher&gt;CSIRO Land and Water&lt;/publisher&gt;&lt;urls&gt;&lt;/urls&gt;&lt;/record&gt;&lt;/Cite&gt;&lt;/EndNote&gt;</w:instrText>
        </w:r>
        <w:r w:rsidR="00E6043D">
          <w:fldChar w:fldCharType="separate"/>
        </w:r>
        <w:r w:rsidR="00E6043D">
          <w:rPr>
            <w:noProof/>
          </w:rPr>
          <w:t>DeRose</w:t>
        </w:r>
        <w:r w:rsidR="00E6043D" w:rsidRPr="00ED4C4C">
          <w:rPr>
            <w:i/>
            <w:noProof/>
          </w:rPr>
          <w:t xml:space="preserve"> et al.</w:t>
        </w:r>
        <w:r w:rsidR="00E6043D">
          <w:rPr>
            <w:noProof/>
          </w:rPr>
          <w:t xml:space="preserve"> 2002</w:t>
        </w:r>
        <w:r w:rsidR="00E6043D">
          <w:fldChar w:fldCharType="end"/>
        </w:r>
      </w:hyperlink>
      <w:r>
        <w:t>). Since European settlement, relative erosion rates in some sections of the Western Mary have increased 2 to 7 fold, and 4 to more than 14 fold in the Upper Mary (</w:t>
      </w:r>
      <w:hyperlink w:anchor="_ENREF_102" w:tooltip="Esslemont, 2006 #9701" w:history="1">
        <w:r w:rsidR="00E6043D">
          <w:fldChar w:fldCharType="begin"/>
        </w:r>
        <w:r w:rsidR="00E6043D">
          <w:instrText xml:space="preserve"> ADDIN EN.CITE &lt;EndNote&gt;&lt;Cite&gt;&lt;Author&gt;Esslemont&lt;/Author&gt;&lt;Year&gt;2006&lt;/Year&gt;&lt;RecNum&gt;9701&lt;/RecNum&gt;&lt;DisplayText&gt;Esslemont&lt;style face="italic"&gt; et al.&lt;/style&gt; 2006&lt;/DisplayText&gt;&lt;record&gt;&lt;rec-number&gt;9701&lt;/rec-number&gt;&lt;foreign-keys&gt;&lt;key app="EN" db-id="0eve55x9y5vfd6e9dacxtew4eatve2dzds9a"&gt;9701&lt;/key&gt;&lt;/foreign-keys&gt;&lt;ref-type name="Book"&gt;6&lt;/ref-type&gt;&lt;contributors&gt;&lt;authors&gt;&lt;author&gt;Esslemont, G.&lt;/author&gt;&lt;author&gt;Fentie, B&lt;/author&gt;&lt;author&gt;Negus, P&lt;/author&gt;&lt;author&gt;Marsh, N&lt;/author&gt;&lt;/authors&gt;&lt;/contributors&gt;&lt;titles&gt;&lt;title&gt;Burnett, Mary Regional Water Quality Summary. Water Quality State-Level Project, Brisbane&lt;/title&gt;&lt;/titles&gt;&lt;dates&gt;&lt;year&gt;2006&lt;/year&gt;&lt;/dates&gt;&lt;urls&gt;&lt;/urls&gt;&lt;/record&gt;&lt;/Cite&gt;&lt;/EndNote&gt;</w:instrText>
        </w:r>
        <w:r w:rsidR="00E6043D">
          <w:fldChar w:fldCharType="separate"/>
        </w:r>
        <w:r w:rsidR="00E6043D">
          <w:rPr>
            <w:noProof/>
          </w:rPr>
          <w:t>Esslemont</w:t>
        </w:r>
        <w:r w:rsidR="00E6043D" w:rsidRPr="00ED4C4C">
          <w:rPr>
            <w:i/>
            <w:noProof/>
          </w:rPr>
          <w:t xml:space="preserve"> et al.</w:t>
        </w:r>
        <w:r w:rsidR="00E6043D">
          <w:rPr>
            <w:noProof/>
          </w:rPr>
          <w:t xml:space="preserve"> 2006</w:t>
        </w:r>
        <w:r w:rsidR="00E6043D">
          <w:fldChar w:fldCharType="end"/>
        </w:r>
      </w:hyperlink>
      <w:r>
        <w:t xml:space="preserve">). </w:t>
      </w:r>
    </w:p>
    <w:p w:rsidR="00035426" w:rsidRDefault="00035426" w:rsidP="00035426">
      <w:r>
        <w:t>Seagrass in the region were first broadly surveyed in 1988 (</w:t>
      </w:r>
      <w:hyperlink w:anchor="_ENREF_143" w:tooltip="Lee Long, 1992 #678" w:history="1">
        <w:r w:rsidR="00E6043D">
          <w:fldChar w:fldCharType="begin"/>
        </w:r>
        <w:r w:rsidR="00E6043D">
          <w:instrText xml:space="preserve"> ADDIN EN.CITE &lt;EndNote&gt;&lt;Cite&gt;&lt;Author&gt;Lee Long&lt;/Author&gt;&lt;Year&gt;1992&lt;/Year&gt;&lt;RecNum&gt;678&lt;/RecNum&gt;&lt;DisplayText&gt;Lee Long&lt;style face="italic"&gt; et al.&lt;/style&gt; 1992&lt;/DisplayText&gt;&lt;record&gt;&lt;rec-number&gt;678&lt;/rec-number&gt;&lt;foreign-keys&gt;&lt;key app="EN" db-id="0eve55x9y5vfd6e9dacxtew4eatve2dzds9a"&gt;678&lt;/key&gt;&lt;/foreign-keys&gt;&lt;ref-type name="Book"&gt;6&lt;/ref-type&gt;&lt;contributors&gt;&lt;authors&gt;&lt;author&gt;Lee Long, Warren J.&lt;/author&gt;&lt;author&gt;Coles, Robert G.&lt;/author&gt;&lt;author&gt;Miller, K. J.&lt;/author&gt;&lt;author&gt;Vidler, K. P.&lt;/author&gt;&lt;author&gt;Derbyshire, Kurt J.&lt;/author&gt;&lt;/authors&gt;&lt;/contributors&gt;&lt;titles&gt;&lt;title&gt;Seagrass beds and juvenile prawn and fish nursery grounds: Water Park Point to Hervey Bay, Queensland&lt;/title&gt;&lt;secondary-title&gt;Queensland Department of Primary Industries Information Series&lt;/secondary-title&gt;&lt;/titles&gt;&lt;periodical&gt;&lt;full-title&gt;Queensland Department of Primary Industries Information Series&lt;/full-title&gt;&lt;/periodical&gt;&lt;pages&gt;39&lt;/pages&gt;&lt;dates&gt;&lt;year&gt;1992&lt;/year&gt;&lt;/dates&gt;&lt;pub-location&gt;Brisbane&lt;/pub-location&gt;&lt;publisher&gt;Queensland Department of Primary Industries&lt;/publisher&gt;&lt;label&gt;675&lt;/label&gt;&lt;urls&gt;&lt;/urls&gt;&lt;custom1&gt;Annex&lt;/custom1&gt;&lt;/record&gt;&lt;/Cite&gt;&lt;/EndNote&gt;</w:instrText>
        </w:r>
        <w:r w:rsidR="00E6043D">
          <w:fldChar w:fldCharType="separate"/>
        </w:r>
        <w:r w:rsidR="00E6043D">
          <w:rPr>
            <w:noProof/>
          </w:rPr>
          <w:t>Lee Long</w:t>
        </w:r>
        <w:r w:rsidR="00E6043D" w:rsidRPr="00ED4C4C">
          <w:rPr>
            <w:i/>
            <w:noProof/>
          </w:rPr>
          <w:t xml:space="preserve"> et al.</w:t>
        </w:r>
        <w:r w:rsidR="00E6043D">
          <w:rPr>
            <w:noProof/>
          </w:rPr>
          <w:t xml:space="preserve"> 1992</w:t>
        </w:r>
        <w:r w:rsidR="00E6043D">
          <w:fldChar w:fldCharType="end"/>
        </w:r>
      </w:hyperlink>
      <w:r>
        <w:t xml:space="preserve">) with the section north of </w:t>
      </w:r>
      <w:proofErr w:type="spellStart"/>
      <w:r>
        <w:t>Rodds</w:t>
      </w:r>
      <w:proofErr w:type="spellEnd"/>
      <w:r>
        <w:t xml:space="preserve"> Peninsula resurveyed at a </w:t>
      </w:r>
      <w:proofErr w:type="spellStart"/>
      <w:r>
        <w:t>finescale</w:t>
      </w:r>
      <w:proofErr w:type="spellEnd"/>
      <w:r>
        <w:t xml:space="preserve"> in 2002 (</w:t>
      </w:r>
      <w:hyperlink w:anchor="_ENREF_205" w:tooltip="Rasheed, 2003 #9496" w:history="1">
        <w:r w:rsidR="00E6043D">
          <w:fldChar w:fldCharType="begin"/>
        </w:r>
        <w:r w:rsidR="00E6043D">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E6043D">
          <w:fldChar w:fldCharType="separate"/>
        </w:r>
        <w:r w:rsidR="00E6043D">
          <w:rPr>
            <w:noProof/>
          </w:rPr>
          <w:t>Rasheed</w:t>
        </w:r>
        <w:r w:rsidR="00E6043D" w:rsidRPr="00ED4C4C">
          <w:rPr>
            <w:i/>
            <w:noProof/>
          </w:rPr>
          <w:t>, et al.</w:t>
        </w:r>
        <w:r w:rsidR="00E6043D">
          <w:rPr>
            <w:noProof/>
          </w:rPr>
          <w:t xml:space="preserve"> 2003</w:t>
        </w:r>
        <w:r w:rsidR="00E6043D">
          <w:fldChar w:fldCharType="end"/>
        </w:r>
      </w:hyperlink>
      <w:r>
        <w:t>).  Seven seagrass species have been reported in the Burnett Mary NRM region (</w:t>
      </w:r>
      <w:hyperlink w:anchor="_ENREF_178" w:tooltip="McKenzie, 2008 #9700" w:history="1">
        <w:r w:rsidR="00E6043D">
          <w:fldChar w:fldCharType="begin"/>
        </w:r>
        <w:r w:rsidR="00E6043D">
          <w:instrText xml:space="preserve"> ADDIN EN.CITE &lt;EndNote&gt;&lt;Cite&gt;&lt;Author&gt;McKenzie&lt;/Author&gt;&lt;Year&gt;2008&lt;/Year&gt;&lt;RecNum&gt;9700&lt;/RecNum&gt;&lt;DisplayText&gt;McKenzie and Yoshida 2008&lt;/DisplayText&gt;&lt;record&gt;&lt;rec-number&gt;9700&lt;/rec-number&gt;&lt;foreign-keys&gt;&lt;key app="EN" db-id="0eve55x9y5vfd6e9dacxtew4eatve2dzds9a"&gt;9700&lt;/key&gt;&lt;/foreign-keys&gt;&lt;ref-type name="Book"&gt;6&lt;/ref-type&gt;&lt;contributors&gt;&lt;authors&gt;&lt;author&gt;McKenzie, Len J&lt;/author&gt;&lt;author&gt;Yoshida, Rudi L&lt;/author&gt;&lt;/authors&gt;&lt;/contributors&gt;&lt;titles&gt;&lt;title&gt;Seagrass-Watch: Proceedings of a Workshop for Monitoring Seagrass Habitats in Hervey Bay and the Great Sandy Strait, Queensland. Urangan Community Centre, Hervey Bay Botanic Gardens, Hervey Bay, Queensland, 17th – 18th May 2008. &lt;/title&gt;&lt;/titles&gt;&lt;pages&gt;40&lt;/pages&gt;&lt;dates&gt;&lt;year&gt;2008&lt;/year&gt;&lt;/dates&gt;&lt;pub-location&gt;Cairns&lt;/pub-location&gt;&lt;publisher&gt;Seagrass-Watch HQ&lt;/publisher&gt;&lt;urls&gt;&lt;/urls&gt;&lt;/record&gt;&lt;/Cite&gt;&lt;/EndNote&gt;</w:instrText>
        </w:r>
        <w:r w:rsidR="00E6043D">
          <w:fldChar w:fldCharType="separate"/>
        </w:r>
        <w:r w:rsidR="00E6043D">
          <w:rPr>
            <w:noProof/>
          </w:rPr>
          <w:t>McKenzie and Yoshida 2008</w:t>
        </w:r>
        <w:r w:rsidR="00E6043D">
          <w:fldChar w:fldCharType="end"/>
        </w:r>
      </w:hyperlink>
      <w:r>
        <w:t>), five within the marine park boundary (</w:t>
      </w:r>
      <w:hyperlink w:anchor="_ENREF_47" w:tooltip="Coles, 2007 #9281" w:history="1">
        <w:r w:rsidR="00E6043D">
          <w:fldChar w:fldCharType="begin"/>
        </w:r>
        <w:r w:rsidR="00E6043D">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6043D">
          <w:fldChar w:fldCharType="separate"/>
        </w:r>
        <w:r w:rsidR="00E6043D">
          <w:rPr>
            <w:noProof/>
          </w:rPr>
          <w:t>Coles</w:t>
        </w:r>
        <w:r w:rsidR="00E6043D" w:rsidRPr="00ED4C4C">
          <w:rPr>
            <w:i/>
            <w:noProof/>
          </w:rPr>
          <w:t>, et al.</w:t>
        </w:r>
        <w:r w:rsidR="00E6043D">
          <w:rPr>
            <w:noProof/>
          </w:rPr>
          <w:t xml:space="preserve"> 2007</w:t>
        </w:r>
        <w:r w:rsidR="00E6043D">
          <w:fldChar w:fldCharType="end"/>
        </w:r>
      </w:hyperlink>
      <w:r>
        <w:t xml:space="preserve">). Meadows have been reported throughout the inlets protected from the south easterly winds and oceanic swell, and throughout Hervey Bay and the Great Sandy Strait. </w:t>
      </w:r>
      <w:r w:rsidR="00057C8D">
        <w:t xml:space="preserve">Very little </w:t>
      </w:r>
      <w:r>
        <w:t xml:space="preserve">seagrass has been mapped on the exposed coastline between Bustard Head to just north of Hervey Bay. Within the GBRWHA boundaries, the majority of seagrass meadows are within coastal and estuary habitats. South of the GBRWHA boundary in one of the largest single areas of seagrass resources on the eastern Australian seaboard </w:t>
      </w:r>
      <w:r w:rsidR="00057C8D">
        <w:t>(</w:t>
      </w:r>
      <w:hyperlink w:anchor="_ENREF_178" w:tooltip="McKenzie, 2008 #9700" w:history="1">
        <w:r w:rsidR="00E6043D">
          <w:fldChar w:fldCharType="begin"/>
        </w:r>
        <w:r w:rsidR="00E6043D">
          <w:instrText xml:space="preserve"> ADDIN EN.CITE &lt;EndNote&gt;&lt;Cite&gt;&lt;Author&gt;McKenzie&lt;/Author&gt;&lt;Year&gt;2008&lt;/Year&gt;&lt;RecNum&gt;9700&lt;/RecNum&gt;&lt;DisplayText&gt;McKenzie and Yoshida 2008&lt;/DisplayText&gt;&lt;record&gt;&lt;rec-number&gt;9700&lt;/rec-number&gt;&lt;foreign-keys&gt;&lt;key app="EN" db-id="0eve55x9y5vfd6e9dacxtew4eatve2dzds9a"&gt;9700&lt;/key&gt;&lt;/foreign-keys&gt;&lt;ref-type name="Book"&gt;6&lt;/ref-type&gt;&lt;contributors&gt;&lt;authors&gt;&lt;author&gt;McKenzie, Len J&lt;/author&gt;&lt;author&gt;Yoshida, Rudi L&lt;/author&gt;&lt;/authors&gt;&lt;/contributors&gt;&lt;titles&gt;&lt;title&gt;Seagrass-Watch: Proceedings of a Workshop for Monitoring Seagrass Habitats in Hervey Bay and the Great Sandy Strait, Queensland. Urangan Community Centre, Hervey Bay Botanic Gardens, Hervey Bay, Queensland, 17th – 18th May 2008. &lt;/title&gt;&lt;/titles&gt;&lt;pages&gt;40&lt;/pages&gt;&lt;dates&gt;&lt;year&gt;2008&lt;/year&gt;&lt;/dates&gt;&lt;pub-location&gt;Cairns&lt;/pub-location&gt;&lt;publisher&gt;Seagrass-Watch HQ&lt;/publisher&gt;&lt;urls&gt;&lt;/urls&gt;&lt;/record&gt;&lt;/Cite&gt;&lt;/EndNote&gt;</w:instrText>
        </w:r>
        <w:r w:rsidR="00E6043D">
          <w:fldChar w:fldCharType="separate"/>
        </w:r>
        <w:r w:rsidR="00E6043D">
          <w:rPr>
            <w:noProof/>
          </w:rPr>
          <w:t>McKenzie and Yoshida 2008</w:t>
        </w:r>
        <w:r w:rsidR="00E6043D">
          <w:fldChar w:fldCharType="end"/>
        </w:r>
      </w:hyperlink>
      <w:r w:rsidR="00057C8D">
        <w:t>)</w:t>
      </w:r>
      <w:r>
        <w:t xml:space="preserve">. The southern marine area of the Burnett Mary NRM region includes large meadows in </w:t>
      </w:r>
      <w:proofErr w:type="spellStart"/>
      <w:r>
        <w:t>deepwater</w:t>
      </w:r>
      <w:proofErr w:type="spellEnd"/>
      <w:r>
        <w:t xml:space="preserve">, coastal (including intertidal and shallow subtidal) and estuarine habitats </w:t>
      </w:r>
      <w:r w:rsidR="00057C8D">
        <w:t>(</w:t>
      </w:r>
      <w:hyperlink w:anchor="_ENREF_178" w:tooltip="McKenzie, 2008 #9700" w:history="1">
        <w:r w:rsidR="00E6043D">
          <w:fldChar w:fldCharType="begin"/>
        </w:r>
        <w:r w:rsidR="00E6043D">
          <w:instrText xml:space="preserve"> ADDIN EN.CITE &lt;EndNote&gt;&lt;Cite&gt;&lt;Author&gt;McKenzie&lt;/Author&gt;&lt;Year&gt;2008&lt;/Year&gt;&lt;RecNum&gt;9700&lt;/RecNum&gt;&lt;DisplayText&gt;McKenzie and Yoshida 2008&lt;/DisplayText&gt;&lt;record&gt;&lt;rec-number&gt;9700&lt;/rec-number&gt;&lt;foreign-keys&gt;&lt;key app="EN" db-id="0eve55x9y5vfd6e9dacxtew4eatve2dzds9a"&gt;9700&lt;/key&gt;&lt;/foreign-keys&gt;&lt;ref-type name="Book"&gt;6&lt;/ref-type&gt;&lt;contributors&gt;&lt;authors&gt;&lt;author&gt;McKenzie, Len J&lt;/author&gt;&lt;author&gt;Yoshida, Rudi L&lt;/author&gt;&lt;/authors&gt;&lt;/contributors&gt;&lt;titles&gt;&lt;title&gt;Seagrass-Watch: Proceedings of a Workshop for Monitoring Seagrass Habitats in Hervey Bay and the Great Sandy Strait, Queensland. Urangan Community Centre, Hervey Bay Botanic Gardens, Hervey Bay, Queensland, 17th – 18th May 2008. &lt;/title&gt;&lt;/titles&gt;&lt;pages&gt;40&lt;/pages&gt;&lt;dates&gt;&lt;year&gt;2008&lt;/year&gt;&lt;/dates&gt;&lt;pub-location&gt;Cairns&lt;/pub-location&gt;&lt;publisher&gt;Seagrass-Watch HQ&lt;/publisher&gt;&lt;urls&gt;&lt;/urls&gt;&lt;/record&gt;&lt;/Cite&gt;&lt;/EndNote&gt;</w:instrText>
        </w:r>
        <w:r w:rsidR="00E6043D">
          <w:fldChar w:fldCharType="separate"/>
        </w:r>
        <w:r w:rsidR="00E6043D">
          <w:rPr>
            <w:noProof/>
          </w:rPr>
          <w:t>McKenzie and Yoshida 2008</w:t>
        </w:r>
        <w:r w:rsidR="00E6043D">
          <w:fldChar w:fldCharType="end"/>
        </w:r>
      </w:hyperlink>
      <w:r w:rsidR="00057C8D">
        <w:t>)</w:t>
      </w:r>
      <w:r>
        <w:t>.</w:t>
      </w:r>
    </w:p>
    <w:p w:rsidR="00035426" w:rsidRDefault="00035426" w:rsidP="00035426">
      <w:r>
        <w:t>Meadows in the north of the Burnett Mary region generally face low levels of anthropogenic threat, and monitoring sites are located within Rodd’s Bay. The only other location that is monitored within this region is in the south, at Urangan (Hervey Bay). This location is adjacent to the Urangan marina and in close proximity to the mouth of the Mary River.</w:t>
      </w:r>
    </w:p>
    <w:p w:rsidR="00035426" w:rsidRDefault="00035426" w:rsidP="00035426">
      <w:r>
        <w:t>Estuarine habitats occur in bays that are protected from the south easterly-winds and consequent wave action. The seagrasses in this area must survive pulsed events of terrestrial run-off, sediment turbidity and drops in salinity. Estuary seagrasses in the region are susceptible to temperature related threats and desiccation due to the majority being intertidal (</w:t>
      </w:r>
      <w:r w:rsidR="00057C8D">
        <w:fldChar w:fldCharType="begin"/>
      </w:r>
      <w:r w:rsidR="00057C8D">
        <w:instrText xml:space="preserve"> REF _Ref442621068 \h </w:instrText>
      </w:r>
      <w:r w:rsidR="00057C8D">
        <w:fldChar w:fldCharType="separate"/>
      </w:r>
      <w:r w:rsidR="009C068F">
        <w:rPr>
          <w:color w:val="000000"/>
        </w:rPr>
        <w:t xml:space="preserve">Figure </w:t>
      </w:r>
      <w:r w:rsidR="009C068F">
        <w:rPr>
          <w:noProof/>
          <w:color w:val="000000"/>
        </w:rPr>
        <w:t>127</w:t>
      </w:r>
      <w:r w:rsidR="00057C8D">
        <w:fldChar w:fldCharType="end"/>
      </w:r>
      <w:r>
        <w:t>).</w:t>
      </w:r>
    </w:p>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lastRenderedPageBreak/>
        <w:drawing>
          <wp:inline distT="0" distB="0" distL="0" distR="0" wp14:anchorId="6132A185" wp14:editId="6E6B68E5">
            <wp:extent cx="5751195" cy="2173605"/>
            <wp:effectExtent l="0" t="0" r="1905" b="0"/>
            <wp:docPr id="1" name="Picture 1" descr="Conceptual diagram of seagrass meadow processes for estuarine habitats in the Burnett Mary region showing major control is shelter from winds and physical disturb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urnett_Mary_estuary"/>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5751195" cy="2173605"/>
                    </a:xfrm>
                    <a:prstGeom prst="rect">
                      <a:avLst/>
                    </a:prstGeom>
                    <a:noFill/>
                    <a:ln>
                      <a:noFill/>
                    </a:ln>
                  </pic:spPr>
                </pic:pic>
              </a:graphicData>
            </a:graphic>
          </wp:inline>
        </w:drawing>
      </w:r>
    </w:p>
    <w:p w:rsidR="00035426" w:rsidRDefault="00035426" w:rsidP="00035426">
      <w:pPr>
        <w:spacing w:before="0" w:after="0"/>
        <w:rPr>
          <w:i/>
          <w:vanish/>
          <w:color w:val="000000"/>
          <w:szCs w:val="22"/>
          <w:specVanish/>
        </w:rPr>
      </w:pPr>
      <w:bookmarkStart w:id="903" w:name="_Ref442621068"/>
      <w:bookmarkStart w:id="904" w:name="_Toc462684967"/>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127</w:t>
      </w:r>
      <w:r w:rsidR="0073595B">
        <w:rPr>
          <w:color w:val="000000"/>
        </w:rPr>
        <w:fldChar w:fldCharType="end"/>
      </w:r>
      <w:bookmarkEnd w:id="903"/>
      <w:r>
        <w:rPr>
          <w:color w:val="000000"/>
        </w:rPr>
        <w:t xml:space="preserve">. </w:t>
      </w:r>
      <w:r>
        <w:rPr>
          <w:i/>
          <w:color w:val="000000"/>
        </w:rPr>
        <w:t>Conceptual diagram of Estuary habitat in the GBR section of the Burnett Mary region</w:t>
      </w:r>
      <w:bookmarkEnd w:id="904"/>
    </w:p>
    <w:p w:rsidR="00035426" w:rsidRDefault="00035426" w:rsidP="00035426">
      <w:pPr>
        <w:spacing w:before="0" w:after="0"/>
        <w:rPr>
          <w:color w:val="000000"/>
        </w:rPr>
      </w:pPr>
      <w:r>
        <w:rPr>
          <w:i/>
          <w:color w:val="000000"/>
        </w:rPr>
        <w:t xml:space="preserve"> – </w:t>
      </w:r>
      <w:proofErr w:type="gramStart"/>
      <w:r>
        <w:rPr>
          <w:i/>
          <w:color w:val="000000"/>
        </w:rPr>
        <w:t>major</w:t>
      </w:r>
      <w:proofErr w:type="gramEnd"/>
      <w:r>
        <w:rPr>
          <w:i/>
          <w:color w:val="000000"/>
        </w:rPr>
        <w:t xml:space="preserve"> control is shelter from winds and physical disturbance: general habitat and seagrass meadow processes (see </w:t>
      </w:r>
      <w:r w:rsidR="00057C8D">
        <w:fldChar w:fldCharType="begin"/>
      </w:r>
      <w:r w:rsidR="00057C8D">
        <w:rPr>
          <w:i/>
          <w:color w:val="000000"/>
        </w:rPr>
        <w:instrText xml:space="preserve"> REF _Ref442553728 \h </w:instrText>
      </w:r>
      <w:r w:rsidR="00057C8D">
        <w:fldChar w:fldCharType="separate"/>
      </w:r>
      <w:r w:rsidR="009C068F">
        <w:rPr>
          <w:color w:val="000000"/>
          <w:szCs w:val="22"/>
        </w:rPr>
        <w:t xml:space="preserve">Figure </w:t>
      </w:r>
      <w:r w:rsidR="009C068F">
        <w:rPr>
          <w:noProof/>
          <w:color w:val="000000"/>
          <w:szCs w:val="22"/>
        </w:rPr>
        <w:t>128</w:t>
      </w:r>
      <w:r w:rsidR="00057C8D">
        <w:fldChar w:fldCharType="end"/>
      </w:r>
      <w:r>
        <w:rPr>
          <w:i/>
          <w:color w:val="000000"/>
        </w:rPr>
        <w:t xml:space="preserve"> for icon explanation).</w:t>
      </w:r>
      <w:r>
        <w:rPr>
          <w:color w:val="000000"/>
        </w:rPr>
        <w:t xml:space="preserve"> </w:t>
      </w:r>
    </w:p>
    <w:p w:rsidR="00035426" w:rsidRDefault="00035426" w:rsidP="008A429D"/>
    <w:p w:rsidR="00035426" w:rsidRDefault="00035426" w:rsidP="008A429D"/>
    <w:p w:rsidR="00035426" w:rsidRDefault="00035426" w:rsidP="008A429D"/>
    <w:p w:rsidR="00035426" w:rsidRDefault="00035426">
      <w:pPr>
        <w:spacing w:before="0" w:after="0"/>
      </w:pPr>
      <w:r>
        <w:br w:type="page"/>
      </w:r>
    </w:p>
    <w:p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lastRenderedPageBreak/>
        <w:drawing>
          <wp:inline distT="0" distB="0" distL="0" distR="0" wp14:anchorId="29A40384" wp14:editId="1427AF34">
            <wp:extent cx="5141595" cy="7550785"/>
            <wp:effectExtent l="0" t="0" r="1905" b="0"/>
            <wp:docPr id="4" name="Picture 4" descr="Key to symbols used for conceptual diagrams detailing drivers and pressures to seagr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MP - symbol legend"/>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5141595" cy="7550785"/>
                    </a:xfrm>
                    <a:prstGeom prst="rect">
                      <a:avLst/>
                    </a:prstGeom>
                    <a:noFill/>
                    <a:ln>
                      <a:noFill/>
                    </a:ln>
                  </pic:spPr>
                </pic:pic>
              </a:graphicData>
            </a:graphic>
          </wp:inline>
        </w:drawing>
      </w:r>
    </w:p>
    <w:p w:rsidR="00035426" w:rsidRDefault="00035426" w:rsidP="00035426">
      <w:pPr>
        <w:rPr>
          <w:i/>
          <w:color w:val="000000"/>
          <w:szCs w:val="22"/>
        </w:rPr>
      </w:pPr>
      <w:bookmarkStart w:id="905" w:name="_Ref442553728"/>
      <w:bookmarkStart w:id="906" w:name="_Toc462684968"/>
      <w:r>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128</w:t>
      </w:r>
      <w:r w:rsidR="0073595B">
        <w:rPr>
          <w:color w:val="000000"/>
          <w:szCs w:val="22"/>
        </w:rPr>
        <w:fldChar w:fldCharType="end"/>
      </w:r>
      <w:bookmarkEnd w:id="905"/>
      <w:r>
        <w:rPr>
          <w:color w:val="000000"/>
          <w:szCs w:val="22"/>
        </w:rPr>
        <w:t>.</w:t>
      </w:r>
      <w:r>
        <w:rPr>
          <w:i/>
          <w:color w:val="000000"/>
          <w:szCs w:val="22"/>
        </w:rPr>
        <w:t xml:space="preserve"> Key to symbols used for conceptual diagrams detailing </w:t>
      </w:r>
      <w:r w:rsidR="00057C8D">
        <w:rPr>
          <w:i/>
          <w:color w:val="000000"/>
          <w:szCs w:val="22"/>
        </w:rPr>
        <w:t>drivers and pressures</w:t>
      </w:r>
      <w:r>
        <w:rPr>
          <w:i/>
          <w:color w:val="000000"/>
          <w:szCs w:val="22"/>
        </w:rPr>
        <w:t xml:space="preserve"> to seagrasses.</w:t>
      </w:r>
      <w:bookmarkEnd w:id="906"/>
    </w:p>
    <w:p w:rsidR="00035426" w:rsidRDefault="00035426" w:rsidP="008A429D"/>
    <w:p w:rsidR="00902825" w:rsidRDefault="00902825" w:rsidP="00EB7436"/>
    <w:p w:rsidR="00902825" w:rsidRDefault="00902825" w:rsidP="00EB7436"/>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EB7436" w:rsidRPr="00902825" w:rsidRDefault="00EB7436" w:rsidP="00F12624">
      <w:pPr>
        <w:pStyle w:val="Heading1"/>
        <w:pageBreakBefore w:val="0"/>
        <w:ind w:left="431" w:hanging="431"/>
      </w:pPr>
      <w:bookmarkStart w:id="907" w:name="_Toc462047383"/>
      <w:r>
        <w:t>Material</w:t>
      </w:r>
      <w:r w:rsidR="00902825">
        <w:t>s</w:t>
      </w:r>
      <w:r>
        <w:t xml:space="preserve"> and Methods</w:t>
      </w:r>
      <w:bookmarkEnd w:id="907"/>
    </w:p>
    <w:p w:rsidR="00EB7436" w:rsidRDefault="00EB7436" w:rsidP="00EB7436"/>
    <w:p w:rsidR="00035426" w:rsidRDefault="00035426" w:rsidP="008A429D"/>
    <w:p w:rsidR="00EB7436" w:rsidRDefault="00EB7436" w:rsidP="008A429D"/>
    <w:p w:rsidR="00EB7436" w:rsidRDefault="00EB7436" w:rsidP="008A429D"/>
    <w:p w:rsidR="00EB7436" w:rsidRDefault="00EB7436" w:rsidP="008A429D"/>
    <w:p w:rsidR="00BC33E3" w:rsidRPr="008D6EF3" w:rsidRDefault="008A429D" w:rsidP="005752EE">
      <w:r>
        <w:rPr>
          <w:color w:val="000000"/>
          <w:szCs w:val="22"/>
        </w:rPr>
        <w:br w:type="page"/>
      </w:r>
    </w:p>
    <w:p w:rsidR="00F823E3" w:rsidRDefault="00F823E3" w:rsidP="00F823E3">
      <w:r>
        <w:lastRenderedPageBreak/>
        <w:t xml:space="preserve">The following section includes excerpts from McKenzie </w:t>
      </w:r>
      <w:r w:rsidRPr="00F823E3">
        <w:rPr>
          <w:i/>
        </w:rPr>
        <w:t>et al.</w:t>
      </w:r>
      <w:r>
        <w:t xml:space="preserve"> (</w:t>
      </w:r>
      <w:hyperlink w:anchor="_ENREF_161" w:tooltip="McKenzie, 2014 #10060" w:history="1">
        <w:r w:rsidR="00E6043D">
          <w:fldChar w:fldCharType="begin"/>
        </w:r>
        <w:r w:rsidR="00E6043D">
          <w:instrText xml:space="preserve"> ADDIN EN.CITE &lt;EndNote&gt;&lt;Cite ExcludeAuth="1"&gt;&lt;Year&gt;2014&lt;/Year&gt;&lt;RecNum&gt;10060&lt;/RecNum&gt;&lt;DisplayText&gt;2014a&lt;/DisplayText&gt;&lt;record&gt;&lt;rec-number&gt;10060&lt;/rec-number&gt;&lt;foreign-keys&gt;&lt;key app="EN" db-id="0eve55x9y5vfd6e9dacxtew4eatve2dzds9a"&gt;10060&lt;/key&gt;&lt;/foreign-keys&gt;&lt;ref-type name="Book Section"&gt;5&lt;/ref-type&gt;&lt;contributors&gt;&lt;authors&gt;&lt;author&gt;McKenzie, Len&lt;/author&gt;&lt;author&gt;Waycott, Michelle &lt;/author&gt;&lt;author&gt;Unsworth, Richard &lt;/author&gt;&lt;author&gt;Collier, Catherine &lt;/author&gt;&lt;/authors&gt;&lt;secondary-authors&gt;&lt;author&gt;Great Barrier Reef Marine Park Authority,&lt;/author&gt;&lt;/secondary-authors&gt;&lt;/contributors&gt;&lt;titles&gt;&lt;title&gt;Inshore seagrass monitoring&lt;/title&gt;&lt;secondary-title&gt;Reef rescue marine monitoring program quality assurance and quality control manual. 2013/14&lt;/secondary-title&gt;&lt;/titles&gt;&lt;pages&gt;75-90&lt;/pages&gt;&lt;section&gt;7&lt;/section&gt;&lt;dates&gt;&lt;year&gt;2014&lt;/year&gt;&lt;/dates&gt;&lt;pub-location&gt;Townsville&lt;/pub-location&gt;&lt;publisher&gt;GBRMPA&lt;/publisher&gt;&lt;urls&gt;&lt;/urls&gt;&lt;/record&gt;&lt;/Cite&gt;&lt;/EndNote&gt;</w:instrText>
        </w:r>
        <w:r w:rsidR="00E6043D">
          <w:fldChar w:fldCharType="separate"/>
        </w:r>
        <w:r w:rsidR="00E6043D">
          <w:rPr>
            <w:noProof/>
          </w:rPr>
          <w:t>2014a</w:t>
        </w:r>
        <w:r w:rsidR="00E6043D">
          <w:fldChar w:fldCharType="end"/>
        </w:r>
      </w:hyperlink>
      <w:r>
        <w:t>).</w:t>
      </w:r>
    </w:p>
    <w:p w:rsidR="005752EE" w:rsidRPr="005752EE" w:rsidRDefault="005752EE" w:rsidP="005752EE">
      <w:pPr>
        <w:pStyle w:val="Heading2"/>
      </w:pPr>
      <w:bookmarkStart w:id="908" w:name="_Toc261013310"/>
      <w:bookmarkStart w:id="909" w:name="_Toc294781728"/>
      <w:bookmarkStart w:id="910" w:name="_Toc321383794"/>
      <w:bookmarkStart w:id="911" w:name="_Toc387600766"/>
      <w:bookmarkStart w:id="912" w:name="_Toc462047384"/>
      <w:r w:rsidRPr="005752EE">
        <w:t>Sampling design</w:t>
      </w:r>
      <w:bookmarkEnd w:id="908"/>
      <w:bookmarkEnd w:id="909"/>
      <w:bookmarkEnd w:id="910"/>
      <w:bookmarkEnd w:id="911"/>
      <w:bookmarkEnd w:id="912"/>
    </w:p>
    <w:p w:rsidR="005752EE" w:rsidRPr="00EB7436" w:rsidRDefault="005752EE" w:rsidP="005752EE">
      <w:pPr>
        <w:rPr>
          <w:rFonts w:cs="Segoe UI"/>
        </w:rPr>
      </w:pPr>
      <w:r w:rsidRPr="00EB7436">
        <w:rPr>
          <w:rFonts w:cs="Segoe UI"/>
        </w:rPr>
        <w:t>In late 2004 all data collected within the GBR region as part of existing monitoring programs were supplied to a Senior Statistician at AIMS for independent review (</w:t>
      </w:r>
      <w:hyperlink w:anchor="_ENREF_84" w:tooltip="De’ath, 2005 #9495" w:history="1">
        <w:r w:rsidR="00E6043D">
          <w:rPr>
            <w:rFonts w:cs="Segoe UI"/>
          </w:rPr>
          <w:fldChar w:fldCharType="begin"/>
        </w:r>
        <w:r w:rsidR="00E6043D">
          <w:rPr>
            <w:rFonts w:cs="Segoe UI"/>
          </w:rPr>
          <w:instrText xml:space="preserve"> ADDIN EN.CITE &lt;EndNote&gt;&lt;Cite&gt;&lt;Author&gt;De’ath&lt;/Author&gt;&lt;Year&gt;2005&lt;/Year&gt;&lt;RecNum&gt;9495&lt;/RecNum&gt;&lt;DisplayText&gt;De’ath 2005&lt;/DisplayText&gt;&lt;record&gt;&lt;rec-number&gt;9495&lt;/rec-number&gt;&lt;foreign-keys&gt;&lt;key app="EN" db-id="0eve55x9y5vfd6e9dacxtew4eatve2dzds9a"&gt;9495&lt;/key&gt;&lt;/foreign-keys&gt;&lt;ref-type name="Book"&gt;6&lt;/ref-type&gt;&lt;contributors&gt;&lt;authors&gt;&lt;author&gt;De’ath, G&lt;/author&gt;&lt;/authors&gt;&lt;/contributors&gt;&lt;titles&gt;&lt;title&gt;Water Quality Monitoring: From River to Reef&lt;/title&gt;&lt;/titles&gt;&lt;pages&gt;108&lt;/pages&gt;&lt;dates&gt;&lt;year&gt;2005&lt;/year&gt;&lt;/dates&gt;&lt;pub-location&gt;Townsville&lt;/pub-location&gt;&lt;publisher&gt;AIMS&lt;/publisher&gt;&lt;urls&gt;&lt;/urls&gt;&lt;/record&gt;&lt;/Cite&gt;&lt;/EndNote&gt;</w:instrText>
        </w:r>
        <w:r w:rsidR="00E6043D">
          <w:rPr>
            <w:rFonts w:cs="Segoe UI"/>
          </w:rPr>
          <w:fldChar w:fldCharType="separate"/>
        </w:r>
        <w:r w:rsidR="00E6043D">
          <w:rPr>
            <w:rFonts w:cs="Segoe UI"/>
            <w:noProof/>
          </w:rPr>
          <w:t>De’ath 2005</w:t>
        </w:r>
        <w:r w:rsidR="00E6043D">
          <w:rPr>
            <w:rFonts w:cs="Segoe UI"/>
          </w:rPr>
          <w:fldChar w:fldCharType="end"/>
        </w:r>
      </w:hyperlink>
      <w:r w:rsidRPr="00EB7436">
        <w:rPr>
          <w:rFonts w:cs="Segoe UI"/>
        </w:rPr>
        <w:t xml:space="preserve">) examined the available datasets to estimate expected performance with regard to detecting long-term changes (including estimates of precision for annual mean, differences in means and linear trends) of the monitoring program. Seagrass data included in the analyses was collected from 2000–2004 and across 63 sites in 29 locations from Cooktown to Hervey Bay. Results concluded that the existing spatial and temporal coverage of monitoring was providing valuable information about long-term trends and spatial differences, with changes in seagrass cover occurring at various spatial and temporal scales. The report recommended that the value of the monitoring would be greatly enhanced by adding more widely spread locations. Therefore additional meadows were added according to criteria listed in materials and methods. </w:t>
      </w:r>
    </w:p>
    <w:p w:rsidR="005752EE" w:rsidRDefault="005752EE" w:rsidP="005752EE">
      <w:pPr>
        <w:rPr>
          <w:rFonts w:cs="Segoe UI"/>
        </w:rPr>
      </w:pPr>
      <w:r w:rsidRPr="00EB7436">
        <w:rPr>
          <w:rFonts w:cs="Segoe UI"/>
        </w:rPr>
        <w:t>The sampling design was selected to detect change in inshore seagrass community status to compare with seagrass environmental status (water quality) in relation to specific catchments or groups of catchments (NRM region). Within each region, a relatively homogenous section of a representative seagrass meadow is selected to represent each of the seagrass habitats present (estuarine, coastal, reef) (Habitat(Region)). To account for spatial heterogeneity, two sites were selected within each location (Site[Habitat(Region)]). Subtidal sites were not replicated within locations. Within each site, finer scale variability is accounted for by using three 50 m transects nested in each site. An intertidal site is defined as a 50mx50m area. The sampling strategy for subtidal sites was modified to sample along 50m transects 2-3 m apart (aligned along the depth contour) due to logistical purposes of SCUBA diving in often poor visibility. At each site, monitoring is conducted during the late-monsoon (April) and late-dry (October) periods each year; additional sampling is conducted at more accessible locations in the dry (July) and monsoon (January).</w:t>
      </w:r>
    </w:p>
    <w:p w:rsidR="005752EE" w:rsidRDefault="005752EE" w:rsidP="005752EE">
      <w:pPr>
        <w:rPr>
          <w:rFonts w:cs="Segoe UI"/>
        </w:rPr>
      </w:pPr>
    </w:p>
    <w:p w:rsidR="005752EE" w:rsidRDefault="005752EE" w:rsidP="005752EE">
      <w:pPr>
        <w:rPr>
          <w:rFonts w:cs="Segoe UI"/>
        </w:rPr>
      </w:pPr>
    </w:p>
    <w:p w:rsidR="005752EE" w:rsidRDefault="005752EE" w:rsidP="005752EE">
      <w:pPr>
        <w:spacing w:before="0" w:after="0"/>
        <w:rPr>
          <w:rFonts w:cs="Segoe UI"/>
        </w:rPr>
        <w:sectPr w:rsidR="005752EE">
          <w:pgSz w:w="11906" w:h="16838"/>
          <w:pgMar w:top="1418" w:right="1418" w:bottom="1418" w:left="1418" w:header="709" w:footer="709" w:gutter="0"/>
          <w:cols w:space="720"/>
        </w:sectPr>
      </w:pPr>
    </w:p>
    <w:p w:rsidR="005752EE" w:rsidRPr="00460FB1" w:rsidRDefault="005752EE" w:rsidP="005752EE">
      <w:pPr>
        <w:spacing w:before="0" w:after="0"/>
        <w:rPr>
          <w:i/>
          <w:color w:val="000000"/>
          <w:sz w:val="20"/>
        </w:rPr>
      </w:pPr>
      <w:bookmarkStart w:id="913" w:name="_Ref442523235"/>
      <w:bookmarkStart w:id="914" w:name="_Toc462685099"/>
      <w:r>
        <w:rPr>
          <w:color w:val="000000"/>
          <w:szCs w:val="22"/>
        </w:rPr>
        <w:lastRenderedPageBreak/>
        <w:t xml:space="preserve">Table </w:t>
      </w:r>
      <w:r>
        <w:fldChar w:fldCharType="begin"/>
      </w:r>
      <w:r>
        <w:rPr>
          <w:color w:val="000000"/>
          <w:szCs w:val="22"/>
        </w:rPr>
        <w:instrText xml:space="preserve"> SEQ Table \* ARABIC </w:instrText>
      </w:r>
      <w:r>
        <w:fldChar w:fldCharType="separate"/>
      </w:r>
      <w:r w:rsidR="009C068F">
        <w:rPr>
          <w:noProof/>
          <w:color w:val="000000"/>
          <w:szCs w:val="22"/>
        </w:rPr>
        <w:t>30</w:t>
      </w:r>
      <w:r>
        <w:fldChar w:fldCharType="end"/>
      </w:r>
      <w:bookmarkEnd w:id="913"/>
      <w:r>
        <w:rPr>
          <w:color w:val="000000"/>
          <w:szCs w:val="22"/>
        </w:rPr>
        <w:t xml:space="preserve">. </w:t>
      </w:r>
      <w:r>
        <w:rPr>
          <w:i/>
          <w:color w:val="000000"/>
          <w:szCs w:val="22"/>
        </w:rPr>
        <w:t xml:space="preserve">Samples collected at each </w:t>
      </w:r>
      <w:r w:rsidR="00D01BD7">
        <w:rPr>
          <w:i/>
          <w:color w:val="000000"/>
          <w:szCs w:val="22"/>
        </w:rPr>
        <w:t xml:space="preserve">MMP </w:t>
      </w:r>
      <w:r>
        <w:rPr>
          <w:i/>
          <w:color w:val="000000"/>
          <w:szCs w:val="22"/>
        </w:rPr>
        <w:t xml:space="preserve">inshore monitoring site per parameter for each season. </w:t>
      </w:r>
      <w:r w:rsidRPr="00460FB1">
        <w:rPr>
          <w:i/>
          <w:color w:val="000000"/>
          <w:sz w:val="20"/>
        </w:rPr>
        <w:t>Activities include: SG = seagrass cover &amp; composition, SM=seed monitoring, TN=tissue nutrients, EM=edge mapping, RH=reproductive health, TL=temperature loggers, LL=light loggers, SH=sediment herbicides. ^=subtidal.</w:t>
      </w:r>
      <w:bookmarkEnd w:id="914"/>
      <w:r w:rsidRPr="00460FB1">
        <w:rPr>
          <w:i/>
          <w:color w:val="000000"/>
          <w:sz w:val="20"/>
        </w:rPr>
        <w:t xml:space="preserve"> </w:t>
      </w:r>
    </w:p>
    <w:tbl>
      <w:tblPr>
        <w:tblW w:w="13590" w:type="dxa"/>
        <w:jc w:val="center"/>
        <w:tblLayout w:type="fixed"/>
        <w:tblLook w:val="04A0" w:firstRow="1" w:lastRow="0" w:firstColumn="1" w:lastColumn="0" w:noHBand="0" w:noVBand="1"/>
      </w:tblPr>
      <w:tblGrid>
        <w:gridCol w:w="1148"/>
        <w:gridCol w:w="1294"/>
        <w:gridCol w:w="1299"/>
        <w:gridCol w:w="1307"/>
        <w:gridCol w:w="840"/>
        <w:gridCol w:w="555"/>
        <w:gridCol w:w="543"/>
        <w:gridCol w:w="540"/>
        <w:gridCol w:w="536"/>
        <w:gridCol w:w="540"/>
        <w:gridCol w:w="529"/>
        <w:gridCol w:w="559"/>
        <w:gridCol w:w="559"/>
        <w:gridCol w:w="559"/>
        <w:gridCol w:w="559"/>
        <w:gridCol w:w="559"/>
        <w:gridCol w:w="559"/>
        <w:gridCol w:w="559"/>
        <w:gridCol w:w="546"/>
      </w:tblGrid>
      <w:tr w:rsidR="005752EE" w:rsidTr="00E150BC">
        <w:trPr>
          <w:cantSplit/>
          <w:trHeight w:val="251"/>
          <w:jc w:val="center"/>
        </w:trPr>
        <w:tc>
          <w:tcPr>
            <w:tcW w:w="1150" w:type="dxa"/>
            <w:vMerge w:val="restart"/>
            <w:tcBorders>
              <w:top w:val="single" w:sz="4" w:space="0" w:color="auto"/>
              <w:left w:val="nil"/>
              <w:bottom w:val="nil"/>
              <w:right w:val="nil"/>
            </w:tcBorders>
            <w:shd w:val="clear" w:color="auto" w:fill="BBE0E3"/>
            <w:noWrap/>
            <w:vAlign w:val="center"/>
            <w:hideMark/>
          </w:tcPr>
          <w:p w:rsidR="005752EE" w:rsidRDefault="005752EE" w:rsidP="00E150BC">
            <w:pPr>
              <w:spacing w:before="0" w:after="0"/>
              <w:jc w:val="center"/>
              <w:rPr>
                <w:b/>
                <w:bCs/>
                <w:color w:val="000000"/>
                <w:sz w:val="14"/>
                <w:szCs w:val="14"/>
              </w:rPr>
            </w:pPr>
            <w:r>
              <w:rPr>
                <w:b/>
                <w:bCs/>
                <w:color w:val="000000"/>
                <w:sz w:val="14"/>
                <w:szCs w:val="14"/>
              </w:rPr>
              <w:t>Sector</w:t>
            </w:r>
          </w:p>
        </w:tc>
        <w:tc>
          <w:tcPr>
            <w:tcW w:w="1296" w:type="dxa"/>
            <w:vMerge w:val="restart"/>
            <w:tcBorders>
              <w:top w:val="single" w:sz="4" w:space="0" w:color="auto"/>
              <w:left w:val="nil"/>
              <w:bottom w:val="nil"/>
              <w:right w:val="nil"/>
            </w:tcBorders>
            <w:shd w:val="clear" w:color="auto" w:fill="BBE0E3"/>
            <w:noWrap/>
            <w:vAlign w:val="center"/>
            <w:hideMark/>
          </w:tcPr>
          <w:p w:rsidR="005752EE" w:rsidRDefault="005752EE" w:rsidP="00E150BC">
            <w:pPr>
              <w:spacing w:before="0" w:after="0"/>
              <w:jc w:val="center"/>
              <w:rPr>
                <w:b/>
                <w:bCs/>
                <w:color w:val="000000"/>
                <w:sz w:val="14"/>
                <w:szCs w:val="14"/>
              </w:rPr>
            </w:pPr>
            <w:r>
              <w:rPr>
                <w:b/>
                <w:bCs/>
                <w:color w:val="000000"/>
                <w:sz w:val="14"/>
                <w:szCs w:val="14"/>
              </w:rPr>
              <w:t>Region</w:t>
            </w:r>
          </w:p>
        </w:tc>
        <w:tc>
          <w:tcPr>
            <w:tcW w:w="1301" w:type="dxa"/>
            <w:vMerge w:val="restart"/>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bCs/>
                <w:color w:val="000000"/>
                <w:sz w:val="14"/>
                <w:szCs w:val="14"/>
              </w:rPr>
              <w:t>Catchment</w:t>
            </w:r>
          </w:p>
        </w:tc>
        <w:tc>
          <w:tcPr>
            <w:tcW w:w="2148" w:type="dxa"/>
            <w:gridSpan w:val="2"/>
            <w:vMerge w:val="restart"/>
            <w:tcBorders>
              <w:top w:val="single" w:sz="4" w:space="0" w:color="auto"/>
              <w:left w:val="nil"/>
              <w:bottom w:val="nil"/>
              <w:right w:val="nil"/>
            </w:tcBorders>
            <w:shd w:val="clear" w:color="auto" w:fill="BBE0E3"/>
            <w:noWrap/>
            <w:vAlign w:val="center"/>
            <w:hideMark/>
          </w:tcPr>
          <w:p w:rsidR="005752EE" w:rsidRDefault="005752EE" w:rsidP="00E150BC">
            <w:pPr>
              <w:spacing w:before="0" w:after="0"/>
              <w:jc w:val="center"/>
              <w:rPr>
                <w:b/>
                <w:bCs/>
                <w:color w:val="000000"/>
                <w:sz w:val="14"/>
                <w:szCs w:val="14"/>
              </w:rPr>
            </w:pPr>
            <w:r>
              <w:rPr>
                <w:b/>
                <w:bCs/>
                <w:color w:val="000000"/>
                <w:sz w:val="14"/>
                <w:szCs w:val="14"/>
              </w:rPr>
              <w:t>Monitoring location</w:t>
            </w:r>
          </w:p>
        </w:tc>
        <w:tc>
          <w:tcPr>
            <w:tcW w:w="3802" w:type="dxa"/>
            <w:gridSpan w:val="7"/>
            <w:tcBorders>
              <w:top w:val="single" w:sz="4" w:space="0" w:color="auto"/>
              <w:left w:val="nil"/>
              <w:bottom w:val="nil"/>
              <w:right w:val="single" w:sz="8" w:space="0" w:color="auto"/>
            </w:tcBorders>
            <w:shd w:val="clear" w:color="auto" w:fill="BBE0E3"/>
            <w:vAlign w:val="center"/>
            <w:hideMark/>
          </w:tcPr>
          <w:p w:rsidR="005752EE" w:rsidRDefault="005752EE" w:rsidP="00E150BC">
            <w:pPr>
              <w:spacing w:before="0" w:after="0"/>
              <w:jc w:val="center"/>
              <w:rPr>
                <w:b/>
                <w:bCs/>
                <w:color w:val="000000"/>
                <w:sz w:val="14"/>
                <w:szCs w:val="14"/>
              </w:rPr>
            </w:pPr>
            <w:r>
              <w:rPr>
                <w:b/>
                <w:bCs/>
                <w:color w:val="000000"/>
                <w:sz w:val="14"/>
                <w:szCs w:val="14"/>
              </w:rPr>
              <w:t>late dry Season (2013)</w:t>
            </w:r>
          </w:p>
        </w:tc>
        <w:tc>
          <w:tcPr>
            <w:tcW w:w="3900" w:type="dxa"/>
            <w:gridSpan w:val="7"/>
            <w:tcBorders>
              <w:top w:val="single" w:sz="4" w:space="0" w:color="auto"/>
              <w:left w:val="single" w:sz="8" w:space="0" w:color="auto"/>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bCs/>
                <w:color w:val="000000"/>
                <w:sz w:val="14"/>
                <w:szCs w:val="14"/>
              </w:rPr>
              <w:t>late monsoon Season (2014)</w:t>
            </w:r>
          </w:p>
        </w:tc>
      </w:tr>
      <w:tr w:rsidR="005752EE" w:rsidTr="00E150BC">
        <w:trPr>
          <w:cantSplit/>
          <w:trHeight w:val="251"/>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b/>
                <w:bCs/>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b/>
                <w:bCs/>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b/>
                <w:bCs/>
                <w:color w:val="000000"/>
                <w:sz w:val="14"/>
                <w:szCs w:val="14"/>
              </w:rPr>
            </w:pPr>
          </w:p>
        </w:tc>
        <w:tc>
          <w:tcPr>
            <w:tcW w:w="2988" w:type="dxa"/>
            <w:gridSpan w:val="2"/>
            <w:vMerge/>
            <w:tcBorders>
              <w:top w:val="single" w:sz="4" w:space="0" w:color="auto"/>
              <w:left w:val="nil"/>
              <w:bottom w:val="nil"/>
              <w:right w:val="nil"/>
            </w:tcBorders>
            <w:vAlign w:val="center"/>
            <w:hideMark/>
          </w:tcPr>
          <w:p w:rsidR="005752EE" w:rsidRDefault="005752EE" w:rsidP="00E150BC">
            <w:pPr>
              <w:spacing w:before="0" w:after="0"/>
              <w:rPr>
                <w:b/>
                <w:bCs/>
                <w:color w:val="000000"/>
                <w:sz w:val="14"/>
                <w:szCs w:val="14"/>
              </w:rPr>
            </w:pPr>
          </w:p>
        </w:tc>
        <w:tc>
          <w:tcPr>
            <w:tcW w:w="555"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SG</w:t>
            </w:r>
          </w:p>
        </w:tc>
        <w:tc>
          <w:tcPr>
            <w:tcW w:w="543" w:type="dxa"/>
            <w:tcBorders>
              <w:top w:val="single" w:sz="4" w:space="0" w:color="auto"/>
              <w:left w:val="nil"/>
              <w:bottom w:val="nil"/>
              <w:right w:val="nil"/>
            </w:tcBorders>
            <w:shd w:val="clear" w:color="auto" w:fill="BBE0E3"/>
            <w:noWrap/>
            <w:vAlign w:val="center"/>
            <w:hideMark/>
          </w:tcPr>
          <w:p w:rsidR="005752EE" w:rsidRDefault="005752EE" w:rsidP="00E150BC">
            <w:pPr>
              <w:spacing w:before="0" w:after="0"/>
              <w:jc w:val="center"/>
              <w:rPr>
                <w:b/>
                <w:bCs/>
                <w:color w:val="000000"/>
                <w:sz w:val="14"/>
                <w:szCs w:val="14"/>
              </w:rPr>
            </w:pPr>
            <w:r>
              <w:rPr>
                <w:b/>
                <w:color w:val="000000"/>
                <w:sz w:val="14"/>
                <w:szCs w:val="14"/>
              </w:rPr>
              <w:t>SM</w:t>
            </w:r>
          </w:p>
        </w:tc>
        <w:tc>
          <w:tcPr>
            <w:tcW w:w="540" w:type="dxa"/>
            <w:tcBorders>
              <w:top w:val="single" w:sz="4" w:space="0" w:color="auto"/>
              <w:left w:val="nil"/>
              <w:bottom w:val="nil"/>
              <w:right w:val="nil"/>
            </w:tcBorders>
            <w:shd w:val="clear" w:color="auto" w:fill="BBE0E3"/>
            <w:noWrap/>
            <w:vAlign w:val="center"/>
            <w:hideMark/>
          </w:tcPr>
          <w:p w:rsidR="005752EE" w:rsidRDefault="005752EE" w:rsidP="00E150BC">
            <w:pPr>
              <w:spacing w:before="0" w:after="0"/>
              <w:jc w:val="center"/>
              <w:rPr>
                <w:b/>
                <w:bCs/>
                <w:color w:val="000000"/>
                <w:sz w:val="14"/>
                <w:szCs w:val="14"/>
              </w:rPr>
            </w:pPr>
            <w:r>
              <w:rPr>
                <w:b/>
                <w:color w:val="000000"/>
                <w:sz w:val="14"/>
                <w:szCs w:val="14"/>
              </w:rPr>
              <w:t>TN</w:t>
            </w:r>
          </w:p>
        </w:tc>
        <w:tc>
          <w:tcPr>
            <w:tcW w:w="536"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EM</w:t>
            </w:r>
          </w:p>
        </w:tc>
        <w:tc>
          <w:tcPr>
            <w:tcW w:w="540"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RH</w:t>
            </w:r>
          </w:p>
        </w:tc>
        <w:tc>
          <w:tcPr>
            <w:tcW w:w="529"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TL</w:t>
            </w:r>
          </w:p>
        </w:tc>
        <w:tc>
          <w:tcPr>
            <w:tcW w:w="559" w:type="dxa"/>
            <w:tcBorders>
              <w:top w:val="single" w:sz="4" w:space="0" w:color="auto"/>
              <w:left w:val="nil"/>
              <w:bottom w:val="nil"/>
              <w:right w:val="single" w:sz="8" w:space="0" w:color="auto"/>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LL</w:t>
            </w:r>
          </w:p>
        </w:tc>
        <w:tc>
          <w:tcPr>
            <w:tcW w:w="559" w:type="dxa"/>
            <w:tcBorders>
              <w:top w:val="single" w:sz="4" w:space="0" w:color="auto"/>
              <w:left w:val="single" w:sz="8" w:space="0" w:color="auto"/>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SG</w:t>
            </w:r>
          </w:p>
        </w:tc>
        <w:tc>
          <w:tcPr>
            <w:tcW w:w="559"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SM</w:t>
            </w:r>
          </w:p>
        </w:tc>
        <w:tc>
          <w:tcPr>
            <w:tcW w:w="559"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EM</w:t>
            </w:r>
          </w:p>
        </w:tc>
        <w:tc>
          <w:tcPr>
            <w:tcW w:w="559"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RH</w:t>
            </w:r>
          </w:p>
        </w:tc>
        <w:tc>
          <w:tcPr>
            <w:tcW w:w="559"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bCs/>
                <w:color w:val="000000"/>
                <w:sz w:val="14"/>
                <w:szCs w:val="14"/>
              </w:rPr>
              <w:t>SH</w:t>
            </w:r>
          </w:p>
        </w:tc>
        <w:tc>
          <w:tcPr>
            <w:tcW w:w="559"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TL</w:t>
            </w:r>
          </w:p>
        </w:tc>
        <w:tc>
          <w:tcPr>
            <w:tcW w:w="546" w:type="dxa"/>
            <w:tcBorders>
              <w:top w:val="single" w:sz="4" w:space="0" w:color="auto"/>
              <w:left w:val="nil"/>
              <w:bottom w:val="nil"/>
              <w:right w:val="nil"/>
            </w:tcBorders>
            <w:shd w:val="clear" w:color="auto" w:fill="BBE0E3"/>
            <w:vAlign w:val="center"/>
            <w:hideMark/>
          </w:tcPr>
          <w:p w:rsidR="005752EE" w:rsidRDefault="005752EE" w:rsidP="00E150BC">
            <w:pPr>
              <w:spacing w:before="0" w:after="0"/>
              <w:jc w:val="center"/>
              <w:rPr>
                <w:b/>
                <w:bCs/>
                <w:color w:val="000000"/>
                <w:sz w:val="14"/>
                <w:szCs w:val="14"/>
              </w:rPr>
            </w:pPr>
            <w:r>
              <w:rPr>
                <w:b/>
                <w:color w:val="000000"/>
                <w:sz w:val="14"/>
                <w:szCs w:val="14"/>
              </w:rPr>
              <w:t>LL</w:t>
            </w:r>
          </w:p>
        </w:tc>
      </w:tr>
      <w:tr w:rsidR="005752EE" w:rsidTr="00E150BC">
        <w:trPr>
          <w:cantSplit/>
          <w:trHeight w:val="170"/>
          <w:jc w:val="center"/>
        </w:trPr>
        <w:tc>
          <w:tcPr>
            <w:tcW w:w="1150" w:type="dxa"/>
            <w:vMerge w:val="restart"/>
            <w:tcBorders>
              <w:top w:val="single" w:sz="4" w:space="0" w:color="auto"/>
              <w:left w:val="nil"/>
              <w:bottom w:val="nil"/>
              <w:right w:val="nil"/>
            </w:tcBorders>
            <w:noWrap/>
            <w:vAlign w:val="center"/>
            <w:hideMark/>
          </w:tcPr>
          <w:p w:rsidR="005752EE" w:rsidRDefault="005752EE" w:rsidP="00E150BC">
            <w:pPr>
              <w:spacing w:before="0" w:after="0"/>
              <w:jc w:val="center"/>
              <w:rPr>
                <w:color w:val="000000"/>
                <w:sz w:val="14"/>
                <w:szCs w:val="14"/>
              </w:rPr>
            </w:pPr>
            <w:r>
              <w:rPr>
                <w:color w:val="000000"/>
                <w:sz w:val="14"/>
                <w:szCs w:val="14"/>
              </w:rPr>
              <w:t>Far Northern</w:t>
            </w:r>
          </w:p>
        </w:tc>
        <w:tc>
          <w:tcPr>
            <w:tcW w:w="1296" w:type="dxa"/>
            <w:vMerge w:val="restart"/>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Cape York</w:t>
            </w:r>
          </w:p>
        </w:tc>
        <w:tc>
          <w:tcPr>
            <w:tcW w:w="1301" w:type="dxa"/>
            <w:vMerge w:val="restart"/>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c>
          <w:tcPr>
            <w:tcW w:w="1308" w:type="dxa"/>
            <w:vMerge w:val="restart"/>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Shelburne Bay</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SR1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SR2</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8" w:type="dxa"/>
            <w:vMerge w:val="restart"/>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Piper Reef</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FR1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FR2</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val="restart"/>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Normanby</w:t>
            </w:r>
          </w:p>
        </w:tc>
        <w:tc>
          <w:tcPr>
            <w:tcW w:w="1308" w:type="dxa"/>
            <w:vMerge w:val="restart"/>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Stanley Island</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ST1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ST2</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8" w:type="dxa"/>
            <w:vMerge w:val="restart"/>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Bathurst Bay</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BY1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BY2</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val="restart"/>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Annan</w:t>
            </w:r>
          </w:p>
        </w:tc>
        <w:tc>
          <w:tcPr>
            <w:tcW w:w="1308" w:type="dxa"/>
            <w:vMerge w:val="restart"/>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Cooktown</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AP1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highlight w:val="yellow"/>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AP2</w:t>
            </w:r>
          </w:p>
        </w:tc>
        <w:tc>
          <w:tcPr>
            <w:tcW w:w="555"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nil"/>
              <w:right w:val="single" w:sz="8" w:space="0" w:color="auto"/>
            </w:tcBorders>
            <w:shd w:val="clear" w:color="auto" w:fill="E7F3F4"/>
          </w:tcPr>
          <w:p w:rsidR="005752EE" w:rsidRDefault="005752EE" w:rsidP="00E150BC">
            <w:pPr>
              <w:spacing w:before="0" w:after="0"/>
              <w:jc w:val="center"/>
              <w:rPr>
                <w:color w:val="000000"/>
                <w:sz w:val="14"/>
                <w:szCs w:val="14"/>
              </w:rPr>
            </w:pPr>
          </w:p>
        </w:tc>
        <w:tc>
          <w:tcPr>
            <w:tcW w:w="559" w:type="dxa"/>
            <w:tcBorders>
              <w:top w:val="nil"/>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shd w:val="clear" w:color="auto" w:fill="E7F3F4"/>
          </w:tcPr>
          <w:p w:rsidR="005752EE" w:rsidRDefault="005752EE" w:rsidP="00E150BC">
            <w:pPr>
              <w:spacing w:before="0" w:after="0"/>
              <w:jc w:val="center"/>
              <w:rPr>
                <w:color w:val="000000"/>
                <w:sz w:val="14"/>
                <w:szCs w:val="14"/>
              </w:rPr>
            </w:pPr>
          </w:p>
        </w:tc>
        <w:tc>
          <w:tcPr>
            <w:tcW w:w="559" w:type="dxa"/>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shd w:val="clear" w:color="auto" w:fill="E7F3F4"/>
            <w:vAlign w:val="center"/>
          </w:tcPr>
          <w:p w:rsidR="005752EE" w:rsidRDefault="005752EE" w:rsidP="00E150BC">
            <w:pPr>
              <w:spacing w:before="0" w:after="0"/>
              <w:jc w:val="center"/>
              <w:rPr>
                <w:color w:val="000000"/>
                <w:sz w:val="14"/>
                <w:szCs w:val="14"/>
                <w:highlight w:val="yellow"/>
              </w:rPr>
            </w:pPr>
          </w:p>
        </w:tc>
      </w:tr>
      <w:tr w:rsidR="005752EE" w:rsidTr="00E150BC">
        <w:trPr>
          <w:cantSplit/>
          <w:trHeight w:val="170"/>
          <w:jc w:val="center"/>
        </w:trPr>
        <w:tc>
          <w:tcPr>
            <w:tcW w:w="1150" w:type="dxa"/>
            <w:vMerge w:val="restart"/>
            <w:tcBorders>
              <w:top w:val="single" w:sz="4" w:space="0" w:color="auto"/>
              <w:left w:val="nil"/>
              <w:bottom w:val="nil"/>
              <w:right w:val="nil"/>
            </w:tcBorders>
            <w:noWrap/>
            <w:vAlign w:val="center"/>
            <w:hideMark/>
          </w:tcPr>
          <w:p w:rsidR="005752EE" w:rsidRDefault="005752EE" w:rsidP="00E150BC">
            <w:pPr>
              <w:spacing w:before="0" w:after="0"/>
              <w:jc w:val="center"/>
              <w:rPr>
                <w:color w:val="000000"/>
                <w:sz w:val="14"/>
                <w:szCs w:val="14"/>
              </w:rPr>
            </w:pPr>
            <w:r>
              <w:rPr>
                <w:color w:val="000000"/>
                <w:sz w:val="14"/>
                <w:szCs w:val="14"/>
              </w:rPr>
              <w:t>Northern</w:t>
            </w:r>
          </w:p>
        </w:tc>
        <w:tc>
          <w:tcPr>
            <w:tcW w:w="1296" w:type="dxa"/>
            <w:vMerge w:val="restart"/>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Wet Tropics</w:t>
            </w:r>
          </w:p>
        </w:tc>
        <w:tc>
          <w:tcPr>
            <w:tcW w:w="1301" w:type="dxa"/>
            <w:vMerge w:val="restart"/>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Daintree</w:t>
            </w:r>
          </w:p>
        </w:tc>
        <w:tc>
          <w:tcPr>
            <w:tcW w:w="1308" w:type="dxa"/>
            <w:vMerge w:val="restart"/>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Low Isles</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LI1</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LI2^</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val="restart"/>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Barron</w:t>
            </w:r>
          </w:p>
        </w:tc>
        <w:tc>
          <w:tcPr>
            <w:tcW w:w="1308" w:type="dxa"/>
            <w:vMerge w:val="restart"/>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Cairns</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YP1</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YP2</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val="restart"/>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Russell - Mulgrave, Johnstone</w:t>
            </w:r>
          </w:p>
        </w:tc>
        <w:tc>
          <w:tcPr>
            <w:tcW w:w="1308" w:type="dxa"/>
            <w:vMerge w:val="restart"/>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i/>
                <w:iCs/>
                <w:color w:val="000000"/>
                <w:sz w:val="14"/>
                <w:szCs w:val="14"/>
              </w:rPr>
            </w:pPr>
            <w:r>
              <w:rPr>
                <w:color w:val="000000"/>
                <w:sz w:val="14"/>
                <w:szCs w:val="14"/>
              </w:rPr>
              <w:t>Green Island</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GI1</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i/>
                <w:iCs/>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GI2</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i/>
                <w:iCs/>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GI3^</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val="restart"/>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Tully</w:t>
            </w:r>
          </w:p>
        </w:tc>
        <w:tc>
          <w:tcPr>
            <w:tcW w:w="1308" w:type="dxa"/>
            <w:vMerge w:val="restart"/>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Mission Beach</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LB1</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LB2</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tcPr>
          <w:p w:rsidR="005752EE" w:rsidRDefault="005752EE" w:rsidP="00E150BC">
            <w:pPr>
              <w:spacing w:before="0" w:after="0"/>
              <w:jc w:val="center"/>
              <w:rPr>
                <w:color w:val="000000"/>
                <w:sz w:val="14"/>
                <w:szCs w:val="14"/>
              </w:rPr>
            </w:pP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8" w:type="dxa"/>
            <w:vMerge w:val="restart"/>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Dunk Island</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DI1</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DI2</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DI3^</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val="restart"/>
            <w:tcBorders>
              <w:top w:val="single" w:sz="4" w:space="0" w:color="auto"/>
              <w:left w:val="nil"/>
              <w:bottom w:val="nil"/>
              <w:right w:val="nil"/>
            </w:tcBorders>
            <w:noWrap/>
            <w:vAlign w:val="center"/>
            <w:hideMark/>
          </w:tcPr>
          <w:p w:rsidR="005752EE" w:rsidRDefault="005752EE" w:rsidP="00E150BC">
            <w:pPr>
              <w:spacing w:before="0" w:after="0"/>
              <w:jc w:val="center"/>
              <w:rPr>
                <w:color w:val="000000"/>
                <w:sz w:val="14"/>
                <w:szCs w:val="14"/>
              </w:rPr>
            </w:pPr>
            <w:r>
              <w:rPr>
                <w:color w:val="000000"/>
                <w:sz w:val="14"/>
                <w:szCs w:val="14"/>
              </w:rPr>
              <w:t>Central</w:t>
            </w:r>
          </w:p>
        </w:tc>
        <w:tc>
          <w:tcPr>
            <w:tcW w:w="1296" w:type="dxa"/>
            <w:vMerge w:val="restart"/>
            <w:tcBorders>
              <w:top w:val="single" w:sz="4" w:space="0" w:color="auto"/>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Burdekin</w:t>
            </w:r>
          </w:p>
        </w:tc>
        <w:tc>
          <w:tcPr>
            <w:tcW w:w="1301" w:type="dxa"/>
            <w:vMerge w:val="restart"/>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Burdekin</w:t>
            </w:r>
          </w:p>
        </w:tc>
        <w:tc>
          <w:tcPr>
            <w:tcW w:w="1308" w:type="dxa"/>
            <w:vMerge w:val="restart"/>
            <w:tcBorders>
              <w:top w:val="single" w:sz="4" w:space="0" w:color="auto"/>
              <w:left w:val="nil"/>
              <w:bottom w:val="single" w:sz="4" w:space="0" w:color="auto"/>
              <w:right w:val="nil"/>
            </w:tcBorders>
            <w:shd w:val="clear" w:color="auto" w:fill="E7F3F4"/>
            <w:noWrap/>
            <w:vAlign w:val="center"/>
            <w:hideMark/>
          </w:tcPr>
          <w:p w:rsidR="005752EE" w:rsidRDefault="005752EE" w:rsidP="00E150BC">
            <w:pPr>
              <w:spacing w:before="0" w:after="0"/>
              <w:jc w:val="center"/>
              <w:rPr>
                <w:i/>
                <w:iCs/>
                <w:color w:val="000000"/>
                <w:sz w:val="14"/>
                <w:szCs w:val="14"/>
              </w:rPr>
            </w:pPr>
            <w:r>
              <w:rPr>
                <w:color w:val="000000"/>
                <w:sz w:val="14"/>
                <w:szCs w:val="14"/>
              </w:rPr>
              <w:t>Magnetic Island</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MI1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single" w:sz="4" w:space="0" w:color="auto"/>
              <w:right w:val="nil"/>
            </w:tcBorders>
            <w:vAlign w:val="center"/>
            <w:hideMark/>
          </w:tcPr>
          <w:p w:rsidR="005752EE" w:rsidRDefault="005752EE" w:rsidP="00E150BC">
            <w:pPr>
              <w:spacing w:before="0" w:after="0"/>
              <w:rPr>
                <w:i/>
                <w:iCs/>
                <w:color w:val="000000"/>
                <w:sz w:val="14"/>
                <w:szCs w:val="14"/>
              </w:rPr>
            </w:pP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MI2</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single" w:sz="4" w:space="0" w:color="auto"/>
              <w:right w:val="nil"/>
            </w:tcBorders>
            <w:vAlign w:val="center"/>
            <w:hideMark/>
          </w:tcPr>
          <w:p w:rsidR="005752EE" w:rsidRDefault="005752EE" w:rsidP="00E150BC">
            <w:pPr>
              <w:spacing w:before="0" w:after="0"/>
              <w:rPr>
                <w:i/>
                <w:iCs/>
                <w:color w:val="000000"/>
                <w:sz w:val="14"/>
                <w:szCs w:val="14"/>
              </w:rPr>
            </w:pP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MI3^</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8" w:type="dxa"/>
            <w:vMerge w:val="restart"/>
            <w:tcBorders>
              <w:top w:val="single" w:sz="4" w:space="0" w:color="auto"/>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Townsville</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SB1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BB1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8" w:type="dxa"/>
            <w:vMerge w:val="restart"/>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Bowling Green Bay</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JR1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JR2</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val="restart"/>
            <w:tcBorders>
              <w:top w:val="single" w:sz="4" w:space="0" w:color="auto"/>
              <w:left w:val="nil"/>
              <w:bottom w:val="single" w:sz="4" w:space="0" w:color="auto"/>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Mackay</w:t>
            </w:r>
          </w:p>
          <w:p w:rsidR="005752EE" w:rsidRDefault="005752EE" w:rsidP="00E150BC">
            <w:pPr>
              <w:spacing w:before="0" w:after="0"/>
              <w:jc w:val="center"/>
              <w:rPr>
                <w:color w:val="000000"/>
                <w:sz w:val="14"/>
                <w:szCs w:val="14"/>
              </w:rPr>
            </w:pPr>
            <w:r>
              <w:rPr>
                <w:color w:val="000000"/>
                <w:sz w:val="14"/>
                <w:szCs w:val="14"/>
              </w:rPr>
              <w:t>Whitsunday</w:t>
            </w:r>
          </w:p>
        </w:tc>
        <w:tc>
          <w:tcPr>
            <w:tcW w:w="1301" w:type="dxa"/>
            <w:vMerge w:val="restart"/>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Proserpine</w:t>
            </w:r>
          </w:p>
        </w:tc>
        <w:tc>
          <w:tcPr>
            <w:tcW w:w="1308" w:type="dxa"/>
            <w:vMerge w:val="restart"/>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Whitsundays</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PI2</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PI3</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308" w:type="dxa"/>
            <w:vMerge w:val="restart"/>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Hamilton Is.</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HM1</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HM2</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val="restart"/>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Pioneer</w:t>
            </w:r>
          </w:p>
        </w:tc>
        <w:tc>
          <w:tcPr>
            <w:tcW w:w="1308" w:type="dxa"/>
            <w:vMerge w:val="restart"/>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Mackay</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SI1</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nil"/>
              <w:right w:val="nil"/>
            </w:tcBorders>
            <w:vAlign w:val="center"/>
            <w:hideMark/>
          </w:tcPr>
          <w:p w:rsidR="005752EE" w:rsidRDefault="005752EE" w:rsidP="00E150BC">
            <w:pPr>
              <w:spacing w:before="0" w:after="0"/>
              <w:rPr>
                <w:color w:val="000000"/>
                <w:sz w:val="14"/>
                <w:szCs w:val="14"/>
              </w:rPr>
            </w:pP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SI2</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val="restart"/>
            <w:tcBorders>
              <w:top w:val="single" w:sz="4" w:space="0" w:color="auto"/>
              <w:left w:val="nil"/>
              <w:bottom w:val="single" w:sz="4" w:space="0" w:color="auto"/>
              <w:right w:val="nil"/>
            </w:tcBorders>
            <w:noWrap/>
            <w:vAlign w:val="center"/>
            <w:hideMark/>
          </w:tcPr>
          <w:p w:rsidR="005752EE" w:rsidRDefault="005752EE" w:rsidP="00E150BC">
            <w:pPr>
              <w:spacing w:before="0" w:after="0"/>
              <w:jc w:val="center"/>
              <w:rPr>
                <w:color w:val="000000"/>
                <w:sz w:val="14"/>
                <w:szCs w:val="14"/>
              </w:rPr>
            </w:pPr>
            <w:r>
              <w:rPr>
                <w:color w:val="000000"/>
                <w:sz w:val="14"/>
                <w:szCs w:val="14"/>
              </w:rPr>
              <w:t>Southern</w:t>
            </w:r>
          </w:p>
        </w:tc>
        <w:tc>
          <w:tcPr>
            <w:tcW w:w="1296" w:type="dxa"/>
            <w:vMerge w:val="restart"/>
            <w:tcBorders>
              <w:top w:val="single" w:sz="4" w:space="0" w:color="auto"/>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 xml:space="preserve">Fitzroy </w:t>
            </w:r>
          </w:p>
        </w:tc>
        <w:tc>
          <w:tcPr>
            <w:tcW w:w="1301" w:type="dxa"/>
            <w:vMerge w:val="restart"/>
            <w:tcBorders>
              <w:top w:val="single" w:sz="4" w:space="0" w:color="auto"/>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Fitzroy</w:t>
            </w:r>
          </w:p>
        </w:tc>
        <w:tc>
          <w:tcPr>
            <w:tcW w:w="1308" w:type="dxa"/>
            <w:vMerge w:val="restart"/>
            <w:tcBorders>
              <w:top w:val="single" w:sz="4" w:space="0" w:color="auto"/>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Shoalwater Bay</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RC1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840" w:type="dxa"/>
            <w:tcBorders>
              <w:top w:val="nil"/>
              <w:left w:val="nil"/>
              <w:bottom w:val="single" w:sz="4" w:space="0" w:color="auto"/>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WH1</w:t>
            </w:r>
          </w:p>
        </w:tc>
        <w:tc>
          <w:tcPr>
            <w:tcW w:w="555"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8" w:space="0" w:color="auto"/>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single" w:sz="8" w:space="0" w:color="auto"/>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nil"/>
              <w:left w:val="nil"/>
              <w:bottom w:val="single" w:sz="4" w:space="0" w:color="auto"/>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r w:rsidR="005752EE" w:rsidTr="00E150BC">
        <w:trPr>
          <w:cantSplit/>
          <w:trHeight w:val="170"/>
          <w:jc w:val="center"/>
        </w:trPr>
        <w:tc>
          <w:tcPr>
            <w:tcW w:w="1150"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8" w:type="dxa"/>
            <w:vMerge w:val="restart"/>
            <w:tcBorders>
              <w:top w:val="single" w:sz="4" w:space="0" w:color="auto"/>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Great Keppel .</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GK1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840" w:type="dxa"/>
            <w:tcBorders>
              <w:top w:val="nil"/>
              <w:left w:val="nil"/>
              <w:bottom w:val="single" w:sz="4" w:space="0" w:color="auto"/>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GK2</w:t>
            </w:r>
          </w:p>
        </w:tc>
        <w:tc>
          <w:tcPr>
            <w:tcW w:w="555"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E7F3F4"/>
            <w:noWrap/>
            <w:vAlign w:val="center"/>
          </w:tcPr>
          <w:p w:rsidR="005752EE" w:rsidRDefault="005752EE" w:rsidP="00E150BC">
            <w:pPr>
              <w:spacing w:before="0" w:after="0"/>
              <w:jc w:val="center"/>
              <w:rPr>
                <w:color w:val="000000"/>
                <w:sz w:val="14"/>
                <w:szCs w:val="14"/>
              </w:rPr>
            </w:pPr>
          </w:p>
        </w:tc>
        <w:tc>
          <w:tcPr>
            <w:tcW w:w="536"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8" w:space="0" w:color="auto"/>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nil"/>
              <w:left w:val="single" w:sz="8" w:space="0" w:color="auto"/>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nil"/>
              <w:left w:val="nil"/>
              <w:bottom w:val="single" w:sz="4" w:space="0" w:color="auto"/>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val="restart"/>
            <w:tcBorders>
              <w:top w:val="single" w:sz="4" w:space="0" w:color="auto"/>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Boyne</w:t>
            </w:r>
          </w:p>
        </w:tc>
        <w:tc>
          <w:tcPr>
            <w:tcW w:w="1308" w:type="dxa"/>
            <w:vMerge w:val="restart"/>
            <w:tcBorders>
              <w:top w:val="single" w:sz="4" w:space="0" w:color="auto"/>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Gladstone</w:t>
            </w:r>
          </w:p>
        </w:tc>
        <w:tc>
          <w:tcPr>
            <w:tcW w:w="8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GH1</w:t>
            </w:r>
          </w:p>
        </w:tc>
        <w:tc>
          <w:tcPr>
            <w:tcW w:w="555"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840" w:type="dxa"/>
            <w:tcBorders>
              <w:top w:val="nil"/>
              <w:left w:val="nil"/>
              <w:bottom w:val="single" w:sz="4" w:space="0" w:color="auto"/>
              <w:right w:val="nil"/>
            </w:tcBorders>
            <w:shd w:val="clear" w:color="auto" w:fill="E7F3F4"/>
            <w:noWrap/>
            <w:vAlign w:val="center"/>
            <w:hideMark/>
          </w:tcPr>
          <w:p w:rsidR="005752EE" w:rsidRDefault="005752EE" w:rsidP="00E150BC">
            <w:pPr>
              <w:spacing w:before="0" w:after="0"/>
              <w:jc w:val="center"/>
              <w:rPr>
                <w:b/>
                <w:color w:val="000000"/>
                <w:sz w:val="14"/>
                <w:szCs w:val="14"/>
              </w:rPr>
            </w:pPr>
            <w:r>
              <w:rPr>
                <w:b/>
                <w:color w:val="000000"/>
                <w:sz w:val="14"/>
                <w:szCs w:val="14"/>
              </w:rPr>
              <w:t>GH2</w:t>
            </w:r>
          </w:p>
        </w:tc>
        <w:tc>
          <w:tcPr>
            <w:tcW w:w="555"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E7F3F4"/>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8" w:space="0" w:color="auto"/>
            </w:tcBorders>
            <w:shd w:val="clear" w:color="auto" w:fill="E7F3F4"/>
            <w:vAlign w:val="center"/>
          </w:tcPr>
          <w:p w:rsidR="005752EE" w:rsidRDefault="005752EE" w:rsidP="00E150BC">
            <w:pPr>
              <w:spacing w:before="0" w:after="0"/>
              <w:jc w:val="center"/>
              <w:rPr>
                <w:color w:val="000000"/>
                <w:sz w:val="14"/>
                <w:szCs w:val="14"/>
              </w:rPr>
            </w:pPr>
          </w:p>
        </w:tc>
        <w:tc>
          <w:tcPr>
            <w:tcW w:w="559" w:type="dxa"/>
            <w:tcBorders>
              <w:top w:val="nil"/>
              <w:left w:val="single" w:sz="8" w:space="0" w:color="auto"/>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nil"/>
            </w:tcBorders>
            <w:shd w:val="clear" w:color="auto" w:fill="E7F3F4"/>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nil"/>
              <w:left w:val="nil"/>
              <w:bottom w:val="single" w:sz="4" w:space="0" w:color="auto"/>
              <w:right w:val="nil"/>
            </w:tcBorders>
            <w:shd w:val="clear" w:color="auto" w:fill="E7F3F4"/>
          </w:tcPr>
          <w:p w:rsidR="005752EE" w:rsidRDefault="005752EE" w:rsidP="00E150BC">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rsidR="005752EE" w:rsidRDefault="005752EE" w:rsidP="00E150BC">
            <w:pPr>
              <w:spacing w:before="0" w:after="0"/>
              <w:jc w:val="center"/>
              <w:rPr>
                <w:color w:val="000000"/>
                <w:sz w:val="14"/>
                <w:szCs w:val="14"/>
              </w:rPr>
            </w:pPr>
          </w:p>
        </w:tc>
        <w:tc>
          <w:tcPr>
            <w:tcW w:w="546" w:type="dxa"/>
            <w:tcBorders>
              <w:top w:val="nil"/>
              <w:left w:val="nil"/>
              <w:bottom w:val="single" w:sz="4" w:space="0" w:color="auto"/>
              <w:right w:val="nil"/>
            </w:tcBorders>
            <w:shd w:val="clear" w:color="auto" w:fill="E7F3F4"/>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296" w:type="dxa"/>
            <w:vMerge w:val="restart"/>
            <w:tcBorders>
              <w:top w:val="single" w:sz="4" w:space="0" w:color="auto"/>
              <w:left w:val="nil"/>
              <w:bottom w:val="single" w:sz="4" w:space="0" w:color="auto"/>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Burnett Mary</w:t>
            </w:r>
          </w:p>
        </w:tc>
        <w:tc>
          <w:tcPr>
            <w:tcW w:w="1301" w:type="dxa"/>
            <w:vMerge w:val="restart"/>
            <w:tcBorders>
              <w:top w:val="single" w:sz="4" w:space="0" w:color="auto"/>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Burnett</w:t>
            </w:r>
          </w:p>
        </w:tc>
        <w:tc>
          <w:tcPr>
            <w:tcW w:w="1308" w:type="dxa"/>
            <w:vMerge w:val="restart"/>
            <w:tcBorders>
              <w:top w:val="single" w:sz="4" w:space="0" w:color="auto"/>
              <w:left w:val="nil"/>
              <w:bottom w:val="single" w:sz="4" w:space="0" w:color="auto"/>
              <w:right w:val="nil"/>
            </w:tcBorders>
            <w:shd w:val="clear" w:color="auto" w:fill="F3F9FA"/>
            <w:noWrap/>
            <w:vAlign w:val="center"/>
            <w:hideMark/>
          </w:tcPr>
          <w:p w:rsidR="005752EE" w:rsidRDefault="005752EE" w:rsidP="00E150BC">
            <w:pPr>
              <w:spacing w:before="0" w:after="0"/>
              <w:jc w:val="center"/>
              <w:rPr>
                <w:color w:val="000000"/>
                <w:sz w:val="14"/>
                <w:szCs w:val="14"/>
              </w:rPr>
            </w:pPr>
            <w:proofErr w:type="spellStart"/>
            <w:r>
              <w:rPr>
                <w:color w:val="000000"/>
                <w:sz w:val="14"/>
                <w:szCs w:val="14"/>
              </w:rPr>
              <w:t>Rodds</w:t>
            </w:r>
            <w:proofErr w:type="spellEnd"/>
            <w:r>
              <w:rPr>
                <w:color w:val="000000"/>
                <w:sz w:val="14"/>
                <w:szCs w:val="14"/>
              </w:rPr>
              <w:t xml:space="preserve"> Bay</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RD1</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tcPr>
          <w:p w:rsidR="005752EE" w:rsidRDefault="005752EE" w:rsidP="00E150BC">
            <w:pPr>
              <w:spacing w:before="0" w:after="0"/>
              <w:jc w:val="center"/>
              <w:rPr>
                <w:color w:val="000000"/>
                <w:sz w:val="14"/>
                <w:szCs w:val="14"/>
              </w:rPr>
            </w:pP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840" w:type="dxa"/>
            <w:tcBorders>
              <w:top w:val="nil"/>
              <w:left w:val="nil"/>
              <w:bottom w:val="single" w:sz="4" w:space="0" w:color="auto"/>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RD2</w:t>
            </w:r>
          </w:p>
        </w:tc>
        <w:tc>
          <w:tcPr>
            <w:tcW w:w="555"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F3F9FA"/>
            <w:noWrap/>
            <w:vAlign w:val="center"/>
          </w:tcPr>
          <w:p w:rsidR="005752EE" w:rsidRDefault="005752EE" w:rsidP="00E150BC">
            <w:pPr>
              <w:spacing w:before="0" w:after="0"/>
              <w:jc w:val="center"/>
              <w:rPr>
                <w:color w:val="000000"/>
                <w:sz w:val="14"/>
                <w:szCs w:val="14"/>
              </w:rPr>
            </w:pPr>
          </w:p>
        </w:tc>
        <w:tc>
          <w:tcPr>
            <w:tcW w:w="536"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nil"/>
              <w:left w:val="single" w:sz="8" w:space="0" w:color="auto"/>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nil"/>
              <w:left w:val="nil"/>
              <w:bottom w:val="single" w:sz="4" w:space="0" w:color="auto"/>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val="restart"/>
            <w:tcBorders>
              <w:top w:val="single" w:sz="4" w:space="0" w:color="auto"/>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Mary</w:t>
            </w:r>
          </w:p>
        </w:tc>
        <w:tc>
          <w:tcPr>
            <w:tcW w:w="1308" w:type="dxa"/>
            <w:vMerge w:val="restart"/>
            <w:tcBorders>
              <w:top w:val="single" w:sz="4" w:space="0" w:color="auto"/>
              <w:left w:val="nil"/>
              <w:bottom w:val="single" w:sz="4" w:space="0" w:color="auto"/>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Hervey Bay</w:t>
            </w:r>
          </w:p>
        </w:tc>
        <w:tc>
          <w:tcPr>
            <w:tcW w:w="8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UG1</w:t>
            </w:r>
          </w:p>
        </w:tc>
        <w:tc>
          <w:tcPr>
            <w:tcW w:w="555"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single" w:sz="4" w:space="0" w:color="auto"/>
              <w:left w:val="single" w:sz="8" w:space="0" w:color="auto"/>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rsidR="005752EE" w:rsidRDefault="005752EE" w:rsidP="00E150BC">
            <w:pPr>
              <w:spacing w:before="0" w:after="0"/>
              <w:jc w:val="center"/>
              <w:rPr>
                <w:color w:val="000000"/>
                <w:sz w:val="14"/>
                <w:szCs w:val="14"/>
              </w:rPr>
            </w:pPr>
          </w:p>
        </w:tc>
      </w:tr>
      <w:tr w:rsidR="005752EE" w:rsidTr="00E150BC">
        <w:trPr>
          <w:cantSplit/>
          <w:trHeight w:val="170"/>
          <w:jc w:val="center"/>
        </w:trPr>
        <w:tc>
          <w:tcPr>
            <w:tcW w:w="1150"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296"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1301"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2148" w:type="dxa"/>
            <w:vMerge/>
            <w:tcBorders>
              <w:top w:val="single" w:sz="4" w:space="0" w:color="auto"/>
              <w:left w:val="nil"/>
              <w:bottom w:val="single" w:sz="4" w:space="0" w:color="auto"/>
              <w:right w:val="nil"/>
            </w:tcBorders>
            <w:vAlign w:val="center"/>
            <w:hideMark/>
          </w:tcPr>
          <w:p w:rsidR="005752EE" w:rsidRDefault="005752EE" w:rsidP="00E150BC">
            <w:pPr>
              <w:spacing w:before="0" w:after="0"/>
              <w:rPr>
                <w:color w:val="000000"/>
                <w:sz w:val="14"/>
                <w:szCs w:val="14"/>
              </w:rPr>
            </w:pPr>
          </w:p>
        </w:tc>
        <w:tc>
          <w:tcPr>
            <w:tcW w:w="840" w:type="dxa"/>
            <w:tcBorders>
              <w:top w:val="nil"/>
              <w:left w:val="nil"/>
              <w:bottom w:val="single" w:sz="4" w:space="0" w:color="auto"/>
              <w:right w:val="nil"/>
            </w:tcBorders>
            <w:shd w:val="clear" w:color="auto" w:fill="F3F9FA"/>
            <w:noWrap/>
            <w:vAlign w:val="center"/>
            <w:hideMark/>
          </w:tcPr>
          <w:p w:rsidR="005752EE" w:rsidRDefault="005752EE" w:rsidP="00E150BC">
            <w:pPr>
              <w:spacing w:before="0" w:after="0"/>
              <w:jc w:val="center"/>
              <w:rPr>
                <w:b/>
                <w:color w:val="000000"/>
                <w:sz w:val="14"/>
                <w:szCs w:val="14"/>
              </w:rPr>
            </w:pPr>
            <w:r>
              <w:rPr>
                <w:b/>
                <w:color w:val="000000"/>
                <w:sz w:val="14"/>
                <w:szCs w:val="14"/>
              </w:rPr>
              <w:t>UG2</w:t>
            </w:r>
          </w:p>
        </w:tc>
        <w:tc>
          <w:tcPr>
            <w:tcW w:w="555"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F3F9FA"/>
            <w:noWrap/>
            <w:vAlign w:val="center"/>
            <w:hideMark/>
          </w:tcPr>
          <w:p w:rsidR="005752EE" w:rsidRDefault="005752EE" w:rsidP="00E150BC">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8" w:space="0" w:color="auto"/>
            </w:tcBorders>
            <w:shd w:val="clear" w:color="auto" w:fill="F3F9FA"/>
            <w:vAlign w:val="center"/>
          </w:tcPr>
          <w:p w:rsidR="005752EE" w:rsidRDefault="005752EE" w:rsidP="00E150BC">
            <w:pPr>
              <w:spacing w:before="0" w:after="0"/>
              <w:jc w:val="center"/>
              <w:rPr>
                <w:color w:val="000000"/>
                <w:sz w:val="14"/>
                <w:szCs w:val="14"/>
              </w:rPr>
            </w:pPr>
          </w:p>
        </w:tc>
        <w:tc>
          <w:tcPr>
            <w:tcW w:w="559" w:type="dxa"/>
            <w:tcBorders>
              <w:top w:val="nil"/>
              <w:left w:val="single" w:sz="8" w:space="0" w:color="auto"/>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33</w:t>
            </w:r>
          </w:p>
        </w:tc>
        <w:tc>
          <w:tcPr>
            <w:tcW w:w="55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30</w:t>
            </w:r>
          </w:p>
        </w:tc>
        <w:tc>
          <w:tcPr>
            <w:tcW w:w="55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t>15</w:t>
            </w:r>
          </w:p>
        </w:tc>
        <w:tc>
          <w:tcPr>
            <w:tcW w:w="559" w:type="dxa"/>
            <w:tcBorders>
              <w:top w:val="nil"/>
              <w:left w:val="nil"/>
              <w:bottom w:val="single" w:sz="4" w:space="0" w:color="auto"/>
              <w:right w:val="nil"/>
            </w:tcBorders>
            <w:shd w:val="clear" w:color="auto" w:fill="F3F9FA"/>
          </w:tcPr>
          <w:p w:rsidR="005752EE" w:rsidRDefault="005752EE" w:rsidP="00E150BC">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F3F9FA"/>
            <w:vAlign w:val="center"/>
            <w:hideMark/>
          </w:tcPr>
          <w:p w:rsidR="005752EE" w:rsidRDefault="005752EE" w:rsidP="00E150BC">
            <w:pPr>
              <w:spacing w:before="0" w:after="0"/>
              <w:jc w:val="center"/>
              <w:rPr>
                <w:color w:val="000000"/>
                <w:sz w:val="14"/>
                <w:szCs w:val="14"/>
              </w:rPr>
            </w:pPr>
            <w:r>
              <w:rPr>
                <w:color w:val="000000"/>
                <w:sz w:val="14"/>
                <w:szCs w:val="14"/>
              </w:rPr>
              <w:sym w:font="Wingdings" w:char="F0FC"/>
            </w:r>
          </w:p>
        </w:tc>
      </w:tr>
    </w:tbl>
    <w:p w:rsidR="005752EE" w:rsidRDefault="005752EE" w:rsidP="005752EE">
      <w:pPr>
        <w:spacing w:before="0" w:after="0"/>
        <w:rPr>
          <w:rFonts w:cs="Segoe UI"/>
        </w:rPr>
        <w:sectPr w:rsidR="005752EE" w:rsidSect="00EB7436">
          <w:pgSz w:w="16840" w:h="11900" w:orient="landscape"/>
          <w:pgMar w:top="1418" w:right="1134" w:bottom="1134" w:left="1134" w:header="709" w:footer="709" w:gutter="0"/>
          <w:cols w:space="720"/>
        </w:sectPr>
      </w:pPr>
    </w:p>
    <w:p w:rsidR="00EB7436" w:rsidRPr="005752EE" w:rsidRDefault="00EB7436" w:rsidP="005752EE">
      <w:pPr>
        <w:pStyle w:val="Heading2"/>
      </w:pPr>
      <w:bookmarkStart w:id="915" w:name="_Toc462047385"/>
      <w:r w:rsidRPr="005752EE">
        <w:lastRenderedPageBreak/>
        <w:t xml:space="preserve">Climate and </w:t>
      </w:r>
      <w:r w:rsidR="005752EE">
        <w:t>environmental pressure</w:t>
      </w:r>
      <w:r w:rsidR="00E150BC">
        <w:t>s</w:t>
      </w:r>
      <w:bookmarkEnd w:id="915"/>
    </w:p>
    <w:p w:rsidR="00EB7436" w:rsidRPr="005752EE" w:rsidRDefault="00EB7436" w:rsidP="005752EE">
      <w:pPr>
        <w:pStyle w:val="Heading3"/>
        <w:rPr>
          <w:rFonts w:asciiTheme="minorHAnsi" w:hAnsiTheme="minorHAnsi"/>
          <w:sz w:val="24"/>
          <w:szCs w:val="24"/>
        </w:rPr>
      </w:pPr>
      <w:bookmarkStart w:id="916" w:name="_Toc461884920"/>
      <w:bookmarkStart w:id="917" w:name="_Toc462047386"/>
      <w:r w:rsidRPr="005752EE">
        <w:rPr>
          <w:rFonts w:asciiTheme="minorHAnsi" w:hAnsiTheme="minorHAnsi"/>
          <w:sz w:val="24"/>
          <w:szCs w:val="24"/>
        </w:rPr>
        <w:t>Tidal exposure</w:t>
      </w:r>
      <w:bookmarkEnd w:id="916"/>
      <w:bookmarkEnd w:id="917"/>
    </w:p>
    <w:p w:rsidR="005752EE" w:rsidRDefault="00EB7436" w:rsidP="00EB7436">
      <w:pPr>
        <w:rPr>
          <w:color w:val="000000"/>
          <w:szCs w:val="22"/>
        </w:rPr>
      </w:pPr>
      <w:r w:rsidRPr="00EB7436">
        <w:rPr>
          <w:color w:val="000000"/>
          <w:szCs w:val="22"/>
        </w:rPr>
        <w:t>The majority of meadows monitored within the MMP are located in shallow turbid waters where the duration of emersion and exposure has been shown to be important environmental drivers of seagrass change (</w:t>
      </w:r>
      <w:hyperlink w:anchor="_ENREF_232" w:tooltip="Unsworth, 2012 #9397" w:history="1">
        <w:r w:rsidR="00E6043D">
          <w:rPr>
            <w:color w:val="000000"/>
            <w:szCs w:val="22"/>
          </w:rPr>
          <w:fldChar w:fldCharType="begin"/>
        </w:r>
        <w:r w:rsidR="00E6043D">
          <w:rPr>
            <w:color w:val="000000"/>
            <w:szCs w:val="22"/>
          </w:rPr>
          <w:instrText xml:space="preserve"> ADDIN EN.CITE &lt;EndNote&gt;&lt;Cite&gt;&lt;Author&gt;Unsworth&lt;/Author&gt;&lt;Year&gt;2012&lt;/Year&gt;&lt;RecNum&gt;9397&lt;/RecNum&gt;&lt;DisplayText&gt;Unsworth&lt;style face="italic"&gt; et al.&lt;/style&gt; 2012b&lt;/DisplayText&gt;&lt;record&gt;&lt;rec-number&gt;9397&lt;/rec-number&gt;&lt;foreign-keys&gt;&lt;key app="EN" db-id="0eve55x9y5vfd6e9dacxtew4eatve2dzds9a"&gt;9397&lt;/key&gt;&lt;/foreign-keys&gt;&lt;ref-type name="Journal Article"&gt;17&lt;/ref-type&gt;&lt;contributors&gt;&lt;authors&gt;&lt;author&gt;Unsworth, Richard K. F.&lt;/author&gt;&lt;author&gt;Rasheed, Michael A.&lt;/author&gt;&lt;author&gt;Chartrand, Kathryn M.&lt;/author&gt;&lt;author&gt;Roelofs, Anthony J.&lt;/author&gt;&lt;/authors&gt;&lt;/contributors&gt;&lt;titles&gt;&lt;title&gt;&lt;style face="normal" font="default" size="100%"&gt;Solar radiation and tidal exposure as environmental drivers of &lt;/style&gt;&lt;style face="italic" font="default" size="100%"&gt;Enhalus acoroides&lt;/style&gt;&lt;style face="normal" font="default" size="100%"&gt; dominated seagrass meadows&lt;/style&gt;&lt;/title&gt;&lt;secondary-title&gt;PloS one&lt;/secondary-title&gt;&lt;/titles&gt;&lt;periodical&gt;&lt;full-title&gt;Plos One&lt;/full-title&gt;&lt;/periodical&gt;&lt;volume&gt;7&lt;/volume&gt;&lt;number&gt;3&lt;/number&gt;&lt;dates&gt;&lt;year&gt;2012&lt;/year&gt;&lt;pub-dates&gt;&lt;date&gt;Mar 29&lt;/date&gt;&lt;/pub-dates&gt;&lt;/dates&gt;&lt;isbn&gt;1932-6203&lt;/isbn&gt;&lt;accession-num&gt;WOS:000304523400057&lt;/accession-num&gt;&lt;urls&gt;&lt;related-urls&gt;&lt;url&gt;&amp;lt;Go to ISI&amp;gt;://WOS:000304523400057&lt;/url&gt;&lt;/related-urls&gt;&lt;/urls&gt;&lt;custom7&gt;e34133&lt;/custom7&gt;&lt;electronic-resource-num&gt;10.1371/journal.pone.0034133&lt;/electronic-resource-num&gt;&lt;/record&gt;&lt;/Cite&gt;&lt;/EndNote&gt;</w:instrText>
        </w:r>
        <w:r w:rsidR="00E6043D">
          <w:rPr>
            <w:color w:val="000000"/>
            <w:szCs w:val="22"/>
          </w:rPr>
          <w:fldChar w:fldCharType="separate"/>
        </w:r>
        <w:r w:rsidR="00E6043D">
          <w:rPr>
            <w:noProof/>
            <w:color w:val="000000"/>
            <w:szCs w:val="22"/>
          </w:rPr>
          <w:t>Unsworth</w:t>
        </w:r>
        <w:r w:rsidR="00E6043D" w:rsidRPr="00ED4C4C">
          <w:rPr>
            <w:i/>
            <w:noProof/>
            <w:color w:val="000000"/>
            <w:szCs w:val="22"/>
          </w:rPr>
          <w:t xml:space="preserve"> et al.</w:t>
        </w:r>
        <w:r w:rsidR="00E6043D">
          <w:rPr>
            <w:noProof/>
            <w:color w:val="000000"/>
            <w:szCs w:val="22"/>
          </w:rPr>
          <w:t xml:space="preserve"> 2012b</w:t>
        </w:r>
        <w:r w:rsidR="00E6043D">
          <w:rPr>
            <w:color w:val="000000"/>
            <w:szCs w:val="22"/>
          </w:rPr>
          <w:fldChar w:fldCharType="end"/>
        </w:r>
      </w:hyperlink>
      <w:r w:rsidRPr="00EB7436">
        <w:rPr>
          <w:color w:val="000000"/>
          <w:szCs w:val="22"/>
        </w:rPr>
        <w:t>).  In the inshore waters of the GBR, where turbidity is naturally high, seagrasses are often restricted exclusively to the intertidal zone, as the periods around and even during exposure may provide critical windows of sufficient light for positive net photosynthesis (</w:t>
      </w:r>
      <w:hyperlink w:anchor="_ENREF_198" w:tooltip="Pollard, 1993 #771" w:history="1">
        <w:r w:rsidR="00E6043D">
          <w:rPr>
            <w:color w:val="000000"/>
            <w:szCs w:val="22"/>
          </w:rPr>
          <w:fldChar w:fldCharType="begin"/>
        </w:r>
        <w:r w:rsidR="00E6043D">
          <w:rPr>
            <w:color w:val="000000"/>
            <w:szCs w:val="22"/>
          </w:rPr>
          <w:instrText xml:space="preserve"> ADDIN EN.CITE &lt;EndNote&gt;&lt;Cite&gt;&lt;Author&gt;Pollard&lt;/Author&gt;&lt;Year&gt;1993&lt;/Year&gt;&lt;RecNum&gt;771&lt;/RecNum&gt;&lt;DisplayText&gt;Pollard and Greenway 1993&lt;/DisplayText&gt;&lt;record&gt;&lt;rec-number&gt;771&lt;/rec-number&gt;&lt;foreign-keys&gt;&lt;key app="EN" db-id="0eve55x9y5vfd6e9dacxtew4eatve2dzds9a"&gt;771&lt;/key&gt;&lt;/foreign-keys&gt;&lt;ref-type name="Journal Article"&gt;17&lt;/ref-type&gt;&lt;contributors&gt;&lt;authors&gt;&lt;author&gt;Pollard, Peter C.&lt;/author&gt;&lt;author&gt;Greenway, Margaret&lt;/author&gt;&lt;/authors&gt;&lt;/contributors&gt;&lt;titles&gt;&lt;title&gt;&lt;style face="normal" font="default" size="100%"&gt;Photosynthetic characteristics of seagrasses (&lt;/style&gt;&lt;style face="italic" font="default" size="100%"&gt;Cymodocea serrulata&lt;/style&gt;&lt;style face="normal" font="default" size="100%"&gt;, &lt;/style&gt;&lt;style face="italic" font="default" size="100%"&gt;Thalassia hemprichii&lt;/style&gt;&lt;style face="normal" font="default" size="100%"&gt; and &lt;/style&gt;&lt;style face="italic" font="default" size="100%"&gt;Zostera capricorni&lt;/style&gt;&lt;style face="normal" font="default" size="100%"&gt;) in a low-light environment, with a comparison of leaf-marking and lucunal-gas measurements of productivity&lt;/style&gt;&lt;/title&gt;&lt;secondary-title&gt;Australian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127-140&lt;/pages&gt;&lt;volume&gt;44&lt;/volume&gt;&lt;dates&gt;&lt;year&gt;1993&lt;/year&gt;&lt;/dates&gt;&lt;label&gt;795&lt;/label&gt;&lt;urls&gt;&lt;/urls&gt;&lt;custom1&gt;Annex&lt;/custom1&gt;&lt;/record&gt;&lt;/Cite&gt;&lt;/EndNote&gt;</w:instrText>
        </w:r>
        <w:r w:rsidR="00E6043D">
          <w:rPr>
            <w:color w:val="000000"/>
            <w:szCs w:val="22"/>
          </w:rPr>
          <w:fldChar w:fldCharType="separate"/>
        </w:r>
        <w:r w:rsidR="00E6043D">
          <w:rPr>
            <w:noProof/>
            <w:color w:val="000000"/>
            <w:szCs w:val="22"/>
          </w:rPr>
          <w:t>Pollard and Greenway 1993</w:t>
        </w:r>
        <w:r w:rsidR="00E6043D">
          <w:rPr>
            <w:color w:val="000000"/>
            <w:szCs w:val="22"/>
          </w:rPr>
          <w:fldChar w:fldCharType="end"/>
        </w:r>
      </w:hyperlink>
      <w:r w:rsidRPr="00EB7436">
        <w:rPr>
          <w:color w:val="000000"/>
          <w:szCs w:val="22"/>
        </w:rPr>
        <w:t>). However, during tidal exposure, these intertidal seagrasses are susceptible to high irradiance, potentially high UV-A and UV-B, thermal stress and desiccation (</w:t>
      </w:r>
      <w:r w:rsidR="00ED4C4C">
        <w:rPr>
          <w:color w:val="000000"/>
          <w:szCs w:val="22"/>
        </w:rPr>
        <w:fldChar w:fldCharType="begin">
          <w:fldData xml:space="preserve">PEVuZE5vdGU+PENpdGU+PEF1dGhvcj5FcmZ0ZW1laWplcjwvQXV0aG9yPjxZZWFyPjE5OTQ8L1ll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</w:fldData>
        </w:fldChar>
      </w:r>
      <w:r w:rsidR="00ED4C4C">
        <w:rPr>
          <w:color w:val="000000"/>
          <w:szCs w:val="22"/>
        </w:rPr>
        <w:instrText xml:space="preserve"> ADDIN EN.CITE </w:instrText>
      </w:r>
      <w:r w:rsidR="00ED4C4C">
        <w:rPr>
          <w:color w:val="000000"/>
          <w:szCs w:val="22"/>
        </w:rPr>
        <w:fldChar w:fldCharType="begin">
          <w:fldData xml:space="preserve">PEVuZE5vdGU+PENpdGU+PEF1dGhvcj5FcmZ0ZW1laWplcjwvQXV0aG9yPjxZZWFyPjE5OTQ8L1ll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</w:fldData>
        </w:fldChar>
      </w:r>
      <w:r w:rsidR="00ED4C4C">
        <w:rPr>
          <w:color w:val="000000"/>
          <w:szCs w:val="22"/>
        </w:rPr>
        <w:instrText xml:space="preserve"> ADDIN EN.CITE.DATA </w:instrText>
      </w:r>
      <w:r w:rsidR="00ED4C4C">
        <w:rPr>
          <w:color w:val="000000"/>
          <w:szCs w:val="22"/>
        </w:rPr>
      </w:r>
      <w:r w:rsidR="00ED4C4C">
        <w:rPr>
          <w:color w:val="000000"/>
          <w:szCs w:val="22"/>
        </w:rPr>
        <w:fldChar w:fldCharType="end"/>
      </w:r>
      <w:r w:rsidR="00ED4C4C">
        <w:rPr>
          <w:color w:val="000000"/>
          <w:szCs w:val="22"/>
        </w:rPr>
      </w:r>
      <w:r w:rsidR="00ED4C4C">
        <w:rPr>
          <w:color w:val="000000"/>
          <w:szCs w:val="22"/>
        </w:rPr>
        <w:fldChar w:fldCharType="separate"/>
      </w:r>
      <w:hyperlink w:anchor="_ENREF_100" w:tooltip="Erftemeijer, 1994 #10077" w:history="1">
        <w:r w:rsidR="00E6043D">
          <w:rPr>
            <w:noProof/>
            <w:color w:val="000000"/>
            <w:szCs w:val="22"/>
          </w:rPr>
          <w:t>Erftemeijer and Herman 1994</w:t>
        </w:r>
      </w:hyperlink>
      <w:r w:rsidR="00ED4C4C">
        <w:rPr>
          <w:noProof/>
          <w:color w:val="000000"/>
          <w:szCs w:val="22"/>
        </w:rPr>
        <w:t xml:space="preserve">; </w:t>
      </w:r>
      <w:hyperlink w:anchor="_ENREF_221" w:tooltip="Stapel, 1997 #7380" w:history="1">
        <w:r w:rsidR="00E6043D">
          <w:rPr>
            <w:noProof/>
            <w:color w:val="000000"/>
            <w:szCs w:val="22"/>
          </w:rPr>
          <w:t>Stapel</w:t>
        </w:r>
        <w:r w:rsidR="00E6043D" w:rsidRPr="00ED4C4C">
          <w:rPr>
            <w:i/>
            <w:noProof/>
            <w:color w:val="000000"/>
            <w:szCs w:val="22"/>
          </w:rPr>
          <w:t xml:space="preserve"> et al.</w:t>
        </w:r>
        <w:r w:rsidR="00E6043D">
          <w:rPr>
            <w:noProof/>
            <w:color w:val="000000"/>
            <w:szCs w:val="22"/>
          </w:rPr>
          <w:t xml:space="preserve"> 1997</w:t>
        </w:r>
      </w:hyperlink>
      <w:r w:rsidR="00ED4C4C">
        <w:rPr>
          <w:noProof/>
          <w:color w:val="000000"/>
          <w:szCs w:val="22"/>
        </w:rPr>
        <w:t xml:space="preserve">; </w:t>
      </w:r>
      <w:hyperlink w:anchor="_ENREF_14" w:tooltip="Björk, 1999 #9144" w:history="1">
        <w:r w:rsidR="00E6043D">
          <w:rPr>
            <w:noProof/>
            <w:color w:val="000000"/>
            <w:szCs w:val="22"/>
          </w:rPr>
          <w:t>Björk</w:t>
        </w:r>
        <w:r w:rsidR="00E6043D" w:rsidRPr="00ED4C4C">
          <w:rPr>
            <w:i/>
            <w:noProof/>
            <w:color w:val="000000"/>
            <w:szCs w:val="22"/>
          </w:rPr>
          <w:t xml:space="preserve"> et al.</w:t>
        </w:r>
        <w:r w:rsidR="00E6043D">
          <w:rPr>
            <w:noProof/>
            <w:color w:val="000000"/>
            <w:szCs w:val="22"/>
          </w:rPr>
          <w:t xml:space="preserve"> 1999</w:t>
        </w:r>
      </w:hyperlink>
      <w:r w:rsidR="00ED4C4C">
        <w:rPr>
          <w:noProof/>
          <w:color w:val="000000"/>
          <w:szCs w:val="22"/>
        </w:rPr>
        <w:t xml:space="preserve">; </w:t>
      </w:r>
      <w:hyperlink w:anchor="_ENREF_33" w:tooltip="Campbell, 2006 #2896" w:history="1">
        <w:r w:rsidR="00E6043D">
          <w:rPr>
            <w:noProof/>
            <w:color w:val="000000"/>
            <w:szCs w:val="22"/>
          </w:rPr>
          <w:t>Campbell</w:t>
        </w:r>
        <w:r w:rsidR="00E6043D" w:rsidRPr="00ED4C4C">
          <w:rPr>
            <w:i/>
            <w:noProof/>
            <w:color w:val="000000"/>
            <w:szCs w:val="22"/>
          </w:rPr>
          <w:t>, et al.</w:t>
        </w:r>
        <w:r w:rsidR="00E6043D">
          <w:rPr>
            <w:noProof/>
            <w:color w:val="000000"/>
            <w:szCs w:val="22"/>
          </w:rPr>
          <w:t xml:space="preserve"> 2006</w:t>
        </w:r>
      </w:hyperlink>
      <w:r w:rsidR="00ED4C4C">
        <w:rPr>
          <w:color w:val="000000"/>
          <w:szCs w:val="22"/>
        </w:rPr>
        <w:fldChar w:fldCharType="end"/>
      </w:r>
      <w:r w:rsidRPr="00EB7436">
        <w:rPr>
          <w:color w:val="000000"/>
          <w:szCs w:val="22"/>
        </w:rPr>
        <w:t xml:space="preserve">). Research on upper intertidal </w:t>
      </w:r>
      <w:proofErr w:type="spellStart"/>
      <w:r w:rsidRPr="00EB7436">
        <w:rPr>
          <w:color w:val="000000"/>
          <w:szCs w:val="22"/>
        </w:rPr>
        <w:t>Enhalus</w:t>
      </w:r>
      <w:proofErr w:type="spellEnd"/>
      <w:r w:rsidRPr="00EB7436">
        <w:rPr>
          <w:color w:val="000000"/>
          <w:szCs w:val="22"/>
        </w:rPr>
        <w:t xml:space="preserve"> </w:t>
      </w:r>
      <w:proofErr w:type="spellStart"/>
      <w:r w:rsidRPr="00EB7436">
        <w:rPr>
          <w:color w:val="000000"/>
          <w:szCs w:val="22"/>
        </w:rPr>
        <w:t>acoroides</w:t>
      </w:r>
      <w:proofErr w:type="spellEnd"/>
      <w:r w:rsidRPr="00EB7436">
        <w:rPr>
          <w:color w:val="000000"/>
          <w:szCs w:val="22"/>
        </w:rPr>
        <w:t xml:space="preserve"> meadows in the northern Gulf of Carpentaria (Weipa), reported strong correlative evidence that long-term tidal cycles coinciding with daylight and high solar radiation are linked to this long-term variability and seagrass decline (</w:t>
      </w:r>
      <w:hyperlink w:anchor="_ENREF_232" w:tooltip="Unsworth, 2012 #9397" w:history="1">
        <w:r w:rsidR="00E6043D">
          <w:rPr>
            <w:color w:val="000000"/>
            <w:szCs w:val="22"/>
          </w:rPr>
          <w:fldChar w:fldCharType="begin"/>
        </w:r>
        <w:r w:rsidR="00E6043D">
          <w:rPr>
            <w:color w:val="000000"/>
            <w:szCs w:val="22"/>
          </w:rPr>
          <w:instrText xml:space="preserve"> ADDIN EN.CITE &lt;EndNote&gt;&lt;Cite&gt;&lt;Author&gt;Unsworth&lt;/Author&gt;&lt;Year&gt;2012&lt;/Year&gt;&lt;RecNum&gt;9397&lt;/RecNum&gt;&lt;DisplayText&gt;Unsworth&lt;style face="italic"&gt;, et al.&lt;/style&gt; 2012b&lt;/DisplayText&gt;&lt;record&gt;&lt;rec-number&gt;9397&lt;/rec-number&gt;&lt;foreign-keys&gt;&lt;key app="EN" db-id="0eve55x9y5vfd6e9dacxtew4eatve2dzds9a"&gt;9397&lt;/key&gt;&lt;/foreign-keys&gt;&lt;ref-type name="Journal Article"&gt;17&lt;/ref-type&gt;&lt;contributors&gt;&lt;authors&gt;&lt;author&gt;Unsworth, Richard K. F.&lt;/author&gt;&lt;author&gt;Rasheed, Michael A.&lt;/author&gt;&lt;author&gt;Chartrand, Kathryn M.&lt;/author&gt;&lt;author&gt;Roelofs, Anthony J.&lt;/author&gt;&lt;/authors&gt;&lt;/contributors&gt;&lt;titles&gt;&lt;title&gt;&lt;style face="normal" font="default" size="100%"&gt;Solar radiation and tidal exposure as environmental drivers of &lt;/style&gt;&lt;style face="italic" font="default" size="100%"&gt;Enhalus acoroides&lt;/style&gt;&lt;style face="normal" font="default" size="100%"&gt; dominated seagrass meadows&lt;/style&gt;&lt;/title&gt;&lt;secondary-title&gt;PloS one&lt;/secondary-title&gt;&lt;/titles&gt;&lt;periodical&gt;&lt;full-title&gt;Plos One&lt;/full-title&gt;&lt;/periodical&gt;&lt;volume&gt;7&lt;/volume&gt;&lt;number&gt;3&lt;/number&gt;&lt;dates&gt;&lt;year&gt;2012&lt;/year&gt;&lt;pub-dates&gt;&lt;date&gt;Mar 29&lt;/date&gt;&lt;/pub-dates&gt;&lt;/dates&gt;&lt;isbn&gt;1932-6203&lt;/isbn&gt;&lt;accession-num&gt;WOS:000304523400057&lt;/accession-num&gt;&lt;urls&gt;&lt;related-urls&gt;&lt;url&gt;&amp;lt;Go to ISI&amp;gt;://WOS:000304523400057&lt;/url&gt;&lt;/related-urls&gt;&lt;/urls&gt;&lt;custom7&gt;e34133&lt;/custom7&gt;&lt;electronic-resource-num&gt;10.1371/journal.pone.0034133&lt;/electronic-resource-num&gt;&lt;/record&gt;&lt;/Cite&gt;&lt;/EndNote&gt;</w:instrText>
        </w:r>
        <w:r w:rsidR="00E6043D">
          <w:rPr>
            <w:color w:val="000000"/>
            <w:szCs w:val="22"/>
          </w:rPr>
          <w:fldChar w:fldCharType="separate"/>
        </w:r>
        <w:r w:rsidR="00E6043D">
          <w:rPr>
            <w:noProof/>
            <w:color w:val="000000"/>
            <w:szCs w:val="22"/>
          </w:rPr>
          <w:t>Unsworth</w:t>
        </w:r>
        <w:r w:rsidR="00E6043D" w:rsidRPr="00ED4C4C">
          <w:rPr>
            <w:i/>
            <w:noProof/>
            <w:color w:val="000000"/>
            <w:szCs w:val="22"/>
          </w:rPr>
          <w:t>, et al.</w:t>
        </w:r>
        <w:r w:rsidR="00E6043D">
          <w:rPr>
            <w:noProof/>
            <w:color w:val="000000"/>
            <w:szCs w:val="22"/>
          </w:rPr>
          <w:t xml:space="preserve"> 2012b</w:t>
        </w:r>
        <w:r w:rsidR="00E6043D">
          <w:rPr>
            <w:color w:val="000000"/>
            <w:szCs w:val="22"/>
          </w:rPr>
          <w:fldChar w:fldCharType="end"/>
        </w:r>
      </w:hyperlink>
      <w:r w:rsidRPr="00EB7436">
        <w:rPr>
          <w:color w:val="000000"/>
          <w:szCs w:val="22"/>
        </w:rPr>
        <w:t>).</w:t>
      </w:r>
      <w:r w:rsidR="005752EE">
        <w:rPr>
          <w:color w:val="000000"/>
          <w:szCs w:val="22"/>
        </w:rPr>
        <w:t xml:space="preserve"> Actual tidal data was provided by Maritime Safety Queensland and exposure times calculated for each site based on measured height relative to the Lowest Astronomical Tide.</w:t>
      </w:r>
    </w:p>
    <w:p w:rsidR="00EB7436" w:rsidRPr="005752EE" w:rsidRDefault="00EB7436" w:rsidP="005752EE">
      <w:pPr>
        <w:pStyle w:val="Heading3"/>
        <w:rPr>
          <w:rFonts w:asciiTheme="minorHAnsi" w:hAnsiTheme="minorHAnsi"/>
          <w:sz w:val="24"/>
          <w:szCs w:val="24"/>
        </w:rPr>
      </w:pPr>
      <w:bookmarkStart w:id="918" w:name="_Toc461884921"/>
      <w:bookmarkStart w:id="919" w:name="_Toc462047387"/>
      <w:r w:rsidRPr="005752EE">
        <w:rPr>
          <w:rFonts w:asciiTheme="minorHAnsi" w:hAnsiTheme="minorHAnsi"/>
          <w:sz w:val="24"/>
          <w:szCs w:val="24"/>
        </w:rPr>
        <w:t>Light loggers</w:t>
      </w:r>
      <w:bookmarkEnd w:id="918"/>
      <w:bookmarkEnd w:id="919"/>
    </w:p>
    <w:p w:rsidR="00EB7436" w:rsidRDefault="00EB7436" w:rsidP="00EB7436">
      <w:pPr>
        <w:rPr>
          <w:color w:val="000000"/>
          <w:szCs w:val="22"/>
        </w:rPr>
      </w:pPr>
      <w:r>
        <w:rPr>
          <w:color w:val="000000"/>
          <w:szCs w:val="22"/>
          <w:lang w:val="en-US"/>
        </w:rPr>
        <w:t>Submersible Odyssey</w:t>
      </w:r>
      <w:r>
        <w:rPr>
          <w:color w:val="000000"/>
          <w:szCs w:val="22"/>
          <w:vertAlign w:val="superscript"/>
          <w:lang w:val="en-US"/>
        </w:rPr>
        <w:t>™</w:t>
      </w:r>
      <w:r>
        <w:rPr>
          <w:color w:val="000000"/>
          <w:szCs w:val="22"/>
          <w:lang w:val="en-US"/>
        </w:rPr>
        <w:t xml:space="preserve"> </w:t>
      </w:r>
      <w:r>
        <w:rPr>
          <w:rFonts w:cs="Arial"/>
          <w:color w:val="000000"/>
          <w:szCs w:val="22"/>
        </w:rPr>
        <w:t>photosynthetic irradiance a</w:t>
      </w:r>
      <w:proofErr w:type="spellStart"/>
      <w:r>
        <w:rPr>
          <w:rFonts w:cs="Arial"/>
          <w:color w:val="000000"/>
          <w:szCs w:val="22"/>
          <w:lang w:val="en-US"/>
        </w:rPr>
        <w:t>utonomous</w:t>
      </w:r>
      <w:proofErr w:type="spellEnd"/>
      <w:r>
        <w:rPr>
          <w:rFonts w:cs="Arial"/>
          <w:color w:val="000000"/>
          <w:szCs w:val="22"/>
          <w:lang w:val="en-US"/>
        </w:rPr>
        <w:t xml:space="preserve"> loggers were </w:t>
      </w:r>
      <w:r>
        <w:rPr>
          <w:color w:val="000000"/>
          <w:szCs w:val="22"/>
          <w:lang w:val="en-US"/>
        </w:rPr>
        <w:t>attached to permanent station markers</w:t>
      </w:r>
      <w:r>
        <w:rPr>
          <w:rFonts w:cs="Arial"/>
          <w:color w:val="000000"/>
          <w:szCs w:val="22"/>
          <w:lang w:val="en-US"/>
        </w:rPr>
        <w:t xml:space="preserve"> at </w:t>
      </w:r>
      <w:r>
        <w:rPr>
          <w:color w:val="000000"/>
          <w:szCs w:val="22"/>
        </w:rPr>
        <w:t xml:space="preserve">20 intertidal and 4 subtidal </w:t>
      </w:r>
      <w:r>
        <w:rPr>
          <w:rFonts w:cs="Arial"/>
          <w:color w:val="000000"/>
          <w:szCs w:val="22"/>
          <w:lang w:val="en-US"/>
        </w:rPr>
        <w:t>seagrass locations from the Cape York region to the Burnett Mary region (</w:t>
      </w:r>
      <w:r w:rsidR="00ED4C4C">
        <w:rPr>
          <w:rFonts w:cs="Arial"/>
          <w:color w:val="000000"/>
          <w:szCs w:val="22"/>
          <w:lang w:val="en-US"/>
        </w:rPr>
        <w:fldChar w:fldCharType="begin"/>
      </w:r>
      <w:r w:rsidR="00ED4C4C">
        <w:rPr>
          <w:rFonts w:cs="Arial"/>
          <w:color w:val="000000"/>
          <w:szCs w:val="22"/>
          <w:lang w:val="en-US"/>
        </w:rPr>
        <w:instrText xml:space="preserve"> REF _Ref442523235 \h </w:instrText>
      </w:r>
      <w:r w:rsidR="00ED4C4C">
        <w:rPr>
          <w:rFonts w:cs="Arial"/>
          <w:color w:val="000000"/>
          <w:szCs w:val="22"/>
          <w:lang w:val="en-US"/>
        </w:rPr>
      </w:r>
      <w:r w:rsidR="00ED4C4C">
        <w:rPr>
          <w:rFonts w:cs="Arial"/>
          <w:color w:val="000000"/>
          <w:szCs w:val="22"/>
          <w:lang w:val="en-US"/>
        </w:rPr>
        <w:fldChar w:fldCharType="separate"/>
      </w:r>
      <w:r w:rsidR="009C068F">
        <w:rPr>
          <w:color w:val="000000"/>
          <w:szCs w:val="22"/>
        </w:rPr>
        <w:t xml:space="preserve">Table </w:t>
      </w:r>
      <w:r w:rsidR="009C068F">
        <w:rPr>
          <w:noProof/>
          <w:color w:val="000000"/>
          <w:szCs w:val="22"/>
        </w:rPr>
        <w:t>30</w:t>
      </w:r>
      <w:r w:rsidR="00ED4C4C">
        <w:rPr>
          <w:rFonts w:cs="Arial"/>
          <w:color w:val="000000"/>
          <w:szCs w:val="22"/>
          <w:lang w:val="en-US"/>
        </w:rPr>
        <w:fldChar w:fldCharType="end"/>
      </w:r>
      <w:r>
        <w:rPr>
          <w:rFonts w:cs="Arial"/>
          <w:color w:val="000000"/>
          <w:szCs w:val="22"/>
          <w:lang w:val="en-US"/>
        </w:rPr>
        <w:t xml:space="preserve">). </w:t>
      </w:r>
      <w:r>
        <w:rPr>
          <w:color w:val="000000"/>
          <w:szCs w:val="22"/>
          <w:lang w:val="en-US"/>
        </w:rPr>
        <w:t>Measurements were recorded by the logger every 15 - 30 minutes and are reported as total daily light (</w:t>
      </w:r>
      <w:proofErr w:type="spellStart"/>
      <w:r>
        <w:rPr>
          <w:color w:val="000000"/>
          <w:szCs w:val="22"/>
          <w:lang w:val="en-US"/>
        </w:rPr>
        <w:t>mol</w:t>
      </w:r>
      <w:proofErr w:type="spellEnd"/>
      <w:r>
        <w:rPr>
          <w:color w:val="000000"/>
          <w:szCs w:val="22"/>
          <w:lang w:val="en-US"/>
        </w:rPr>
        <w:t xml:space="preserve"> m</w:t>
      </w:r>
      <w:r>
        <w:rPr>
          <w:color w:val="000000"/>
          <w:szCs w:val="22"/>
          <w:vertAlign w:val="superscript"/>
          <w:lang w:val="en-US"/>
        </w:rPr>
        <w:t>-2</w:t>
      </w:r>
      <w:r>
        <w:rPr>
          <w:color w:val="000000"/>
          <w:szCs w:val="22"/>
          <w:lang w:val="en-US"/>
        </w:rPr>
        <w:t xml:space="preserve"> d</w:t>
      </w:r>
      <w:r>
        <w:rPr>
          <w:color w:val="000000"/>
          <w:szCs w:val="22"/>
          <w:vertAlign w:val="superscript"/>
          <w:lang w:val="en-US"/>
        </w:rPr>
        <w:t>-1</w:t>
      </w:r>
      <w:r>
        <w:rPr>
          <w:color w:val="000000"/>
          <w:szCs w:val="22"/>
          <w:lang w:val="en-US"/>
        </w:rPr>
        <w:t>). Automatic wiper brushes cleaned the optical surface of the sensor every 15 minutes to prevent marine organisms fouling.</w:t>
      </w:r>
    </w:p>
    <w:p w:rsidR="00EB7436" w:rsidRDefault="00EB7436" w:rsidP="00EB7436">
      <w:pPr>
        <w:rPr>
          <w:color w:val="000000"/>
          <w:szCs w:val="22"/>
        </w:rPr>
      </w:pPr>
      <w:r>
        <w:rPr>
          <w:color w:val="000000"/>
          <w:szCs w:val="22"/>
        </w:rPr>
        <w:t>The deployment durations were variable, with some deployed since 2008 under a different program (e.g. MTSRF); however the light monitoring was expanded and incorporated into the MMP in late 2009. Data were patchy for a number of intertidal sites because visitation frequency was low (3- 6 months), which increases the risk of light logger or wiper unit failure and increases the gap in data if loggers do fail. Furthermore, there are some sites that are frequently accessed by the public and tampering is suspected in the disappearance of some loggers. For subtidal sites, and their associated intertidal sites (Picnic Bay, Dunk Island, Green Island and Low Isles, 8 sites in total), the logger replacement time was every 6 weeks so data gaps were reduced.</w:t>
      </w:r>
    </w:p>
    <w:p w:rsidR="00460ACB" w:rsidRPr="00BC33E3" w:rsidRDefault="00460ACB" w:rsidP="00460ACB">
      <w:pPr>
        <w:autoSpaceDE w:val="0"/>
        <w:autoSpaceDN w:val="0"/>
        <w:adjustRightInd w:val="0"/>
        <w:rPr>
          <w:rFonts w:cs="Segoe UI"/>
        </w:rPr>
      </w:pPr>
      <w:r w:rsidRPr="00BC33E3">
        <w:rPr>
          <w:rFonts w:cs="Segoe UI"/>
        </w:rPr>
        <w:t>Odyssey</w:t>
      </w:r>
      <w:r w:rsidRPr="00BC33E3">
        <w:rPr>
          <w:rFonts w:cs="Segoe UI"/>
          <w:vertAlign w:val="superscript"/>
        </w:rPr>
        <w:t>™</w:t>
      </w:r>
      <w:r w:rsidRPr="00BC33E3">
        <w:rPr>
          <w:rFonts w:cs="Segoe UI"/>
        </w:rPr>
        <w:t xml:space="preserve"> data loggers (Odyssey, </w:t>
      </w:r>
      <w:smartTag w:uri="urn:schemas-microsoft-com:office:smarttags" w:element="place">
        <w:smartTag w:uri="urn:schemas-microsoft-com:office:smarttags" w:element="City">
          <w:r w:rsidRPr="00BC33E3">
            <w:rPr>
              <w:rFonts w:cs="Segoe UI"/>
            </w:rPr>
            <w:t>Christchurch</w:t>
          </w:r>
        </w:smartTag>
        <w:r w:rsidRPr="00BC33E3">
          <w:rPr>
            <w:rFonts w:cs="Segoe UI"/>
          </w:rPr>
          <w:t xml:space="preserve">, </w:t>
        </w:r>
        <w:smartTag w:uri="urn:schemas-microsoft-com:office:smarttags" w:element="country-region">
          <w:r w:rsidRPr="00BC33E3">
            <w:rPr>
              <w:rFonts w:cs="Segoe UI"/>
            </w:rPr>
            <w:t>New Zealand</w:t>
          </w:r>
        </w:smartTag>
      </w:smartTag>
      <w:r w:rsidRPr="00BC33E3">
        <w:rPr>
          <w:rFonts w:cs="Segoe UI"/>
        </w:rPr>
        <w:t xml:space="preserve">) record Photosynthetically Active Radiation (400-1100nm) and store data in an inbuilt memory which is retrieved every three to six months, depending on the site. Each logger has the following technical specifications: </w:t>
      </w:r>
    </w:p>
    <w:p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Cosine corrected photosynthetic irradiance sensor 400-700 nm</w:t>
      </w:r>
    </w:p>
    <w:p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 xml:space="preserve">Cosine corrected solar irradiance sensor 400-1100 nm </w:t>
      </w:r>
    </w:p>
    <w:p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Integrated count output recorded by Odyssey data recorder</w:t>
      </w:r>
    </w:p>
    <w:p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User defined integration period</w:t>
      </w:r>
    </w:p>
    <w:p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Submersible to 20m water depth</w:t>
      </w:r>
    </w:p>
    <w:p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64k memory.</w:t>
      </w:r>
    </w:p>
    <w:p w:rsidR="00460ACB" w:rsidRPr="00BC33E3" w:rsidRDefault="00460ACB" w:rsidP="00460ACB">
      <w:pPr>
        <w:autoSpaceDE w:val="0"/>
        <w:autoSpaceDN w:val="0"/>
        <w:adjustRightInd w:val="0"/>
        <w:rPr>
          <w:rFonts w:cs="Segoe UI"/>
        </w:rPr>
      </w:pPr>
      <w:r w:rsidRPr="00BC33E3">
        <w:rPr>
          <w:rFonts w:cs="Segoe UI"/>
        </w:rPr>
        <w:t xml:space="preserve">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This location ensures that the sensors are not exposed to air unless the seagrass meadow is almost completely drained and places them out of sight of curious people. At subtidal </w:t>
      </w:r>
      <w:r w:rsidRPr="00BC33E3">
        <w:rPr>
          <w:rFonts w:cs="Segoe UI"/>
        </w:rPr>
        <w:lastRenderedPageBreak/>
        <w:t>sites, the loggers are deployed on the sediment surface (attached to a permanent marker) with the sensor at seagrass canopy height. Two loggers are deployed at subtidal sites as there is an increased chance of logger fouling, and the dual logger set-up offers a redundant data set in the instance that one logger fouls completely. Where possible, additional light loggers are deployed at subtidal sites 80 cm from the sediment surface. Data from this logger, together with data from the logger at canopy height, is used for calculation of the light attenuation co-efficient. Furthermore, another logger is deployed above the water surface at each of the subtidal monitoring stations. These additional loggers (surface and subtidal higher in the water column) allow comparison of water quality indices for some of the time.</w:t>
      </w:r>
    </w:p>
    <w:p w:rsidR="00460ACB" w:rsidRPr="00BC33E3" w:rsidRDefault="00460ACB" w:rsidP="00460ACB">
      <w:pPr>
        <w:autoSpaceDE w:val="0"/>
        <w:autoSpaceDN w:val="0"/>
        <w:adjustRightInd w:val="0"/>
        <w:rPr>
          <w:rFonts w:cs="Segoe UI"/>
        </w:rPr>
      </w:pPr>
      <w:r w:rsidRPr="00BC33E3">
        <w:rPr>
          <w:rFonts w:cs="Segoe UI"/>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replaced with a ‘fresh’ logger. At subtidal monitoring sites, the loggers are checked by SCUBA (and replaced if fouled) every six weeks due to the increased fouling rates at permanently submerged sites. After collection, details of the logger number, field datasheet (with date and time) and logger are returned to JCU for downloading. </w:t>
      </w:r>
    </w:p>
    <w:p w:rsidR="00460ACB" w:rsidRPr="00BC33E3" w:rsidRDefault="00460ACB" w:rsidP="00460ACB">
      <w:pPr>
        <w:rPr>
          <w:rFonts w:cs="Segoe UI"/>
        </w:rPr>
      </w:pPr>
      <w:r w:rsidRPr="00BC33E3">
        <w:rPr>
          <w:rFonts w:cs="Segoe UI"/>
        </w:rPr>
        <w:t xml:space="preserve">Photographs of the light sensor and/or notes on the condition of the sensor are recorded at logger collection. If fouling is major (e.g. wiper failure), the data are truncated to included only that data before fouling began – usually one to two weeks. If fouling was minor (up to ~25% of the senor covered), back corrections to the data are made to allow for a linear rate of fouling (linear because with minor fouling it is assumed that the wiper was retarding algal growth rates, but not fully inhibiting them). </w:t>
      </w:r>
    </w:p>
    <w:p w:rsidR="00EB7436" w:rsidRDefault="00EB7436" w:rsidP="00EB7436">
      <w:pPr>
        <w:autoSpaceDE w:val="0"/>
        <w:autoSpaceDN w:val="0"/>
        <w:adjustRightInd w:val="0"/>
        <w:rPr>
          <w:color w:val="000000"/>
          <w:szCs w:val="22"/>
          <w:lang w:val="en-US"/>
        </w:rPr>
      </w:pPr>
      <w:r>
        <w:rPr>
          <w:color w:val="000000"/>
          <w:szCs w:val="22"/>
          <w:lang w:val="en-US"/>
        </w:rPr>
        <w:t>Loggers were calibrated against a certified reference Photosynthetically Active Radiation (PAR) sensor (LI-COR</w:t>
      </w:r>
      <w:r>
        <w:rPr>
          <w:color w:val="000000"/>
          <w:szCs w:val="22"/>
          <w:vertAlign w:val="superscript"/>
          <w:lang w:val="en-US"/>
        </w:rPr>
        <w:t>™</w:t>
      </w:r>
      <w:r>
        <w:rPr>
          <w:color w:val="000000"/>
          <w:szCs w:val="22"/>
          <w:lang w:val="en-US"/>
        </w:rPr>
        <w:t xml:space="preserve"> LI-192SB Underwater Quantum Sensor) using a stable light source (</w:t>
      </w:r>
      <w:proofErr w:type="spellStart"/>
      <w:r>
        <w:rPr>
          <w:color w:val="000000"/>
          <w:szCs w:val="22"/>
          <w:lang w:val="en-US"/>
        </w:rPr>
        <w:t>LiCor</w:t>
      </w:r>
      <w:proofErr w:type="spellEnd"/>
      <w:r>
        <w:rPr>
          <w:color w:val="000000"/>
          <w:szCs w:val="22"/>
          <w:lang w:val="en-US"/>
        </w:rPr>
        <w:t xml:space="preserve">) enclosed in a casing that holds both the sensor and light source at a constant distance. Calibration is repeated after each deployment period of 6 weeks to 6 months. </w:t>
      </w:r>
    </w:p>
    <w:p w:rsidR="00EB7436" w:rsidRDefault="00EB7436" w:rsidP="00EB7436">
      <w:pPr>
        <w:jc w:val="center"/>
        <w:rPr>
          <w:color w:val="000000"/>
          <w:szCs w:val="22"/>
          <w:lang w:val="en-US"/>
        </w:rPr>
      </w:pPr>
      <w:r>
        <w:rPr>
          <w:noProof/>
          <w:color w:val="000000"/>
          <w:lang w:eastAsia="en-AU"/>
        </w:rPr>
        <w:drawing>
          <wp:inline distT="0" distB="0" distL="0" distR="0" wp14:anchorId="517925F9" wp14:editId="2FB29142">
            <wp:extent cx="1190625" cy="1788795"/>
            <wp:effectExtent l="0" t="0" r="9525" b="1905"/>
            <wp:docPr id="5" name="Picture 5" descr="Photograph of autonomous iBTag submersible temperature logger attached to permanent site marker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hotograph of autonomous iBTag submersible temperature logger attached to permanent site marker at Green Island"/>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1190625" cy="1788795"/>
                    </a:xfrm>
                    <a:prstGeom prst="rect">
                      <a:avLst/>
                    </a:prstGeom>
                    <a:noFill/>
                    <a:ln>
                      <a:noFill/>
                    </a:ln>
                  </pic:spPr>
                </pic:pic>
              </a:graphicData>
            </a:graphic>
          </wp:inline>
        </w:drawing>
      </w:r>
      <w:r>
        <w:rPr>
          <w:noProof/>
          <w:color w:val="000000"/>
          <w:lang w:eastAsia="en-AU"/>
        </w:rPr>
        <w:t xml:space="preserve"> </w:t>
      </w:r>
      <w:r>
        <w:rPr>
          <w:noProof/>
          <w:color w:val="000000"/>
          <w:szCs w:val="22"/>
          <w:lang w:eastAsia="en-AU"/>
        </w:rPr>
        <w:drawing>
          <wp:inline distT="0" distB="0" distL="0" distR="0" wp14:anchorId="707B559C" wp14:editId="46902A32">
            <wp:extent cx="2703195" cy="1788795"/>
            <wp:effectExtent l="0" t="0" r="1905" b="1905"/>
            <wp:docPr id="13" name="Picture 13" descr="Photograph of submersible Odyssey™ photosynthetic irradiance autonomous logger deployed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Green_Is_22Apr13_032"/>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2703195" cy="1788795"/>
                    </a:xfrm>
                    <a:prstGeom prst="rect">
                      <a:avLst/>
                    </a:prstGeom>
                    <a:noFill/>
                    <a:ln>
                      <a:noFill/>
                    </a:ln>
                  </pic:spPr>
                </pic:pic>
              </a:graphicData>
            </a:graphic>
          </wp:inline>
        </w:drawing>
      </w:r>
    </w:p>
    <w:p w:rsidR="00EB7436" w:rsidRDefault="00EB7436" w:rsidP="00EB7436">
      <w:pPr>
        <w:jc w:val="center"/>
        <w:rPr>
          <w:i/>
          <w:color w:val="000000"/>
          <w:szCs w:val="22"/>
        </w:rPr>
      </w:pPr>
      <w:r>
        <w:rPr>
          <w:i/>
          <w:color w:val="000000"/>
          <w:szCs w:val="22"/>
        </w:rPr>
        <w:t xml:space="preserve">Autonomous </w:t>
      </w:r>
      <w:proofErr w:type="spellStart"/>
      <w:r>
        <w:rPr>
          <w:i/>
          <w:color w:val="000000"/>
          <w:szCs w:val="22"/>
        </w:rPr>
        <w:t>iBTag</w:t>
      </w:r>
      <w:proofErr w:type="spellEnd"/>
      <w:r>
        <w:rPr>
          <w:i/>
          <w:color w:val="000000"/>
          <w:szCs w:val="22"/>
        </w:rPr>
        <w:t>™ submersible temperature loggers and submersible Odyssey™ photosynthetic irradiance autonomous logger deployed at Green Island.</w:t>
      </w:r>
    </w:p>
    <w:p w:rsidR="00EB7436" w:rsidRDefault="00EB7436" w:rsidP="00EB7436">
      <w:pPr>
        <w:rPr>
          <w:color w:val="000000"/>
          <w:szCs w:val="22"/>
        </w:rPr>
      </w:pPr>
      <w:r>
        <w:rPr>
          <w:color w:val="000000"/>
          <w:szCs w:val="22"/>
        </w:rPr>
        <w:t>Light data measured as instantaneous irradiance (µ</w:t>
      </w:r>
      <w:proofErr w:type="spellStart"/>
      <w:r>
        <w:rPr>
          <w:color w:val="000000"/>
          <w:szCs w:val="22"/>
        </w:rPr>
        <w:t>mol</w:t>
      </w:r>
      <w:proofErr w:type="spellEnd"/>
      <w:r>
        <w:rPr>
          <w:color w:val="000000"/>
          <w:szCs w:val="22"/>
        </w:rPr>
        <w:t xml:space="preserve"> m</w:t>
      </w:r>
      <w:r>
        <w:rPr>
          <w:color w:val="000000"/>
          <w:szCs w:val="22"/>
          <w:vertAlign w:val="superscript"/>
        </w:rPr>
        <w:t>-2</w:t>
      </w:r>
      <w:r>
        <w:rPr>
          <w:color w:val="000000"/>
          <w:szCs w:val="22"/>
        </w:rPr>
        <w:t xml:space="preserve"> s</w:t>
      </w:r>
      <w:r>
        <w:rPr>
          <w:color w:val="000000"/>
          <w:szCs w:val="22"/>
          <w:vertAlign w:val="superscript"/>
        </w:rPr>
        <w:t>-1</w:t>
      </w:r>
      <w:r>
        <w:rPr>
          <w:color w:val="000000"/>
          <w:szCs w:val="22"/>
        </w:rPr>
        <w:t>) was converted to daily irradiance (I</w:t>
      </w:r>
      <w:r>
        <w:rPr>
          <w:color w:val="000000"/>
          <w:szCs w:val="22"/>
          <w:vertAlign w:val="subscript"/>
        </w:rPr>
        <w:t>d</w:t>
      </w:r>
      <w:r>
        <w:rPr>
          <w:color w:val="000000"/>
          <w:szCs w:val="22"/>
        </w:rPr>
        <w:t xml:space="preserve">, </w:t>
      </w:r>
      <w:proofErr w:type="spellStart"/>
      <w:r>
        <w:rPr>
          <w:color w:val="000000"/>
          <w:szCs w:val="22"/>
        </w:rPr>
        <w:t>mol</w:t>
      </w:r>
      <w:proofErr w:type="spellEnd"/>
      <w:r>
        <w:rPr>
          <w:color w:val="000000"/>
          <w:szCs w:val="22"/>
        </w:rPr>
        <w:t xml:space="preserve"> m</w:t>
      </w:r>
      <w:r>
        <w:rPr>
          <w:color w:val="000000"/>
          <w:szCs w:val="22"/>
          <w:vertAlign w:val="superscript"/>
        </w:rPr>
        <w:t>-2</w:t>
      </w:r>
      <w:r>
        <w:rPr>
          <w:color w:val="000000"/>
          <w:szCs w:val="22"/>
        </w:rPr>
        <w:t xml:space="preserve"> d</w:t>
      </w:r>
      <w:r>
        <w:rPr>
          <w:color w:val="000000"/>
          <w:szCs w:val="22"/>
          <w:vertAlign w:val="superscript"/>
        </w:rPr>
        <w:t>-1</w:t>
      </w:r>
      <w:r>
        <w:rPr>
          <w:color w:val="000000"/>
          <w:szCs w:val="22"/>
        </w:rPr>
        <w:t xml:space="preserve">). </w:t>
      </w:r>
      <w:proofErr w:type="spellStart"/>
      <w:r>
        <w:rPr>
          <w:color w:val="000000"/>
          <w:szCs w:val="22"/>
        </w:rPr>
        <w:t>I</w:t>
      </w:r>
      <w:r>
        <w:rPr>
          <w:color w:val="000000"/>
          <w:szCs w:val="22"/>
          <w:vertAlign w:val="subscript"/>
        </w:rPr>
        <w:t>d</w:t>
      </w:r>
      <w:proofErr w:type="spellEnd"/>
      <w:r>
        <w:rPr>
          <w:color w:val="000000"/>
          <w:szCs w:val="22"/>
        </w:rPr>
        <w:t xml:space="preserve"> is highly variable in shallow coastal systems, being affected by incoming irradiance, the tidal cycle as well as water quality (</w:t>
      </w:r>
      <w:hyperlink w:anchor="_ENREF_6" w:tooltip="Anthony, 2004 #7409" w:history="1">
        <w:r w:rsidR="00E6043D">
          <w:fldChar w:fldCharType="begin"/>
        </w:r>
        <w:r w:rsidR="00E6043D">
          <w:instrText xml:space="preserve"> ADDIN EN.CITE &lt;EndNote&gt;&lt;Cite&gt;&lt;Author&gt;Anthony&lt;/Author&gt;&lt;Year&gt;2004&lt;/Year&gt;&lt;RecNum&gt;7409&lt;/RecNum&gt;&lt;DisplayText&gt;Anthony&lt;style face="italic"&gt;, et al.&lt;/style&gt; 2004&lt;/DisplayText&gt;&lt;record&gt;&lt;rec-number&gt;7409&lt;/rec-number&gt;&lt;foreign-keys&gt;&lt;key app="EN" db-id="0eve55x9y5vfd6e9dacxtew4eatve2dzds9a"&gt;7409&lt;/key&gt;&lt;/foreign-keys&gt;&lt;ref-type name="Journal Article"&gt;17&lt;/ref-type&gt;&lt;contributors&gt;&lt;authors&gt;&lt;author&gt;Anthony, Kenneth R N&lt;/author&gt;&lt;author&gt;Ridd, Peter V&lt;/author&gt;&lt;author&gt;Orpin, Alan R.&lt;/author&gt;&lt;author&gt;Larcombe, Piers&lt;/author&gt;&lt;author&gt;Lough, Janice&lt;/author&gt;&lt;/authors&gt;&lt;/contributors&gt;&lt;titles&gt;&lt;title&gt;Temporal variation in light availability in coastal benthic habitats: Effects of clouds, turbidity, and tides&lt;/title&gt;&lt;secondary-title&gt;Limnology and Oceanography&lt;/secondary-title&gt;&lt;/titles&gt;&lt;periodical&gt;&lt;full-title&gt;Limnology and Oceanography&lt;/full-title&gt;&lt;/periodical&gt;&lt;pages&gt;2201-2211&lt;/pages&gt;&lt;volume&gt;49&lt;/volume&gt;&lt;number&gt;6&lt;/number&gt;&lt;dates&gt;&lt;year&gt;2004&lt;/year&gt;&lt;/dates&gt;&lt;urls&gt;&lt;/urls&gt;&lt;/record&gt;&lt;/Cite&gt;&lt;/EndNote&gt;</w:instrText>
        </w:r>
        <w:r w:rsidR="00E6043D">
          <w:fldChar w:fldCharType="separate"/>
        </w:r>
        <w:r w:rsidR="00E6043D">
          <w:rPr>
            <w:noProof/>
          </w:rPr>
          <w:t>Anthony</w:t>
        </w:r>
        <w:r w:rsidR="00E6043D" w:rsidRPr="00644A84">
          <w:rPr>
            <w:i/>
            <w:noProof/>
          </w:rPr>
          <w:t>, et al.</w:t>
        </w:r>
        <w:r w:rsidR="00E6043D">
          <w:rPr>
            <w:noProof/>
          </w:rPr>
          <w:t xml:space="preserve"> 2004</w:t>
        </w:r>
        <w:r w:rsidR="00E6043D">
          <w:fldChar w:fldCharType="end"/>
        </w:r>
      </w:hyperlink>
      <w:r>
        <w:rPr>
          <w:color w:val="000000"/>
          <w:szCs w:val="22"/>
        </w:rPr>
        <w:t>). This high variability makes it difficult to ascertain trends in data. To aid with the visual interpretation of trends, I</w:t>
      </w:r>
      <w:r>
        <w:rPr>
          <w:color w:val="000000"/>
          <w:szCs w:val="22"/>
          <w:vertAlign w:val="subscript"/>
        </w:rPr>
        <w:t>d</w:t>
      </w:r>
      <w:r>
        <w:rPr>
          <w:color w:val="000000"/>
          <w:szCs w:val="22"/>
        </w:rPr>
        <w:t xml:space="preserve"> was averaged over a 28-day period (complete tidal cycle). 28 days is also biologically meaningful, as it corresponds to the approximate duration over which leaves on a shoot are fully replaced by new leaves and it is the approximate time over which shoot density and biomass starts to decline following reductions in light (</w:t>
      </w:r>
      <w:hyperlink w:anchor="_ENREF_67" w:tooltip="Collier, 2012 #9308" w:history="1">
        <w:r w:rsidR="00E6043D">
          <w:fldChar w:fldCharType="begin"/>
        </w:r>
        <w:r w:rsidR="00E6043D">
          <w:instrText xml:space="preserve"> ADDIN EN.CITE &lt;EndNote&gt;&lt;Cite&gt;&lt;Author&gt;Collier&lt;/Author&gt;&lt;Year&gt;2012&lt;/Year&gt;&lt;RecNum&gt;9308&lt;/RecNum&gt;&lt;DisplayText&gt;Collier&lt;style face="italic"&gt; et al.&lt;/style&gt; 2012a&lt;/DisplayText&gt;&lt;record&gt;&lt;rec-number&gt;9308&lt;/rec-number&gt;&lt;foreign-keys&gt;&lt;key app="EN" db-id="0eve55x9y5vfd6e9dacxtew4eatve2dzds9a"&gt;9308&lt;/key&gt;&lt;/foreign-keys&gt;&lt;ref-type name="Journal Article"&gt;17&lt;/ref-type&gt;&lt;contributors&gt;&lt;authors&gt;&lt;author&gt;Collier, C.J.&lt;/author&gt;&lt;author&gt;Waycott, M&lt;/author&gt;&lt;author&gt;Giraldo-Ospina, A.&lt;/author&gt;&lt;/authors&gt;&lt;/contributors&gt;&lt;titles&gt;&lt;title&gt;Responses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Bulletin&lt;/full-title&gt;&lt;/periodical&gt;&lt;pages&gt;342-354&lt;/pages&gt;&lt;volume&gt;65&lt;/volume&gt;&lt;number&gt;4-9&lt;/number&gt;&lt;dates&gt;&lt;year&gt;2012&lt;/year&gt;&lt;/dates&gt;&lt;urls&gt;&lt;/urls&gt;&lt;/record&gt;&lt;/Cite&gt;&lt;/EndNote&gt;</w:instrText>
        </w:r>
        <w:r w:rsidR="00E6043D">
          <w:fldChar w:fldCharType="separate"/>
        </w:r>
        <w:r w:rsidR="00E6043D">
          <w:rPr>
            <w:noProof/>
          </w:rPr>
          <w:t>Collier</w:t>
        </w:r>
        <w:r w:rsidR="00E6043D" w:rsidRPr="00DD4F10">
          <w:rPr>
            <w:i/>
            <w:noProof/>
          </w:rPr>
          <w:t xml:space="preserve"> et al.</w:t>
        </w:r>
        <w:r w:rsidR="00E6043D">
          <w:rPr>
            <w:noProof/>
          </w:rPr>
          <w:t xml:space="preserve"> 2012a</w:t>
        </w:r>
        <w:r w:rsidR="00E6043D">
          <w:fldChar w:fldCharType="end"/>
        </w:r>
      </w:hyperlink>
      <w:r>
        <w:rPr>
          <w:color w:val="000000"/>
          <w:szCs w:val="22"/>
        </w:rPr>
        <w:t>). 28-day averaged I</w:t>
      </w:r>
      <w:r>
        <w:rPr>
          <w:color w:val="000000"/>
          <w:szCs w:val="22"/>
          <w:vertAlign w:val="subscript"/>
        </w:rPr>
        <w:t>d</w:t>
      </w:r>
      <w:r>
        <w:rPr>
          <w:color w:val="000000"/>
          <w:szCs w:val="22"/>
        </w:rPr>
        <w:t xml:space="preserve"> are presented graphically against draft thresholds with different values for northern and southern communities as the dominant species and habitat types vary from north to south. Thresholds applied in the northern GBR (5 </w:t>
      </w:r>
      <w:proofErr w:type="spellStart"/>
      <w:r>
        <w:rPr>
          <w:color w:val="000000"/>
          <w:szCs w:val="22"/>
        </w:rPr>
        <w:t>mol</w:t>
      </w:r>
      <w:proofErr w:type="spellEnd"/>
      <w:r>
        <w:rPr>
          <w:color w:val="000000"/>
          <w:szCs w:val="22"/>
        </w:rPr>
        <w:t xml:space="preserve"> m</w:t>
      </w:r>
      <w:r>
        <w:rPr>
          <w:color w:val="000000"/>
          <w:szCs w:val="22"/>
          <w:vertAlign w:val="superscript"/>
        </w:rPr>
        <w:t>-2</w:t>
      </w:r>
      <w:r>
        <w:rPr>
          <w:color w:val="000000"/>
          <w:szCs w:val="22"/>
        </w:rPr>
        <w:t xml:space="preserve"> s</w:t>
      </w:r>
      <w:r>
        <w:rPr>
          <w:color w:val="000000"/>
          <w:szCs w:val="22"/>
          <w:vertAlign w:val="superscript"/>
        </w:rPr>
        <w:t>-1</w:t>
      </w:r>
      <w:r>
        <w:rPr>
          <w:color w:val="000000"/>
          <w:szCs w:val="22"/>
        </w:rPr>
        <w:t xml:space="preserve">) were developed for </w:t>
      </w:r>
      <w:proofErr w:type="spellStart"/>
      <w:r>
        <w:rPr>
          <w:i/>
          <w:color w:val="000000"/>
          <w:szCs w:val="22"/>
        </w:rPr>
        <w:lastRenderedPageBreak/>
        <w:t>Halodule</w:t>
      </w:r>
      <w:proofErr w:type="spellEnd"/>
      <w:r>
        <w:rPr>
          <w:i/>
          <w:color w:val="000000"/>
          <w:szCs w:val="22"/>
        </w:rPr>
        <w:t xml:space="preserve"> </w:t>
      </w:r>
      <w:proofErr w:type="spellStart"/>
      <w:r>
        <w:rPr>
          <w:i/>
          <w:color w:val="000000"/>
          <w:szCs w:val="22"/>
        </w:rPr>
        <w:t>uninervis</w:t>
      </w:r>
      <w:proofErr w:type="spellEnd"/>
      <w:r>
        <w:rPr>
          <w:color w:val="000000"/>
          <w:szCs w:val="22"/>
        </w:rPr>
        <w:t>-dominated communities during episodic seagrass loss (</w:t>
      </w:r>
      <w:hyperlink w:anchor="_ENREF_68" w:tooltip="Collier, 2012 #9288" w:history="1">
        <w:r w:rsidR="00E6043D">
          <w:fldChar w:fldCharType="begin"/>
        </w:r>
        <w:r w:rsidR="00E6043D">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E6043D">
          <w:fldChar w:fldCharType="separate"/>
        </w:r>
        <w:r w:rsidR="00E6043D">
          <w:rPr>
            <w:noProof/>
          </w:rPr>
          <w:t>Collier</w:t>
        </w:r>
        <w:r w:rsidR="00E6043D" w:rsidRPr="00644A84">
          <w:rPr>
            <w:i/>
            <w:noProof/>
          </w:rPr>
          <w:t>, et al.</w:t>
        </w:r>
        <w:r w:rsidR="00E6043D">
          <w:rPr>
            <w:noProof/>
          </w:rPr>
          <w:t xml:space="preserve"> 2012b</w:t>
        </w:r>
        <w:r w:rsidR="00E6043D">
          <w:fldChar w:fldCharType="end"/>
        </w:r>
      </w:hyperlink>
      <w:r>
        <w:rPr>
          <w:color w:val="000000"/>
          <w:szCs w:val="22"/>
        </w:rPr>
        <w:t xml:space="preserve">). The threshold applied to southern GBR communities were developed for </w:t>
      </w:r>
      <w:proofErr w:type="spellStart"/>
      <w:r>
        <w:rPr>
          <w:i/>
          <w:color w:val="000000"/>
          <w:szCs w:val="22"/>
        </w:rPr>
        <w:t>Zostera</w:t>
      </w:r>
      <w:proofErr w:type="spellEnd"/>
      <w:r>
        <w:rPr>
          <w:i/>
          <w:color w:val="000000"/>
          <w:szCs w:val="22"/>
        </w:rPr>
        <w:t xml:space="preserve"> </w:t>
      </w:r>
      <w:proofErr w:type="spellStart"/>
      <w:r>
        <w:rPr>
          <w:i/>
          <w:color w:val="000000"/>
          <w:szCs w:val="22"/>
        </w:rPr>
        <w:t>muelleri</w:t>
      </w:r>
      <w:proofErr w:type="spellEnd"/>
      <w:r>
        <w:rPr>
          <w:i/>
          <w:color w:val="000000"/>
          <w:szCs w:val="22"/>
        </w:rPr>
        <w:t xml:space="preserve"> </w:t>
      </w:r>
      <w:r>
        <w:rPr>
          <w:color w:val="000000"/>
          <w:szCs w:val="22"/>
        </w:rPr>
        <w:t>dominated communities over a 2-week rolling average using a range of experimental and monitoring approaches (</w:t>
      </w:r>
      <w:hyperlink w:anchor="_ENREF_45" w:tooltip="Chartrand, 2012 #9309" w:history="1">
        <w:r w:rsidR="00E6043D">
          <w:fldChar w:fldCharType="begin"/>
        </w:r>
        <w:r w:rsidR="00E6043D">
          <w:instrText xml:space="preserve"> ADDIN EN.CITE &lt;EndNote&gt;&lt;Cite&gt;&lt;Author&gt;Chartrand&lt;/Author&gt;&lt;Year&gt;2012&lt;/Year&gt;&lt;RecNum&gt;9309&lt;/RecNum&gt;&lt;DisplayText&gt;Chartrand&lt;style face="italic"&gt; et al.&lt;/style&gt; 2012&lt;/DisplayText&gt;&lt;record&gt;&lt;rec-number&gt;9309&lt;/rec-number&gt;&lt;foreign-keys&gt;&lt;key app="EN" db-id="0eve55x9y5vfd6e9dacxtew4eatve2dzds9a"&gt;9309&lt;/key&gt;&lt;/foreign-keys&gt;&lt;ref-type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E6043D">
          <w:fldChar w:fldCharType="separate"/>
        </w:r>
        <w:r w:rsidR="00E6043D">
          <w:rPr>
            <w:noProof/>
          </w:rPr>
          <w:t>Chartrand</w:t>
        </w:r>
        <w:r w:rsidR="00E6043D" w:rsidRPr="00644A84">
          <w:rPr>
            <w:i/>
            <w:noProof/>
          </w:rPr>
          <w:t xml:space="preserve"> et al.</w:t>
        </w:r>
        <w:r w:rsidR="00E6043D">
          <w:rPr>
            <w:noProof/>
          </w:rPr>
          <w:t xml:space="preserve"> 2012</w:t>
        </w:r>
        <w:r w:rsidR="00E6043D">
          <w:fldChar w:fldCharType="end"/>
        </w:r>
      </w:hyperlink>
      <w:r>
        <w:rPr>
          <w:color w:val="000000"/>
          <w:szCs w:val="22"/>
        </w:rPr>
        <w:t xml:space="preserve">).  These working thresholds describe light levels associated with short-term changes in seagrass abundance. </w:t>
      </w:r>
    </w:p>
    <w:p w:rsidR="00EB7436" w:rsidRDefault="00EB7436" w:rsidP="00EB7436">
      <w:pPr>
        <w:rPr>
          <w:color w:val="000000"/>
          <w:szCs w:val="22"/>
        </w:rPr>
      </w:pPr>
      <w:r>
        <w:rPr>
          <w:color w:val="000000"/>
          <w:szCs w:val="22"/>
        </w:rPr>
        <w:t>Also discussed, I</w:t>
      </w:r>
      <w:r>
        <w:rPr>
          <w:color w:val="000000"/>
          <w:szCs w:val="22"/>
          <w:vertAlign w:val="subscript"/>
        </w:rPr>
        <w:t>d</w:t>
      </w:r>
      <w:r>
        <w:rPr>
          <w:color w:val="000000"/>
          <w:szCs w:val="22"/>
        </w:rPr>
        <w:t xml:space="preserve"> is relative to estimated minimum light requirements (MLR). MLR describes the light required for the long-term survival of seagrass meadows (</w:t>
      </w:r>
      <w:hyperlink w:anchor="_ENREF_86" w:tooltip="Dennison, 1987 #9943" w:history="1">
        <w:r w:rsidR="00E6043D">
          <w:fldChar w:fldCharType="begin"/>
        </w:r>
        <w:r w:rsidR="00E6043D">
          <w:instrText xml:space="preserve"> ADDIN EN.CITE &lt;EndNote&gt;&lt;Cite&gt;&lt;Author&gt;Dennison&lt;/Author&gt;&lt;Year&gt;1987&lt;/Year&gt;&lt;RecNum&gt;9943&lt;/RecNum&gt;&lt;DisplayText&gt;Dennison 1987&lt;/DisplayText&gt;&lt;record&gt;&lt;rec-number&gt;9943&lt;/rec-number&gt;&lt;foreign-keys&gt;&lt;key app="EN" db-id="0eve55x9y5vfd6e9dacxtew4eatve2dzds9a"&gt;9943&lt;/key&gt;&lt;/foreign-keys&gt;&lt;ref-type name="Journal Article"&gt;17&lt;/ref-type&gt;&lt;contributors&gt;&lt;authors&gt;&lt;author&gt;Dennison, William C.&lt;/author&gt;&lt;/authors&gt;&lt;/contributors&gt;&lt;titles&gt;&lt;title&gt;Effects of light on seagrass photosynthesis, growth and depth distribution&lt;/title&gt;&lt;secondary-title&gt;Aquatic Botany&lt;/secondary-title&gt;&lt;/titles&gt;&lt;periodical&gt;&lt;full-title&gt;Aquatic Botany&lt;/full-title&gt;&lt;/periodical&gt;&lt;pages&gt;15-26&lt;/pages&gt;&lt;volume&gt;27&lt;/volume&gt;&lt;number&gt;1&lt;/number&gt;&lt;dates&gt;&lt;year&gt;1987&lt;/year&gt;&lt;/dates&gt;&lt;isbn&gt;0304-3770&lt;/isbn&gt;&lt;urls&gt;&lt;related-urls&gt;&lt;url&gt;http://www.sciencedirect.com/science/article/pii/0304377087900830&lt;/url&gt;&lt;/related-urls&gt;&lt;/urls&gt;&lt;electronic-resource-num&gt;http://dx.doi.org/10.1016/0304-3770(87)90083-0&lt;/electronic-resource-num&gt;&lt;/record&gt;&lt;/Cite&gt;&lt;/EndNote&gt;</w:instrText>
        </w:r>
        <w:r w:rsidR="00E6043D">
          <w:fldChar w:fldCharType="separate"/>
        </w:r>
        <w:r w:rsidR="00E6043D">
          <w:rPr>
            <w:noProof/>
          </w:rPr>
          <w:t>Dennison 1987</w:t>
        </w:r>
        <w:r w:rsidR="00E6043D">
          <w:fldChar w:fldCharType="end"/>
        </w:r>
      </w:hyperlink>
      <w:r>
        <w:rPr>
          <w:color w:val="000000"/>
          <w:szCs w:val="22"/>
        </w:rPr>
        <w:t>). It is frequently calculated from measurement of annual light availability at the deepest edge of seagrass meadow, beyond which seagrasses cannot survive. MLR is difficult to determine in the dynamic seagrass meadows of the GBR, which often have poorly defined meadow boundaries, and these boundaries vary over intra-annual cycles. Therefore, MLR were estimated based on the average range in MLR for other ‘</w:t>
      </w:r>
      <w:proofErr w:type="spellStart"/>
      <w:r>
        <w:rPr>
          <w:color w:val="000000"/>
          <w:szCs w:val="22"/>
        </w:rPr>
        <w:t>blady</w:t>
      </w:r>
      <w:proofErr w:type="spellEnd"/>
      <w:r>
        <w:rPr>
          <w:color w:val="000000"/>
          <w:szCs w:val="22"/>
        </w:rPr>
        <w:t xml:space="preserve">’ tropical species from the same genera (e.g. </w:t>
      </w:r>
      <w:proofErr w:type="spellStart"/>
      <w:r>
        <w:rPr>
          <w:i/>
          <w:color w:val="000000"/>
          <w:szCs w:val="22"/>
        </w:rPr>
        <w:t>Halodule</w:t>
      </w:r>
      <w:proofErr w:type="spellEnd"/>
      <w:r>
        <w:rPr>
          <w:i/>
          <w:color w:val="000000"/>
          <w:szCs w:val="22"/>
        </w:rPr>
        <w:t xml:space="preserve">, </w:t>
      </w:r>
      <w:proofErr w:type="spellStart"/>
      <w:r>
        <w:rPr>
          <w:i/>
          <w:color w:val="000000"/>
          <w:szCs w:val="22"/>
        </w:rPr>
        <w:t>Thalassia</w:t>
      </w:r>
      <w:proofErr w:type="spellEnd"/>
      <w:r>
        <w:rPr>
          <w:color w:val="000000"/>
          <w:szCs w:val="22"/>
        </w:rPr>
        <w:t xml:space="preserve">). MLR are usually reported as percent of surface irradiance (SI), even though this not the most meaningful representation of light requirements. The average MLR of 15-25% SI for tropical </w:t>
      </w:r>
      <w:proofErr w:type="spellStart"/>
      <w:r>
        <w:rPr>
          <w:color w:val="000000"/>
          <w:szCs w:val="22"/>
        </w:rPr>
        <w:t>blady</w:t>
      </w:r>
      <w:proofErr w:type="spellEnd"/>
      <w:r>
        <w:rPr>
          <w:color w:val="000000"/>
          <w:szCs w:val="22"/>
        </w:rPr>
        <w:t xml:space="preserve"> species (summarized in </w:t>
      </w:r>
      <w:hyperlink w:anchor="_ENREF_140" w:tooltip="Lee, 2007 #9090" w:history="1">
        <w:r w:rsidR="00E6043D">
          <w:fldChar w:fldCharType="begin"/>
        </w:r>
        <w:r w:rsidR="00E6043D">
          <w:instrText xml:space="preserve"> ADDIN EN.CITE &lt;EndNote&gt;&lt;Cite&gt;&lt;Author&gt;Lee&lt;/Author&gt;&lt;Year&gt;2007&lt;/Year&gt;&lt;RecNum&gt;9090&lt;/RecNum&gt;&lt;DisplayText&gt;Lee&lt;style face="italic"&gt; et al.&lt;/style&gt; 2007&lt;/DisplayText&gt;&lt;record&gt;&lt;rec-number&gt;9090&lt;/rec-number&gt;&lt;foreign-keys&gt;&lt;key app="EN" db-id="0eve55x9y5vfd6e9dacxtew4eatve2dzds9a"&gt;9090&lt;/key&gt;&lt;/foreign-keys&gt;&lt;ref-type name="Journal Article"&gt;17&lt;/ref-type&gt;&lt;contributors&gt;&lt;authors&gt;&lt;author&gt;Lee, Kun-Seop&lt;/author&gt;&lt;author&gt;Park, Sang Rul &lt;/author&gt;&lt;author&gt;Kim, Young Kyun&lt;/author&gt;&lt;/authors&gt;&lt;/contributors&gt;&lt;titles&gt;&lt;title&gt;Effects of irradiance, temperature, and nutrients on growth dynamics of seagrasses: A review&lt;/title&gt;&lt;secondary-title&gt;Journal of Experimental Marine Biology and Ecology&lt;/secondary-title&gt;&lt;/titles&gt;&lt;periodical&gt;&lt;full-title&gt;Journal of Experimental Marine Biology and Ecology&lt;/full-title&gt;&lt;/periodical&gt;&lt;pages&gt;144–175&lt;/pages&gt;&lt;volume&gt;350&lt;/volume&gt;&lt;dates&gt;&lt;year&gt;2007&lt;/year&gt;&lt;/dates&gt;&lt;urls&gt;&lt;/urls&gt;&lt;/record&gt;&lt;/Cite&gt;&lt;/EndNote&gt;</w:instrText>
        </w:r>
        <w:r w:rsidR="00E6043D">
          <w:fldChar w:fldCharType="separate"/>
        </w:r>
        <w:r w:rsidR="00E6043D">
          <w:rPr>
            <w:noProof/>
          </w:rPr>
          <w:t>Lee</w:t>
        </w:r>
        <w:r w:rsidR="00E6043D" w:rsidRPr="00644A84">
          <w:rPr>
            <w:i/>
            <w:noProof/>
          </w:rPr>
          <w:t xml:space="preserve"> et al.</w:t>
        </w:r>
        <w:r w:rsidR="00E6043D">
          <w:rPr>
            <w:noProof/>
          </w:rPr>
          <w:t xml:space="preserve"> 2007</w:t>
        </w:r>
        <w:r w:rsidR="00E6043D">
          <w:fldChar w:fldCharType="end"/>
        </w:r>
      </w:hyperlink>
      <w:r>
        <w:rPr>
          <w:color w:val="000000"/>
          <w:szCs w:val="22"/>
        </w:rPr>
        <w:t>) was converted to I</w:t>
      </w:r>
      <w:r>
        <w:rPr>
          <w:color w:val="000000"/>
          <w:szCs w:val="22"/>
          <w:vertAlign w:val="subscript"/>
        </w:rPr>
        <w:t>d</w:t>
      </w:r>
      <w:r>
        <w:rPr>
          <w:color w:val="000000"/>
          <w:szCs w:val="22"/>
        </w:rPr>
        <w:t xml:space="preserve"> using surface light data from Magnetic Island, Dunk Island, Green Island and Low Isles, which has been recorded at these sites since 2008. From this we estimate that the MLR equivalent to 15-25% SI is 4.7 to 7.9 </w:t>
      </w:r>
      <w:proofErr w:type="spellStart"/>
      <w:r>
        <w:rPr>
          <w:color w:val="000000"/>
          <w:szCs w:val="22"/>
        </w:rPr>
        <w:t>mol</w:t>
      </w:r>
      <w:proofErr w:type="spellEnd"/>
      <w:r>
        <w:rPr>
          <w:color w:val="000000"/>
          <w:szCs w:val="22"/>
        </w:rPr>
        <w:t xml:space="preserve"> photons m</w:t>
      </w:r>
      <w:r>
        <w:rPr>
          <w:color w:val="000000"/>
          <w:szCs w:val="22"/>
          <w:vertAlign w:val="superscript"/>
        </w:rPr>
        <w:t>-2</w:t>
      </w:r>
      <w:r>
        <w:rPr>
          <w:color w:val="000000"/>
          <w:szCs w:val="22"/>
        </w:rPr>
        <w:t xml:space="preserve"> d</w:t>
      </w:r>
      <w:r>
        <w:rPr>
          <w:color w:val="000000"/>
          <w:szCs w:val="22"/>
          <w:vertAlign w:val="superscript"/>
        </w:rPr>
        <w:t>-1</w:t>
      </w:r>
      <w:r>
        <w:rPr>
          <w:color w:val="000000"/>
          <w:szCs w:val="22"/>
        </w:rPr>
        <w:t xml:space="preserve">. </w:t>
      </w:r>
      <w:proofErr w:type="spellStart"/>
      <w:r>
        <w:rPr>
          <w:i/>
          <w:color w:val="000000"/>
          <w:szCs w:val="22"/>
        </w:rPr>
        <w:t>Halophila</w:t>
      </w:r>
      <w:proofErr w:type="spellEnd"/>
      <w:r>
        <w:rPr>
          <w:color w:val="000000"/>
          <w:szCs w:val="22"/>
        </w:rPr>
        <w:t xml:space="preserve"> species typically have a much lower MLR, around 5-10% SI (</w:t>
      </w:r>
      <w:hyperlink w:anchor="_ENREF_140" w:tooltip="Lee, 2007 #9090" w:history="1">
        <w:r w:rsidR="00E6043D">
          <w:fldChar w:fldCharType="begin"/>
        </w:r>
        <w:r w:rsidR="00E6043D">
          <w:instrText xml:space="preserve"> ADDIN EN.CITE &lt;EndNote&gt;&lt;Cite&gt;&lt;Author&gt;Lee&lt;/Author&gt;&lt;Year&gt;2007&lt;/Year&gt;&lt;RecNum&gt;9090&lt;/RecNum&gt;&lt;DisplayText&gt;Lee&lt;style face="italic"&gt;, et al.&lt;/style&gt; 2007&lt;/DisplayText&gt;&lt;record&gt;&lt;rec-number&gt;9090&lt;/rec-number&gt;&lt;foreign-keys&gt;&lt;key app="EN" db-id="0eve55x9y5vfd6e9dacxtew4eatve2dzds9a"&gt;9090&lt;/key&gt;&lt;/foreign-keys&gt;&lt;ref-type name="Journal Article"&gt;17&lt;/ref-type&gt;&lt;contributors&gt;&lt;authors&gt;&lt;author&gt;Lee, Kun-Seop&lt;/author&gt;&lt;author&gt;Park, Sang Rul &lt;/author&gt;&lt;author&gt;Kim, Young Kyun&lt;/author&gt;&lt;/authors&gt;&lt;/contributors&gt;&lt;titles&gt;&lt;title&gt;Effects of irradiance, temperature, and nutrients on growth dynamics of seagrasses: A review&lt;/title&gt;&lt;secondary-title&gt;Journal of Experimental Marine Biology and Ecology&lt;/secondary-title&gt;&lt;/titles&gt;&lt;periodical&gt;&lt;full-title&gt;Journal of Experimental Marine Biology and Ecology&lt;/full-title&gt;&lt;/periodical&gt;&lt;pages&gt;144–175&lt;/pages&gt;&lt;volume&gt;350&lt;/volume&gt;&lt;dates&gt;&lt;year&gt;2007&lt;/year&gt;&lt;/dates&gt;&lt;urls&gt;&lt;/urls&gt;&lt;/record&gt;&lt;/Cite&gt;&lt;/EndNote&gt;</w:instrText>
        </w:r>
        <w:r w:rsidR="00E6043D">
          <w:fldChar w:fldCharType="separate"/>
        </w:r>
        <w:r w:rsidR="00E6043D">
          <w:rPr>
            <w:noProof/>
          </w:rPr>
          <w:t>Lee</w:t>
        </w:r>
        <w:r w:rsidR="00E6043D" w:rsidRPr="00644A84">
          <w:rPr>
            <w:i/>
            <w:noProof/>
          </w:rPr>
          <w:t>, et al.</w:t>
        </w:r>
        <w:r w:rsidR="00E6043D">
          <w:rPr>
            <w:noProof/>
          </w:rPr>
          <w:t xml:space="preserve"> 2007</w:t>
        </w:r>
        <w:r w:rsidR="00E6043D">
          <w:fldChar w:fldCharType="end"/>
        </w:r>
      </w:hyperlink>
      <w:r>
        <w:rPr>
          <w:color w:val="000000"/>
          <w:szCs w:val="22"/>
        </w:rPr>
        <w:t xml:space="preserve">), which is equivalent to 1.5 to 2.9 </w:t>
      </w:r>
      <w:proofErr w:type="spellStart"/>
      <w:r>
        <w:rPr>
          <w:color w:val="000000"/>
          <w:szCs w:val="22"/>
        </w:rPr>
        <w:t>mol</w:t>
      </w:r>
      <w:proofErr w:type="spellEnd"/>
      <w:r>
        <w:rPr>
          <w:color w:val="000000"/>
          <w:szCs w:val="22"/>
        </w:rPr>
        <w:t xml:space="preserve"> m</w:t>
      </w:r>
      <w:r>
        <w:rPr>
          <w:color w:val="000000"/>
          <w:szCs w:val="22"/>
          <w:vertAlign w:val="superscript"/>
        </w:rPr>
        <w:t>-2</w:t>
      </w:r>
      <w:r>
        <w:rPr>
          <w:color w:val="000000"/>
          <w:szCs w:val="22"/>
        </w:rPr>
        <w:t xml:space="preserve"> d</w:t>
      </w:r>
      <w:r>
        <w:rPr>
          <w:color w:val="000000"/>
          <w:szCs w:val="22"/>
          <w:vertAlign w:val="superscript"/>
        </w:rPr>
        <w:t xml:space="preserve">-1 </w:t>
      </w:r>
      <w:r>
        <w:rPr>
          <w:color w:val="000000"/>
          <w:szCs w:val="22"/>
        </w:rPr>
        <w:t xml:space="preserve">at the monitoring sites for which we have surface light data. There are other species that possibly have higher MLR than the range given here; for example, </w:t>
      </w:r>
      <w:proofErr w:type="spellStart"/>
      <w:r>
        <w:rPr>
          <w:i/>
          <w:color w:val="000000"/>
          <w:szCs w:val="22"/>
        </w:rPr>
        <w:t>Zostera</w:t>
      </w:r>
      <w:proofErr w:type="spellEnd"/>
      <w:r>
        <w:rPr>
          <w:i/>
          <w:color w:val="000000"/>
          <w:szCs w:val="22"/>
        </w:rPr>
        <w:t xml:space="preserve"> </w:t>
      </w:r>
      <w:proofErr w:type="spellStart"/>
      <w:r>
        <w:rPr>
          <w:i/>
          <w:color w:val="000000"/>
          <w:szCs w:val="22"/>
        </w:rPr>
        <w:t>muelleri</w:t>
      </w:r>
      <w:proofErr w:type="spellEnd"/>
      <w:r>
        <w:rPr>
          <w:color w:val="000000"/>
          <w:szCs w:val="22"/>
        </w:rPr>
        <w:t xml:space="preserve"> is thought to have an MLR greater than 30% (</w:t>
      </w:r>
      <w:hyperlink w:anchor="_ENREF_35" w:tooltip="Carruthers, 2002 #8021" w:history="1">
        <w:r w:rsidR="00E6043D">
          <w:fldChar w:fldCharType="begin"/>
        </w:r>
        <w:r w:rsidR="00E6043D">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E6043D">
          <w:fldChar w:fldCharType="separate"/>
        </w:r>
        <w:r w:rsidR="00E6043D">
          <w:rPr>
            <w:noProof/>
          </w:rPr>
          <w:t>Carruthers</w:t>
        </w:r>
        <w:r w:rsidR="00E6043D" w:rsidRPr="00644A84">
          <w:rPr>
            <w:i/>
            <w:noProof/>
          </w:rPr>
          <w:t>, et al.</w:t>
        </w:r>
        <w:r w:rsidR="00E6043D">
          <w:rPr>
            <w:noProof/>
          </w:rPr>
          <w:t xml:space="preserve"> 2002</w:t>
        </w:r>
        <w:r w:rsidR="00E6043D">
          <w:fldChar w:fldCharType="end"/>
        </w:r>
      </w:hyperlink>
      <w:r>
        <w:rPr>
          <w:color w:val="000000"/>
          <w:szCs w:val="22"/>
        </w:rPr>
        <w:t xml:space="preserve">). There is similarity between the working light thresholds and the MLR, reflecting the sensitivity of the dominant coastal seagrasses, to perturbations in their light environment. </w:t>
      </w:r>
      <w:bookmarkStart w:id="920" w:name="_Toc431494019"/>
    </w:p>
    <w:p w:rsidR="00EB7436" w:rsidRDefault="00EB7436" w:rsidP="00737010">
      <w:pPr>
        <w:jc w:val="center"/>
        <w:rPr>
          <w:i/>
          <w:color w:val="000000"/>
          <w:szCs w:val="22"/>
        </w:rPr>
      </w:pPr>
      <w:bookmarkStart w:id="921" w:name="_Toc462685100"/>
      <w:r>
        <w:rPr>
          <w:color w:val="000000"/>
          <w:szCs w:val="22"/>
        </w:rPr>
        <w:t xml:space="preserve">Table </w:t>
      </w:r>
      <w:r>
        <w:fldChar w:fldCharType="begin"/>
      </w:r>
      <w:r>
        <w:rPr>
          <w:color w:val="000000"/>
          <w:szCs w:val="22"/>
        </w:rPr>
        <w:instrText xml:space="preserve"> SEQ Table \* ARABIC </w:instrText>
      </w:r>
      <w:r>
        <w:fldChar w:fldCharType="separate"/>
      </w:r>
      <w:r w:rsidR="009C068F">
        <w:rPr>
          <w:noProof/>
          <w:color w:val="000000"/>
          <w:szCs w:val="22"/>
        </w:rPr>
        <w:t>31</w:t>
      </w:r>
      <w:r>
        <w:fldChar w:fldCharType="end"/>
      </w:r>
      <w:r>
        <w:rPr>
          <w:color w:val="000000"/>
          <w:szCs w:val="22"/>
        </w:rPr>
        <w:t xml:space="preserve">. </w:t>
      </w:r>
      <w:r>
        <w:rPr>
          <w:i/>
          <w:color w:val="000000"/>
          <w:szCs w:val="22"/>
        </w:rPr>
        <w:t>Minimum light requirements (MLR) derived from the literature (15-25%) were converted to daily irradiance from surface light at sites where surface light is also monitored.</w:t>
      </w:r>
      <w:bookmarkEnd w:id="920"/>
      <w:bookmarkEnd w:id="921"/>
    </w:p>
    <w:tbl>
      <w:tblPr>
        <w:tblW w:w="0" w:type="auto"/>
        <w:jc w:val="center"/>
        <w:tblLook w:val="00A0" w:firstRow="1" w:lastRow="0" w:firstColumn="1" w:lastColumn="0" w:noHBand="0" w:noVBand="0"/>
      </w:tblPr>
      <w:tblGrid>
        <w:gridCol w:w="2462"/>
        <w:gridCol w:w="2462"/>
        <w:gridCol w:w="2462"/>
      </w:tblGrid>
      <w:tr w:rsidR="00EB7436" w:rsidTr="00EB7436">
        <w:trPr>
          <w:jc w:val="center"/>
        </w:trPr>
        <w:tc>
          <w:tcPr>
            <w:tcW w:w="2462" w:type="dxa"/>
            <w:vMerge w:val="restart"/>
            <w:tcBorders>
              <w:top w:val="single" w:sz="4" w:space="0" w:color="000000"/>
              <w:left w:val="nil"/>
              <w:bottom w:val="single" w:sz="4" w:space="0" w:color="000000"/>
              <w:right w:val="single" w:sz="4" w:space="0" w:color="BBE0E3"/>
            </w:tcBorders>
            <w:shd w:val="clear" w:color="auto" w:fill="BBE0E3"/>
            <w:vAlign w:val="center"/>
            <w:hideMark/>
          </w:tcPr>
          <w:p w:rsidR="00EB7436" w:rsidRDefault="00EB7436" w:rsidP="00EB7436">
            <w:pPr>
              <w:widowControl w:val="0"/>
              <w:spacing w:before="0" w:after="0"/>
              <w:jc w:val="center"/>
              <w:rPr>
                <w:color w:val="000000"/>
                <w:sz w:val="20"/>
              </w:rPr>
            </w:pPr>
            <w:r>
              <w:rPr>
                <w:b/>
                <w:bCs/>
                <w:color w:val="000000"/>
                <w:sz w:val="20"/>
              </w:rPr>
              <w:t>Site</w:t>
            </w:r>
          </w:p>
        </w:tc>
        <w:tc>
          <w:tcPr>
            <w:tcW w:w="4924" w:type="dxa"/>
            <w:gridSpan w:val="2"/>
            <w:tcBorders>
              <w:top w:val="single" w:sz="4" w:space="0" w:color="000000"/>
              <w:left w:val="single" w:sz="4" w:space="0" w:color="BBE0E3"/>
              <w:bottom w:val="nil"/>
              <w:right w:val="nil"/>
            </w:tcBorders>
            <w:shd w:val="clear" w:color="auto" w:fill="BBE0E3"/>
            <w:hideMark/>
          </w:tcPr>
          <w:p w:rsidR="00EB7436" w:rsidRDefault="00EB7436" w:rsidP="00EB7436">
            <w:pPr>
              <w:widowControl w:val="0"/>
              <w:spacing w:before="0" w:after="0"/>
              <w:jc w:val="center"/>
              <w:rPr>
                <w:color w:val="000000"/>
                <w:sz w:val="20"/>
              </w:rPr>
            </w:pPr>
            <w:r>
              <w:rPr>
                <w:b/>
                <w:bCs/>
                <w:color w:val="000000"/>
                <w:sz w:val="20"/>
              </w:rPr>
              <w:t>Average daily irradiance (</w:t>
            </w:r>
            <w:proofErr w:type="spellStart"/>
            <w:r>
              <w:rPr>
                <w:b/>
                <w:bCs/>
                <w:color w:val="000000"/>
                <w:sz w:val="20"/>
              </w:rPr>
              <w:t>mol</w:t>
            </w:r>
            <w:proofErr w:type="spellEnd"/>
            <w:r>
              <w:rPr>
                <w:b/>
                <w:bCs/>
                <w:color w:val="000000"/>
                <w:sz w:val="20"/>
              </w:rPr>
              <w:t xml:space="preserve"> m</w:t>
            </w:r>
            <w:r>
              <w:rPr>
                <w:b/>
                <w:bCs/>
                <w:color w:val="000000"/>
                <w:sz w:val="20"/>
                <w:vertAlign w:val="superscript"/>
              </w:rPr>
              <w:t>-2</w:t>
            </w:r>
            <w:r>
              <w:rPr>
                <w:b/>
                <w:bCs/>
                <w:color w:val="000000"/>
                <w:sz w:val="20"/>
              </w:rPr>
              <w:t xml:space="preserve"> d</w:t>
            </w:r>
            <w:r>
              <w:rPr>
                <w:b/>
                <w:bCs/>
                <w:color w:val="000000"/>
                <w:sz w:val="20"/>
                <w:vertAlign w:val="superscript"/>
              </w:rPr>
              <w:t>-1</w:t>
            </w:r>
            <w:r>
              <w:rPr>
                <w:b/>
                <w:bCs/>
                <w:color w:val="000000"/>
                <w:sz w:val="20"/>
              </w:rPr>
              <w:t>)</w:t>
            </w:r>
          </w:p>
        </w:tc>
      </w:tr>
      <w:tr w:rsidR="00EB7436" w:rsidTr="00EB7436">
        <w:trPr>
          <w:jc w:val="center"/>
        </w:trPr>
        <w:tc>
          <w:tcPr>
            <w:tcW w:w="0" w:type="auto"/>
            <w:vMerge/>
            <w:tcBorders>
              <w:top w:val="single" w:sz="4" w:space="0" w:color="000000"/>
              <w:left w:val="nil"/>
              <w:bottom w:val="single" w:sz="4" w:space="0" w:color="000000"/>
              <w:right w:val="single" w:sz="4" w:space="0" w:color="BBE0E3"/>
            </w:tcBorders>
            <w:vAlign w:val="center"/>
            <w:hideMark/>
          </w:tcPr>
          <w:p w:rsidR="00EB7436" w:rsidRDefault="00EB7436" w:rsidP="00EB7436">
            <w:pPr>
              <w:spacing w:before="0" w:after="0"/>
              <w:rPr>
                <w:color w:val="000000"/>
                <w:sz w:val="20"/>
              </w:rPr>
            </w:pPr>
          </w:p>
        </w:tc>
        <w:tc>
          <w:tcPr>
            <w:tcW w:w="2462" w:type="dxa"/>
            <w:tcBorders>
              <w:top w:val="nil"/>
              <w:left w:val="single" w:sz="4" w:space="0" w:color="BBE0E3"/>
              <w:bottom w:val="single" w:sz="4" w:space="0" w:color="000000"/>
              <w:right w:val="single" w:sz="4" w:space="0" w:color="BBE0E3"/>
            </w:tcBorders>
            <w:shd w:val="clear" w:color="auto" w:fill="BBE0E3"/>
            <w:hideMark/>
          </w:tcPr>
          <w:p w:rsidR="00EB7436" w:rsidRDefault="00EB7436" w:rsidP="00EB7436">
            <w:pPr>
              <w:widowControl w:val="0"/>
              <w:spacing w:before="0" w:after="0"/>
              <w:jc w:val="center"/>
              <w:rPr>
                <w:color w:val="000000"/>
                <w:sz w:val="20"/>
              </w:rPr>
            </w:pPr>
            <w:r>
              <w:rPr>
                <w:b/>
                <w:bCs/>
                <w:color w:val="000000"/>
                <w:sz w:val="20"/>
              </w:rPr>
              <w:t>15% SI</w:t>
            </w:r>
          </w:p>
        </w:tc>
        <w:tc>
          <w:tcPr>
            <w:tcW w:w="2462" w:type="dxa"/>
            <w:tcBorders>
              <w:top w:val="nil"/>
              <w:left w:val="single" w:sz="4" w:space="0" w:color="BBE0E3"/>
              <w:bottom w:val="single" w:sz="4" w:space="0" w:color="000000"/>
              <w:right w:val="nil"/>
            </w:tcBorders>
            <w:shd w:val="clear" w:color="auto" w:fill="BBE0E3"/>
            <w:hideMark/>
          </w:tcPr>
          <w:p w:rsidR="00EB7436" w:rsidRDefault="00EB7436" w:rsidP="00EB7436">
            <w:pPr>
              <w:widowControl w:val="0"/>
              <w:spacing w:before="0" w:after="0"/>
              <w:jc w:val="center"/>
              <w:rPr>
                <w:color w:val="000000"/>
                <w:sz w:val="20"/>
              </w:rPr>
            </w:pPr>
            <w:r>
              <w:rPr>
                <w:b/>
                <w:bCs/>
                <w:color w:val="000000"/>
                <w:sz w:val="20"/>
              </w:rPr>
              <w:t>25% SI</w:t>
            </w:r>
          </w:p>
        </w:tc>
      </w:tr>
      <w:tr w:rsidR="00EB7436" w:rsidTr="00EB7436">
        <w:trPr>
          <w:jc w:val="center"/>
        </w:trPr>
        <w:tc>
          <w:tcPr>
            <w:tcW w:w="2462" w:type="dxa"/>
            <w:tcBorders>
              <w:top w:val="single" w:sz="4" w:space="0" w:color="000000"/>
              <w:left w:val="nil"/>
              <w:bottom w:val="nil"/>
              <w:right w:val="nil"/>
            </w:tcBorders>
            <w:shd w:val="clear" w:color="auto" w:fill="F3F9FA"/>
            <w:hideMark/>
          </w:tcPr>
          <w:p w:rsidR="00EB7436" w:rsidRDefault="00EB7436" w:rsidP="00EB7436">
            <w:pPr>
              <w:widowControl w:val="0"/>
              <w:spacing w:before="0" w:after="0"/>
              <w:rPr>
                <w:color w:val="000000"/>
                <w:sz w:val="20"/>
              </w:rPr>
            </w:pPr>
            <w:r>
              <w:rPr>
                <w:color w:val="000000"/>
                <w:sz w:val="20"/>
              </w:rPr>
              <w:t>Low Isles</w:t>
            </w:r>
          </w:p>
        </w:tc>
        <w:tc>
          <w:tcPr>
            <w:tcW w:w="2462" w:type="dxa"/>
            <w:tcBorders>
              <w:top w:val="single" w:sz="4" w:space="0" w:color="000000"/>
              <w:left w:val="nil"/>
              <w:bottom w:val="nil"/>
              <w:right w:val="nil"/>
            </w:tcBorders>
            <w:shd w:val="clear" w:color="auto" w:fill="F3F9FA"/>
            <w:hideMark/>
          </w:tcPr>
          <w:p w:rsidR="00EB7436" w:rsidRDefault="00EB7436" w:rsidP="00EB7436">
            <w:pPr>
              <w:widowControl w:val="0"/>
              <w:spacing w:before="0" w:after="0"/>
              <w:jc w:val="center"/>
              <w:rPr>
                <w:color w:val="000000"/>
                <w:sz w:val="20"/>
              </w:rPr>
            </w:pPr>
            <w:r>
              <w:rPr>
                <w:color w:val="000000"/>
                <w:sz w:val="20"/>
              </w:rPr>
              <w:t>4.5</w:t>
            </w:r>
          </w:p>
        </w:tc>
        <w:tc>
          <w:tcPr>
            <w:tcW w:w="2462" w:type="dxa"/>
            <w:tcBorders>
              <w:top w:val="single" w:sz="4" w:space="0" w:color="000000"/>
              <w:left w:val="nil"/>
              <w:bottom w:val="nil"/>
              <w:right w:val="nil"/>
            </w:tcBorders>
            <w:shd w:val="clear" w:color="auto" w:fill="F3F9FA"/>
            <w:hideMark/>
          </w:tcPr>
          <w:p w:rsidR="00EB7436" w:rsidRDefault="00EB7436" w:rsidP="00EB7436">
            <w:pPr>
              <w:widowControl w:val="0"/>
              <w:spacing w:before="0" w:after="0"/>
              <w:jc w:val="center"/>
              <w:rPr>
                <w:color w:val="000000"/>
                <w:sz w:val="20"/>
              </w:rPr>
            </w:pPr>
            <w:r>
              <w:rPr>
                <w:color w:val="000000"/>
                <w:sz w:val="20"/>
              </w:rPr>
              <w:t>7.4</w:t>
            </w:r>
          </w:p>
        </w:tc>
      </w:tr>
      <w:tr w:rsidR="00EB7436" w:rsidTr="00EB7436">
        <w:trPr>
          <w:jc w:val="center"/>
        </w:trPr>
        <w:tc>
          <w:tcPr>
            <w:tcW w:w="2462" w:type="dxa"/>
            <w:shd w:val="clear" w:color="auto" w:fill="F3F9FA"/>
            <w:hideMark/>
          </w:tcPr>
          <w:p w:rsidR="00EB7436" w:rsidRDefault="00EB7436" w:rsidP="00EB7436">
            <w:pPr>
              <w:widowControl w:val="0"/>
              <w:spacing w:before="0" w:after="0"/>
              <w:rPr>
                <w:color w:val="000000"/>
                <w:sz w:val="20"/>
              </w:rPr>
            </w:pPr>
            <w:r>
              <w:rPr>
                <w:color w:val="000000"/>
                <w:sz w:val="20"/>
              </w:rPr>
              <w:t>Green Island</w:t>
            </w:r>
          </w:p>
        </w:tc>
        <w:tc>
          <w:tcPr>
            <w:tcW w:w="2462" w:type="dxa"/>
            <w:shd w:val="clear" w:color="auto" w:fill="F3F9FA"/>
            <w:hideMark/>
          </w:tcPr>
          <w:p w:rsidR="00EB7436" w:rsidRDefault="00EB7436" w:rsidP="00EB7436">
            <w:pPr>
              <w:widowControl w:val="0"/>
              <w:spacing w:before="0" w:after="0"/>
              <w:jc w:val="center"/>
              <w:rPr>
                <w:color w:val="000000"/>
                <w:sz w:val="20"/>
              </w:rPr>
            </w:pPr>
            <w:r>
              <w:rPr>
                <w:color w:val="000000"/>
                <w:sz w:val="20"/>
              </w:rPr>
              <w:t>4.9</w:t>
            </w:r>
          </w:p>
        </w:tc>
        <w:tc>
          <w:tcPr>
            <w:tcW w:w="2462" w:type="dxa"/>
            <w:shd w:val="clear" w:color="auto" w:fill="F3F9FA"/>
            <w:hideMark/>
          </w:tcPr>
          <w:p w:rsidR="00EB7436" w:rsidRDefault="00EB7436" w:rsidP="00EB7436">
            <w:pPr>
              <w:widowControl w:val="0"/>
              <w:spacing w:before="0" w:after="0"/>
              <w:jc w:val="center"/>
              <w:rPr>
                <w:color w:val="000000"/>
                <w:sz w:val="20"/>
              </w:rPr>
            </w:pPr>
            <w:r>
              <w:rPr>
                <w:color w:val="000000"/>
                <w:sz w:val="20"/>
              </w:rPr>
              <w:t>8.2</w:t>
            </w:r>
          </w:p>
        </w:tc>
      </w:tr>
      <w:tr w:rsidR="00EB7436" w:rsidTr="00EB7436">
        <w:trPr>
          <w:jc w:val="center"/>
        </w:trPr>
        <w:tc>
          <w:tcPr>
            <w:tcW w:w="2462" w:type="dxa"/>
            <w:shd w:val="clear" w:color="auto" w:fill="F3F9FA"/>
            <w:hideMark/>
          </w:tcPr>
          <w:p w:rsidR="00EB7436" w:rsidRDefault="00EB7436" w:rsidP="00EB7436">
            <w:pPr>
              <w:widowControl w:val="0"/>
              <w:spacing w:before="0" w:after="0"/>
              <w:rPr>
                <w:color w:val="000000"/>
                <w:sz w:val="20"/>
              </w:rPr>
            </w:pPr>
            <w:r>
              <w:rPr>
                <w:color w:val="000000"/>
                <w:sz w:val="20"/>
              </w:rPr>
              <w:t>Dunk Island</w:t>
            </w:r>
          </w:p>
        </w:tc>
        <w:tc>
          <w:tcPr>
            <w:tcW w:w="2462" w:type="dxa"/>
            <w:shd w:val="clear" w:color="auto" w:fill="F3F9FA"/>
            <w:hideMark/>
          </w:tcPr>
          <w:p w:rsidR="00EB7436" w:rsidRDefault="00EB7436" w:rsidP="00EB7436">
            <w:pPr>
              <w:widowControl w:val="0"/>
              <w:spacing w:before="0" w:after="0"/>
              <w:jc w:val="center"/>
              <w:rPr>
                <w:color w:val="000000"/>
                <w:sz w:val="20"/>
              </w:rPr>
            </w:pPr>
            <w:r>
              <w:rPr>
                <w:color w:val="000000"/>
                <w:sz w:val="20"/>
              </w:rPr>
              <w:t>4.9</w:t>
            </w:r>
          </w:p>
        </w:tc>
        <w:tc>
          <w:tcPr>
            <w:tcW w:w="2462" w:type="dxa"/>
            <w:shd w:val="clear" w:color="auto" w:fill="F3F9FA"/>
            <w:hideMark/>
          </w:tcPr>
          <w:p w:rsidR="00EB7436" w:rsidRDefault="00EB7436" w:rsidP="00EB7436">
            <w:pPr>
              <w:widowControl w:val="0"/>
              <w:spacing w:before="0" w:after="0"/>
              <w:jc w:val="center"/>
              <w:rPr>
                <w:color w:val="000000"/>
                <w:sz w:val="20"/>
              </w:rPr>
            </w:pPr>
            <w:r>
              <w:rPr>
                <w:color w:val="000000"/>
                <w:sz w:val="20"/>
              </w:rPr>
              <w:t>8.1</w:t>
            </w:r>
          </w:p>
        </w:tc>
      </w:tr>
      <w:tr w:rsidR="00EB7436" w:rsidTr="00EB7436">
        <w:trPr>
          <w:jc w:val="center"/>
        </w:trPr>
        <w:tc>
          <w:tcPr>
            <w:tcW w:w="2462" w:type="dxa"/>
            <w:shd w:val="clear" w:color="auto" w:fill="F3F9FA"/>
            <w:hideMark/>
          </w:tcPr>
          <w:p w:rsidR="00EB7436" w:rsidRDefault="00EB7436" w:rsidP="00EB7436">
            <w:pPr>
              <w:widowControl w:val="0"/>
              <w:spacing w:before="0" w:after="0"/>
              <w:rPr>
                <w:color w:val="000000"/>
                <w:sz w:val="20"/>
              </w:rPr>
            </w:pPr>
            <w:r>
              <w:rPr>
                <w:color w:val="000000"/>
                <w:sz w:val="20"/>
              </w:rPr>
              <w:t>Magnetic Island</w:t>
            </w:r>
          </w:p>
        </w:tc>
        <w:tc>
          <w:tcPr>
            <w:tcW w:w="2462" w:type="dxa"/>
            <w:shd w:val="clear" w:color="auto" w:fill="F3F9FA"/>
            <w:hideMark/>
          </w:tcPr>
          <w:p w:rsidR="00EB7436" w:rsidRDefault="00EB7436" w:rsidP="00EB7436">
            <w:pPr>
              <w:widowControl w:val="0"/>
              <w:spacing w:before="0" w:after="0"/>
              <w:jc w:val="center"/>
              <w:rPr>
                <w:color w:val="000000"/>
                <w:sz w:val="20"/>
              </w:rPr>
            </w:pPr>
            <w:r>
              <w:rPr>
                <w:color w:val="000000"/>
                <w:sz w:val="20"/>
              </w:rPr>
              <w:t>4.6</w:t>
            </w:r>
          </w:p>
        </w:tc>
        <w:tc>
          <w:tcPr>
            <w:tcW w:w="2462" w:type="dxa"/>
            <w:shd w:val="clear" w:color="auto" w:fill="F3F9FA"/>
            <w:hideMark/>
          </w:tcPr>
          <w:p w:rsidR="00EB7436" w:rsidRDefault="00EB7436" w:rsidP="00EB7436">
            <w:pPr>
              <w:widowControl w:val="0"/>
              <w:spacing w:before="0" w:after="0"/>
              <w:jc w:val="center"/>
              <w:rPr>
                <w:color w:val="000000"/>
                <w:sz w:val="20"/>
              </w:rPr>
            </w:pPr>
            <w:r>
              <w:rPr>
                <w:color w:val="000000"/>
                <w:sz w:val="20"/>
              </w:rPr>
              <w:t>7.7</w:t>
            </w:r>
          </w:p>
        </w:tc>
      </w:tr>
      <w:tr w:rsidR="00EB7436" w:rsidTr="00EB7436">
        <w:trPr>
          <w:jc w:val="center"/>
        </w:trPr>
        <w:tc>
          <w:tcPr>
            <w:tcW w:w="2462" w:type="dxa"/>
            <w:tcBorders>
              <w:top w:val="nil"/>
              <w:left w:val="nil"/>
              <w:bottom w:val="single" w:sz="4" w:space="0" w:color="000000"/>
              <w:right w:val="nil"/>
            </w:tcBorders>
            <w:shd w:val="clear" w:color="auto" w:fill="E7F3F4"/>
            <w:hideMark/>
          </w:tcPr>
          <w:p w:rsidR="00EB7436" w:rsidRDefault="00EB7436" w:rsidP="00EB7436">
            <w:pPr>
              <w:widowControl w:val="0"/>
              <w:spacing w:before="0" w:after="0"/>
              <w:rPr>
                <w:b/>
                <w:color w:val="000000"/>
                <w:sz w:val="20"/>
              </w:rPr>
            </w:pPr>
            <w:r>
              <w:rPr>
                <w:b/>
                <w:color w:val="000000"/>
                <w:sz w:val="20"/>
              </w:rPr>
              <w:t>AVERAGE</w:t>
            </w:r>
          </w:p>
        </w:tc>
        <w:tc>
          <w:tcPr>
            <w:tcW w:w="2462" w:type="dxa"/>
            <w:tcBorders>
              <w:top w:val="nil"/>
              <w:left w:val="nil"/>
              <w:bottom w:val="single" w:sz="4" w:space="0" w:color="000000"/>
              <w:right w:val="nil"/>
            </w:tcBorders>
            <w:shd w:val="clear" w:color="auto" w:fill="E7F3F4"/>
            <w:hideMark/>
          </w:tcPr>
          <w:p w:rsidR="00EB7436" w:rsidRDefault="00EB7436" w:rsidP="00EB7436">
            <w:pPr>
              <w:widowControl w:val="0"/>
              <w:spacing w:before="0" w:after="0"/>
              <w:jc w:val="center"/>
              <w:rPr>
                <w:b/>
                <w:color w:val="000000"/>
                <w:sz w:val="20"/>
              </w:rPr>
            </w:pPr>
            <w:r>
              <w:rPr>
                <w:b/>
                <w:color w:val="000000"/>
                <w:sz w:val="20"/>
              </w:rPr>
              <w:t>4.7</w:t>
            </w:r>
          </w:p>
        </w:tc>
        <w:tc>
          <w:tcPr>
            <w:tcW w:w="2462" w:type="dxa"/>
            <w:tcBorders>
              <w:top w:val="nil"/>
              <w:left w:val="nil"/>
              <w:bottom w:val="single" w:sz="4" w:space="0" w:color="000000"/>
              <w:right w:val="nil"/>
            </w:tcBorders>
            <w:shd w:val="clear" w:color="auto" w:fill="E7F3F4"/>
            <w:hideMark/>
          </w:tcPr>
          <w:p w:rsidR="00EB7436" w:rsidRDefault="00EB7436" w:rsidP="00EB7436">
            <w:pPr>
              <w:widowControl w:val="0"/>
              <w:spacing w:before="0" w:after="0"/>
              <w:jc w:val="center"/>
              <w:rPr>
                <w:b/>
                <w:color w:val="000000"/>
                <w:sz w:val="20"/>
              </w:rPr>
            </w:pPr>
            <w:r>
              <w:rPr>
                <w:b/>
                <w:color w:val="000000"/>
                <w:sz w:val="20"/>
              </w:rPr>
              <w:t>7.9</w:t>
            </w:r>
          </w:p>
        </w:tc>
      </w:tr>
    </w:tbl>
    <w:p w:rsidR="005752EE" w:rsidRPr="00BC33E3" w:rsidRDefault="005752EE" w:rsidP="005752EE">
      <w:pPr>
        <w:rPr>
          <w:rFonts w:cs="Segoe UI"/>
          <w:lang w:eastAsia="en-AU"/>
        </w:rPr>
      </w:pPr>
    </w:p>
    <w:p w:rsidR="005752EE" w:rsidRPr="005752EE" w:rsidRDefault="005752EE" w:rsidP="005752EE">
      <w:pPr>
        <w:pStyle w:val="Heading3"/>
        <w:rPr>
          <w:rFonts w:asciiTheme="minorHAnsi" w:hAnsiTheme="minorHAnsi"/>
          <w:sz w:val="24"/>
          <w:szCs w:val="24"/>
        </w:rPr>
      </w:pPr>
      <w:bookmarkStart w:id="922" w:name="_Toc387600771"/>
      <w:bookmarkStart w:id="923" w:name="_Toc461884922"/>
      <w:bookmarkStart w:id="924" w:name="_Toc462047388"/>
      <w:r w:rsidRPr="005752EE">
        <w:rPr>
          <w:rFonts w:asciiTheme="minorHAnsi" w:hAnsiTheme="minorHAnsi"/>
          <w:sz w:val="24"/>
          <w:szCs w:val="24"/>
        </w:rPr>
        <w:t>Within seagrass canopy temperature loggers</w:t>
      </w:r>
      <w:bookmarkEnd w:id="922"/>
      <w:bookmarkEnd w:id="923"/>
      <w:bookmarkEnd w:id="924"/>
    </w:p>
    <w:p w:rsidR="005752EE" w:rsidRPr="00BC33E3" w:rsidRDefault="005752EE" w:rsidP="005752EE">
      <w:pPr>
        <w:rPr>
          <w:rFonts w:cs="Segoe UI"/>
        </w:rPr>
      </w:pPr>
      <w:r w:rsidRPr="00BC33E3">
        <w:rPr>
          <w:rFonts w:cs="Segoe UI"/>
        </w:rPr>
        <w:t xml:space="preserve">Autonomous </w:t>
      </w:r>
      <w:proofErr w:type="spellStart"/>
      <w:r w:rsidRPr="00BC33E3">
        <w:rPr>
          <w:rFonts w:cs="Segoe UI"/>
        </w:rPr>
        <w:t>iBTag</w:t>
      </w:r>
      <w:proofErr w:type="spellEnd"/>
      <w:r w:rsidRPr="00BC33E3">
        <w:rPr>
          <w:rFonts w:cs="Segoe UI"/>
          <w:vertAlign w:val="superscript"/>
        </w:rPr>
        <w:t>™</w:t>
      </w:r>
      <w:r w:rsidRPr="00BC33E3">
        <w:rPr>
          <w:rFonts w:cs="Segoe UI"/>
        </w:rPr>
        <w:t xml:space="preserve"> submersible temperature loggers are deployed at all </w:t>
      </w:r>
      <w:r w:rsidRPr="00BC33E3">
        <w:rPr>
          <w:rFonts w:cs="Segoe UI"/>
          <w:bCs/>
        </w:rPr>
        <w:t xml:space="preserve">sites identified in </w:t>
      </w:r>
      <w:r>
        <w:rPr>
          <w:rFonts w:cs="Segoe UI"/>
          <w:bCs/>
        </w:rPr>
        <w:fldChar w:fldCharType="begin"/>
      </w:r>
      <w:r>
        <w:rPr>
          <w:rFonts w:cs="Segoe UI"/>
          <w:bCs/>
        </w:rPr>
        <w:instrText xml:space="preserve"> REF _Ref442523235 \h </w:instrText>
      </w:r>
      <w:r>
        <w:rPr>
          <w:rFonts w:cs="Segoe UI"/>
          <w:bCs/>
        </w:rPr>
      </w:r>
      <w:r>
        <w:rPr>
          <w:rFonts w:cs="Segoe UI"/>
          <w:bCs/>
        </w:rPr>
        <w:fldChar w:fldCharType="separate"/>
      </w:r>
      <w:r w:rsidR="009C068F">
        <w:rPr>
          <w:color w:val="000000"/>
          <w:szCs w:val="22"/>
        </w:rPr>
        <w:t xml:space="preserve">Table </w:t>
      </w:r>
      <w:r w:rsidR="009C068F">
        <w:rPr>
          <w:noProof/>
          <w:color w:val="000000"/>
          <w:szCs w:val="22"/>
        </w:rPr>
        <w:t>30</w:t>
      </w:r>
      <w:r>
        <w:rPr>
          <w:rFonts w:cs="Segoe UI"/>
          <w:bCs/>
        </w:rPr>
        <w:fldChar w:fldCharType="end"/>
      </w:r>
      <w:r w:rsidRPr="00BC33E3">
        <w:rPr>
          <w:rFonts w:cs="Segoe UI"/>
          <w:bCs/>
        </w:rPr>
        <w:t>. The loggers record</w:t>
      </w:r>
      <w:r w:rsidRPr="00BC33E3">
        <w:rPr>
          <w:rFonts w:cs="Segoe UI"/>
        </w:rPr>
        <w:t xml:space="preserve"> temperature (degrees Celsius) within the seagrass canopy every 30 to 90 minutes (depending on duration of deployment and logger storage capacity) and store data in an inbuilt memory which is downloaded every three to six months, depending on the site. </w:t>
      </w:r>
    </w:p>
    <w:p w:rsidR="005752EE" w:rsidRPr="00BC33E3" w:rsidRDefault="005752EE" w:rsidP="005752EE">
      <w:pPr>
        <w:rPr>
          <w:rFonts w:cs="Segoe UI"/>
        </w:rPr>
      </w:pPr>
      <w:proofErr w:type="spellStart"/>
      <w:r w:rsidRPr="00BC33E3">
        <w:rPr>
          <w:rFonts w:cs="Segoe UI"/>
        </w:rPr>
        <w:t>iBCod</w:t>
      </w:r>
      <w:proofErr w:type="spellEnd"/>
      <w:r w:rsidRPr="00BC33E3">
        <w:rPr>
          <w:rFonts w:cs="Segoe UI"/>
        </w:rPr>
        <w:t xml:space="preserve"> 22L model of </w:t>
      </w:r>
      <w:proofErr w:type="spellStart"/>
      <w:r w:rsidRPr="00BC33E3">
        <w:rPr>
          <w:rFonts w:cs="Segoe UI"/>
        </w:rPr>
        <w:t>iBTag</w:t>
      </w:r>
      <w:proofErr w:type="spellEnd"/>
      <w:r w:rsidRPr="00BC33E3">
        <w:rPr>
          <w:rFonts w:cs="Segoe UI"/>
          <w:vertAlign w:val="superscript"/>
        </w:rPr>
        <w:t>™</w:t>
      </w:r>
      <w:r w:rsidRPr="00BC33E3">
        <w:rPr>
          <w:rFonts w:cs="Segoe UI"/>
        </w:rPr>
        <w:t xml:space="preserve"> loggers are used as they can withstand prolonged immersion in salt water to a depth of 600 metres. It is reinforced with solid titanium plates and over </w:t>
      </w:r>
      <w:proofErr w:type="spellStart"/>
      <w:r w:rsidRPr="00BC33E3">
        <w:rPr>
          <w:rFonts w:cs="Segoe UI"/>
        </w:rPr>
        <w:t>molded</w:t>
      </w:r>
      <w:proofErr w:type="spellEnd"/>
      <w:r w:rsidRPr="00BC33E3">
        <w:rPr>
          <w:rFonts w:cs="Segoe UI"/>
        </w:rPr>
        <w:t xml:space="preserve"> in a tough polyurethane casing that can take a lot of rough handling. </w:t>
      </w:r>
    </w:p>
    <w:p w:rsidR="005752EE" w:rsidRPr="00BC33E3" w:rsidRDefault="005752EE" w:rsidP="005752EE">
      <w:pPr>
        <w:rPr>
          <w:rFonts w:cs="Segoe UI"/>
        </w:rPr>
      </w:pPr>
      <w:r w:rsidRPr="00BC33E3">
        <w:rPr>
          <w:rFonts w:cs="Segoe UI"/>
        </w:rPr>
        <w:t xml:space="preserve">Main features of the </w:t>
      </w:r>
      <w:proofErr w:type="spellStart"/>
      <w:r w:rsidRPr="00BC33E3">
        <w:rPr>
          <w:rFonts w:cs="Segoe UI"/>
        </w:rPr>
        <w:t>iBCod</w:t>
      </w:r>
      <w:proofErr w:type="spellEnd"/>
      <w:r w:rsidRPr="00BC33E3">
        <w:rPr>
          <w:rFonts w:cs="Segoe UI"/>
        </w:rPr>
        <w:t xml:space="preserve"> 22L include:</w:t>
      </w:r>
    </w:p>
    <w:p w:rsidR="005752EE" w:rsidRPr="00BC33E3" w:rsidRDefault="005752EE" w:rsidP="005752EE">
      <w:pPr>
        <w:numPr>
          <w:ilvl w:val="0"/>
          <w:numId w:val="5"/>
        </w:numPr>
        <w:ind w:left="714" w:hanging="357"/>
        <w:rPr>
          <w:rFonts w:cs="Segoe UI"/>
        </w:rPr>
      </w:pPr>
      <w:r w:rsidRPr="00BC33E3">
        <w:rPr>
          <w:rFonts w:cs="Segoe UI"/>
        </w:rPr>
        <w:t>Operating temperature range: -40 to +85°C</w:t>
      </w:r>
    </w:p>
    <w:p w:rsidR="005752EE" w:rsidRPr="00BC33E3" w:rsidRDefault="005752EE" w:rsidP="005752EE">
      <w:pPr>
        <w:numPr>
          <w:ilvl w:val="0"/>
          <w:numId w:val="5"/>
        </w:numPr>
        <w:ind w:left="714" w:hanging="357"/>
        <w:rPr>
          <w:rFonts w:cs="Segoe UI"/>
        </w:rPr>
      </w:pPr>
      <w:r w:rsidRPr="00BC33E3">
        <w:rPr>
          <w:rFonts w:cs="Segoe UI"/>
        </w:rPr>
        <w:t>Resolution of readings: 0.5°C or 0.0625°C</w:t>
      </w:r>
    </w:p>
    <w:p w:rsidR="005752EE" w:rsidRPr="00BC33E3" w:rsidRDefault="005752EE" w:rsidP="005752EE">
      <w:pPr>
        <w:numPr>
          <w:ilvl w:val="0"/>
          <w:numId w:val="5"/>
        </w:numPr>
        <w:ind w:left="714" w:hanging="357"/>
        <w:rPr>
          <w:rFonts w:cs="Segoe UI"/>
        </w:rPr>
      </w:pPr>
      <w:r w:rsidRPr="00BC33E3">
        <w:rPr>
          <w:rFonts w:cs="Segoe UI"/>
        </w:rPr>
        <w:t>Accuracy: ±0.5°C from -10°C to +65°C</w:t>
      </w:r>
    </w:p>
    <w:p w:rsidR="005752EE" w:rsidRPr="00BC33E3" w:rsidRDefault="005752EE" w:rsidP="005752EE">
      <w:pPr>
        <w:numPr>
          <w:ilvl w:val="0"/>
          <w:numId w:val="5"/>
        </w:numPr>
        <w:ind w:left="714" w:hanging="357"/>
        <w:rPr>
          <w:rFonts w:cs="Segoe UI"/>
        </w:rPr>
      </w:pPr>
      <w:r w:rsidRPr="00BC33E3">
        <w:rPr>
          <w:rFonts w:cs="Segoe UI"/>
        </w:rPr>
        <w:lastRenderedPageBreak/>
        <w:t>Sampling Rate: 1 second to 273 hours</w:t>
      </w:r>
    </w:p>
    <w:p w:rsidR="005752EE" w:rsidRPr="00BC33E3" w:rsidRDefault="005752EE" w:rsidP="005752EE">
      <w:pPr>
        <w:numPr>
          <w:ilvl w:val="0"/>
          <w:numId w:val="5"/>
        </w:numPr>
        <w:ind w:left="714" w:hanging="357"/>
        <w:rPr>
          <w:rFonts w:cs="Segoe UI"/>
        </w:rPr>
      </w:pPr>
      <w:r w:rsidRPr="00BC33E3">
        <w:rPr>
          <w:rFonts w:cs="Segoe UI"/>
        </w:rPr>
        <w:t>Number of readings: 4,096 or 8,192 depending on configuration</w:t>
      </w:r>
    </w:p>
    <w:p w:rsidR="005752EE" w:rsidRPr="00BC33E3" w:rsidRDefault="005752EE" w:rsidP="005752EE">
      <w:pPr>
        <w:numPr>
          <w:ilvl w:val="0"/>
          <w:numId w:val="5"/>
        </w:numPr>
        <w:ind w:left="714" w:hanging="357"/>
        <w:rPr>
          <w:rFonts w:cs="Segoe UI"/>
        </w:rPr>
      </w:pPr>
      <w:r w:rsidRPr="00BC33E3">
        <w:rPr>
          <w:rFonts w:cs="Segoe UI"/>
        </w:rPr>
        <w:t>Password protection, with separate passwords for read only and full access. </w:t>
      </w:r>
    </w:p>
    <w:p w:rsidR="005752EE" w:rsidRPr="00BC33E3" w:rsidRDefault="005752EE" w:rsidP="005752EE">
      <w:pPr>
        <w:rPr>
          <w:rFonts w:cs="Segoe UI"/>
        </w:rPr>
      </w:pPr>
      <w:r w:rsidRPr="00BC33E3">
        <w:rPr>
          <w:rFonts w:cs="Segoe UI"/>
        </w:rPr>
        <w:t>The large capacity of this logger allows the collection of 171 days of readings at 30 minute intervals.</w:t>
      </w:r>
    </w:p>
    <w:p w:rsidR="005752EE" w:rsidRPr="00BC33E3" w:rsidRDefault="005752EE" w:rsidP="005752EE">
      <w:pPr>
        <w:rPr>
          <w:rFonts w:cs="Segoe UI"/>
        </w:rPr>
      </w:pPr>
      <w:proofErr w:type="spellStart"/>
      <w:r w:rsidRPr="00BC33E3">
        <w:rPr>
          <w:rFonts w:cs="Segoe UI"/>
        </w:rPr>
        <w:t>iBCod</w:t>
      </w:r>
      <w:proofErr w:type="spellEnd"/>
      <w:r w:rsidRPr="00BC33E3">
        <w:rPr>
          <w:rFonts w:cs="Segoe UI"/>
        </w:rPr>
        <w:t xml:space="preserve"> 22L submersible temperature loggers are placed at the permanent marker at each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rsidR="005752EE" w:rsidRPr="00BC33E3" w:rsidRDefault="005752EE" w:rsidP="005752EE">
      <w:pPr>
        <w:rPr>
          <w:rFonts w:cs="Segoe UI"/>
        </w:rPr>
      </w:pPr>
      <w:r w:rsidRPr="00BC33E3">
        <w:rPr>
          <w:rFonts w:cs="Segoe UI"/>
        </w:rPr>
        <w:t xml:space="preserve">Each logger has a unique serial number which is recorded within a central secure database. The logger number is recorded on the monitoring site datasheet with the time of deployment and collection. At each monitoring event (every three to six months) the </w:t>
      </w:r>
      <w:proofErr w:type="spellStart"/>
      <w:r w:rsidRPr="00BC33E3">
        <w:rPr>
          <w:rFonts w:cs="Segoe UI"/>
        </w:rPr>
        <w:t>iBTag</w:t>
      </w:r>
      <w:proofErr w:type="spellEnd"/>
      <w:r w:rsidRPr="00BC33E3">
        <w:rPr>
          <w:rFonts w:cs="Segoe UI"/>
        </w:rPr>
        <w:t xml:space="preserve">™ temperature loggers are removed and replaced with a fresh logger (these are dispatched close to the monitoring visit). After collection, details of the logger number, field datasheet (with date and time) and logger are returned for downloading. </w:t>
      </w:r>
    </w:p>
    <w:p w:rsidR="005752EE" w:rsidRDefault="005752EE" w:rsidP="005752EE">
      <w:pPr>
        <w:rPr>
          <w:rFonts w:cs="Segoe UI"/>
        </w:rPr>
      </w:pPr>
      <w:r w:rsidRPr="00BC33E3">
        <w:rPr>
          <w:rFonts w:cs="Segoe UI"/>
        </w:rPr>
        <w:t xml:space="preserve">Logger deployment and data retrieval is carried out by JCU professional and technical personnel who have been trained in the applied methods. Methods and procedures documents are available to relevant staff and are collectively kept up-to-date. Changes to procedures are developed and discussed and recorded in metadata records. </w:t>
      </w:r>
      <w:bookmarkStart w:id="925" w:name="_Toc261013311"/>
      <w:bookmarkStart w:id="926" w:name="_Toc294781729"/>
      <w:bookmarkStart w:id="927" w:name="_Toc321383795"/>
      <w:bookmarkStart w:id="928" w:name="_Toc387600767"/>
    </w:p>
    <w:p w:rsidR="00460ACB" w:rsidRPr="005752EE" w:rsidRDefault="00460ACB" w:rsidP="00460ACB">
      <w:pPr>
        <w:pStyle w:val="Heading2"/>
      </w:pPr>
      <w:bookmarkStart w:id="929" w:name="_Toc462047389"/>
      <w:r>
        <w:t>Seagrass status</w:t>
      </w:r>
      <w:bookmarkEnd w:id="929"/>
    </w:p>
    <w:p w:rsidR="008D6EF3" w:rsidRPr="00460ACB" w:rsidRDefault="008D6EF3" w:rsidP="00460ACB">
      <w:pPr>
        <w:pStyle w:val="Heading3"/>
        <w:rPr>
          <w:rFonts w:asciiTheme="minorHAnsi" w:hAnsiTheme="minorHAnsi"/>
          <w:sz w:val="24"/>
          <w:szCs w:val="24"/>
        </w:rPr>
      </w:pPr>
      <w:bookmarkStart w:id="930" w:name="_Toc461884924"/>
      <w:bookmarkStart w:id="931" w:name="_Toc462047390"/>
      <w:r w:rsidRPr="00460ACB">
        <w:rPr>
          <w:rFonts w:asciiTheme="minorHAnsi" w:hAnsiTheme="minorHAnsi"/>
          <w:sz w:val="24"/>
          <w:szCs w:val="24"/>
        </w:rPr>
        <w:t>Field survey methods</w:t>
      </w:r>
      <w:bookmarkEnd w:id="930"/>
      <w:bookmarkEnd w:id="931"/>
    </w:p>
    <w:bookmarkEnd w:id="925"/>
    <w:bookmarkEnd w:id="926"/>
    <w:bookmarkEnd w:id="927"/>
    <w:p w:rsidR="00ED4C4C" w:rsidRPr="00460ACB" w:rsidRDefault="00ED4C4C" w:rsidP="00460ACB">
      <w:pPr>
        <w:pStyle w:val="Heading4"/>
        <w:numPr>
          <w:ilvl w:val="0"/>
          <w:numId w:val="0"/>
        </w:numPr>
        <w:rPr>
          <w:rFonts w:asciiTheme="majorHAnsi" w:hAnsiTheme="majorHAnsi"/>
          <w:sz w:val="24"/>
          <w:szCs w:val="24"/>
        </w:rPr>
      </w:pPr>
      <w:r w:rsidRPr="00460ACB">
        <w:rPr>
          <w:rFonts w:asciiTheme="majorHAnsi" w:hAnsiTheme="majorHAnsi"/>
          <w:sz w:val="24"/>
          <w:szCs w:val="24"/>
        </w:rPr>
        <w:t>Inshore seagrass meadow abundance, community structure and reproductive health</w:t>
      </w:r>
      <w:bookmarkEnd w:id="928"/>
    </w:p>
    <w:p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Site marking</w:t>
      </w:r>
    </w:p>
    <w:p w:rsidR="004A36C2" w:rsidRPr="00BC33E3" w:rsidRDefault="004A36C2" w:rsidP="004A36C2">
      <w:pPr>
        <w:rPr>
          <w:rFonts w:cs="Segoe UI"/>
        </w:rPr>
      </w:pPr>
      <w:r w:rsidRPr="00BC33E3">
        <w:rPr>
          <w:rFonts w:cs="Segoe UI"/>
        </w:rPr>
        <w:t>Each selected inshore seagrass site is permanently marked with plastic star pickets at the 0 m and 50 m points of the centre transect. Labels identifying the sites and contact details for the program are attached to these pickets. Positions of 0 m and 50 m points for all three transects at a site are also noted using GPS (accuracy ±3 m). This ensures that the same site is monitored each event.</w:t>
      </w:r>
    </w:p>
    <w:p w:rsidR="004A36C2" w:rsidRPr="00BC33E3" w:rsidRDefault="004A36C2" w:rsidP="004A36C2">
      <w:pPr>
        <w:rPr>
          <w:rFonts w:cs="Segoe UI"/>
        </w:rPr>
      </w:pPr>
    </w:p>
    <w:p w:rsidR="004A36C2" w:rsidRDefault="001F4593" w:rsidP="004A36C2">
      <w:pPr>
        <w:keepNext/>
        <w:jc w:val="center"/>
        <w:rPr>
          <w:rFonts w:cs="Arial"/>
          <w:noProof/>
          <w:lang w:eastAsia="en-AU"/>
        </w:rPr>
      </w:pPr>
      <w:r w:rsidRPr="008E7A03">
        <w:rPr>
          <w:rFonts w:cs="Arial"/>
          <w:noProof/>
          <w:lang w:eastAsia="en-AU"/>
        </w:rPr>
        <w:lastRenderedPageBreak/>
        <w:drawing>
          <wp:inline distT="0" distB="0" distL="0" distR="0" wp14:anchorId="23AFA8FE" wp14:editId="24F2D02C">
            <wp:extent cx="3636645" cy="5401310"/>
            <wp:effectExtent l="0" t="0" r="1905" b="8890"/>
            <wp:docPr id="128" name="Picture 2048" descr="Inshore seagrass monitoring sites, along the Great Barrier Reef, for the Marin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7.1. Intertidal seagrass monitoring sites, along the Great Barrier Reef,  for the Reef Rescue Marine Monitoring Program"/>
                    <pic:cNvPicPr>
                      <a:picLocks noChangeAspect="1" noChangeArrowheads="1"/>
                    </pic:cNvPicPr>
                  </pic:nvPicPr>
                  <pic:blipFill>
                    <a:blip r:embed="rId211" cstate="print">
                      <a:extLst>
                        <a:ext uri="{28A0092B-C50C-407E-A947-70E740481C1C}">
                          <a14:useLocalDpi xmlns:a14="http://schemas.microsoft.com/office/drawing/2010/main" val="0"/>
                        </a:ext>
                      </a:extLst>
                    </a:blip>
                    <a:srcRect l="12398" t="10931" r="11406" b="12080"/>
                    <a:stretch>
                      <a:fillRect/>
                    </a:stretch>
                  </pic:blipFill>
                  <pic:spPr bwMode="auto">
                    <a:xfrm>
                      <a:off x="0" y="0"/>
                      <a:ext cx="3636645" cy="5401310"/>
                    </a:xfrm>
                    <a:prstGeom prst="rect">
                      <a:avLst/>
                    </a:prstGeom>
                    <a:noFill/>
                    <a:ln>
                      <a:noFill/>
                    </a:ln>
                  </pic:spPr>
                </pic:pic>
              </a:graphicData>
            </a:graphic>
          </wp:inline>
        </w:drawing>
      </w:r>
    </w:p>
    <w:p w:rsidR="00326B1A" w:rsidRPr="00326B1A" w:rsidRDefault="00326B1A" w:rsidP="00326B1A">
      <w:pPr>
        <w:rPr>
          <w:i/>
        </w:rPr>
      </w:pPr>
      <w:bookmarkStart w:id="932" w:name="_Toc431493914"/>
      <w:bookmarkStart w:id="933" w:name="_Toc462684969"/>
      <w:r>
        <w:t xml:space="preserve">Figure </w:t>
      </w:r>
      <w:fldSimple w:instr=" SEQ Figure \* ARABIC ">
        <w:r w:rsidR="009C068F">
          <w:rPr>
            <w:noProof/>
          </w:rPr>
          <w:t>129</w:t>
        </w:r>
      </w:fldSimple>
      <w:r>
        <w:t xml:space="preserve">. </w:t>
      </w:r>
      <w:r w:rsidRPr="00326B1A">
        <w:rPr>
          <w:i/>
        </w:rPr>
        <w:t>Inshore seagrass monitoring sites for the Reef Rescue Marine Monitoring Program</w:t>
      </w:r>
      <w:r>
        <w:rPr>
          <w:i/>
        </w:rPr>
        <w:t>.</w:t>
      </w:r>
      <w:bookmarkEnd w:id="932"/>
      <w:bookmarkEnd w:id="933"/>
    </w:p>
    <w:p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cover and species composition</w:t>
      </w:r>
    </w:p>
    <w:p w:rsidR="004A36C2" w:rsidRPr="00BC33E3" w:rsidRDefault="004A36C2" w:rsidP="004A36C2">
      <w:pPr>
        <w:rPr>
          <w:rFonts w:cs="Segoe UI"/>
        </w:rPr>
      </w:pPr>
      <w:r w:rsidRPr="00BC33E3">
        <w:rPr>
          <w:rFonts w:cs="Segoe UI"/>
        </w:rPr>
        <w:t xml:space="preserve">Survey methodology follows </w:t>
      </w:r>
      <w:r w:rsidR="0016409B">
        <w:rPr>
          <w:rFonts w:cs="Segoe UI"/>
        </w:rPr>
        <w:t xml:space="preserve">globally </w:t>
      </w:r>
      <w:r w:rsidRPr="00BC33E3">
        <w:rPr>
          <w:rFonts w:cs="Segoe UI"/>
        </w:rPr>
        <w:t>standard methodolog</w:t>
      </w:r>
      <w:r w:rsidR="0016409B">
        <w:rPr>
          <w:rFonts w:cs="Segoe UI"/>
        </w:rPr>
        <w:t>ies, originally developed for the Seagrass-Watch program</w:t>
      </w:r>
      <w:r w:rsidRPr="00BC33E3">
        <w:rPr>
          <w:rFonts w:cs="Segoe UI"/>
        </w:rPr>
        <w:t xml:space="preserve"> (</w:t>
      </w:r>
      <w:hyperlink w:anchor="_ENREF_165" w:tooltip="McKenzie, 2003 #9457" w:history="1">
        <w:r w:rsidR="00E6043D">
          <w:rPr>
            <w:rFonts w:cs="Segoe UI"/>
          </w:rPr>
          <w:fldChar w:fldCharType="begin"/>
        </w:r>
        <w:r w:rsidR="00E6043D">
          <w:rPr>
            <w:rFonts w:cs="Segoe UI"/>
          </w:rPr>
          <w:instrText xml:space="preserve"> ADDIN EN.CITE &lt;EndNote&gt;&lt;Cite&gt;&lt;Author&gt;McKenzie&lt;/Author&gt;&lt;Year&gt;2003&lt;/Year&gt;&lt;RecNum&gt;9457&lt;/RecNum&gt;&lt;DisplayText&gt;McKenzie&lt;style face="italic"&gt;, et al.&lt;/style&gt; 2003&lt;/DisplayText&gt;&lt;record&gt;&lt;rec-number&gt;9457&lt;/rec-number&gt;&lt;foreign-keys&gt;&lt;key app="EN" db-id="0eve55x9y5vfd6e9dacxtew4eatve2dzds9a"&gt;9457&lt;/key&gt;&lt;/foreign-keys&gt;&lt;ref-type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E6043D">
          <w:rPr>
            <w:rFonts w:cs="Segoe UI"/>
          </w:rPr>
          <w:fldChar w:fldCharType="separate"/>
        </w:r>
        <w:r w:rsidR="00E6043D">
          <w:rPr>
            <w:rFonts w:cs="Segoe UI"/>
            <w:noProof/>
          </w:rPr>
          <w:t>McKenzie</w:t>
        </w:r>
        <w:r w:rsidR="00E6043D" w:rsidRPr="00644A84">
          <w:rPr>
            <w:rFonts w:cs="Segoe UI"/>
            <w:i/>
            <w:noProof/>
          </w:rPr>
          <w:t>, et al.</w:t>
        </w:r>
        <w:r w:rsidR="00E6043D">
          <w:rPr>
            <w:rFonts w:cs="Segoe UI"/>
            <w:noProof/>
          </w:rPr>
          <w:t xml:space="preserve"> 2003</w:t>
        </w:r>
        <w:r w:rsidR="00E6043D">
          <w:rPr>
            <w:rFonts w:cs="Segoe UI"/>
          </w:rPr>
          <w:fldChar w:fldCharType="end"/>
        </w:r>
      </w:hyperlink>
      <w:r w:rsidRPr="00BC33E3">
        <w:rPr>
          <w:rFonts w:cs="Segoe UI"/>
        </w:rPr>
        <w:t>).  A site is defined as an area within a relatively homogenous section of a representative seagrass community/meadow</w:t>
      </w:r>
      <w:r w:rsidR="0016409B">
        <w:rPr>
          <w:rFonts w:cs="Segoe UI"/>
        </w:rPr>
        <w:t xml:space="preserve"> (</w:t>
      </w:r>
      <w:hyperlink w:anchor="_ENREF_171" w:tooltip="McKenzie, 2000 #9604" w:history="1">
        <w:r w:rsidR="00E6043D">
          <w:rPr>
            <w:rFonts w:cs="Segoe UI"/>
          </w:rPr>
          <w:fldChar w:fldCharType="begin"/>
        </w:r>
        <w:r w:rsidR="00E6043D">
          <w:rPr>
            <w:rFonts w:cs="Segoe UI"/>
          </w:rPr>
          <w:instrText xml:space="preserve"> ADDIN EN.CITE &lt;EndNote&gt;&lt;Cite&gt;&lt;Author&gt;McKenzie&lt;/Author&gt;&lt;Year&gt;2000&lt;/Year&gt;&lt;RecNum&gt;9604&lt;/RecNum&gt;&lt;DisplayText&gt;McKenzie&lt;style face="italic"&gt; et al.&lt;/style&gt; 2000a&lt;/DisplayText&gt;&lt;record&gt;&lt;rec-number&gt;9604&lt;/rec-number&gt;&lt;foreign-keys&gt;&lt;key app="EN" db-id="0eve55x9y5vfd6e9dacxtew4eatve2dzds9a"&gt;9604&lt;/key&gt;&lt;/foreign-keys&gt;&lt;ref-type name="Journal Article"&gt;17&lt;/ref-type&gt;&lt;contributors&gt;&lt;authors&gt;&lt;author&gt;McKenzie, Len J&lt;/author&gt;&lt;author&gt;Lee Long, Warren J&lt;/author&gt;&lt;author&gt;Coles, Robert G&lt;/author&gt;&lt;author&gt;Roder, Chantal A&lt;/author&gt;&lt;/authors&gt;&lt;/contributors&gt;&lt;titles&gt;&lt;title&gt;Seagrass-Watch: Community based monitoring of seagrass resources&lt;/title&gt;&lt;secondary-title&gt;Biologia Marina Mediterranea&lt;/secondary-title&gt;&lt;/titles&gt;&lt;periodical&gt;&lt;full-title&gt;Biologia marina mediterranea&lt;/full-title&gt;&lt;/periodical&gt;&lt;pages&gt;393-396&lt;/pages&gt;&lt;volume&gt;7&lt;/volume&gt;&lt;number&gt;2&lt;/number&gt;&lt;dates&gt;&lt;year&gt;2000&lt;/year&gt;&lt;/dates&gt;&lt;urls&gt;&lt;/urls&gt;&lt;/record&gt;&lt;/Cite&gt;&lt;/EndNote&gt;</w:instrText>
        </w:r>
        <w:r w:rsidR="00E6043D">
          <w:rPr>
            <w:rFonts w:cs="Segoe UI"/>
          </w:rPr>
          <w:fldChar w:fldCharType="separate"/>
        </w:r>
        <w:r w:rsidR="00E6043D">
          <w:rPr>
            <w:rFonts w:cs="Segoe UI"/>
            <w:noProof/>
          </w:rPr>
          <w:t>McKenzie</w:t>
        </w:r>
        <w:r w:rsidR="00E6043D" w:rsidRPr="00644A84">
          <w:rPr>
            <w:rFonts w:cs="Segoe UI"/>
            <w:i/>
            <w:noProof/>
          </w:rPr>
          <w:t xml:space="preserve"> et al.</w:t>
        </w:r>
        <w:r w:rsidR="00E6043D">
          <w:rPr>
            <w:rFonts w:cs="Segoe UI"/>
            <w:noProof/>
          </w:rPr>
          <w:t xml:space="preserve"> 2000a</w:t>
        </w:r>
        <w:r w:rsidR="00E6043D">
          <w:rPr>
            <w:rFonts w:cs="Segoe UI"/>
          </w:rPr>
          <w:fldChar w:fldCharType="end"/>
        </w:r>
      </w:hyperlink>
      <w:r w:rsidR="0016409B">
        <w:rPr>
          <w:rFonts w:cs="Segoe UI"/>
        </w:rPr>
        <w:t>)</w:t>
      </w:r>
      <w:r w:rsidRPr="00BC33E3">
        <w:rPr>
          <w:rFonts w:cs="Segoe UI"/>
        </w:rPr>
        <w:t xml:space="preserve">. </w:t>
      </w:r>
    </w:p>
    <w:p w:rsidR="004A36C2" w:rsidRPr="00BC33E3" w:rsidRDefault="004A36C2" w:rsidP="004A36C2">
      <w:pPr>
        <w:rPr>
          <w:rFonts w:cs="Segoe UI"/>
        </w:rPr>
      </w:pPr>
      <w:r w:rsidRPr="00BC33E3">
        <w:rPr>
          <w:rFonts w:cs="Segoe UI"/>
        </w:rPr>
        <w:t>Monitoring at the 45 sites identified for the MMP long-term inshore monitoring in late-monsoon (April) and late</w:t>
      </w:r>
      <w:r w:rsidR="00475FC4">
        <w:rPr>
          <w:rFonts w:cs="Segoe UI"/>
        </w:rPr>
        <w:t xml:space="preserve"> </w:t>
      </w:r>
      <w:r w:rsidRPr="00BC33E3">
        <w:rPr>
          <w:rFonts w:cs="Segoe UI"/>
        </w:rPr>
        <w:t xml:space="preserve">dry season (October) of each year is conducted by qualified </w:t>
      </w:r>
      <w:r w:rsidRPr="00BC33E3">
        <w:rPr>
          <w:color w:val="000000"/>
        </w:rPr>
        <w:t xml:space="preserve">and trained </w:t>
      </w:r>
      <w:r w:rsidRPr="00BC33E3">
        <w:rPr>
          <w:rFonts w:cs="Segoe UI"/>
        </w:rPr>
        <w:t xml:space="preserve">scientists who have demonstrated competency in the </w:t>
      </w:r>
      <w:r w:rsidR="00ED4C4C">
        <w:rPr>
          <w:rFonts w:cs="Segoe UI"/>
        </w:rPr>
        <w:t>methods</w:t>
      </w:r>
      <w:r w:rsidRPr="0016409B">
        <w:rPr>
          <w:rFonts w:cs="Segoe UI"/>
        </w:rPr>
        <w:t>. Monitoring</w:t>
      </w:r>
      <w:r w:rsidRPr="00BC33E3">
        <w:rPr>
          <w:rFonts w:cs="Segoe UI"/>
        </w:rPr>
        <w:t xml:space="preserve"> conducted outside these periods is conducted by a trained scientist assisted by volunteers.</w:t>
      </w:r>
    </w:p>
    <w:p w:rsidR="004A36C2" w:rsidRDefault="004A36C2" w:rsidP="004A36C2">
      <w:pPr>
        <w:rPr>
          <w:color w:val="000000"/>
          <w:szCs w:val="22"/>
        </w:rPr>
      </w:pPr>
      <w:r w:rsidRPr="00BC33E3">
        <w:rPr>
          <w:rFonts w:cs="Segoe UI"/>
        </w:rPr>
        <w:t xml:space="preserve">At each site, during each survey, observers record the percent seagrass cover within </w:t>
      </w:r>
      <w:r w:rsidR="004537A8">
        <w:rPr>
          <w:rFonts w:cs="Segoe UI"/>
        </w:rPr>
        <w:t>a</w:t>
      </w:r>
      <w:r w:rsidR="004537A8" w:rsidRPr="00BC33E3">
        <w:rPr>
          <w:rFonts w:cs="Segoe UI"/>
        </w:rPr>
        <w:t xml:space="preserve"> total of 33 quadrats </w:t>
      </w:r>
      <w:r w:rsidR="004537A8">
        <w:rPr>
          <w:rFonts w:cs="Segoe UI"/>
        </w:rPr>
        <w:t>(</w:t>
      </w:r>
      <w:r w:rsidRPr="00BC33E3">
        <w:rPr>
          <w:rFonts w:cs="Segoe UI"/>
        </w:rPr>
        <w:t xml:space="preserve">50 cm × 50 cm quadrat </w:t>
      </w:r>
      <w:r w:rsidR="004537A8">
        <w:rPr>
          <w:rFonts w:cs="Segoe UI"/>
        </w:rPr>
        <w:t xml:space="preserve">placed </w:t>
      </w:r>
      <w:r w:rsidRPr="00BC33E3">
        <w:rPr>
          <w:rFonts w:cs="Segoe UI"/>
        </w:rPr>
        <w:t>every 5 m along three 50m transects, 25m apart</w:t>
      </w:r>
      <w:r w:rsidR="004537A8">
        <w:rPr>
          <w:rFonts w:cs="Segoe UI"/>
        </w:rPr>
        <w:t>)</w:t>
      </w:r>
      <w:r w:rsidRPr="00BC33E3">
        <w:rPr>
          <w:rFonts w:cs="Segoe UI"/>
        </w:rPr>
        <w:t>.</w:t>
      </w:r>
      <w:r w:rsidR="00E34837" w:rsidRPr="00357C17">
        <w:rPr>
          <w:color w:val="000000"/>
          <w:szCs w:val="22"/>
        </w:rPr>
        <w:t xml:space="preserve"> Seagrass abundance </w:t>
      </w:r>
      <w:r w:rsidR="00E34837">
        <w:rPr>
          <w:color w:val="000000"/>
          <w:szCs w:val="22"/>
        </w:rPr>
        <w:t xml:space="preserve">(% cover) </w:t>
      </w:r>
      <w:r w:rsidR="00E34837" w:rsidRPr="00357C17">
        <w:rPr>
          <w:color w:val="000000"/>
          <w:szCs w:val="22"/>
        </w:rPr>
        <w:t xml:space="preserve">was visually estimated as the fraction of the seabed (substrate) obscured by the seagrass species when submerged and viewed from above. This method was used because the technique has wider application and is very quick, requiring only minutes at each quadrat; yet it is robust and highly repeatable, thereby minimising among-observer differences. Quadrat percent cover measurements have also been found to be far more efficient in detecting differences in seagrass abundance than seagrass blade counts or measures of above- or below-ground biomass </w:t>
      </w:r>
      <w:r w:rsidR="00E34837" w:rsidRPr="00357C17">
        <w:rPr>
          <w:color w:val="000000"/>
          <w:szCs w:val="22"/>
        </w:rPr>
        <w:lastRenderedPageBreak/>
        <w:t>(</w:t>
      </w:r>
      <w:hyperlink w:anchor="_ENREF_124" w:tooltip="Heidelbaugh, 1996 #1343" w:history="1">
        <w:r w:rsidR="00E6043D">
          <w:rPr>
            <w:color w:val="000000"/>
            <w:szCs w:val="22"/>
          </w:rPr>
          <w:fldChar w:fldCharType="begin"/>
        </w:r>
        <w:r w:rsidR="00E6043D">
          <w:rPr>
            <w:color w:val="000000"/>
            <w:szCs w:val="22"/>
          </w:rPr>
          <w:instrText xml:space="preserve"> ADDIN EN.CITE &lt;EndNote&gt;&lt;Cite&gt;&lt;Author&gt;Heidelbaugh&lt;/Author&gt;&lt;Year&gt;1996&lt;/Year&gt;&lt;RecNum&gt;1343&lt;/RecNum&gt;&lt;DisplayText&gt;Heidelbaugh and Nelson 1996&lt;/DisplayText&gt;&lt;record&gt;&lt;rec-number&gt;1343&lt;/rec-number&gt;&lt;foreign-keys&gt;&lt;key app="EN" db-id="0eve55x9y5vfd6e9dacxtew4eatve2dzds9a"&gt;1343&lt;/key&gt;&lt;/foreign-keys&gt;&lt;ref-type name="Journal Article"&gt;17&lt;/ref-type&gt;&lt;contributors&gt;&lt;authors&gt;&lt;author&gt;Heidelbaugh, W. S.&lt;/author&gt;&lt;author&gt;Nelson, W. G.&lt;/author&gt;&lt;/authors&gt;&lt;/contributors&gt;&lt;titles&gt;&lt;title&gt;A power analysis of methods for assessment of change in seagrass cover&lt;/title&gt;&lt;secondary-title&gt;Aquatic Botany&lt;/secondary-title&gt;&lt;alt-title&gt;Aquat. Bot.&lt;/alt-title&gt;&lt;/titles&gt;&lt;periodical&gt;&lt;full-title&gt;Aquatic Botany&lt;/full-title&gt;&lt;/periodical&gt;&lt;pages&gt;227-243&lt;/pages&gt;&lt;volume&gt;53&lt;/volume&gt;&lt;number&gt;3-4&lt;/number&gt;&lt;keywords&gt;&lt;keyword&gt;Seagrass, Halodule wrightii, Sampling design, Biomass, Percent Cover&lt;/keyword&gt;&lt;/keywords&gt;&lt;dates&gt;&lt;year&gt;1996&lt;/year&gt;&lt;/dates&gt;&lt;urls&gt;&lt;/urls&gt;&lt;custom1&gt;Annex. Len McKenzie Collection&lt;/custom1&gt;&lt;/record&gt;&lt;/Cite&gt;&lt;/EndNote&gt;</w:instrText>
        </w:r>
        <w:r w:rsidR="00E6043D">
          <w:rPr>
            <w:color w:val="000000"/>
            <w:szCs w:val="22"/>
          </w:rPr>
          <w:fldChar w:fldCharType="separate"/>
        </w:r>
        <w:r w:rsidR="00E6043D">
          <w:rPr>
            <w:noProof/>
            <w:color w:val="000000"/>
            <w:szCs w:val="22"/>
          </w:rPr>
          <w:t>Heidelbaugh and Nelson 1996</w:t>
        </w:r>
        <w:r w:rsidR="00E6043D">
          <w:rPr>
            <w:color w:val="000000"/>
            <w:szCs w:val="22"/>
          </w:rPr>
          <w:fldChar w:fldCharType="end"/>
        </w:r>
      </w:hyperlink>
      <w:r w:rsidR="00E34837" w:rsidRPr="00357C17">
        <w:rPr>
          <w:color w:val="000000"/>
          <w:szCs w:val="22"/>
        </w:rPr>
        <w:t xml:space="preserve">). To improve resolution and allow greater differentiation at very low percentage covers (e.g. &lt;3%), shoot counts based on global species density maxima were used. For example: 1 pair of </w:t>
      </w:r>
      <w:proofErr w:type="spellStart"/>
      <w:r w:rsidR="00E34837" w:rsidRPr="00357C17">
        <w:rPr>
          <w:i/>
          <w:color w:val="000000"/>
          <w:szCs w:val="22"/>
        </w:rPr>
        <w:t>Halophila</w:t>
      </w:r>
      <w:proofErr w:type="spellEnd"/>
      <w:r w:rsidR="00E34837" w:rsidRPr="00357C17">
        <w:rPr>
          <w:i/>
          <w:color w:val="000000"/>
          <w:szCs w:val="22"/>
        </w:rPr>
        <w:t xml:space="preserve"> </w:t>
      </w:r>
      <w:proofErr w:type="spellStart"/>
      <w:r w:rsidR="00E34837" w:rsidRPr="00357C17">
        <w:rPr>
          <w:i/>
          <w:color w:val="000000"/>
          <w:szCs w:val="22"/>
        </w:rPr>
        <w:t>ovalis</w:t>
      </w:r>
      <w:proofErr w:type="spellEnd"/>
      <w:r w:rsidR="00E34837" w:rsidRPr="00357C17">
        <w:rPr>
          <w:color w:val="000000"/>
          <w:szCs w:val="22"/>
        </w:rPr>
        <w:t xml:space="preserve"> leaves in a quadrat = 0.1%; 1 shoot/</w:t>
      </w:r>
      <w:proofErr w:type="spellStart"/>
      <w:r w:rsidR="00E34837" w:rsidRPr="00357C17">
        <w:rPr>
          <w:color w:val="000000"/>
          <w:szCs w:val="22"/>
        </w:rPr>
        <w:t>ramet</w:t>
      </w:r>
      <w:proofErr w:type="spellEnd"/>
      <w:r w:rsidR="00E34837" w:rsidRPr="00357C17">
        <w:rPr>
          <w:color w:val="000000"/>
          <w:szCs w:val="22"/>
        </w:rPr>
        <w:t xml:space="preserve"> of </w:t>
      </w:r>
      <w:proofErr w:type="spellStart"/>
      <w:r w:rsidR="00E34837" w:rsidRPr="00357C17">
        <w:rPr>
          <w:i/>
          <w:color w:val="000000"/>
          <w:szCs w:val="22"/>
        </w:rPr>
        <w:t>Zostera</w:t>
      </w:r>
      <w:proofErr w:type="spellEnd"/>
      <w:r w:rsidR="00E34837" w:rsidRPr="00357C17">
        <w:rPr>
          <w:color w:val="000000"/>
          <w:szCs w:val="22"/>
        </w:rPr>
        <w:t xml:space="preserve"> in a quadrat = 0.2%. Additional information was collected at the quadrat level, although only included as narrative in this report, including: seagrass canopy height of the dominant strap leaved species; </w:t>
      </w:r>
      <w:proofErr w:type="spellStart"/>
      <w:r w:rsidR="00E34837" w:rsidRPr="00357C17">
        <w:rPr>
          <w:color w:val="000000"/>
          <w:szCs w:val="22"/>
        </w:rPr>
        <w:t>macrofaunal</w:t>
      </w:r>
      <w:proofErr w:type="spellEnd"/>
      <w:r w:rsidR="00E34837" w:rsidRPr="00357C17">
        <w:rPr>
          <w:color w:val="000000"/>
          <w:szCs w:val="22"/>
        </w:rPr>
        <w:t xml:space="preserve"> abundance; abundance of burrows, as an measure of bioturbation; presence of herbivory (e.g. dugong and sea turtle); a visual/tactile assessment of sediment composition (see </w:t>
      </w:r>
      <w:hyperlink w:anchor="_ENREF_162" w:tooltip="McKenzie, 2007 #9456" w:history="1">
        <w:r w:rsidR="00E6043D">
          <w:rPr>
            <w:color w:val="000000"/>
            <w:szCs w:val="22"/>
          </w:rPr>
          <w:fldChar w:fldCharType="begin"/>
        </w:r>
        <w:r w:rsidR="00E6043D">
          <w:rPr>
            <w:color w:val="000000"/>
            <w:szCs w:val="22"/>
          </w:rPr>
          <w:instrText xml:space="preserve"> ADDIN EN.CITE &lt;EndNote&gt;&lt;Cite&gt;&lt;Author&gt;McKenzie&lt;/Author&gt;&lt;Year&gt;2007&lt;/Year&gt;&lt;RecNum&gt;9456&lt;/RecNum&gt;&lt;DisplayText&gt;McKenzie 2007&lt;/DisplayText&gt;&lt;record&gt;&lt;rec-number&gt;9456&lt;/rec-number&gt;&lt;foreign-keys&gt;&lt;key app="EN" db-id="0eve55x9y5vfd6e9dacxtew4eatve2dzds9a"&gt;9456&lt;/key&gt;&lt;/foreign-keys&gt;&lt;ref-type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Facility&lt;/title&gt;&lt;/titles&gt;&lt;pages&gt;25&lt;/pages&gt;&lt;dates&gt;&lt;year&gt;2007&lt;/year&gt;&lt;/dates&gt;&lt;pub-location&gt;Cairns &lt;/pub-location&gt;&lt;publisher&gt;Reef and Rainforest Research Centre Ltd&lt;/publisher&gt;&lt;urls&gt;&lt;/urls&gt;&lt;/record&gt;&lt;/Cite&gt;&lt;/EndNote&gt;</w:instrText>
        </w:r>
        <w:r w:rsidR="00E6043D">
          <w:rPr>
            <w:color w:val="000000"/>
            <w:szCs w:val="22"/>
          </w:rPr>
          <w:fldChar w:fldCharType="separate"/>
        </w:r>
        <w:r w:rsidR="00E6043D">
          <w:rPr>
            <w:noProof/>
            <w:color w:val="000000"/>
            <w:szCs w:val="22"/>
          </w:rPr>
          <w:t>McKenzie 2007</w:t>
        </w:r>
        <w:r w:rsidR="00E6043D">
          <w:rPr>
            <w:color w:val="000000"/>
            <w:szCs w:val="22"/>
          </w:rPr>
          <w:fldChar w:fldCharType="end"/>
        </w:r>
      </w:hyperlink>
      <w:r w:rsidR="00E34837" w:rsidRPr="00357C17">
        <w:rPr>
          <w:color w:val="000000"/>
          <w:szCs w:val="22"/>
        </w:rPr>
        <w:t xml:space="preserve">); and observations on the presence of superficial sediment structures such as ripples and sand waves to provide evidence of physical processes in the area (see </w:t>
      </w:r>
      <w:hyperlink w:anchor="_ENREF_134" w:tooltip="Koch, 2001 #9773" w:history="1">
        <w:r w:rsidR="00E6043D">
          <w:rPr>
            <w:color w:val="000000"/>
            <w:szCs w:val="22"/>
          </w:rPr>
          <w:fldChar w:fldCharType="begin"/>
        </w:r>
        <w:r w:rsidR="00E6043D">
          <w:rPr>
            <w:color w:val="000000"/>
            <w:szCs w:val="22"/>
          </w:rPr>
          <w:instrText xml:space="preserve"> ADDIN EN.CITE &lt;EndNote&gt;&lt;Cite&gt;&lt;Author&gt;Koch&lt;/Author&gt;&lt;Year&gt;2001&lt;/Year&gt;&lt;RecNum&gt;9773&lt;/RecNum&gt;&lt;DisplayText&gt;Koch 2001&lt;/DisplayText&gt;&lt;record&gt;&lt;rec-number&gt;9773&lt;/rec-number&gt;&lt;foreign-keys&gt;&lt;key app="EN" db-id="0eve55x9y5vfd6e9dacxtew4eatve2dzds9a"&gt;9773&lt;/key&gt;&lt;/foreign-keys&gt;&lt;ref-type name="Book Section"&gt;5&lt;/ref-type&gt;&lt;contributors&gt;&lt;authors&gt;&lt;author&gt;Koch, Evamaria W.&lt;/author&gt;&lt;/authors&gt;&lt;secondary-authors&gt;&lt;author&gt;McKenzie, Len J&lt;/author&gt;&lt;author&gt;Campbell, SJ&lt;/author&gt;&lt;author&gt;Roder, CA&lt;/author&gt;&lt;author&gt;Bité, JS&lt;/author&gt;&lt;author&gt;Coles, RG&lt;/author&gt;&lt;/secondary-authors&gt;&lt;/contributors&gt;&lt;titles&gt;&lt;title&gt;What can sediments tell us about seagrass habitats?&lt;/title&gt;&lt;secondary-title&gt;Local Eyes: Global Wise, Proceedings of the 1st International Seagrass-Watch volunteers Forum, Hervey Bay 12th-15th October 2001&lt;/secondary-title&gt;&lt;/titles&gt;&lt;pages&gt;59-62&lt;/pages&gt;&lt;volume&gt;1&lt;/volume&gt;&lt;num-vols&gt;2&lt;/num-vols&gt;&lt;dates&gt;&lt;year&gt;2001&lt;/year&gt;&lt;/dates&gt;&lt;pub-location&gt;Cairns&lt;/pub-location&gt;&lt;publisher&gt;Marine Plant Ecology Group, DPI&lt;/publisher&gt;&lt;urls&gt;&lt;/urls&gt;&lt;/record&gt;&lt;/Cite&gt;&lt;/EndNote&gt;</w:instrText>
        </w:r>
        <w:r w:rsidR="00E6043D">
          <w:rPr>
            <w:color w:val="000000"/>
            <w:szCs w:val="22"/>
          </w:rPr>
          <w:fldChar w:fldCharType="separate"/>
        </w:r>
        <w:r w:rsidR="00E6043D">
          <w:rPr>
            <w:noProof/>
            <w:color w:val="000000"/>
            <w:szCs w:val="22"/>
          </w:rPr>
          <w:t>Koch 2001</w:t>
        </w:r>
        <w:r w:rsidR="00E6043D">
          <w:rPr>
            <w:color w:val="000000"/>
            <w:szCs w:val="22"/>
          </w:rPr>
          <w:fldChar w:fldCharType="end"/>
        </w:r>
      </w:hyperlink>
      <w:r w:rsidR="00E34837" w:rsidRPr="00357C17">
        <w:rPr>
          <w:color w:val="000000"/>
          <w:szCs w:val="22"/>
        </w:rPr>
        <w:t>).</w:t>
      </w:r>
    </w:p>
    <w:p w:rsidR="00153FDD" w:rsidRPr="00744C57" w:rsidRDefault="00153FDD" w:rsidP="00153FDD">
      <w:pPr>
        <w:rPr>
          <w:color w:val="000000"/>
          <w:szCs w:val="22"/>
          <w:lang w:val="en-US"/>
        </w:rPr>
      </w:pPr>
      <w:r w:rsidRPr="00357C17">
        <w:rPr>
          <w:color w:val="000000"/>
          <w:szCs w:val="22"/>
        </w:rPr>
        <w:t xml:space="preserve">Seagrass species were identified as per </w:t>
      </w:r>
      <w:proofErr w:type="spellStart"/>
      <w:r w:rsidRPr="00357C17">
        <w:rPr>
          <w:color w:val="000000"/>
          <w:szCs w:val="22"/>
        </w:rPr>
        <w:t>Waycott</w:t>
      </w:r>
      <w:proofErr w:type="spellEnd"/>
      <w:r w:rsidRPr="00357C17">
        <w:rPr>
          <w:color w:val="000000"/>
          <w:szCs w:val="22"/>
        </w:rPr>
        <w:t xml:space="preserve"> </w:t>
      </w:r>
      <w:r w:rsidRPr="00357C17">
        <w:rPr>
          <w:i/>
          <w:color w:val="000000"/>
          <w:szCs w:val="22"/>
        </w:rPr>
        <w:t>et al.</w:t>
      </w:r>
      <w:r w:rsidRPr="00357C17">
        <w:rPr>
          <w:color w:val="000000"/>
          <w:szCs w:val="22"/>
        </w:rPr>
        <w:t xml:space="preserve"> (</w:t>
      </w:r>
      <w:hyperlink w:anchor="_ENREF_240" w:tooltip="Waycott, 2004 #8887" w:history="1">
        <w:r w:rsidR="00E6043D">
          <w:rPr>
            <w:color w:val="000000"/>
            <w:szCs w:val="22"/>
          </w:rPr>
          <w:fldChar w:fldCharType="begin"/>
        </w:r>
        <w:r w:rsidR="00E6043D">
          <w:rPr>
            <w:color w:val="000000"/>
            <w:szCs w:val="22"/>
          </w:rPr>
          <w:instrText xml:space="preserve"> ADDIN EN.CITE &lt;EndNote&gt;&lt;Cite ExcludeAuth="1"&gt;&lt;Year&gt;2004&lt;/Year&gt;&lt;RecNum&gt;8887&lt;/RecNum&gt;&lt;DisplayText&gt;2004&lt;/DisplayText&gt;&lt;record&gt;&lt;rec-number&gt;8887&lt;/rec-number&gt;&lt;foreign-keys&gt;&lt;key app="EN" db-id="0eve55x9y5vfd6e9dacxtew4eatve2dzds9a"&gt;8887&lt;/key&gt;&lt;/foreign-keys&gt;&lt;ref-type name="Book"&gt;6&lt;/ref-type&gt;&lt;contributors&gt;&lt;authors&gt;&lt;author&gt;Waycott, Michelle&lt;/author&gt;&lt;author&gt;McMahon, Kathryn Margaret&lt;/author&gt;&lt;author&gt;Mellors, Jane E.&lt;/author&gt;&lt;author&gt;Calladine, Ainsley&lt;/author&gt;&lt;author&gt;Kleine, Diana&lt;/author&gt;&lt;/authors&gt;&lt;/contributors&gt;&lt;titles&gt;&lt;title&gt;A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E6043D">
          <w:rPr>
            <w:color w:val="000000"/>
            <w:szCs w:val="22"/>
          </w:rPr>
          <w:fldChar w:fldCharType="separate"/>
        </w:r>
        <w:r w:rsidR="00E6043D">
          <w:rPr>
            <w:noProof/>
            <w:color w:val="000000"/>
            <w:szCs w:val="22"/>
          </w:rPr>
          <w:t>2004</w:t>
        </w:r>
        <w:r w:rsidR="00E6043D">
          <w:rPr>
            <w:color w:val="000000"/>
            <w:szCs w:val="22"/>
          </w:rPr>
          <w:fldChar w:fldCharType="end"/>
        </w:r>
      </w:hyperlink>
      <w:r w:rsidRPr="00357C17">
        <w:rPr>
          <w:color w:val="000000"/>
          <w:szCs w:val="22"/>
        </w:rPr>
        <w:t xml:space="preserve">). </w:t>
      </w:r>
      <w:r>
        <w:rPr>
          <w:color w:val="000000"/>
          <w:szCs w:val="22"/>
        </w:rPr>
        <w:t xml:space="preserve">Species were further classified into colonising, opportunistic or persistent </w:t>
      </w:r>
      <w:r w:rsidRPr="005B62F4">
        <w:rPr>
          <w:rFonts w:asciiTheme="minorHAnsi" w:hAnsiTheme="minorHAnsi"/>
          <w:color w:val="000000"/>
          <w:szCs w:val="22"/>
        </w:rPr>
        <w:t xml:space="preserve">as </w:t>
      </w:r>
      <w:r>
        <w:rPr>
          <w:rFonts w:asciiTheme="minorHAnsi" w:hAnsiTheme="minorHAnsi"/>
          <w:color w:val="000000"/>
          <w:szCs w:val="22"/>
        </w:rPr>
        <w:t xml:space="preserve">broadly </w:t>
      </w:r>
      <w:r w:rsidRPr="005B62F4">
        <w:rPr>
          <w:rFonts w:asciiTheme="minorHAnsi" w:hAnsiTheme="minorHAnsi"/>
          <w:color w:val="000000"/>
          <w:szCs w:val="22"/>
        </w:rPr>
        <w:t xml:space="preserve">defined by </w:t>
      </w:r>
      <w:proofErr w:type="spellStart"/>
      <w:r w:rsidRPr="005B62F4">
        <w:rPr>
          <w:rFonts w:asciiTheme="minorHAnsi" w:hAnsiTheme="minorHAnsi"/>
          <w:color w:val="000000"/>
          <w:szCs w:val="22"/>
        </w:rPr>
        <w:t>Kilminister</w:t>
      </w:r>
      <w:proofErr w:type="spellEnd"/>
      <w:r w:rsidRPr="005B62F4">
        <w:rPr>
          <w:rFonts w:asciiTheme="minorHAnsi" w:hAnsiTheme="minorHAnsi"/>
          <w:color w:val="000000"/>
          <w:szCs w:val="22"/>
        </w:rPr>
        <w:t xml:space="preserve"> (</w:t>
      </w:r>
      <w:hyperlink w:anchor="_ENREF_133" w:tooltip="Kilminster, 2015 #10294" w:history="1">
        <w:r w:rsidR="00E6043D">
          <w:rPr>
            <w:rFonts w:asciiTheme="minorHAnsi" w:hAnsiTheme="minorHAnsi"/>
            <w:color w:val="000000"/>
            <w:szCs w:val="22"/>
          </w:rPr>
          <w:fldChar w:fldCharType="begin"/>
        </w:r>
        <w:r w:rsidR="00E6043D">
          <w:rPr>
            <w:rFonts w:asciiTheme="minorHAnsi" w:hAnsiTheme="minorHAnsi"/>
            <w:color w:val="000000"/>
            <w:szCs w:val="22"/>
          </w:rPr>
          <w:instrText xml:space="preserve"> ADDIN EN.CITE &lt;EndNote&gt;&lt;Cite ExcludeAuth="1"&gt;&lt;Author&gt;Kilminster&lt;/Author&gt;&lt;Year&gt;2015&lt;/Year&gt;&lt;RecNum&gt;10294&lt;/RecNum&gt;&lt;DisplayText&gt;2015&lt;/DisplayText&gt;&lt;record&gt;&lt;rec-number&gt;10294&lt;/rec-number&gt;&lt;foreign-keys&gt;&lt;key app="EN" db-id="0eve55x9y5vfd6e9dacxtew4eatve2dzds9a"&gt;10294&lt;/key&gt;&lt;/foreign-keys&gt;&lt;ref-type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E6043D">
          <w:rPr>
            <w:rFonts w:asciiTheme="minorHAnsi" w:hAnsiTheme="minorHAnsi"/>
            <w:color w:val="000000"/>
            <w:szCs w:val="22"/>
          </w:rPr>
          <w:fldChar w:fldCharType="separate"/>
        </w:r>
        <w:r w:rsidR="00E6043D">
          <w:rPr>
            <w:rFonts w:asciiTheme="minorHAnsi" w:hAnsiTheme="minorHAnsi"/>
            <w:noProof/>
            <w:color w:val="000000"/>
            <w:szCs w:val="22"/>
          </w:rPr>
          <w:t>2015</w:t>
        </w:r>
        <w:r w:rsidR="00E6043D">
          <w:rPr>
            <w:rFonts w:asciiTheme="minorHAnsi" w:hAnsiTheme="minorHAnsi"/>
            <w:color w:val="000000"/>
            <w:szCs w:val="22"/>
          </w:rPr>
          <w:fldChar w:fldCharType="end"/>
        </w:r>
      </w:hyperlink>
      <w:r w:rsidRPr="005B62F4">
        <w:rPr>
          <w:rFonts w:asciiTheme="minorHAnsi" w:hAnsiTheme="minorHAnsi"/>
          <w:color w:val="000000"/>
          <w:szCs w:val="22"/>
        </w:rPr>
        <w:t>)</w:t>
      </w:r>
      <w:r>
        <w:rPr>
          <w:rFonts w:asciiTheme="minorHAnsi" w:hAnsiTheme="minorHAnsi"/>
          <w:color w:val="000000"/>
          <w:szCs w:val="22"/>
        </w:rPr>
        <w:t xml:space="preserve">. For species which display characteristics across the range of strategies (e.g. </w:t>
      </w:r>
      <w:proofErr w:type="spellStart"/>
      <w:r w:rsidRPr="00744C57">
        <w:rPr>
          <w:rFonts w:asciiTheme="minorHAnsi" w:hAnsiTheme="minorHAnsi"/>
          <w:i/>
          <w:color w:val="000000"/>
          <w:szCs w:val="22"/>
        </w:rPr>
        <w:t>Zostera</w:t>
      </w:r>
      <w:proofErr w:type="spellEnd"/>
      <w:r>
        <w:rPr>
          <w:rFonts w:asciiTheme="minorHAnsi" w:hAnsiTheme="minorHAnsi"/>
          <w:color w:val="000000"/>
          <w:szCs w:val="22"/>
        </w:rPr>
        <w:t xml:space="preserve"> can be colonising or opportunistic) as a </w:t>
      </w:r>
      <w:r w:rsidRPr="00744C57">
        <w:rPr>
          <w:rFonts w:asciiTheme="minorHAnsi" w:hAnsiTheme="minorHAnsi"/>
          <w:color w:val="000000"/>
          <w:szCs w:val="22"/>
        </w:rPr>
        <w:t xml:space="preserve">consequence of community type, meadow status (e.g. </w:t>
      </w:r>
      <w:r w:rsidRPr="00744C57">
        <w:rPr>
          <w:color w:val="000000"/>
          <w:szCs w:val="22"/>
        </w:rPr>
        <w:t>expansion/recovery phase after loss), or the environment within which they persist (</w:t>
      </w:r>
      <w:hyperlink w:anchor="_ENREF_120" w:tooltip="Harrison, 1979 #3970" w:history="1">
        <w:r w:rsidR="00E6043D" w:rsidRPr="00744C57">
          <w:rPr>
            <w:color w:val="000000"/>
            <w:szCs w:val="22"/>
          </w:rPr>
          <w:fldChar w:fldCharType="begin"/>
        </w:r>
        <w:r w:rsidR="00E6043D" w:rsidRPr="00744C57">
          <w:rPr>
            <w:color w:val="000000"/>
            <w:szCs w:val="22"/>
          </w:rPr>
          <w:instrText xml:space="preserve"> ADDIN EN.CITE &lt;EndNote&gt;&lt;Cite&gt;&lt;Author&gt;Harrison&lt;/Author&gt;&lt;Year&gt;1979&lt;/Year&gt;&lt;RecNum&gt;3970&lt;/RecNum&gt;&lt;DisplayText&gt;Harrison 1979&lt;/DisplayText&gt;&lt;record&gt;&lt;rec-number&gt;3970&lt;/rec-number&gt;&lt;foreign-keys&gt;&lt;key app="EN" db-id="0eve55x9y5vfd6e9dacxtew4eatve2dzds9a"&gt;3970&lt;/key&gt;&lt;/foreign-keys&gt;&lt;ref-type name="Journal Article"&gt;17&lt;/ref-type&gt;&lt;contributors&gt;&lt;authors&gt;&lt;author&gt;Harrison, Paul Garth&lt;/author&gt;&lt;/authors&gt;&lt;/contributors&gt;&lt;titles&gt;&lt;title&gt;&lt;style face="normal" font="default" size="100%"&gt;Reproductive strategies in intertidal populations of two co-occurring seagrasses (&lt;/style&gt;&lt;style face="italic" font="default" size="100%"&gt;Zostera&lt;/style&gt;&lt;style face="normal" font="default" size="100%"&gt; spp.)&lt;/style&gt;&lt;/title&gt;&lt;secondary-title&gt;Canadian Journal of Botany&lt;/secondary-title&gt;&lt;/titles&gt;&lt;periodical&gt;&lt;full-title&gt;Canadian Journal of Botany&lt;/full-title&gt;&lt;/periodical&gt;&lt;pages&gt;2635-2638&lt;/pages&gt;&lt;volume&gt;57&lt;/volume&gt;&lt;dates&gt;&lt;year&gt;1979&lt;/year&gt;&lt;/dates&gt;&lt;urls&gt;&lt;/urls&gt;&lt;custom1&gt;357&lt;/custom1&gt;&lt;custom2&gt;580.5p1&lt;/custom2&gt;&lt;/record&gt;&lt;/Cite&gt;&lt;/EndNote&gt;</w:instrText>
        </w:r>
        <w:r w:rsidR="00E6043D" w:rsidRPr="00744C57">
          <w:rPr>
            <w:color w:val="000000"/>
            <w:szCs w:val="22"/>
          </w:rPr>
          <w:fldChar w:fldCharType="separate"/>
        </w:r>
        <w:r w:rsidR="00E6043D" w:rsidRPr="00744C57">
          <w:rPr>
            <w:noProof/>
            <w:color w:val="000000"/>
            <w:szCs w:val="22"/>
          </w:rPr>
          <w:t>Harrison 1979</w:t>
        </w:r>
        <w:r w:rsidR="00E6043D" w:rsidRPr="00744C57">
          <w:rPr>
            <w:color w:val="000000"/>
            <w:szCs w:val="22"/>
          </w:rPr>
          <w:fldChar w:fldCharType="end"/>
        </w:r>
      </w:hyperlink>
      <w:r w:rsidRPr="00744C57">
        <w:rPr>
          <w:color w:val="000000"/>
          <w:szCs w:val="22"/>
        </w:rPr>
        <w:t>)</w:t>
      </w:r>
      <w:r w:rsidRPr="00744C57">
        <w:rPr>
          <w:rFonts w:asciiTheme="minorHAnsi" w:hAnsiTheme="minorHAnsi"/>
          <w:color w:val="000000"/>
          <w:szCs w:val="22"/>
        </w:rPr>
        <w:t xml:space="preserve">, classification was assisted by </w:t>
      </w:r>
      <w:r w:rsidRPr="00744C57">
        <w:rPr>
          <w:color w:val="000000"/>
          <w:szCs w:val="22"/>
        </w:rPr>
        <w:t>expert elucidation</w:t>
      </w:r>
      <w:r>
        <w:rPr>
          <w:color w:val="000000"/>
          <w:szCs w:val="22"/>
        </w:rPr>
        <w:t xml:space="preserve"> until such time as </w:t>
      </w:r>
      <w:r w:rsidRPr="00644A84">
        <w:rPr>
          <w:color w:val="000000"/>
          <w:szCs w:val="22"/>
        </w:rPr>
        <w:t xml:space="preserve">a rigorous </w:t>
      </w:r>
      <w:r w:rsidRPr="004F7213">
        <w:rPr>
          <w:color w:val="000000"/>
          <w:szCs w:val="22"/>
        </w:rPr>
        <w:t xml:space="preserve">traits-based </w:t>
      </w:r>
      <w:r>
        <w:rPr>
          <w:color w:val="000000"/>
          <w:szCs w:val="22"/>
        </w:rPr>
        <w:t>method can be developed (see case study 1)</w:t>
      </w:r>
      <w:r w:rsidRPr="00744C57">
        <w:rPr>
          <w:color w:val="000000"/>
          <w:szCs w:val="22"/>
        </w:rPr>
        <w:t>. Opportunist</w:t>
      </w:r>
      <w:r>
        <w:rPr>
          <w:color w:val="000000"/>
          <w:szCs w:val="22"/>
        </w:rPr>
        <w:t>ic</w:t>
      </w:r>
      <w:r w:rsidRPr="00744C57">
        <w:rPr>
          <w:color w:val="000000"/>
          <w:szCs w:val="22"/>
        </w:rPr>
        <w:t xml:space="preserve"> species were classified as colonising </w:t>
      </w:r>
      <w:r w:rsidRPr="00744C57">
        <w:rPr>
          <w:color w:val="000000"/>
          <w:szCs w:val="22"/>
          <w:lang w:val="en-US"/>
        </w:rPr>
        <w:t>during the following periods:</w:t>
      </w:r>
    </w:p>
    <w:p w:rsidR="00153FDD" w:rsidRPr="00F70D76" w:rsidRDefault="00153FDD" w:rsidP="00153FDD">
      <w:pPr>
        <w:numPr>
          <w:ilvl w:val="0"/>
          <w:numId w:val="2"/>
        </w:numPr>
        <w:tabs>
          <w:tab w:val="clear" w:pos="360"/>
          <w:tab w:val="num" w:pos="709"/>
        </w:tabs>
        <w:spacing w:before="0" w:after="0"/>
        <w:ind w:left="709" w:hanging="349"/>
        <w:rPr>
          <w:color w:val="000000"/>
          <w:szCs w:val="22"/>
        </w:rPr>
      </w:pPr>
      <w:r w:rsidRPr="00F70D76">
        <w:rPr>
          <w:color w:val="000000"/>
          <w:szCs w:val="22"/>
        </w:rPr>
        <w:t xml:space="preserve">the period of time when meadows underwent major decline i.e. &gt;80% loss of cover (or below </w:t>
      </w:r>
      <w:r>
        <w:rPr>
          <w:color w:val="000000"/>
          <w:szCs w:val="22"/>
        </w:rPr>
        <w:t xml:space="preserve">abundance </w:t>
      </w:r>
      <w:r w:rsidRPr="00F70D76">
        <w:rPr>
          <w:color w:val="000000"/>
          <w:szCs w:val="22"/>
        </w:rPr>
        <w:t>20</w:t>
      </w:r>
      <w:r w:rsidRPr="00744C57">
        <w:rPr>
          <w:color w:val="000000"/>
          <w:szCs w:val="22"/>
          <w:vertAlign w:val="superscript"/>
        </w:rPr>
        <w:t>th</w:t>
      </w:r>
      <w:r w:rsidRPr="00F70D76">
        <w:rPr>
          <w:color w:val="000000"/>
          <w:szCs w:val="22"/>
        </w:rPr>
        <w:t xml:space="preserve"> percentile);</w:t>
      </w:r>
    </w:p>
    <w:p w:rsidR="00153FDD" w:rsidRPr="00F70D76" w:rsidRDefault="00153FDD" w:rsidP="00153FDD">
      <w:pPr>
        <w:numPr>
          <w:ilvl w:val="0"/>
          <w:numId w:val="2"/>
        </w:numPr>
        <w:tabs>
          <w:tab w:val="clear" w:pos="360"/>
          <w:tab w:val="num" w:pos="709"/>
        </w:tabs>
        <w:spacing w:before="0" w:after="0"/>
        <w:ind w:left="709" w:hanging="349"/>
        <w:rPr>
          <w:color w:val="000000"/>
          <w:szCs w:val="22"/>
        </w:rPr>
      </w:pPr>
      <w:r w:rsidRPr="00F70D76">
        <w:rPr>
          <w:color w:val="000000"/>
          <w:szCs w:val="22"/>
        </w:rPr>
        <w:t>the period after meadow loss (absence) when a meadow was in recovery mode:</w:t>
      </w:r>
    </w:p>
    <w:p w:rsidR="00153FDD" w:rsidRPr="00F70D76" w:rsidRDefault="00153FDD" w:rsidP="00153FDD">
      <w:pPr>
        <w:numPr>
          <w:ilvl w:val="1"/>
          <w:numId w:val="2"/>
        </w:numPr>
        <w:spacing w:before="0" w:after="0"/>
        <w:rPr>
          <w:color w:val="000000"/>
          <w:szCs w:val="22"/>
        </w:rPr>
      </w:pPr>
      <w:r>
        <w:rPr>
          <w:color w:val="000000"/>
          <w:szCs w:val="22"/>
        </w:rPr>
        <w:t>&lt;12-</w:t>
      </w:r>
      <w:r w:rsidRPr="00F70D76">
        <w:rPr>
          <w:color w:val="000000"/>
          <w:szCs w:val="22"/>
        </w:rPr>
        <w:t>24 months post estuary or coastal meadow loss, (</w:t>
      </w:r>
      <w:hyperlink w:anchor="_ENREF_32" w:tooltip="Campbell, 2004 #2838" w:history="1">
        <w:r w:rsidR="00E6043D">
          <w:rPr>
            <w:color w:val="000000"/>
            <w:szCs w:val="22"/>
          </w:rPr>
          <w:fldChar w:fldCharType="begin"/>
        </w:r>
        <w:r w:rsidR="00E6043D">
          <w:rPr>
            <w:color w:val="000000"/>
            <w:szCs w:val="22"/>
          </w:rPr>
          <w:instrText xml:space="preserve"> ADDIN EN.CITE &lt;EndNote&gt;&lt;Cite&gt;&lt;Author&gt;Campbell&lt;/Author&gt;&lt;Year&gt;2004&lt;/Year&gt;&lt;RecNum&gt;2838&lt;/RecNum&gt;&lt;DisplayText&gt;Campbell and McKenzie 2004&lt;/DisplayText&gt;&lt;record&gt;&lt;rec-number&gt;2838&lt;/rec-number&gt;&lt;foreign-keys&gt;&lt;key app="EN" db-id="0eve55x9y5vfd6e9dacxtew4eatve2dzds9a"&gt;2838&lt;/key&gt;&lt;/foreign-keys&gt;&lt;ref-type name="Journal Article"&gt;17&lt;/ref-type&gt;&lt;contributors&gt;&lt;authors&gt;&lt;author&gt;Campbell, Stuart J.&lt;/author&gt;&lt;author&gt;McKenzie, Len 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number&gt;3&lt;/number&gt;&lt;dates&gt;&lt;year&gt;2004&lt;/year&gt;&lt;pub-dates&gt;&lt;date&gt;2004/7&lt;/date&gt;&lt;/pub-dates&gt;&lt;/dates&gt;&lt;urls&gt;&lt;related-urls&gt;&lt;url&gt;http://www.sciencedirect.com/science/article/B6WDV-4C4BJR5-5/2/154810987202fc6d27ba6fa35c07f197&lt;/url&gt;&lt;/related-urls&gt;&lt;/urls&gt;&lt;/record&gt;&lt;/Cite&gt;&lt;/EndNote&gt;</w:instrText>
        </w:r>
        <w:r w:rsidR="00E6043D">
          <w:rPr>
            <w:color w:val="000000"/>
            <w:szCs w:val="22"/>
          </w:rPr>
          <w:fldChar w:fldCharType="separate"/>
        </w:r>
        <w:r w:rsidR="00E6043D">
          <w:rPr>
            <w:noProof/>
            <w:color w:val="000000"/>
            <w:szCs w:val="22"/>
          </w:rPr>
          <w:t>Campbell and McKenzie 2004</w:t>
        </w:r>
        <w:r w:rsidR="00E6043D">
          <w:rPr>
            <w:color w:val="000000"/>
            <w:szCs w:val="22"/>
          </w:rPr>
          <w:fldChar w:fldCharType="end"/>
        </w:r>
      </w:hyperlink>
      <w:r w:rsidRPr="00F70D76">
        <w:rPr>
          <w:color w:val="000000"/>
          <w:szCs w:val="22"/>
        </w:rPr>
        <w:t xml:space="preserve">; </w:t>
      </w:r>
      <w:hyperlink w:anchor="_ENREF_177" w:tooltip="McKenzie, 2010 #9605" w:history="1">
        <w:r w:rsidR="00E6043D">
          <w:rPr>
            <w:color w:val="000000"/>
            <w:szCs w:val="22"/>
          </w:rPr>
          <w:fldChar w:fldCharType="begin"/>
        </w:r>
        <w:r w:rsidR="00E6043D">
          <w:rPr>
            <w:color w:val="000000"/>
            <w:szCs w:val="22"/>
          </w:rPr>
          <w:instrText xml:space="preserve"> ADDIN EN.CITE &lt;EndNote&gt;&lt;Cite&gt;&lt;Author&gt;McKenzie&lt;/Author&gt;&lt;Year&gt;2010&lt;/Year&gt;&lt;RecNum&gt;9605&lt;/RecNum&gt;&lt;DisplayText&gt;McKenzie&lt;style face="italic"&gt;, et al.&lt;/style&gt; 2010b&lt;/DisplayText&gt;&lt;record&gt;&lt;rec-number&gt;9605&lt;/rec-number&gt;&lt;foreign-keys&gt;&lt;key app="EN" db-id="0eve55x9y5vfd6e9dacxtew4eatve2dzds9a"&gt;9605&lt;/key&gt;&lt;/foreign-keys&gt;&lt;ref-type name="Report"&gt;27&lt;/ref-type&gt;&lt;contributors&gt;&lt;authors&gt;&lt;author&gt;McKenzie, Len J&lt;/author&gt;&lt;author&gt;Unsworth, R.K.F&lt;/author&gt;&lt;author&gt;Waycott, M&lt;/author&gt;&lt;/authors&gt;&lt;/contributors&gt;&lt;titles&gt;&lt;title&gt;Reef Rescue Marine Monitoring Program: Intertidal Seagrass, Annual Report for the sampling period 1st September 2009 – 31st May 2010&lt;/title&gt;&lt;/titles&gt;&lt;pages&gt;136&lt;/pages&gt;&lt;dates&gt;&lt;year&gt;2010&lt;/year&gt;&lt;/dates&gt;&lt;pub-location&gt;Cairns &lt;/pub-location&gt;&lt;publisher&gt; Fisheries Queensland&lt;/publisher&gt;&lt;urls&gt;&lt;/urls&gt;&lt;/record&gt;&lt;/Cite&gt;&lt;/EndNote&gt;</w:instrText>
        </w:r>
        <w:r w:rsidR="00E6043D">
          <w:rPr>
            <w:color w:val="000000"/>
            <w:szCs w:val="22"/>
          </w:rPr>
          <w:fldChar w:fldCharType="separate"/>
        </w:r>
        <w:r w:rsidR="00E6043D">
          <w:rPr>
            <w:noProof/>
            <w:color w:val="000000"/>
            <w:szCs w:val="22"/>
          </w:rPr>
          <w:t>McKenzie</w:t>
        </w:r>
        <w:r w:rsidR="00E6043D" w:rsidRPr="009E5562">
          <w:rPr>
            <w:i/>
            <w:noProof/>
            <w:color w:val="000000"/>
            <w:szCs w:val="22"/>
          </w:rPr>
          <w:t>, et al.</w:t>
        </w:r>
        <w:r w:rsidR="00E6043D">
          <w:rPr>
            <w:noProof/>
            <w:color w:val="000000"/>
            <w:szCs w:val="22"/>
          </w:rPr>
          <w:t xml:space="preserve"> 2010b</w:t>
        </w:r>
        <w:r w:rsidR="00E6043D">
          <w:rPr>
            <w:color w:val="000000"/>
            <w:szCs w:val="22"/>
          </w:rPr>
          <w:fldChar w:fldCharType="end"/>
        </w:r>
      </w:hyperlink>
      <w:r w:rsidRPr="00F70D76">
        <w:rPr>
          <w:color w:val="000000"/>
          <w:szCs w:val="22"/>
        </w:rPr>
        <w:t>);</w:t>
      </w:r>
    </w:p>
    <w:p w:rsidR="00153FDD" w:rsidRPr="00F70D76" w:rsidRDefault="00153FDD" w:rsidP="00153FDD">
      <w:pPr>
        <w:numPr>
          <w:ilvl w:val="1"/>
          <w:numId w:val="2"/>
        </w:numPr>
        <w:spacing w:before="0" w:after="0"/>
        <w:rPr>
          <w:color w:val="000000"/>
          <w:szCs w:val="22"/>
        </w:rPr>
      </w:pPr>
      <w:r>
        <w:rPr>
          <w:color w:val="000000"/>
          <w:szCs w:val="22"/>
        </w:rPr>
        <w:t>&lt;2-</w:t>
      </w:r>
      <w:r w:rsidRPr="00F70D76">
        <w:rPr>
          <w:color w:val="000000"/>
          <w:szCs w:val="22"/>
        </w:rPr>
        <w:t>5 years post reef meadow loss (</w:t>
      </w:r>
      <w:hyperlink w:anchor="_ENREF_13" w:tooltip="Birch, 1984 #177" w:history="1">
        <w:r w:rsidR="00E6043D">
          <w:rPr>
            <w:color w:val="000000"/>
            <w:szCs w:val="22"/>
          </w:rPr>
          <w:fldChar w:fldCharType="begin"/>
        </w:r>
        <w:r w:rsidR="00E6043D">
          <w:rPr>
            <w:color w:val="000000"/>
            <w:szCs w:val="22"/>
          </w:rPr>
          <w:instrText xml:space="preserve"> ADDIN EN.CITE &lt;EndNote&gt;&lt;Cite&gt;&lt;Author&gt;Birch&lt;/Author&gt;&lt;Year&gt;1984&lt;/Year&gt;&lt;RecNum&gt;177&lt;/RecNum&gt;&lt;DisplayText&gt;Birch and Birch 1984&lt;/DisplayText&gt;&lt;record&gt;&lt;rec-number&gt;177&lt;/rec-number&gt;&lt;foreign-keys&gt;&lt;key app="EN" db-id="0eve55x9y5vfd6e9dacxtew4eatve2dzds9a"&gt;177&lt;/key&gt;&lt;/foreign-keys&gt;&lt;ref-type name="Journal Article"&gt;17&lt;/ref-type&gt;&lt;contributors&gt;&lt;authors&gt;&lt;author&gt;Birch, WR&lt;/author&gt;&lt;author&gt;Birch, M&lt;/author&gt;&lt;/authors&gt;&lt;/contributors&gt;&lt;titles&gt;&lt;title&gt;Succession and pattern of tropical intertidal seagrasses in Cockle Bay, Queensland, Australia: a decade of observations&lt;/title&gt;&lt;secondary-title&gt;Aquatic Botany&lt;/secondary-title&gt;&lt;alt-title&gt;Aquat. Bot.&lt;/alt-title&gt;&lt;/titles&gt;&lt;periodical&gt;&lt;full-title&gt;Aquatic Botany&lt;/full-title&gt;&lt;/periodical&gt;&lt;pages&gt;343-367&lt;/pages&gt;&lt;volume&gt;19&lt;/volume&gt;&lt;keywords&gt;&lt;keyword&gt;MCKENZIE 1996&lt;/keyword&gt;&lt;keyword&gt;MOURILYAN&lt;/keyword&gt;&lt;/keywords&gt;&lt;dates&gt;&lt;year&gt;1984&lt;/year&gt;&lt;/dates&gt;&lt;label&gt;130&lt;/label&gt;&lt;urls&gt;&lt;/urls&gt;&lt;custom1&gt;Annex&lt;/custom1&gt;&lt;/record&gt;&lt;/Cite&gt;&lt;/EndNote&gt;</w:instrText>
        </w:r>
        <w:r w:rsidR="00E6043D">
          <w:rPr>
            <w:color w:val="000000"/>
            <w:szCs w:val="22"/>
          </w:rPr>
          <w:fldChar w:fldCharType="separate"/>
        </w:r>
        <w:r w:rsidR="00E6043D">
          <w:rPr>
            <w:noProof/>
            <w:color w:val="000000"/>
            <w:szCs w:val="22"/>
          </w:rPr>
          <w:t>Birch and Birch 1984</w:t>
        </w:r>
        <w:r w:rsidR="00E6043D">
          <w:rPr>
            <w:color w:val="000000"/>
            <w:szCs w:val="22"/>
          </w:rPr>
          <w:fldChar w:fldCharType="end"/>
        </w:r>
      </w:hyperlink>
      <w:r w:rsidRPr="00F70D76">
        <w:rPr>
          <w:color w:val="000000"/>
          <w:szCs w:val="22"/>
        </w:rPr>
        <w:t>).</w:t>
      </w:r>
    </w:p>
    <w:p w:rsidR="000168DB" w:rsidRDefault="000168DB" w:rsidP="00153FDD">
      <w:pPr>
        <w:spacing w:before="0" w:after="0"/>
        <w:rPr>
          <w:color w:val="000000"/>
          <w:szCs w:val="22"/>
        </w:rPr>
      </w:pPr>
    </w:p>
    <w:p w:rsidR="000168DB" w:rsidRDefault="000168DB" w:rsidP="00153FDD">
      <w:pPr>
        <w:spacing w:before="0" w:after="0"/>
        <w:rPr>
          <w:color w:val="000000"/>
          <w:szCs w:val="22"/>
        </w:rPr>
      </w:pPr>
      <w:r>
        <w:rPr>
          <w:color w:val="000000"/>
          <w:szCs w:val="22"/>
        </w:rPr>
        <w:t xml:space="preserve">The proportion of colonising species contributing to the total seagrass abundance is then calculated for each site for each monitoring event. </w:t>
      </w:r>
      <w:r w:rsidRPr="000168DB">
        <w:rPr>
          <w:color w:val="000000"/>
          <w:szCs w:val="22"/>
        </w:rPr>
        <w:t>To aid with the visual interpretation of trends</w:t>
      </w:r>
      <w:r>
        <w:rPr>
          <w:color w:val="000000"/>
          <w:szCs w:val="22"/>
        </w:rPr>
        <w:t xml:space="preserve">, the proportion of colonising species </w:t>
      </w:r>
      <w:r w:rsidRPr="000168DB">
        <w:rPr>
          <w:color w:val="000000"/>
          <w:szCs w:val="22"/>
        </w:rPr>
        <w:t xml:space="preserve">are presented graphically against </w:t>
      </w:r>
      <w:r>
        <w:rPr>
          <w:color w:val="000000"/>
          <w:szCs w:val="22"/>
        </w:rPr>
        <w:t>the long-term average proportion of colonist species contributing to the total seagrass abundance for each GBR habitat.</w:t>
      </w:r>
    </w:p>
    <w:p w:rsidR="00153FDD" w:rsidRPr="00357C17" w:rsidRDefault="00153FDD" w:rsidP="00153FDD">
      <w:pPr>
        <w:spacing w:before="0" w:after="0"/>
        <w:rPr>
          <w:color w:val="000000"/>
          <w:szCs w:val="22"/>
        </w:rPr>
      </w:pPr>
    </w:p>
    <w:p w:rsidR="00153FDD" w:rsidRPr="00517276" w:rsidRDefault="00153FDD" w:rsidP="00153FDD">
      <w:pPr>
        <w:spacing w:before="0" w:after="0"/>
        <w:jc w:val="center"/>
        <w:rPr>
          <w:i/>
          <w:color w:val="000000"/>
          <w:szCs w:val="22"/>
        </w:rPr>
      </w:pPr>
      <w:bookmarkStart w:id="934" w:name="_Ref442528436"/>
      <w:bookmarkStart w:id="935" w:name="_Toc462685101"/>
      <w:r w:rsidRPr="00517276">
        <w:rPr>
          <w:color w:val="000000"/>
          <w:szCs w:val="22"/>
        </w:rPr>
        <w:t xml:space="preserve">Table </w:t>
      </w:r>
      <w:r w:rsidRPr="00517276">
        <w:rPr>
          <w:color w:val="000000"/>
          <w:szCs w:val="22"/>
        </w:rPr>
        <w:fldChar w:fldCharType="begin"/>
      </w:r>
      <w:r w:rsidRPr="00517276">
        <w:rPr>
          <w:color w:val="000000"/>
          <w:szCs w:val="22"/>
        </w:rPr>
        <w:instrText xml:space="preserve"> SEQ Table \* ARABIC </w:instrText>
      </w:r>
      <w:r w:rsidRPr="00517276">
        <w:rPr>
          <w:color w:val="000000"/>
          <w:szCs w:val="22"/>
        </w:rPr>
        <w:fldChar w:fldCharType="separate"/>
      </w:r>
      <w:r w:rsidR="009C068F">
        <w:rPr>
          <w:noProof/>
          <w:color w:val="000000"/>
          <w:szCs w:val="22"/>
        </w:rPr>
        <w:t>32</w:t>
      </w:r>
      <w:r w:rsidRPr="00517276">
        <w:rPr>
          <w:color w:val="000000"/>
          <w:szCs w:val="22"/>
        </w:rPr>
        <w:fldChar w:fldCharType="end"/>
      </w:r>
      <w:bookmarkEnd w:id="934"/>
      <w:r w:rsidRPr="00517276">
        <w:rPr>
          <w:color w:val="000000"/>
          <w:szCs w:val="22"/>
        </w:rPr>
        <w:t xml:space="preserve">. </w:t>
      </w:r>
      <w:r w:rsidRPr="00517276">
        <w:rPr>
          <w:i/>
          <w:color w:val="000000"/>
          <w:szCs w:val="22"/>
        </w:rPr>
        <w:t xml:space="preserve">Long-term average proportion (±SE) of </w:t>
      </w:r>
      <w:r>
        <w:rPr>
          <w:i/>
          <w:color w:val="000000"/>
          <w:szCs w:val="22"/>
        </w:rPr>
        <w:t>colonising</w:t>
      </w:r>
      <w:r w:rsidRPr="00517276">
        <w:rPr>
          <w:i/>
          <w:color w:val="000000"/>
          <w:szCs w:val="22"/>
        </w:rPr>
        <w:t xml:space="preserve"> species in each GBR seagrass habitat type.</w:t>
      </w:r>
      <w:bookmarkEnd w:id="935"/>
      <w:r w:rsidRPr="00517276">
        <w:rPr>
          <w:i/>
          <w:color w:val="000000"/>
          <w:szCs w:val="22"/>
        </w:rPr>
        <w:t xml:space="preserve"> </w:t>
      </w:r>
    </w:p>
    <w:tbl>
      <w:tblPr>
        <w:tblW w:w="5583" w:type="dxa"/>
        <w:jc w:val="center"/>
        <w:tblLook w:val="01E0" w:firstRow="1" w:lastRow="1" w:firstColumn="1" w:lastColumn="1" w:noHBand="0" w:noVBand="0"/>
      </w:tblPr>
      <w:tblGrid>
        <w:gridCol w:w="1826"/>
        <w:gridCol w:w="3757"/>
      </w:tblGrid>
      <w:tr w:rsidR="00153FDD" w:rsidRPr="00D830F8" w:rsidTr="00EB19B4">
        <w:trPr>
          <w:jc w:val="center"/>
        </w:trPr>
        <w:tc>
          <w:tcPr>
            <w:tcW w:w="1826" w:type="dxa"/>
            <w:tcBorders>
              <w:top w:val="single" w:sz="4" w:space="0" w:color="auto"/>
              <w:bottom w:val="single" w:sz="4" w:space="0" w:color="auto"/>
            </w:tcBorders>
            <w:shd w:val="clear" w:color="auto" w:fill="BBE0E3"/>
            <w:vAlign w:val="center"/>
          </w:tcPr>
          <w:p w:rsidR="00153FDD" w:rsidRPr="00D830F8" w:rsidRDefault="00153FDD" w:rsidP="00EB19B4">
            <w:pPr>
              <w:spacing w:before="0" w:after="0"/>
              <w:jc w:val="center"/>
              <w:rPr>
                <w:b/>
                <w:szCs w:val="22"/>
              </w:rPr>
            </w:pPr>
            <w:r w:rsidRPr="00D830F8">
              <w:rPr>
                <w:b/>
                <w:szCs w:val="22"/>
              </w:rPr>
              <w:t>Seagrass habitat</w:t>
            </w:r>
          </w:p>
        </w:tc>
        <w:tc>
          <w:tcPr>
            <w:tcW w:w="3757" w:type="dxa"/>
            <w:tcBorders>
              <w:top w:val="single" w:sz="4" w:space="0" w:color="auto"/>
              <w:bottom w:val="single" w:sz="4" w:space="0" w:color="auto"/>
            </w:tcBorders>
            <w:shd w:val="clear" w:color="auto" w:fill="BBE0E3"/>
            <w:vAlign w:val="center"/>
          </w:tcPr>
          <w:p w:rsidR="00153FDD" w:rsidRPr="00D830F8" w:rsidRDefault="00153FDD" w:rsidP="00EB19B4">
            <w:pPr>
              <w:spacing w:before="0" w:after="0"/>
              <w:jc w:val="center"/>
              <w:rPr>
                <w:b/>
                <w:szCs w:val="22"/>
              </w:rPr>
            </w:pPr>
            <w:r w:rsidRPr="00D830F8">
              <w:rPr>
                <w:b/>
                <w:szCs w:val="22"/>
              </w:rPr>
              <w:t>average proportion colonist species</w:t>
            </w:r>
          </w:p>
        </w:tc>
      </w:tr>
      <w:tr w:rsidR="00153FDD" w:rsidRPr="00D830F8" w:rsidTr="00EB19B4">
        <w:trPr>
          <w:jc w:val="center"/>
        </w:trPr>
        <w:tc>
          <w:tcPr>
            <w:tcW w:w="1826" w:type="dxa"/>
            <w:tcBorders>
              <w:top w:val="single" w:sz="4" w:space="0" w:color="auto"/>
            </w:tcBorders>
            <w:shd w:val="clear" w:color="auto" w:fill="E7F3F4"/>
          </w:tcPr>
          <w:p w:rsidR="00153FDD" w:rsidRPr="00D830F8" w:rsidRDefault="00153FDD" w:rsidP="00EB19B4">
            <w:pPr>
              <w:spacing w:before="0" w:after="0"/>
              <w:rPr>
                <w:szCs w:val="22"/>
              </w:rPr>
            </w:pPr>
            <w:r w:rsidRPr="00D830F8">
              <w:rPr>
                <w:szCs w:val="22"/>
              </w:rPr>
              <w:t>estuary</w:t>
            </w:r>
          </w:p>
        </w:tc>
        <w:tc>
          <w:tcPr>
            <w:tcW w:w="3757" w:type="dxa"/>
            <w:tcBorders>
              <w:top w:val="single" w:sz="4" w:space="0" w:color="auto"/>
            </w:tcBorders>
            <w:shd w:val="clear" w:color="auto" w:fill="E7F3F4"/>
          </w:tcPr>
          <w:p w:rsidR="00153FDD" w:rsidRPr="00D830F8" w:rsidRDefault="00153FDD" w:rsidP="00EB19B4">
            <w:pPr>
              <w:spacing w:before="0" w:after="0"/>
              <w:jc w:val="center"/>
              <w:rPr>
                <w:szCs w:val="22"/>
              </w:rPr>
            </w:pPr>
            <w:r w:rsidRPr="00D830F8">
              <w:rPr>
                <w:szCs w:val="22"/>
              </w:rPr>
              <w:t>0.47 ±0.047</w:t>
            </w:r>
          </w:p>
        </w:tc>
      </w:tr>
      <w:tr w:rsidR="00153FDD" w:rsidRPr="00D830F8" w:rsidTr="00EB19B4">
        <w:trPr>
          <w:jc w:val="center"/>
        </w:trPr>
        <w:tc>
          <w:tcPr>
            <w:tcW w:w="1826" w:type="dxa"/>
            <w:shd w:val="clear" w:color="auto" w:fill="F3F9FA"/>
          </w:tcPr>
          <w:p w:rsidR="00153FDD" w:rsidRPr="00D830F8" w:rsidRDefault="00153FDD" w:rsidP="00EB19B4">
            <w:pPr>
              <w:spacing w:before="0" w:after="0"/>
              <w:rPr>
                <w:szCs w:val="22"/>
              </w:rPr>
            </w:pPr>
            <w:r w:rsidRPr="00D830F8">
              <w:rPr>
                <w:szCs w:val="22"/>
              </w:rPr>
              <w:t>coast</w:t>
            </w:r>
          </w:p>
        </w:tc>
        <w:tc>
          <w:tcPr>
            <w:tcW w:w="3757" w:type="dxa"/>
            <w:shd w:val="clear" w:color="auto" w:fill="F3F9FA"/>
          </w:tcPr>
          <w:p w:rsidR="00153FDD" w:rsidRPr="00D830F8" w:rsidRDefault="00153FDD" w:rsidP="00EB19B4">
            <w:pPr>
              <w:spacing w:before="0" w:after="0"/>
              <w:jc w:val="center"/>
              <w:rPr>
                <w:szCs w:val="22"/>
              </w:rPr>
            </w:pPr>
            <w:r w:rsidRPr="00D830F8">
              <w:rPr>
                <w:szCs w:val="22"/>
              </w:rPr>
              <w:t>0.34 ±0.045</w:t>
            </w:r>
          </w:p>
        </w:tc>
      </w:tr>
      <w:tr w:rsidR="00153FDD" w:rsidRPr="00D830F8" w:rsidTr="00EB19B4">
        <w:trPr>
          <w:jc w:val="center"/>
        </w:trPr>
        <w:tc>
          <w:tcPr>
            <w:tcW w:w="1826" w:type="dxa"/>
            <w:shd w:val="clear" w:color="auto" w:fill="E7F3F4"/>
          </w:tcPr>
          <w:p w:rsidR="00153FDD" w:rsidRPr="00D830F8" w:rsidRDefault="00153FDD" w:rsidP="00EB19B4">
            <w:pPr>
              <w:spacing w:before="0" w:after="0"/>
              <w:rPr>
                <w:szCs w:val="22"/>
              </w:rPr>
            </w:pPr>
            <w:r w:rsidRPr="00D830F8">
              <w:rPr>
                <w:szCs w:val="22"/>
              </w:rPr>
              <w:t>reef - intertidal</w:t>
            </w:r>
          </w:p>
        </w:tc>
        <w:tc>
          <w:tcPr>
            <w:tcW w:w="3757" w:type="dxa"/>
            <w:shd w:val="clear" w:color="auto" w:fill="E7F3F4"/>
          </w:tcPr>
          <w:p w:rsidR="00153FDD" w:rsidRPr="00D830F8" w:rsidRDefault="00153FDD" w:rsidP="00EB19B4">
            <w:pPr>
              <w:spacing w:before="0" w:after="0"/>
              <w:jc w:val="center"/>
              <w:rPr>
                <w:szCs w:val="22"/>
              </w:rPr>
            </w:pPr>
            <w:r w:rsidRPr="00D830F8">
              <w:rPr>
                <w:szCs w:val="22"/>
              </w:rPr>
              <w:t>0.30 ±0.05</w:t>
            </w:r>
          </w:p>
        </w:tc>
      </w:tr>
      <w:tr w:rsidR="00153FDD" w:rsidRPr="00D830F8" w:rsidTr="00EB19B4">
        <w:trPr>
          <w:jc w:val="center"/>
        </w:trPr>
        <w:tc>
          <w:tcPr>
            <w:tcW w:w="1826" w:type="dxa"/>
            <w:tcBorders>
              <w:bottom w:val="single" w:sz="4" w:space="0" w:color="auto"/>
            </w:tcBorders>
            <w:shd w:val="clear" w:color="auto" w:fill="F3F9FA"/>
          </w:tcPr>
          <w:p w:rsidR="00153FDD" w:rsidRPr="00D830F8" w:rsidRDefault="00153FDD" w:rsidP="00EB19B4">
            <w:pPr>
              <w:spacing w:before="0" w:after="0"/>
              <w:rPr>
                <w:szCs w:val="22"/>
              </w:rPr>
            </w:pPr>
            <w:r w:rsidRPr="00D830F8">
              <w:rPr>
                <w:szCs w:val="22"/>
              </w:rPr>
              <w:t>reef - subtidal</w:t>
            </w:r>
          </w:p>
        </w:tc>
        <w:tc>
          <w:tcPr>
            <w:tcW w:w="3757" w:type="dxa"/>
            <w:tcBorders>
              <w:bottom w:val="single" w:sz="4" w:space="0" w:color="auto"/>
            </w:tcBorders>
            <w:shd w:val="clear" w:color="auto" w:fill="F3F9FA"/>
          </w:tcPr>
          <w:p w:rsidR="00153FDD" w:rsidRPr="00D830F8" w:rsidRDefault="00153FDD" w:rsidP="00EB19B4">
            <w:pPr>
              <w:spacing w:before="0" w:after="0"/>
              <w:jc w:val="center"/>
              <w:rPr>
                <w:szCs w:val="22"/>
              </w:rPr>
            </w:pPr>
            <w:r w:rsidRPr="00D830F8">
              <w:rPr>
                <w:szCs w:val="22"/>
              </w:rPr>
              <w:t>0.32 ±0.049</w:t>
            </w:r>
          </w:p>
        </w:tc>
      </w:tr>
    </w:tbl>
    <w:p w:rsidR="00153FDD" w:rsidRDefault="00153FDD" w:rsidP="004A36C2">
      <w:pPr>
        <w:rPr>
          <w:rFonts w:cs="Segoe UI"/>
        </w:rPr>
      </w:pPr>
    </w:p>
    <w:p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reproductive health</w:t>
      </w:r>
    </w:p>
    <w:p w:rsidR="004A36C2" w:rsidRPr="00BC33E3" w:rsidRDefault="004A36C2" w:rsidP="004A36C2">
      <w:pPr>
        <w:rPr>
          <w:rFonts w:cs="Segoe UI"/>
        </w:rPr>
      </w:pPr>
      <w:r w:rsidRPr="00BC33E3">
        <w:rPr>
          <w:rFonts w:cs="Segoe UI"/>
        </w:rPr>
        <w:t xml:space="preserve">An assessment of seagrass reproductive health at locations identified in </w:t>
      </w:r>
      <w:r w:rsidR="00144953">
        <w:rPr>
          <w:rFonts w:cs="Segoe UI"/>
          <w:highlight w:val="yellow"/>
        </w:rPr>
        <w:fldChar w:fldCharType="begin"/>
      </w:r>
      <w:r w:rsidR="00144953">
        <w:rPr>
          <w:rFonts w:cs="Segoe UI"/>
        </w:rPr>
        <w:instrText xml:space="preserve"> REF _Ref236539751 \h </w:instrText>
      </w:r>
      <w:r w:rsidR="00144953">
        <w:rPr>
          <w:rFonts w:cs="Segoe UI"/>
          <w:highlight w:val="yellow"/>
        </w:rPr>
      </w:r>
      <w:r w:rsidR="00144953">
        <w:rPr>
          <w:rFonts w:cs="Segoe UI"/>
          <w:highlight w:val="yellow"/>
        </w:rPr>
        <w:fldChar w:fldCharType="separate"/>
      </w:r>
      <w:r w:rsidR="009C068F" w:rsidRPr="00015190">
        <w:rPr>
          <w:color w:val="000000"/>
          <w:szCs w:val="22"/>
        </w:rPr>
        <w:t xml:space="preserve">Table </w:t>
      </w:r>
      <w:r w:rsidR="009C068F">
        <w:rPr>
          <w:noProof/>
          <w:color w:val="000000"/>
          <w:szCs w:val="22"/>
        </w:rPr>
        <w:t>3</w:t>
      </w:r>
      <w:r w:rsidR="00144953">
        <w:rPr>
          <w:rFonts w:cs="Segoe UI"/>
          <w:highlight w:val="yellow"/>
        </w:rPr>
        <w:fldChar w:fldCharType="end"/>
      </w:r>
      <w:r w:rsidR="00144953">
        <w:rPr>
          <w:rFonts w:cs="Segoe UI"/>
        </w:rPr>
        <w:t xml:space="preserve"> </w:t>
      </w:r>
      <w:r w:rsidRPr="00BC33E3">
        <w:rPr>
          <w:rFonts w:cs="Segoe UI"/>
        </w:rPr>
        <w:t xml:space="preserve">via flower </w:t>
      </w:r>
      <w:r w:rsidR="009A568D">
        <w:rPr>
          <w:rFonts w:cs="Segoe UI"/>
        </w:rPr>
        <w:t xml:space="preserve">and fruit </w:t>
      </w:r>
      <w:r w:rsidRPr="00BC33E3">
        <w:rPr>
          <w:rFonts w:cs="Segoe UI"/>
        </w:rPr>
        <w:t>production is conducted in late-dry season (October) of each year at each site. Additional collections are also conducted in late-monsoon (April) where possible.</w:t>
      </w:r>
    </w:p>
    <w:p w:rsidR="004A36C2" w:rsidRPr="00BC33E3" w:rsidRDefault="004A36C2" w:rsidP="004A36C2">
      <w:pPr>
        <w:rPr>
          <w:rFonts w:cs="Segoe UI"/>
        </w:rPr>
      </w:pPr>
      <w:r w:rsidRPr="00BC33E3">
        <w:rPr>
          <w:rFonts w:cs="Segoe UI"/>
        </w:rPr>
        <w:t>In the field, 15 haphazardly placed cores (100mm diameter x 100mm depth) of seagrass are collected from an area adjacent, of similar cover and species composition, to each monitoring site. All samples collected are given a unique sample code/identifier providing a custodial trail from the field sample to the analytical outcome.</w:t>
      </w:r>
    </w:p>
    <w:p w:rsidR="00460ACB" w:rsidRPr="00BC33E3" w:rsidRDefault="004A36C2" w:rsidP="004A36C2">
      <w:pPr>
        <w:rPr>
          <w:rFonts w:cs="Segoe UI"/>
        </w:rPr>
      </w:pPr>
      <w:r w:rsidRPr="00BC33E3">
        <w:rPr>
          <w:rFonts w:cs="Segoe UI"/>
        </w:rPr>
        <w:t>Seeds banks and abundance of germinated seeds were sampled according to standard methods (</w:t>
      </w:r>
      <w:hyperlink w:anchor="_ENREF_165" w:tooltip="McKenzie, 2003 #9457" w:history="1">
        <w:r w:rsidR="00E6043D">
          <w:rPr>
            <w:rFonts w:cs="Segoe UI"/>
          </w:rPr>
          <w:fldChar w:fldCharType="begin"/>
        </w:r>
        <w:r w:rsidR="00E6043D">
          <w:rPr>
            <w:rFonts w:cs="Segoe UI"/>
          </w:rPr>
          <w:instrText xml:space="preserve"> ADDIN EN.CITE &lt;EndNote&gt;&lt;Cite&gt;&lt;Author&gt;McKenzie&lt;/Author&gt;&lt;Year&gt;2003&lt;/Year&gt;&lt;RecNum&gt;9457&lt;/RecNum&gt;&lt;DisplayText&gt;McKenzie&lt;style face="italic"&gt;, et al.&lt;/style&gt; 2003&lt;/DisplayText&gt;&lt;record&gt;&lt;rec-number&gt;9457&lt;/rec-number&gt;&lt;foreign-keys&gt;&lt;key app="EN" db-id="0eve55x9y5vfd6e9dacxtew4eatve2dzds9a"&gt;9457&lt;/key&gt;&lt;/foreign-keys&gt;&lt;ref-type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E6043D">
          <w:rPr>
            <w:rFonts w:cs="Segoe UI"/>
          </w:rPr>
          <w:fldChar w:fldCharType="separate"/>
        </w:r>
        <w:r w:rsidR="00E6043D">
          <w:rPr>
            <w:rFonts w:cs="Segoe UI"/>
            <w:noProof/>
          </w:rPr>
          <w:t>McKenzie</w:t>
        </w:r>
        <w:r w:rsidR="00E6043D" w:rsidRPr="00644A84">
          <w:rPr>
            <w:rFonts w:cs="Segoe UI"/>
            <w:i/>
            <w:noProof/>
          </w:rPr>
          <w:t>, et al.</w:t>
        </w:r>
        <w:r w:rsidR="00E6043D">
          <w:rPr>
            <w:rFonts w:cs="Segoe UI"/>
            <w:noProof/>
          </w:rPr>
          <w:t xml:space="preserve"> 2003</w:t>
        </w:r>
        <w:r w:rsidR="00E6043D">
          <w:rPr>
            <w:rFonts w:cs="Segoe UI"/>
          </w:rPr>
          <w:fldChar w:fldCharType="end"/>
        </w:r>
      </w:hyperlink>
      <w:r w:rsidRPr="00BC33E3">
        <w:rPr>
          <w:rFonts w:cs="Segoe UI"/>
        </w:rPr>
        <w:t xml:space="preserve">) by sieving (2mm mesh) 30 cores (50mm diameter, 100mm depth) of sediment collected across each site and counting the seeds retained in each. For </w:t>
      </w:r>
      <w:proofErr w:type="spellStart"/>
      <w:r w:rsidRPr="00BC33E3">
        <w:rPr>
          <w:rFonts w:cs="Segoe UI"/>
          <w:i/>
        </w:rPr>
        <w:t>Zostera</w:t>
      </w:r>
      <w:proofErr w:type="spellEnd"/>
      <w:r w:rsidRPr="00BC33E3">
        <w:rPr>
          <w:rFonts w:cs="Segoe UI"/>
          <w:i/>
        </w:rPr>
        <w:t xml:space="preserve"> </w:t>
      </w:r>
      <w:proofErr w:type="spellStart"/>
      <w:r w:rsidRPr="00BC33E3">
        <w:rPr>
          <w:rFonts w:cs="Segoe UI"/>
          <w:i/>
        </w:rPr>
        <w:t>muelleri</w:t>
      </w:r>
      <w:proofErr w:type="spellEnd"/>
      <w:r w:rsidRPr="00BC33E3">
        <w:rPr>
          <w:rFonts w:cs="Segoe UI"/>
          <w:i/>
        </w:rPr>
        <w:t xml:space="preserve"> </w:t>
      </w:r>
      <w:r w:rsidRPr="00BC33E3">
        <w:rPr>
          <w:rFonts w:cs="Segoe UI"/>
        </w:rPr>
        <w:t>subsp</w:t>
      </w:r>
      <w:r w:rsidRPr="00BC33E3">
        <w:rPr>
          <w:rFonts w:cs="Segoe UI"/>
          <w:i/>
        </w:rPr>
        <w:t xml:space="preserve">. </w:t>
      </w:r>
      <w:proofErr w:type="spellStart"/>
      <w:r w:rsidRPr="00BC33E3">
        <w:rPr>
          <w:rFonts w:cs="Segoe UI"/>
          <w:i/>
        </w:rPr>
        <w:t>capricorni</w:t>
      </w:r>
      <w:proofErr w:type="spellEnd"/>
      <w:r w:rsidRPr="00BC33E3">
        <w:rPr>
          <w:rFonts w:cs="Segoe UI"/>
        </w:rPr>
        <w:t xml:space="preserve">, where the seeds are &lt;1mm diameter, intact cores (18) were collected and returned </w:t>
      </w:r>
      <w:r w:rsidRPr="00BC33E3">
        <w:rPr>
          <w:rFonts w:cs="Segoe UI"/>
        </w:rPr>
        <w:lastRenderedPageBreak/>
        <w:t>to the laboratory where they were washed through a 710µm sieve and seeds identified using a hand lens/microscope.</w:t>
      </w:r>
    </w:p>
    <w:p w:rsidR="004A36C2" w:rsidRPr="00460ACB" w:rsidRDefault="004A36C2" w:rsidP="00460ACB">
      <w:pPr>
        <w:pStyle w:val="Heading4"/>
        <w:numPr>
          <w:ilvl w:val="0"/>
          <w:numId w:val="0"/>
        </w:numPr>
        <w:rPr>
          <w:rFonts w:asciiTheme="majorHAnsi" w:hAnsiTheme="majorHAnsi"/>
          <w:sz w:val="24"/>
          <w:szCs w:val="24"/>
        </w:rPr>
      </w:pPr>
      <w:r w:rsidRPr="00460ACB">
        <w:rPr>
          <w:rFonts w:asciiTheme="majorHAnsi" w:hAnsiTheme="majorHAnsi"/>
          <w:sz w:val="24"/>
          <w:szCs w:val="24"/>
        </w:rPr>
        <w:t xml:space="preserve">Seagrass </w:t>
      </w:r>
      <w:r w:rsidR="00460ACB">
        <w:rPr>
          <w:rFonts w:asciiTheme="majorHAnsi" w:hAnsiTheme="majorHAnsi"/>
          <w:sz w:val="24"/>
          <w:szCs w:val="24"/>
        </w:rPr>
        <w:t xml:space="preserve">leaf </w:t>
      </w:r>
      <w:r w:rsidRPr="00460ACB">
        <w:rPr>
          <w:rFonts w:asciiTheme="majorHAnsi" w:hAnsiTheme="majorHAnsi"/>
          <w:sz w:val="24"/>
          <w:szCs w:val="24"/>
        </w:rPr>
        <w:t>tissue nutrients</w:t>
      </w:r>
    </w:p>
    <w:p w:rsidR="00EB7436" w:rsidRPr="00EB7436" w:rsidRDefault="00EB7436" w:rsidP="00EB7436">
      <w:pPr>
        <w:rPr>
          <w:rFonts w:cs="Segoe UI"/>
        </w:rPr>
      </w:pPr>
      <w:r w:rsidRPr="00EB7436">
        <w:rPr>
          <w:rFonts w:cs="Segoe UI"/>
        </w:rPr>
        <w:t>In late dry season (October) 2013, foundational seagrass (opportunistic and persistent species that are dominant at the site) species leaf tissue nutrient samples were collected from each monitoring site (</w:t>
      </w:r>
      <w:r w:rsidR="00ED4C4C">
        <w:rPr>
          <w:rFonts w:cs="Segoe UI"/>
        </w:rPr>
        <w:fldChar w:fldCharType="begin"/>
      </w:r>
      <w:r w:rsidR="00ED4C4C">
        <w:rPr>
          <w:rFonts w:cs="Segoe UI"/>
        </w:rPr>
        <w:instrText xml:space="preserve"> REF _Ref236539751 \h </w:instrText>
      </w:r>
      <w:r w:rsidR="00ED4C4C">
        <w:rPr>
          <w:rFonts w:cs="Segoe UI"/>
        </w:rPr>
      </w:r>
      <w:r w:rsidR="00ED4C4C">
        <w:rPr>
          <w:rFonts w:cs="Segoe UI"/>
        </w:rPr>
        <w:fldChar w:fldCharType="separate"/>
      </w:r>
      <w:r w:rsidR="009C068F" w:rsidRPr="00015190">
        <w:rPr>
          <w:color w:val="000000"/>
          <w:szCs w:val="22"/>
        </w:rPr>
        <w:t xml:space="preserve">Table </w:t>
      </w:r>
      <w:r w:rsidR="009C068F">
        <w:rPr>
          <w:noProof/>
          <w:color w:val="000000"/>
          <w:szCs w:val="22"/>
        </w:rPr>
        <w:t>3</w:t>
      </w:r>
      <w:r w:rsidR="00ED4C4C">
        <w:rPr>
          <w:rFonts w:cs="Segoe UI"/>
        </w:rPr>
        <w:fldChar w:fldCharType="end"/>
      </w:r>
      <w:r w:rsidRPr="00EB7436">
        <w:rPr>
          <w:rFonts w:cs="Segoe UI"/>
        </w:rPr>
        <w:t>). For nutrient status comparisons, collections were recommended during the growth season (e.g. late dry when nutrient contents are at a minimum) (</w:t>
      </w:r>
      <w:hyperlink w:anchor="_ENREF_185" w:tooltip="Mellors, 2005 #3739" w:history="1">
        <w:r w:rsidR="00E6043D">
          <w:rPr>
            <w:rFonts w:cs="Segoe UI"/>
          </w:rPr>
          <w:fldChar w:fldCharType="begin"/>
        </w:r>
        <w:r w:rsidR="00E6043D">
          <w:rPr>
            <w:rFonts w:cs="Segoe UI"/>
          </w:rPr>
          <w:instrText xml:space="preserve"> ADDIN EN.CITE &lt;EndNote&gt;&lt;Cite&gt;&lt;Author&gt;Mellors&lt;/Author&gt;&lt;Year&gt;2005&lt;/Year&gt;&lt;RecNum&gt;3739&lt;/RecNum&gt;&lt;DisplayText&gt;Mellors&lt;style face="italic"&gt;, et al.&lt;/style&gt; 2005&lt;/DisplayText&gt;&lt;record&gt;&lt;rec-number&gt;3739&lt;/rec-number&gt;&lt;foreign-keys&gt;&lt;key app="EN" db-id="0eve55x9y5vfd6e9dacxtew4eatve2dzds9a"&gt;3739&lt;/key&gt;&lt;/foreign-keys&gt;&lt;ref-type name="Journal Article"&gt;17&lt;/ref-type&gt;&lt;contributors&gt;&lt;authors&gt;&lt;author&gt;Mellors, J.&lt;/author&gt;&lt;author&gt;Waycott, M.&lt;/author&gt;&lt;author&gt;Marsh, H.&lt;/author&gt;&lt;/authors&gt;&lt;/contributors&gt;&lt;titles&gt;&lt;title&gt;Variation in biogeochemical parameters across intertidal seagrass meadows in the central Great Barrier Reef region&lt;/title&gt;&lt;secondary-title&gt;Marine Pollution Bulletin&lt;/secondary-title&gt;&lt;/titles&gt;&lt;periodical&gt;&lt;full-title&gt;Marine Pollution Bulletin&lt;/full-title&gt;&lt;/periodical&gt;&lt;pages&gt;335-342&lt;/pages&gt;&lt;volume&gt;51&lt;/volume&gt;&lt;number&gt;1-4&lt;/number&gt;&lt;dates&gt;&lt;year&gt;2005&lt;/year&gt;&lt;/dates&gt;&lt;isbn&gt;0025-326X&lt;/isbn&gt;&lt;accession-num&gt;WOS:000227981800031&lt;/accession-num&gt;&lt;urls&gt;&lt;related-urls&gt;&lt;url&gt;&amp;lt;Go to ISI&amp;gt;://WOS:000227981800031 &lt;/url&gt;&lt;/related-urls&gt;&lt;/urls&gt;&lt;electronic-resource-num&gt;10.1016/j.marpolbul.2004.10.046&lt;/electronic-resource-num&gt;&lt;/record&gt;&lt;/Cite&gt;&lt;/EndNote&gt;</w:instrText>
        </w:r>
        <w:r w:rsidR="00E6043D">
          <w:rPr>
            <w:rFonts w:cs="Segoe UI"/>
          </w:rPr>
          <w:fldChar w:fldCharType="separate"/>
        </w:r>
        <w:r w:rsidR="00E6043D">
          <w:rPr>
            <w:rFonts w:cs="Segoe UI"/>
            <w:noProof/>
          </w:rPr>
          <w:t>Mellors</w:t>
        </w:r>
        <w:r w:rsidR="00E6043D" w:rsidRPr="008D6EF3">
          <w:rPr>
            <w:rFonts w:cs="Segoe UI"/>
            <w:i/>
            <w:noProof/>
          </w:rPr>
          <w:t>, et al.</w:t>
        </w:r>
        <w:r w:rsidR="00E6043D">
          <w:rPr>
            <w:rFonts w:cs="Segoe UI"/>
            <w:noProof/>
          </w:rPr>
          <w:t xml:space="preserve"> 2005</w:t>
        </w:r>
        <w:r w:rsidR="00E6043D">
          <w:rPr>
            <w:rFonts w:cs="Segoe UI"/>
          </w:rPr>
          <w:fldChar w:fldCharType="end"/>
        </w:r>
      </w:hyperlink>
      <w:r w:rsidRPr="00EB7436">
        <w:rPr>
          <w:rFonts w:cs="Segoe UI"/>
        </w:rPr>
        <w:t>) and at the same time of the year and at the same depth at the different localities (</w:t>
      </w:r>
      <w:hyperlink w:anchor="_ENREF_17" w:tooltip="Borum, 2004 #7829" w:history="1">
        <w:r w:rsidR="00E6043D">
          <w:rPr>
            <w:rFonts w:cs="Segoe UI"/>
          </w:rPr>
          <w:fldChar w:fldCharType="begin"/>
        </w:r>
        <w:r w:rsidR="00E6043D">
          <w:rPr>
            <w:rFonts w:cs="Segoe UI"/>
          </w:rPr>
          <w:instrText xml:space="preserve"> ADDIN EN.CITE &lt;EndNote&gt;&lt;Cite&gt;&lt;Author&gt;Borum&lt;/Author&gt;&lt;Year&gt;2004&lt;/Year&gt;&lt;RecNum&gt;7829&lt;/RecNum&gt;&lt;DisplayText&gt;Borum&lt;style face="italic"&gt;, et al.&lt;/style&gt; 2004&lt;/DisplayText&gt;&lt;record&gt;&lt;rec-number&gt;7829&lt;/rec-number&gt;&lt;foreign-keys&gt;&lt;key app="EN" db-id="0eve55x9y5vfd6e9dacxtew4eatve2dzds9a"&gt;7829&lt;/key&gt;&lt;/foreign-keys&gt;&lt;ref-type name="Book"&gt;6&lt;/ref-type&gt;&lt;contributors&gt;&lt;authors&gt;&lt;author&gt;Borum, J&lt;/author&gt;&lt;author&gt;Duarte, C M&lt;/author&gt;&lt;author&gt;Krause-Jensen, D&lt;/author&gt;&lt;author&gt;Greve, T M&lt;/author&gt;&lt;/authors&gt;&lt;/contributors&gt;&lt;titles&gt;&lt;title&gt;European seagrasses: an introduction to monitoring and management&lt;/title&gt;&lt;/titles&gt;&lt;pages&gt;95&lt;/pages&gt;&lt;section&gt;1-95&lt;/section&gt;&lt;dates&gt;&lt;year&gt;2004&lt;/year&gt;&lt;/dates&gt;&lt;pub-location&gt;Copenhagen&lt;/pub-location&gt;&lt;publisher&gt;The M&amp;amp;MS project&lt;/publisher&gt;&lt;isbn&gt;ISBN: 87-89143-21-3&lt;/isbn&gt;&lt;urls&gt;&lt;/urls&gt;&lt;/record&gt;&lt;/Cite&gt;&lt;/EndNote&gt;</w:instrText>
        </w:r>
        <w:r w:rsidR="00E6043D">
          <w:rPr>
            <w:rFonts w:cs="Segoe UI"/>
          </w:rPr>
          <w:fldChar w:fldCharType="separate"/>
        </w:r>
        <w:r w:rsidR="00E6043D">
          <w:rPr>
            <w:rFonts w:cs="Segoe UI"/>
            <w:noProof/>
          </w:rPr>
          <w:t>Borum</w:t>
        </w:r>
        <w:r w:rsidR="00E6043D" w:rsidRPr="008D6EF3">
          <w:rPr>
            <w:rFonts w:cs="Segoe UI"/>
            <w:i/>
            <w:noProof/>
          </w:rPr>
          <w:t>, et al.</w:t>
        </w:r>
        <w:r w:rsidR="00E6043D">
          <w:rPr>
            <w:rFonts w:cs="Segoe UI"/>
            <w:noProof/>
          </w:rPr>
          <w:t xml:space="preserve"> 2004</w:t>
        </w:r>
        <w:r w:rsidR="00E6043D">
          <w:rPr>
            <w:rFonts w:cs="Segoe UI"/>
          </w:rPr>
          <w:fldChar w:fldCharType="end"/>
        </w:r>
      </w:hyperlink>
      <w:r w:rsidRPr="00EB7436">
        <w:rPr>
          <w:rFonts w:cs="Segoe UI"/>
        </w:rPr>
        <w:t>). Shoots from three haphazardly placed 0.25m</w:t>
      </w:r>
      <w:r w:rsidRPr="00B229A4">
        <w:rPr>
          <w:rFonts w:cs="Segoe UI"/>
          <w:vertAlign w:val="superscript"/>
        </w:rPr>
        <w:t>2</w:t>
      </w:r>
      <w:r w:rsidRPr="00EB7436">
        <w:rPr>
          <w:rFonts w:cs="Segoe UI"/>
        </w:rPr>
        <w:t xml:space="preserve"> quadrats were collected from an area adjacent (of similar cover and species composition) to each monitoring site. Leaves were separated from the below ground material in the laboratory and epiphytic algae removed by gently scraping. Dried and milled samples were analysed according to (</w:t>
      </w:r>
      <w:hyperlink w:anchor="_ENREF_161" w:tooltip="McKenzie, 2014 #10060" w:history="1">
        <w:r w:rsidR="00E6043D">
          <w:rPr>
            <w:rFonts w:cs="Segoe UI"/>
          </w:rPr>
          <w:fldChar w:fldCharType="begin"/>
        </w:r>
        <w:r w:rsidR="00E6043D">
          <w:rPr>
            <w:rFonts w:cs="Segoe UI"/>
          </w:rPr>
          <w:instrText xml:space="preserve"> ADDIN EN.CITE &lt;EndNote&gt;&lt;Cite&gt;&lt;Author&gt;McKenzie&lt;/Author&gt;&lt;Year&gt;2014&lt;/Year&gt;&lt;RecNum&gt;10060&lt;/RecNum&gt;&lt;DisplayText&gt;McKenzie&lt;style face="italic"&gt;, et al.&lt;/style&gt; 2014a&lt;/DisplayText&gt;&lt;record&gt;&lt;rec-number&gt;10060&lt;/rec-number&gt;&lt;foreign-keys&gt;&lt;key app="EN" db-id="0eve55x9y5vfd6e9dacxtew4eatve2dzds9a"&gt;10060&lt;/key&gt;&lt;/foreign-keys&gt;&lt;ref-type name="Book Section"&gt;5&lt;/ref-type&gt;&lt;contributors&gt;&lt;authors&gt;&lt;author&gt;McKenzie, Len&lt;/author&gt;&lt;author&gt;Waycott, Michelle &lt;/author&gt;&lt;author&gt;Unsworth, Richard &lt;/author&gt;&lt;author&gt;Collier, Catherine &lt;/author&gt;&lt;/authors&gt;&lt;secondary-authors&gt;&lt;author&gt;Great Barrier Reef Marine Park Authority,&lt;/author&gt;&lt;/secondary-authors&gt;&lt;/contributors&gt;&lt;titles&gt;&lt;title&gt;Inshore seagrass monitoring&lt;/title&gt;&lt;secondary-title&gt;Reef rescue marine monitoring program quality assurance and quality control manual. 2013/14&lt;/secondary-title&gt;&lt;/titles&gt;&lt;pages&gt;75-90&lt;/pages&gt;&lt;section&gt;7&lt;/section&gt;&lt;dates&gt;&lt;year&gt;2014&lt;/year&gt;&lt;/dates&gt;&lt;pub-location&gt;Townsville&lt;/pub-location&gt;&lt;publisher&gt;GBRMPA&lt;/publisher&gt;&lt;urls&gt;&lt;/urls&gt;&lt;/record&gt;&lt;/Cite&gt;&lt;/EndNote&gt;</w:instrText>
        </w:r>
        <w:r w:rsidR="00E6043D">
          <w:rPr>
            <w:rFonts w:cs="Segoe UI"/>
          </w:rPr>
          <w:fldChar w:fldCharType="separate"/>
        </w:r>
        <w:r w:rsidR="00E6043D">
          <w:rPr>
            <w:rFonts w:cs="Segoe UI"/>
            <w:noProof/>
          </w:rPr>
          <w:t>McKenzie</w:t>
        </w:r>
        <w:r w:rsidR="00E6043D" w:rsidRPr="008D6EF3">
          <w:rPr>
            <w:rFonts w:cs="Segoe UI"/>
            <w:i/>
            <w:noProof/>
          </w:rPr>
          <w:t>, et al.</w:t>
        </w:r>
        <w:r w:rsidR="00E6043D">
          <w:rPr>
            <w:rFonts w:cs="Segoe UI"/>
            <w:noProof/>
          </w:rPr>
          <w:t xml:space="preserve"> 2014a</w:t>
        </w:r>
        <w:r w:rsidR="00E6043D">
          <w:rPr>
            <w:rFonts w:cs="Segoe UI"/>
          </w:rPr>
          <w:fldChar w:fldCharType="end"/>
        </w:r>
      </w:hyperlink>
      <w:r w:rsidRPr="00EB7436">
        <w:rPr>
          <w:rFonts w:cs="Segoe UI"/>
        </w:rPr>
        <w:t xml:space="preserve">). Elemental ratios (C:N:P) were calculated on a </w:t>
      </w:r>
      <w:proofErr w:type="spellStart"/>
      <w:r w:rsidRPr="00EB7436">
        <w:rPr>
          <w:rFonts w:cs="Segoe UI"/>
        </w:rPr>
        <w:t>mole:mole</w:t>
      </w:r>
      <w:proofErr w:type="spellEnd"/>
      <w:r w:rsidRPr="00EB7436">
        <w:rPr>
          <w:rFonts w:cs="Segoe UI"/>
        </w:rPr>
        <w:t xml:space="preserve"> basis using atomic weights (i.e., C=12, N=14, P=31). </w:t>
      </w:r>
    </w:p>
    <w:p w:rsidR="00EB7436" w:rsidRPr="00EB7436" w:rsidRDefault="00EB7436" w:rsidP="00EB7436">
      <w:pPr>
        <w:rPr>
          <w:rFonts w:cs="Segoe UI"/>
        </w:rPr>
      </w:pPr>
      <w:r w:rsidRPr="00EB7436">
        <w:rPr>
          <w:rFonts w:cs="Segoe UI"/>
        </w:rPr>
        <w:t>Analysis of tissue nutrient data was based upon the calculation of the atomic ratios of C:N:P. The ratios of the most common macronutrients required for plant growth has been used widely as an indicator of growth status, in phytoplankton cultures this known as the familiar “</w:t>
      </w:r>
      <w:r w:rsidRPr="0032359A">
        <w:rPr>
          <w:rFonts w:cs="Segoe UI"/>
          <w:i/>
        </w:rPr>
        <w:t>Redfield</w:t>
      </w:r>
      <w:r w:rsidRPr="00EB7436">
        <w:rPr>
          <w:rFonts w:cs="Segoe UI"/>
        </w:rPr>
        <w:t>” ratio of 106C:16N:P (</w:t>
      </w:r>
      <w:hyperlink w:anchor="_ENREF_207" w:tooltip="Redfield, 1963 #9486" w:history="1">
        <w:r w:rsidR="00E6043D">
          <w:rPr>
            <w:rFonts w:cs="Segoe UI"/>
          </w:rPr>
          <w:fldChar w:fldCharType="begin"/>
        </w:r>
        <w:r w:rsidR="00E6043D">
          <w:rPr>
            <w:rFonts w:cs="Segoe UI"/>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E6043D">
          <w:rPr>
            <w:rFonts w:cs="Segoe UI"/>
          </w:rPr>
          <w:fldChar w:fldCharType="separate"/>
        </w:r>
        <w:r w:rsidR="00E6043D">
          <w:rPr>
            <w:rFonts w:cs="Segoe UI"/>
            <w:noProof/>
          </w:rPr>
          <w:t>Redfield</w:t>
        </w:r>
        <w:r w:rsidR="00E6043D" w:rsidRPr="008D6EF3">
          <w:rPr>
            <w:rFonts w:cs="Segoe UI"/>
            <w:i/>
            <w:noProof/>
          </w:rPr>
          <w:t>, et al.</w:t>
        </w:r>
        <w:r w:rsidR="00E6043D">
          <w:rPr>
            <w:rFonts w:cs="Segoe UI"/>
            <w:noProof/>
          </w:rPr>
          <w:t xml:space="preserve"> 1963</w:t>
        </w:r>
        <w:r w:rsidR="00E6043D">
          <w:rPr>
            <w:rFonts w:cs="Segoe UI"/>
          </w:rPr>
          <w:fldChar w:fldCharType="end"/>
        </w:r>
      </w:hyperlink>
      <w:r w:rsidRPr="00EB7436">
        <w:rPr>
          <w:rFonts w:cs="Segoe UI"/>
        </w:rPr>
        <w:t>). Seagrass and other benthic marine plants possess large quantities of structural carbon, resulting in ‘‘seagrass Redfield ratios’’ estimated to be between 550:30:1 (</w:t>
      </w:r>
      <w:hyperlink w:anchor="_ENREF_9" w:tooltip="Atkinson, 1983 #6292" w:history="1">
        <w:r w:rsidR="00E6043D">
          <w:rPr>
            <w:rFonts w:cs="Segoe UI"/>
          </w:rPr>
          <w:fldChar w:fldCharType="begin"/>
        </w:r>
        <w:r w:rsidR="00E6043D">
          <w:rPr>
            <w:rFonts w:cs="Segoe UI"/>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E6043D">
          <w:rPr>
            <w:rFonts w:cs="Segoe UI"/>
          </w:rPr>
          <w:fldChar w:fldCharType="separate"/>
        </w:r>
        <w:r w:rsidR="00E6043D">
          <w:rPr>
            <w:rFonts w:cs="Segoe UI"/>
            <w:noProof/>
          </w:rPr>
          <w:t>Atkinson and Smith 1983</w:t>
        </w:r>
        <w:r w:rsidR="00E6043D">
          <w:rPr>
            <w:rFonts w:cs="Segoe UI"/>
          </w:rPr>
          <w:fldChar w:fldCharType="end"/>
        </w:r>
      </w:hyperlink>
      <w:r w:rsidRPr="00EB7436">
        <w:rPr>
          <w:rFonts w:cs="Segoe UI"/>
        </w:rPr>
        <w:t>) and 474:24:1 (</w:t>
      </w:r>
      <w:hyperlink w:anchor="_ENREF_96" w:tooltip="Duarte, 1990 #1954" w:history="1">
        <w:r w:rsidR="00E6043D">
          <w:rPr>
            <w:rFonts w:cs="Segoe UI"/>
          </w:rPr>
          <w:fldChar w:fldCharType="begin"/>
        </w:r>
        <w:r w:rsidR="00E6043D">
          <w:rPr>
            <w:rFonts w:cs="Segoe UI"/>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E6043D">
          <w:rPr>
            <w:rFonts w:cs="Segoe UI"/>
          </w:rPr>
          <w:fldChar w:fldCharType="separate"/>
        </w:r>
        <w:r w:rsidR="00E6043D">
          <w:rPr>
            <w:rFonts w:cs="Segoe UI"/>
            <w:noProof/>
          </w:rPr>
          <w:t>Duarte 1990</w:t>
        </w:r>
        <w:r w:rsidR="00E6043D">
          <w:rPr>
            <w:rFonts w:cs="Segoe UI"/>
          </w:rPr>
          <w:fldChar w:fldCharType="end"/>
        </w:r>
      </w:hyperlink>
      <w:r w:rsidRPr="00EB7436">
        <w:rPr>
          <w:rFonts w:cs="Segoe UI"/>
        </w:rPr>
        <w:t xml:space="preserve">). The magnitude of these ratios and their temporal changes allow for a broad level understanding of the physical environment of seagrass meadows. Like phytoplankton, seagrasses growing in eutrophic waters have C:N:P ratios that reflect elevated nitrogen and phosphorus levels </w:t>
      </w:r>
      <w:r w:rsidR="0032359A" w:rsidRPr="00EB7436">
        <w:rPr>
          <w:rFonts w:cs="Segoe UI"/>
        </w:rPr>
        <w:t>(</w:t>
      </w:r>
      <w:hyperlink w:anchor="_ENREF_96" w:tooltip="Duarte, 1990 #1954" w:history="1">
        <w:r w:rsidR="00E6043D">
          <w:rPr>
            <w:rFonts w:cs="Segoe UI"/>
          </w:rPr>
          <w:fldChar w:fldCharType="begin"/>
        </w:r>
        <w:r w:rsidR="00E6043D">
          <w:rPr>
            <w:rFonts w:cs="Segoe UI"/>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E6043D">
          <w:rPr>
            <w:rFonts w:cs="Segoe UI"/>
          </w:rPr>
          <w:fldChar w:fldCharType="separate"/>
        </w:r>
        <w:r w:rsidR="00E6043D">
          <w:rPr>
            <w:rFonts w:cs="Segoe UI"/>
            <w:noProof/>
          </w:rPr>
          <w:t>Duarte 1990</w:t>
        </w:r>
        <w:r w:rsidR="00E6043D">
          <w:rPr>
            <w:rFonts w:cs="Segoe UI"/>
          </w:rPr>
          <w:fldChar w:fldCharType="end"/>
        </w:r>
      </w:hyperlink>
      <w:r w:rsidR="0032359A" w:rsidRPr="00EB7436">
        <w:rPr>
          <w:rFonts w:cs="Segoe UI"/>
        </w:rPr>
        <w:t>)</w:t>
      </w:r>
      <w:r w:rsidRPr="00EB7436">
        <w:rPr>
          <w:rFonts w:cs="Segoe UI"/>
        </w:rPr>
        <w:t xml:space="preserve">. Plants residing in nutrient poor waters show significantly lower N:P ratios than those from nutrient rich conditions </w:t>
      </w:r>
      <w:r w:rsidR="0032359A" w:rsidRPr="00EB7436">
        <w:rPr>
          <w:rFonts w:cs="Segoe UI"/>
        </w:rPr>
        <w:t>(</w:t>
      </w:r>
      <w:hyperlink w:anchor="_ENREF_9" w:tooltip="Atkinson, 1983 #6292" w:history="1">
        <w:r w:rsidR="00E6043D">
          <w:rPr>
            <w:rFonts w:cs="Segoe UI"/>
          </w:rPr>
          <w:fldChar w:fldCharType="begin"/>
        </w:r>
        <w:r w:rsidR="00E6043D">
          <w:rPr>
            <w:rFonts w:cs="Segoe UI"/>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E6043D">
          <w:rPr>
            <w:rFonts w:cs="Segoe UI"/>
          </w:rPr>
          <w:fldChar w:fldCharType="separate"/>
        </w:r>
        <w:r w:rsidR="00E6043D">
          <w:rPr>
            <w:rFonts w:cs="Segoe UI"/>
            <w:noProof/>
          </w:rPr>
          <w:t>Atkinson and Smith 1983</w:t>
        </w:r>
        <w:r w:rsidR="00E6043D">
          <w:rPr>
            <w:rFonts w:cs="Segoe UI"/>
          </w:rPr>
          <w:fldChar w:fldCharType="end"/>
        </w:r>
      </w:hyperlink>
      <w:r w:rsidR="0032359A" w:rsidRPr="00EB7436">
        <w:rPr>
          <w:rFonts w:cs="Segoe UI"/>
        </w:rPr>
        <w:t>)</w:t>
      </w:r>
      <w:r w:rsidRPr="00EB7436">
        <w:rPr>
          <w:rFonts w:cs="Segoe UI"/>
        </w:rPr>
        <w:t xml:space="preserve">. Comparing deviations in the ratios of carbon, nitrogen and phosphorous (C:N:P) retained within plant tissue has been used extensively as an alternative means of evaluating the nutrient status of coastal waters </w:t>
      </w:r>
      <w:r w:rsidR="0032359A" w:rsidRPr="00EB7436">
        <w:rPr>
          <w:rFonts w:cs="Segoe UI"/>
        </w:rPr>
        <w:t>(</w:t>
      </w:r>
      <w:hyperlink w:anchor="_ENREF_96" w:tooltip="Duarte, 1990 #1954" w:history="1">
        <w:r w:rsidR="00E6043D">
          <w:rPr>
            <w:rFonts w:cs="Segoe UI"/>
          </w:rPr>
          <w:fldChar w:fldCharType="begin"/>
        </w:r>
        <w:r w:rsidR="00E6043D">
          <w:rPr>
            <w:rFonts w:cs="Segoe UI"/>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E6043D">
          <w:rPr>
            <w:rFonts w:cs="Segoe UI"/>
          </w:rPr>
          <w:fldChar w:fldCharType="separate"/>
        </w:r>
        <w:r w:rsidR="00E6043D">
          <w:rPr>
            <w:rFonts w:cs="Segoe UI"/>
            <w:noProof/>
          </w:rPr>
          <w:t>Duarte 1990</w:t>
        </w:r>
        <w:r w:rsidR="00E6043D">
          <w:rPr>
            <w:rFonts w:cs="Segoe UI"/>
          </w:rPr>
          <w:fldChar w:fldCharType="end"/>
        </w:r>
      </w:hyperlink>
      <w:r w:rsidR="0032359A" w:rsidRPr="00EB7436">
        <w:rPr>
          <w:rFonts w:cs="Segoe UI"/>
        </w:rPr>
        <w:t>)</w:t>
      </w:r>
      <w:r w:rsidRPr="00EB7436">
        <w:rPr>
          <w:rFonts w:cs="Segoe UI"/>
        </w:rPr>
        <w:t xml:space="preserve">. </w:t>
      </w:r>
    </w:p>
    <w:p w:rsidR="00EB7436" w:rsidRPr="00EB7436" w:rsidRDefault="00EB7436" w:rsidP="00EB7436">
      <w:pPr>
        <w:rPr>
          <w:rFonts w:cs="Segoe UI"/>
        </w:rPr>
      </w:pPr>
      <w:r w:rsidRPr="00EB7436">
        <w:rPr>
          <w:rFonts w:cs="Segoe UI"/>
        </w:rPr>
        <w:t>Changing C:N ratios have been found in a number of experiments and field surveys to be related to light levels, as leaves with an atomic C:N ratio of less than 20, may suggest reduced light availability when N is not in surplus (</w:t>
      </w:r>
      <w:r w:rsidR="008D6EF3">
        <w:rPr>
          <w:rFonts w:cs="Segoe UI"/>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Iml0YWxpYyI+LCBldCBhbC48L3N0eWxlPiAyMDA5PC9EaXNwbGF5VGV4dD48cmVjb3JkPjxyZWMt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</w:fldData>
        </w:fldChar>
      </w:r>
      <w:r w:rsidR="009E5562">
        <w:rPr>
          <w:rFonts w:cs="Segoe UI"/>
        </w:rPr>
        <w:instrText xml:space="preserve"> ADDIN EN.CITE </w:instrText>
      </w:r>
      <w:r w:rsidR="009E5562">
        <w:rPr>
          <w:rFonts w:cs="Segoe UI"/>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Iml0YWxpYyI+LCBldCBhbC48L3N0eWxlPiAyMDA5PC9EaXNwbGF5VGV4dD48cmVjb3JkPjxyZWMt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</w:fldData>
        </w:fldChar>
      </w:r>
      <w:r w:rsidR="009E5562">
        <w:rPr>
          <w:rFonts w:cs="Segoe UI"/>
        </w:rPr>
        <w:instrText xml:space="preserve"> ADDIN EN.CITE.DATA </w:instrText>
      </w:r>
      <w:r w:rsidR="009E5562">
        <w:rPr>
          <w:rFonts w:cs="Segoe UI"/>
        </w:rPr>
      </w:r>
      <w:r w:rsidR="009E5562">
        <w:rPr>
          <w:rFonts w:cs="Segoe UI"/>
        </w:rPr>
        <w:fldChar w:fldCharType="end"/>
      </w:r>
      <w:r w:rsidR="008D6EF3">
        <w:rPr>
          <w:rFonts w:cs="Segoe UI"/>
        </w:rPr>
      </w:r>
      <w:r w:rsidR="008D6EF3">
        <w:rPr>
          <w:rFonts w:cs="Segoe UI"/>
        </w:rPr>
        <w:fldChar w:fldCharType="separate"/>
      </w:r>
      <w:hyperlink w:anchor="_ENREF_2" w:tooltip="Abal, 1994 #7405" w:history="1">
        <w:r w:rsidR="00E6043D">
          <w:rPr>
            <w:rFonts w:cs="Segoe UI"/>
            <w:noProof/>
          </w:rPr>
          <w:t>Abal</w:t>
        </w:r>
        <w:r w:rsidR="00E6043D" w:rsidRPr="008D6EF3">
          <w:rPr>
            <w:rFonts w:cs="Segoe UI"/>
            <w:i/>
            <w:noProof/>
          </w:rPr>
          <w:t>, et al.</w:t>
        </w:r>
        <w:r w:rsidR="00E6043D">
          <w:rPr>
            <w:rFonts w:cs="Segoe UI"/>
            <w:noProof/>
          </w:rPr>
          <w:t xml:space="preserve"> 1994</w:t>
        </w:r>
      </w:hyperlink>
      <w:r w:rsidR="008D6EF3">
        <w:rPr>
          <w:rFonts w:cs="Segoe UI"/>
          <w:noProof/>
        </w:rPr>
        <w:t xml:space="preserve">; </w:t>
      </w:r>
      <w:hyperlink w:anchor="_ENREF_118" w:tooltip="Grice, 1996 #1346" w:history="1">
        <w:r w:rsidR="00E6043D">
          <w:rPr>
            <w:rFonts w:cs="Segoe UI"/>
            <w:noProof/>
          </w:rPr>
          <w:t>Grice</w:t>
        </w:r>
        <w:r w:rsidR="00E6043D" w:rsidRPr="008D6EF3">
          <w:rPr>
            <w:rFonts w:cs="Segoe UI"/>
            <w:i/>
            <w:noProof/>
          </w:rPr>
          <w:t>, et al.</w:t>
        </w:r>
        <w:r w:rsidR="00E6043D">
          <w:rPr>
            <w:rFonts w:cs="Segoe UI"/>
            <w:noProof/>
          </w:rPr>
          <w:t xml:space="preserve"> 1996</w:t>
        </w:r>
      </w:hyperlink>
      <w:r w:rsidR="008D6EF3">
        <w:rPr>
          <w:rFonts w:cs="Segoe UI"/>
          <w:noProof/>
        </w:rPr>
        <w:t xml:space="preserve">; </w:t>
      </w:r>
      <w:hyperlink w:anchor="_ENREF_29" w:tooltip="Cabaço, 2007 #9489" w:history="1">
        <w:r w:rsidR="00E6043D">
          <w:rPr>
            <w:rFonts w:cs="Segoe UI"/>
            <w:noProof/>
          </w:rPr>
          <w:t>Cabaço and Santos 2007</w:t>
        </w:r>
      </w:hyperlink>
      <w:r w:rsidR="008D6EF3">
        <w:rPr>
          <w:rFonts w:cs="Segoe UI"/>
          <w:noProof/>
        </w:rPr>
        <w:t xml:space="preserve">; </w:t>
      </w:r>
      <w:hyperlink w:anchor="_ENREF_64" w:tooltip="Collier, 2009 #9490" w:history="1">
        <w:r w:rsidR="00E6043D">
          <w:rPr>
            <w:rFonts w:cs="Segoe UI"/>
            <w:noProof/>
          </w:rPr>
          <w:t>Collier</w:t>
        </w:r>
        <w:r w:rsidR="00E6043D" w:rsidRPr="008D6EF3">
          <w:rPr>
            <w:rFonts w:cs="Segoe UI"/>
            <w:i/>
            <w:noProof/>
          </w:rPr>
          <w:t>, et al.</w:t>
        </w:r>
        <w:r w:rsidR="00E6043D">
          <w:rPr>
            <w:rFonts w:cs="Segoe UI"/>
            <w:noProof/>
          </w:rPr>
          <w:t xml:space="preserve"> 2009</w:t>
        </w:r>
      </w:hyperlink>
      <w:r w:rsidR="008D6EF3">
        <w:rPr>
          <w:rFonts w:cs="Segoe UI"/>
        </w:rPr>
        <w:fldChar w:fldCharType="end"/>
      </w:r>
      <w:r w:rsidRPr="00EB7436">
        <w:rPr>
          <w:rFonts w:cs="Segoe UI"/>
        </w:rPr>
        <w:t>). The ratio of N:P is also a useful indicator as it is a reflection of the “</w:t>
      </w:r>
      <w:r w:rsidRPr="0032359A">
        <w:rPr>
          <w:rFonts w:cs="Segoe UI"/>
          <w:i/>
        </w:rPr>
        <w:t>Redfield</w:t>
      </w:r>
      <w:r w:rsidRPr="00EB7436">
        <w:rPr>
          <w:rFonts w:cs="Segoe UI"/>
        </w:rPr>
        <w:t xml:space="preserve">” ratios </w:t>
      </w:r>
      <w:r w:rsidR="0032359A" w:rsidRPr="00EB7436">
        <w:rPr>
          <w:rFonts w:cs="Segoe UI"/>
        </w:rPr>
        <w:t>(</w:t>
      </w:r>
      <w:hyperlink w:anchor="_ENREF_207" w:tooltip="Redfield, 1963 #9486" w:history="1">
        <w:r w:rsidR="00E6043D">
          <w:rPr>
            <w:rFonts w:cs="Segoe UI"/>
          </w:rPr>
          <w:fldChar w:fldCharType="begin"/>
        </w:r>
        <w:r w:rsidR="00E6043D">
          <w:rPr>
            <w:rFonts w:cs="Segoe UI"/>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E6043D">
          <w:rPr>
            <w:rFonts w:cs="Segoe UI"/>
          </w:rPr>
          <w:fldChar w:fldCharType="separate"/>
        </w:r>
        <w:r w:rsidR="00E6043D">
          <w:rPr>
            <w:rFonts w:cs="Segoe UI"/>
            <w:noProof/>
          </w:rPr>
          <w:t>Redfield</w:t>
        </w:r>
        <w:r w:rsidR="00E6043D" w:rsidRPr="008D6EF3">
          <w:rPr>
            <w:rFonts w:cs="Segoe UI"/>
            <w:i/>
            <w:noProof/>
          </w:rPr>
          <w:t>, et al.</w:t>
        </w:r>
        <w:r w:rsidR="00E6043D">
          <w:rPr>
            <w:rFonts w:cs="Segoe UI"/>
            <w:noProof/>
          </w:rPr>
          <w:t xml:space="preserve"> 1963</w:t>
        </w:r>
        <w:r w:rsidR="00E6043D">
          <w:rPr>
            <w:rFonts w:cs="Segoe UI"/>
          </w:rPr>
          <w:fldChar w:fldCharType="end"/>
        </w:r>
      </w:hyperlink>
      <w:r w:rsidR="0032359A" w:rsidRPr="00EB7436">
        <w:rPr>
          <w:rFonts w:cs="Segoe UI"/>
        </w:rPr>
        <w:t>)</w:t>
      </w:r>
      <w:r w:rsidRPr="00EB7436">
        <w:rPr>
          <w:rFonts w:cs="Segoe UI"/>
        </w:rPr>
        <w:t xml:space="preserve">, and seagrass with an atomic N:P ratio of 25 to 30 can be determined to be ‘replete’ (well supplied and balanced macronutrients for growth) </w:t>
      </w:r>
      <w:r w:rsidR="0032359A" w:rsidRPr="00EB7436">
        <w:rPr>
          <w:rFonts w:cs="Segoe UI"/>
        </w:rPr>
        <w:t>(</w:t>
      </w:r>
      <w:r w:rsidR="008D6EF3">
        <w:rPr>
          <w:rFonts w:cs="Segoe UI"/>
        </w:rPr>
        <w:fldChar w:fldCharType="begin">
          <w:fldData xml:space="preserve">PEVuZE5vdGU+PENpdGU+PEF1dGhvcj5BdGtpbnNvbjwvQXV0aG9yPjxZZWFyPjE5ODM8L1llYXI+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</w:fldData>
        </w:fldChar>
      </w:r>
      <w:r w:rsidR="008D6EF3">
        <w:rPr>
          <w:rFonts w:cs="Segoe UI"/>
        </w:rPr>
        <w:instrText xml:space="preserve"> ADDIN EN.CITE </w:instrText>
      </w:r>
      <w:r w:rsidR="008D6EF3">
        <w:rPr>
          <w:rFonts w:cs="Segoe UI"/>
        </w:rPr>
        <w:fldChar w:fldCharType="begin">
          <w:fldData xml:space="preserve">PEVuZE5vdGU+PENpdGU+PEF1dGhvcj5BdGtpbnNvbjwvQXV0aG9yPjxZZWFyPjE5ODM8L1llYXI+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</w:fldData>
        </w:fldChar>
      </w:r>
      <w:r w:rsidR="008D6EF3">
        <w:rPr>
          <w:rFonts w:cs="Segoe UI"/>
        </w:rPr>
        <w:instrText xml:space="preserve"> ADDIN EN.CITE.DATA </w:instrText>
      </w:r>
      <w:r w:rsidR="008D6EF3">
        <w:rPr>
          <w:rFonts w:cs="Segoe UI"/>
        </w:rPr>
      </w:r>
      <w:r w:rsidR="008D6EF3">
        <w:rPr>
          <w:rFonts w:cs="Segoe UI"/>
        </w:rPr>
        <w:fldChar w:fldCharType="end"/>
      </w:r>
      <w:r w:rsidR="008D6EF3">
        <w:rPr>
          <w:rFonts w:cs="Segoe UI"/>
        </w:rPr>
      </w:r>
      <w:r w:rsidR="008D6EF3">
        <w:rPr>
          <w:rFonts w:cs="Segoe UI"/>
        </w:rPr>
        <w:fldChar w:fldCharType="separate"/>
      </w:r>
      <w:hyperlink w:anchor="_ENREF_9" w:tooltip="Atkinson, 1983 #6292" w:history="1">
        <w:r w:rsidR="00E6043D">
          <w:rPr>
            <w:rFonts w:cs="Segoe UI"/>
            <w:noProof/>
          </w:rPr>
          <w:t>Atkinson and Smith 1983</w:t>
        </w:r>
      </w:hyperlink>
      <w:r w:rsidR="008D6EF3">
        <w:rPr>
          <w:rFonts w:cs="Segoe UI"/>
          <w:noProof/>
        </w:rPr>
        <w:t xml:space="preserve">; </w:t>
      </w:r>
      <w:hyperlink w:anchor="_ENREF_109" w:tooltip="Fourqurean, 1997 #5478" w:history="1">
        <w:r w:rsidR="00E6043D">
          <w:rPr>
            <w:rFonts w:cs="Segoe UI"/>
            <w:noProof/>
          </w:rPr>
          <w:t>Fourqurean</w:t>
        </w:r>
        <w:r w:rsidR="00E6043D" w:rsidRPr="008D6EF3">
          <w:rPr>
            <w:rFonts w:cs="Segoe UI"/>
            <w:i/>
            <w:noProof/>
          </w:rPr>
          <w:t xml:space="preserve"> et al.</w:t>
        </w:r>
        <w:r w:rsidR="00E6043D">
          <w:rPr>
            <w:rFonts w:cs="Segoe UI"/>
            <w:noProof/>
          </w:rPr>
          <w:t xml:space="preserve"> 1997a</w:t>
        </w:r>
      </w:hyperlink>
      <w:r w:rsidR="008D6EF3">
        <w:rPr>
          <w:rFonts w:cs="Segoe UI"/>
          <w:noProof/>
        </w:rPr>
        <w:t xml:space="preserve">; </w:t>
      </w:r>
      <w:hyperlink w:anchor="_ENREF_106" w:tooltip="Fourqurean, 2001 #9492" w:history="1">
        <w:r w:rsidR="00E6043D">
          <w:rPr>
            <w:rFonts w:cs="Segoe UI"/>
            <w:noProof/>
          </w:rPr>
          <w:t>Fourqurean and Cai 2001</w:t>
        </w:r>
      </w:hyperlink>
      <w:r w:rsidR="008D6EF3">
        <w:rPr>
          <w:rFonts w:cs="Segoe UI"/>
        </w:rPr>
        <w:fldChar w:fldCharType="end"/>
      </w:r>
      <w:r w:rsidRPr="00EB7436">
        <w:rPr>
          <w:rFonts w:cs="Segoe UI"/>
        </w:rPr>
        <w:t xml:space="preserve">). When N:P values are in excess of 30, this may indicate P-limitation and a ratio of less than 25 is considered to show N limitation </w:t>
      </w:r>
      <w:r w:rsidR="0032359A" w:rsidRPr="00EB7436">
        <w:rPr>
          <w:rFonts w:cs="Segoe UI"/>
        </w:rPr>
        <w:t>(</w:t>
      </w:r>
      <w:r w:rsidR="008D6EF3">
        <w:rPr>
          <w:rFonts w:cs="Segoe UI"/>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8D6EF3">
        <w:rPr>
          <w:rFonts w:cs="Segoe UI"/>
        </w:rPr>
        <w:instrText xml:space="preserve"> ADDIN EN.CITE </w:instrText>
      </w:r>
      <w:r w:rsidR="008D6EF3">
        <w:rPr>
          <w:rFonts w:cs="Segoe UI"/>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ZGF0ZXM+PHVybHM+PC91cmxzPjwvcmVjb3JkPjwvQ2l0ZT48Q2l0ZT48QXV0aG9yPkR1YXJ0ZTwv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</w:fldData>
        </w:fldChar>
      </w:r>
      <w:r w:rsidR="008D6EF3">
        <w:rPr>
          <w:rFonts w:cs="Segoe UI"/>
        </w:rPr>
        <w:instrText xml:space="preserve"> ADDIN EN.CITE.DATA </w:instrText>
      </w:r>
      <w:r w:rsidR="008D6EF3">
        <w:rPr>
          <w:rFonts w:cs="Segoe UI"/>
        </w:rPr>
      </w:r>
      <w:r w:rsidR="008D6EF3">
        <w:rPr>
          <w:rFonts w:cs="Segoe UI"/>
        </w:rPr>
        <w:fldChar w:fldCharType="end"/>
      </w:r>
      <w:r w:rsidR="008D6EF3">
        <w:rPr>
          <w:rFonts w:cs="Segoe UI"/>
        </w:rPr>
      </w:r>
      <w:r w:rsidR="008D6EF3">
        <w:rPr>
          <w:rFonts w:cs="Segoe UI"/>
        </w:rPr>
        <w:fldChar w:fldCharType="separate"/>
      </w:r>
      <w:hyperlink w:anchor="_ENREF_9" w:tooltip="Atkinson, 1983 #6292" w:history="1">
        <w:r w:rsidR="00E6043D">
          <w:rPr>
            <w:rFonts w:cs="Segoe UI"/>
            <w:noProof/>
          </w:rPr>
          <w:t>Atkinson and Smith 1983</w:t>
        </w:r>
      </w:hyperlink>
      <w:r w:rsidR="008D6EF3">
        <w:rPr>
          <w:rFonts w:cs="Segoe UI"/>
          <w:noProof/>
        </w:rPr>
        <w:t xml:space="preserve">; </w:t>
      </w:r>
      <w:hyperlink w:anchor="_ENREF_96" w:tooltip="Duarte, 1990 #1954" w:history="1">
        <w:r w:rsidR="00E6043D">
          <w:rPr>
            <w:rFonts w:cs="Segoe UI"/>
            <w:noProof/>
          </w:rPr>
          <w:t>Duarte 1990</w:t>
        </w:r>
      </w:hyperlink>
      <w:r w:rsidR="008D6EF3">
        <w:rPr>
          <w:rFonts w:cs="Segoe UI"/>
          <w:noProof/>
        </w:rPr>
        <w:t xml:space="preserve">; </w:t>
      </w:r>
      <w:hyperlink w:anchor="_ENREF_112" w:tooltip="Fourqurean, 1992 #9493" w:history="1">
        <w:r w:rsidR="00E6043D">
          <w:rPr>
            <w:rFonts w:cs="Segoe UI"/>
            <w:noProof/>
          </w:rPr>
          <w:t>Fourqurean</w:t>
        </w:r>
        <w:r w:rsidR="00E6043D" w:rsidRPr="008D6EF3">
          <w:rPr>
            <w:rFonts w:cs="Segoe UI"/>
            <w:i/>
            <w:noProof/>
          </w:rPr>
          <w:t>, et al.</w:t>
        </w:r>
        <w:r w:rsidR="00E6043D">
          <w:rPr>
            <w:rFonts w:cs="Segoe UI"/>
            <w:noProof/>
          </w:rPr>
          <w:t xml:space="preserve"> 1992b</w:t>
        </w:r>
      </w:hyperlink>
      <w:r w:rsidR="008D6EF3">
        <w:rPr>
          <w:rFonts w:cs="Segoe UI"/>
          <w:noProof/>
        </w:rPr>
        <w:t xml:space="preserve">; </w:t>
      </w:r>
      <w:hyperlink w:anchor="_ENREF_106" w:tooltip="Fourqurean, 2001 #9492" w:history="1">
        <w:r w:rsidR="00E6043D">
          <w:rPr>
            <w:rFonts w:cs="Segoe UI"/>
            <w:noProof/>
          </w:rPr>
          <w:t>Fourqurean and Cai 2001</w:t>
        </w:r>
      </w:hyperlink>
      <w:r w:rsidR="008D6EF3">
        <w:rPr>
          <w:rFonts w:cs="Segoe UI"/>
        </w:rPr>
        <w:fldChar w:fldCharType="end"/>
      </w:r>
      <w:r w:rsidRPr="00EB7436">
        <w:rPr>
          <w:rFonts w:cs="Segoe UI"/>
        </w:rPr>
        <w:t xml:space="preserve">). The median seagrass tissue ratios of C:P is approximately 500 </w:t>
      </w:r>
      <w:r w:rsidR="0032359A" w:rsidRPr="00EB7436">
        <w:rPr>
          <w:rFonts w:cs="Segoe UI"/>
        </w:rPr>
        <w:t>(</w:t>
      </w:r>
      <w:hyperlink w:anchor="_ENREF_9" w:tooltip="Atkinson, 1983 #6292" w:history="1">
        <w:r w:rsidR="00E6043D">
          <w:rPr>
            <w:rFonts w:cs="Segoe UI"/>
          </w:rPr>
          <w:fldChar w:fldCharType="begin"/>
        </w:r>
        <w:r w:rsidR="00E6043D">
          <w:rPr>
            <w:rFonts w:cs="Segoe UI"/>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E6043D">
          <w:rPr>
            <w:rFonts w:cs="Segoe UI"/>
          </w:rPr>
          <w:fldChar w:fldCharType="separate"/>
        </w:r>
        <w:r w:rsidR="00E6043D">
          <w:rPr>
            <w:rFonts w:cs="Segoe UI"/>
            <w:noProof/>
          </w:rPr>
          <w:t>Atkinson and Smith 1983</w:t>
        </w:r>
        <w:r w:rsidR="00E6043D">
          <w:rPr>
            <w:rFonts w:cs="Segoe UI"/>
          </w:rPr>
          <w:fldChar w:fldCharType="end"/>
        </w:r>
      </w:hyperlink>
      <w:r w:rsidRPr="00EB7436">
        <w:rPr>
          <w:rFonts w:cs="Segoe UI"/>
        </w:rPr>
        <w:t>), therefore deviation from this value is also likely to be indicative of some level of nutrient enriched or nutrient limited conditions. A combination of these ratios can indicate seagrass environments which are impacted by nutrient enrichment. Plant tissue which has a high N:P and low C:P indicates an environment of elevated (saturated) nitrogen.</w:t>
      </w:r>
    </w:p>
    <w:p w:rsidR="00EB7436" w:rsidRPr="00EB7436" w:rsidRDefault="00EB7436" w:rsidP="00EB7436">
      <w:pPr>
        <w:rPr>
          <w:rFonts w:cs="Segoe UI"/>
        </w:rPr>
      </w:pPr>
      <w:r w:rsidRPr="00EB7436">
        <w:rPr>
          <w:rFonts w:cs="Segoe UI"/>
        </w:rPr>
        <w:t>Investigations of the differences in each individual tissue ratio within each of the species revealed that although tissue nutrient concentrations were extremely variable between locations and between years, by pooling species within habitat types trends were apparent (</w:t>
      </w:r>
      <w:hyperlink w:anchor="_ENREF_176" w:tooltip="McKenzie, 2009 #9494" w:history="1">
        <w:r w:rsidR="00E6043D">
          <w:rPr>
            <w:rFonts w:cs="Segoe UI"/>
          </w:rPr>
          <w:fldChar w:fldCharType="begin"/>
        </w:r>
        <w:r w:rsidR="00E6043D">
          <w:rPr>
            <w:rFonts w:cs="Segoe UI"/>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E6043D">
          <w:rPr>
            <w:rFonts w:cs="Segoe UI"/>
          </w:rPr>
          <w:fldChar w:fldCharType="separate"/>
        </w:r>
        <w:r w:rsidR="00E6043D">
          <w:rPr>
            <w:rFonts w:cs="Segoe UI"/>
            <w:noProof/>
          </w:rPr>
          <w:t>McKenzie and Unsworth 2009</w:t>
        </w:r>
        <w:r w:rsidR="00E6043D">
          <w:rPr>
            <w:rFonts w:cs="Segoe UI"/>
          </w:rPr>
          <w:fldChar w:fldCharType="end"/>
        </w:r>
      </w:hyperlink>
      <w:r w:rsidRPr="00EB7436">
        <w:rPr>
          <w:rFonts w:cs="Segoe UI"/>
        </w:rPr>
        <w:t xml:space="preserve">). As seagrass tissue nutrient ratios of the foundation species were generally not significantly different from each other at a site within each sampling period </w:t>
      </w:r>
      <w:r w:rsidR="0032359A" w:rsidRPr="00EB7436">
        <w:rPr>
          <w:rFonts w:cs="Segoe UI"/>
        </w:rPr>
        <w:t>(</w:t>
      </w:r>
      <w:hyperlink w:anchor="_ENREF_176" w:tooltip="McKenzie, 2009 #9494" w:history="1">
        <w:r w:rsidR="00E6043D">
          <w:rPr>
            <w:rFonts w:cs="Segoe UI"/>
          </w:rPr>
          <w:fldChar w:fldCharType="begin"/>
        </w:r>
        <w:r w:rsidR="00E6043D">
          <w:rPr>
            <w:rFonts w:cs="Segoe UI"/>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E6043D">
          <w:rPr>
            <w:rFonts w:cs="Segoe UI"/>
          </w:rPr>
          <w:fldChar w:fldCharType="separate"/>
        </w:r>
        <w:r w:rsidR="00E6043D">
          <w:rPr>
            <w:rFonts w:cs="Segoe UI"/>
            <w:noProof/>
          </w:rPr>
          <w:t>McKenzie and Unsworth 2009</w:t>
        </w:r>
        <w:r w:rsidR="00E6043D">
          <w:rPr>
            <w:rFonts w:cs="Segoe UI"/>
          </w:rPr>
          <w:fldChar w:fldCharType="end"/>
        </w:r>
      </w:hyperlink>
      <w:r w:rsidR="0032359A" w:rsidRPr="00EB7436">
        <w:rPr>
          <w:rFonts w:cs="Segoe UI"/>
        </w:rPr>
        <w:t>)</w:t>
      </w:r>
      <w:r w:rsidRPr="00EB7436">
        <w:rPr>
          <w:rFonts w:cs="Segoe UI"/>
        </w:rPr>
        <w:t xml:space="preserve">, the tissue nutrient ratios were pooled at the request of the GBRMPA to assist with interpretation of the findings. </w:t>
      </w:r>
    </w:p>
    <w:p w:rsidR="004A36C2" w:rsidRDefault="00EB7436" w:rsidP="00EB7436">
      <w:pPr>
        <w:rPr>
          <w:rFonts w:cs="Segoe UI"/>
        </w:rPr>
      </w:pPr>
      <w:r w:rsidRPr="00EB7436">
        <w:rPr>
          <w:rFonts w:cs="Segoe UI"/>
        </w:rPr>
        <w:t xml:space="preserve">To identify the sources of the nitrogen and provide insight into the occurrence of carbon limitation associated with light limitation, leaf tissue were also analysed for nitrogen and carbon stable isotope </w:t>
      </w:r>
      <w:r w:rsidRPr="00EB7436">
        <w:rPr>
          <w:rFonts w:cs="Segoe UI"/>
        </w:rPr>
        <w:lastRenderedPageBreak/>
        <w:t>ratios (δ</w:t>
      </w:r>
      <w:r w:rsidRPr="0032359A">
        <w:rPr>
          <w:rFonts w:cs="Segoe UI"/>
          <w:vertAlign w:val="superscript"/>
        </w:rPr>
        <w:t>15</w:t>
      </w:r>
      <w:r w:rsidRPr="00EB7436">
        <w:rPr>
          <w:rFonts w:cs="Segoe UI"/>
        </w:rPr>
        <w:t>N and δ</w:t>
      </w:r>
      <w:r w:rsidRPr="0032359A">
        <w:rPr>
          <w:rFonts w:cs="Segoe UI"/>
          <w:vertAlign w:val="superscript"/>
        </w:rPr>
        <w:t>13</w:t>
      </w:r>
      <w:r w:rsidRPr="00EB7436">
        <w:rPr>
          <w:rFonts w:cs="Segoe UI"/>
        </w:rPr>
        <w:t xml:space="preserve">C). There are two naturally occurring atomic forms of nitrogen (N). The common form that contains seven protons and seven neutrons is referred to as </w:t>
      </w:r>
      <w:r w:rsidRPr="0032359A">
        <w:rPr>
          <w:rFonts w:cs="Segoe UI"/>
          <w:vertAlign w:val="superscript"/>
        </w:rPr>
        <w:t>14</w:t>
      </w:r>
      <w:r w:rsidRPr="00EB7436">
        <w:rPr>
          <w:rFonts w:cs="Segoe UI"/>
        </w:rPr>
        <w:t xml:space="preserve">N, and a heavier form that contains an extra neutron is called </w:t>
      </w:r>
      <w:r w:rsidRPr="0032359A">
        <w:rPr>
          <w:rFonts w:cs="Segoe UI"/>
          <w:vertAlign w:val="superscript"/>
        </w:rPr>
        <w:t>15</w:t>
      </w:r>
      <w:r w:rsidRPr="00EB7436">
        <w:rPr>
          <w:rFonts w:cs="Segoe UI"/>
        </w:rPr>
        <w:t xml:space="preserve">N: with 0.3663% of atmospheric N in the heavy form. Plants and animals assimilate both forms of nitrogen, and the ratio of </w:t>
      </w:r>
      <w:r w:rsidRPr="0032359A">
        <w:rPr>
          <w:rFonts w:cs="Segoe UI"/>
          <w:vertAlign w:val="superscript"/>
        </w:rPr>
        <w:t>14</w:t>
      </w:r>
      <w:r w:rsidRPr="00EB7436">
        <w:rPr>
          <w:rFonts w:cs="Segoe UI"/>
        </w:rPr>
        <w:t xml:space="preserve">N to </w:t>
      </w:r>
      <w:r w:rsidRPr="0032359A">
        <w:rPr>
          <w:rFonts w:cs="Segoe UI"/>
          <w:vertAlign w:val="superscript"/>
        </w:rPr>
        <w:t>15</w:t>
      </w:r>
      <w:r w:rsidRPr="00EB7436">
        <w:rPr>
          <w:rFonts w:cs="Segoe UI"/>
        </w:rPr>
        <w:t>N compared to an atmospheric standard (δ</w:t>
      </w:r>
      <w:r w:rsidRPr="0032359A">
        <w:rPr>
          <w:rFonts w:cs="Segoe UI"/>
          <w:vertAlign w:val="superscript"/>
        </w:rPr>
        <w:t>15</w:t>
      </w:r>
      <w:r w:rsidRPr="00EB7436">
        <w:rPr>
          <w:rFonts w:cs="Segoe UI"/>
        </w:rPr>
        <w:t>N) can be determined by analysis of tissue on a stable isotope mass spectrometer using the following equation:</w:t>
      </w:r>
    </w:p>
    <w:p w:rsidR="00EB7436" w:rsidRDefault="00EB7436" w:rsidP="00EB7436">
      <w:pPr>
        <w:jc w:val="center"/>
        <w:rPr>
          <w:color w:val="000000"/>
          <w:szCs w:val="22"/>
        </w:rPr>
      </w:pPr>
      <w:r>
        <w:rPr>
          <w:noProof/>
          <w:color w:val="000000"/>
          <w:position w:val="-36"/>
          <w:szCs w:val="22"/>
          <w:lang w:eastAsia="en-AU"/>
        </w:rPr>
        <w:drawing>
          <wp:inline distT="0" distB="0" distL="0" distR="0" wp14:anchorId="1228EECB" wp14:editId="475DAE2C">
            <wp:extent cx="3813175" cy="511810"/>
            <wp:effectExtent l="0" t="0" r="0" b="2540"/>
            <wp:docPr id="25" name="Picture 25" descr="Equation to determine delta15N in seagrass leaf tiss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3813175" cy="511810"/>
                    </a:xfrm>
                    <a:prstGeom prst="rect">
                      <a:avLst/>
                    </a:prstGeom>
                    <a:noFill/>
                    <a:ln>
                      <a:noFill/>
                    </a:ln>
                  </pic:spPr>
                </pic:pic>
              </a:graphicData>
            </a:graphic>
          </wp:inline>
        </w:drawing>
      </w:r>
    </w:p>
    <w:p w:rsidR="00EB7436" w:rsidRPr="00EB7436" w:rsidRDefault="00EB7436" w:rsidP="00EB7436">
      <w:pPr>
        <w:rPr>
          <w:rFonts w:cs="Segoe UI"/>
        </w:rPr>
      </w:pPr>
      <w:r w:rsidRPr="00EB7436">
        <w:rPr>
          <w:rFonts w:cs="Segoe UI"/>
        </w:rPr>
        <w:t>Seagrasses are passive indicators of δ</w:t>
      </w:r>
      <w:r w:rsidRPr="0032359A">
        <w:rPr>
          <w:rFonts w:cs="Segoe UI"/>
          <w:vertAlign w:val="superscript"/>
        </w:rPr>
        <w:t>15</w:t>
      </w:r>
      <w:r w:rsidRPr="00EB7436">
        <w:rPr>
          <w:rFonts w:cs="Segoe UI"/>
        </w:rPr>
        <w:t xml:space="preserve">N enrichment, as they integrated the signature of their environment over time throughout their growth cycle. The various sources of nitrogen pollution to coastal ecosystems often have distinguishable </w:t>
      </w:r>
      <w:r w:rsidRPr="0032359A">
        <w:rPr>
          <w:rFonts w:cs="Segoe UI"/>
          <w:vertAlign w:val="superscript"/>
        </w:rPr>
        <w:t>15</w:t>
      </w:r>
      <w:r w:rsidRPr="00EB7436">
        <w:rPr>
          <w:rFonts w:cs="Segoe UI"/>
        </w:rPr>
        <w:t>N/</w:t>
      </w:r>
      <w:r w:rsidRPr="0032359A">
        <w:rPr>
          <w:rFonts w:cs="Segoe UI"/>
          <w:vertAlign w:val="superscript"/>
        </w:rPr>
        <w:t>14</w:t>
      </w:r>
      <w:r w:rsidRPr="00EB7436">
        <w:rPr>
          <w:rFonts w:cs="Segoe UI"/>
        </w:rPr>
        <w:t>N ratios (</w:t>
      </w:r>
      <w:hyperlink w:anchor="_ENREF_122" w:tooltip="Heaton, 1986 #9763" w:history="1">
        <w:r w:rsidR="00E6043D">
          <w:rPr>
            <w:rFonts w:cs="Segoe UI"/>
          </w:rPr>
          <w:fldChar w:fldCharType="begin"/>
        </w:r>
        <w:r w:rsidR="00E6043D">
          <w:rPr>
            <w:rFonts w:cs="Segoe UI"/>
          </w:rPr>
          <w:instrText xml:space="preserve"> ADDIN EN.CITE &lt;EndNote&gt;&lt;Cite&gt;&lt;Author&gt;Heaton&lt;/Author&gt;&lt;Year&gt;1986&lt;/Year&gt;&lt;RecNum&gt;9763&lt;/RecNum&gt;&lt;DisplayText&gt;Heaton 1986&lt;/DisplayText&gt;&lt;record&gt;&lt;rec-number&gt;9763&lt;/rec-number&gt;&lt;foreign-keys&gt;&lt;key app="EN" db-id="0eve55x9y5vfd6e9dacxtew4eatve2dzds9a"&gt;9763&lt;/key&gt;&lt;/foreign-keys&gt;&lt;ref-type name="Journal Article"&gt;17&lt;/ref-type&gt;&lt;contributors&gt;&lt;authors&gt;&lt;author&gt;Heaton, T H E&lt;/author&gt;&lt;/authors&gt;&lt;/contributors&gt;&lt;titles&gt;&lt;title&gt;Isotopic studies of nitrogen pollution in the hydrosphere and atmosphere: a review&lt;/title&gt;&lt;secondary-title&gt;Chemical Geology&lt;/secondary-title&gt;&lt;/titles&gt;&lt;periodical&gt;&lt;full-title&gt;Chemical Geology&lt;/full-title&gt;&lt;/periodical&gt;&lt;pages&gt;87-102&lt;/pages&gt;&lt;volume&gt;59&lt;/volume&gt;&lt;dates&gt;&lt;year&gt;1986&lt;/year&gt;&lt;/dates&gt;&lt;urls&gt;&lt;/urls&gt;&lt;/record&gt;&lt;/Cite&gt;&lt;/EndNote&gt;</w:instrText>
        </w:r>
        <w:r w:rsidR="00E6043D">
          <w:rPr>
            <w:rFonts w:cs="Segoe UI"/>
          </w:rPr>
          <w:fldChar w:fldCharType="separate"/>
        </w:r>
        <w:r w:rsidR="00E6043D">
          <w:rPr>
            <w:rFonts w:cs="Segoe UI"/>
            <w:noProof/>
          </w:rPr>
          <w:t>Heaton 1986</w:t>
        </w:r>
        <w:r w:rsidR="00E6043D">
          <w:rPr>
            <w:rFonts w:cs="Segoe UI"/>
          </w:rPr>
          <w:fldChar w:fldCharType="end"/>
        </w:r>
      </w:hyperlink>
      <w:r w:rsidRPr="00EB7436">
        <w:rPr>
          <w:rFonts w:cs="Segoe UI"/>
        </w:rPr>
        <w:t>), and in regions subject to anthropogenic inputs of nitrogen, changes in the δ</w:t>
      </w:r>
      <w:r w:rsidRPr="005F7F6E">
        <w:rPr>
          <w:rFonts w:cs="Segoe UI"/>
          <w:vertAlign w:val="superscript"/>
        </w:rPr>
        <w:t>15</w:t>
      </w:r>
      <w:r w:rsidRPr="00EB7436">
        <w:rPr>
          <w:rFonts w:cs="Segoe UI"/>
        </w:rPr>
        <w:t>N signature can be used to identify the source and distribution of the nitrogen (</w:t>
      </w:r>
      <w:hyperlink w:anchor="_ENREF_76" w:tooltip="Costanzo, 2001 #9764" w:history="1">
        <w:r w:rsidR="00E6043D">
          <w:rPr>
            <w:rFonts w:cs="Segoe UI"/>
          </w:rPr>
          <w:fldChar w:fldCharType="begin"/>
        </w:r>
        <w:r w:rsidR="00E6043D">
          <w:rPr>
            <w:rFonts w:cs="Segoe UI"/>
          </w:rPr>
          <w:instrText xml:space="preserve"> ADDIN EN.CITE &lt;EndNote&gt;&lt;Cite&gt;&lt;Author&gt;Costanzo&lt;/Author&gt;&lt;Year&gt;2001&lt;/Year&gt;&lt;RecNum&gt;9764&lt;/RecNum&gt;&lt;DisplayText&gt;Costanzo 2001&lt;/DisplayText&gt;&lt;record&gt;&lt;rec-number&gt;9764&lt;/rec-number&gt;&lt;foreign-keys&gt;&lt;key app="EN" db-id="0eve55x9y5vfd6e9dacxtew4eatve2dzds9a"&gt;9764&lt;/key&gt;&lt;/foreign-keys&gt;&lt;ref-type name="Thesis"&gt;32&lt;/ref-type&gt;&lt;contributors&gt;&lt;authors&gt;&lt;author&gt;Costanzo, Simon D&lt;/author&gt;&lt;/authors&gt;&lt;/contributors&gt;&lt;titles&gt;&lt;title&gt;Development of indicators for assessing and monitoring nutrient influences in coastal waters&lt;/title&gt;&lt;/titles&gt;&lt;pages&gt;151&lt;/pages&gt;&lt;volume&gt;PhD &lt;/volume&gt;&lt;dates&gt;&lt;year&gt;2001&lt;/year&gt;&lt;/dates&gt;&lt;pub-location&gt;Brisbane, Australia&lt;/pub-location&gt;&lt;publisher&gt;University of Queensland&lt;/publisher&gt;&lt;urls&gt;&lt;/urls&gt;&lt;/record&gt;&lt;/Cite&gt;&lt;/EndNote&gt;</w:instrText>
        </w:r>
        <w:r w:rsidR="00E6043D">
          <w:rPr>
            <w:rFonts w:cs="Segoe UI"/>
          </w:rPr>
          <w:fldChar w:fldCharType="separate"/>
        </w:r>
        <w:r w:rsidR="00E6043D">
          <w:rPr>
            <w:rFonts w:cs="Segoe UI"/>
            <w:noProof/>
          </w:rPr>
          <w:t>Costanzo 2001</w:t>
        </w:r>
        <w:r w:rsidR="00E6043D">
          <w:rPr>
            <w:rFonts w:cs="Segoe UI"/>
          </w:rPr>
          <w:fldChar w:fldCharType="end"/>
        </w:r>
      </w:hyperlink>
      <w:r w:rsidRPr="00EB7436">
        <w:rPr>
          <w:rFonts w:cs="Segoe UI"/>
        </w:rPr>
        <w:t>). Nitrogen fertilizer, produced by industrial fixation of atmospheric nitrogen results in low to negative δ</w:t>
      </w:r>
      <w:r w:rsidRPr="005F7F6E">
        <w:rPr>
          <w:rFonts w:cs="Segoe UI"/>
          <w:vertAlign w:val="superscript"/>
        </w:rPr>
        <w:t>15</w:t>
      </w:r>
      <w:r w:rsidRPr="00EB7436">
        <w:rPr>
          <w:rFonts w:cs="Segoe UI"/>
        </w:rPr>
        <w:t>N signatures (i.e. δ</w:t>
      </w:r>
      <w:r w:rsidRPr="005F7F6E">
        <w:rPr>
          <w:rFonts w:cs="Segoe UI"/>
          <w:vertAlign w:val="superscript"/>
        </w:rPr>
        <w:t>15</w:t>
      </w:r>
      <w:r w:rsidRPr="00EB7436">
        <w:rPr>
          <w:rFonts w:cs="Segoe UI"/>
        </w:rPr>
        <w:t>N ~0 - 1‰) (</w:t>
      </w:r>
      <w:hyperlink w:anchor="_ENREF_227" w:tooltip="Udy, 1997 #5442" w:history="1">
        <w:r w:rsidR="00E6043D">
          <w:rPr>
            <w:rFonts w:cs="Segoe UI"/>
          </w:rPr>
          <w:fldChar w:fldCharType="begin"/>
        </w:r>
        <w:r w:rsidR="00E6043D">
          <w:rPr>
            <w:rFonts w:cs="Segoe UI"/>
          </w:rPr>
          <w:instrText xml:space="preserve"> ADDIN EN.CITE &lt;EndNote&gt;&lt;Cite&gt;&lt;Author&gt;Udy&lt;/Author&gt;&lt;Year&gt;1997&lt;/Year&gt;&lt;RecNum&gt;5442&lt;/RecNum&gt;&lt;DisplayText&gt;Udy and Dennison 1997a&lt;/DisplayText&gt;&lt;record&gt;&lt;rec-number&gt;5442&lt;/rec-number&gt;&lt;foreign-keys&gt;&lt;key app="EN" db-id="0eve55x9y5vfd6e9dacxtew4eatve2dzds9a"&gt;5442&lt;/key&gt;&lt;/foreign-keys&gt;&lt;ref-type name="Journal Article"&gt;17&lt;/ref-type&gt;&lt;contributors&gt;&lt;authors&gt;&lt;author&gt;Udy, James W&lt;/author&gt;&lt;author&gt;Dennison, William C&lt;/author&gt;&lt;/authors&gt;&lt;/contributors&gt;&lt;titles&gt;&lt;title&gt;Growth and physiological responses of three Seagrass species to elevated sediment nutrients in Moreton Bay, Australia&lt;/title&gt;&lt;secondary-title&gt;Journal of Experimental Marine Biology and Ecology&lt;/secondary-title&gt;&lt;/titles&gt;&lt;periodical&gt;&lt;full-title&gt;Journal of Experimental Marine Biology and Ecology&lt;/full-title&gt;&lt;/periodical&gt;&lt;pages&gt;253-277&lt;/pages&gt;&lt;volume&gt;217&lt;/volume&gt;&lt;number&gt;2&lt;/number&gt;&lt;keywords&gt;&lt;keyword&gt;Seagrass&lt;/keyword&gt;&lt;keyword&gt;Nutrient&lt;/keyword&gt;&lt;keyword&gt;Nitrogen&lt;/keyword&gt;&lt;keyword&gt;Phosphorus&lt;/keyword&gt;&lt;keyword&gt;Amino acid.&lt;/keyword&gt;&lt;keyword&gt;Zostera-marina l&lt;/keyword&gt;&lt;keyword&gt;Halodule-wrightii aschers&lt;/keyword&gt;&lt;keyword&gt;Phosphorus limitation&lt;/keyword&gt;&lt;keyword&gt;Syringodium-filiforme&lt;/keyword&gt;&lt;keyword&gt;Thalassia-testudinum&lt;/keyword&gt;&lt;keyword&gt;Cymodocea-nodosa&lt;/keyword&gt;&lt;keyword&gt;Light-intensity&lt;/keyword&gt;&lt;keyword&gt;Chesapeake bay&lt;/keyword&gt;&lt;keyword&gt;Florida bay&lt;/keyword&gt;&lt;keyword&gt;L eelgrass.&lt;/keyword&gt;&lt;keyword&gt;Aquatic sciences.&lt;/keyword&gt;&lt;/keywords&gt;&lt;dates&gt;&lt;year&gt;1997&lt;/year&gt;&lt;/dates&gt;&lt;urls&gt;&lt;/urls&gt;&lt;custom1&gt;Reprint available from: Udy JW UNIV QUEENSLAND DEPT BOT ST LUCIA QLD 4072 AUSTRALIA&lt;/custom1&gt;&lt;/record&gt;&lt;/Cite&gt;&lt;/EndNote&gt;</w:instrText>
        </w:r>
        <w:r w:rsidR="00E6043D">
          <w:rPr>
            <w:rFonts w:cs="Segoe UI"/>
          </w:rPr>
          <w:fldChar w:fldCharType="separate"/>
        </w:r>
        <w:r w:rsidR="00E6043D">
          <w:rPr>
            <w:rFonts w:cs="Segoe UI"/>
            <w:noProof/>
          </w:rPr>
          <w:t>Udy and Dennison 1997a</w:t>
        </w:r>
        <w:r w:rsidR="00E6043D">
          <w:rPr>
            <w:rFonts w:cs="Segoe UI"/>
          </w:rPr>
          <w:fldChar w:fldCharType="end"/>
        </w:r>
      </w:hyperlink>
      <w:r w:rsidRPr="00EB7436">
        <w:rPr>
          <w:rFonts w:cs="Segoe UI"/>
        </w:rPr>
        <w:t xml:space="preserve">). In animal or sewage waste, nitrogen is excreted mainly in the form of urea, which favours conversion to ammonia and enables volatilization to the atmosphere. Resultant fractionation during this process leaves the remaining ammonium enriched in </w:t>
      </w:r>
      <w:r w:rsidRPr="005F7F6E">
        <w:rPr>
          <w:rFonts w:cs="Segoe UI"/>
          <w:vertAlign w:val="superscript"/>
        </w:rPr>
        <w:t>15</w:t>
      </w:r>
      <w:r w:rsidRPr="00EB7436">
        <w:rPr>
          <w:rFonts w:cs="Segoe UI"/>
        </w:rPr>
        <w:t>N. Further biological fractionation results in sewage nitrogen having a δ</w:t>
      </w:r>
      <w:r w:rsidRPr="005F7F6E">
        <w:rPr>
          <w:rFonts w:cs="Segoe UI"/>
          <w:vertAlign w:val="superscript"/>
        </w:rPr>
        <w:t>15</w:t>
      </w:r>
      <w:r w:rsidRPr="00EB7436">
        <w:rPr>
          <w:rFonts w:cs="Segoe UI"/>
        </w:rPr>
        <w:t>N signature greater than 9 or ~10‰ ((</w:t>
      </w:r>
      <w:r w:rsidR="008D6EF3">
        <w:rPr>
          <w:rFonts w:cs="Segoe UI"/>
        </w:rPr>
        <w:fldChar w:fldCharType="begin">
          <w:fldData xml:space="preserve">PEVuZE5vdGU+PENpdGU+PEF1dGhvcj5MYWp0aGE8L0F1dGhvcj48WWVhcj4xOTk0PC9ZZWFyPjxS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</w:fldData>
        </w:fldChar>
      </w:r>
      <w:r w:rsidR="008D6EF3">
        <w:rPr>
          <w:rFonts w:cs="Segoe UI"/>
        </w:rPr>
        <w:instrText xml:space="preserve"> ADDIN EN.CITE </w:instrText>
      </w:r>
      <w:r w:rsidR="008D6EF3">
        <w:rPr>
          <w:rFonts w:cs="Segoe UI"/>
        </w:rPr>
        <w:fldChar w:fldCharType="begin">
          <w:fldData xml:space="preserve">PEVuZE5vdGU+PENpdGU+PEF1dGhvcj5MYWp0aGE8L0F1dGhvcj48WWVhcj4xOTk0PC9ZZWFyPjxS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</w:fldData>
        </w:fldChar>
      </w:r>
      <w:r w:rsidR="008D6EF3">
        <w:rPr>
          <w:rFonts w:cs="Segoe UI"/>
        </w:rPr>
        <w:instrText xml:space="preserve"> ADDIN EN.CITE.DATA </w:instrText>
      </w:r>
      <w:r w:rsidR="008D6EF3">
        <w:rPr>
          <w:rFonts w:cs="Segoe UI"/>
        </w:rPr>
      </w:r>
      <w:r w:rsidR="008D6EF3">
        <w:rPr>
          <w:rFonts w:cs="Segoe UI"/>
        </w:rPr>
        <w:fldChar w:fldCharType="end"/>
      </w:r>
      <w:r w:rsidR="008D6EF3">
        <w:rPr>
          <w:rFonts w:cs="Segoe UI"/>
        </w:rPr>
      </w:r>
      <w:r w:rsidR="008D6EF3">
        <w:rPr>
          <w:rFonts w:cs="Segoe UI"/>
        </w:rPr>
        <w:fldChar w:fldCharType="separate"/>
      </w:r>
      <w:hyperlink w:anchor="_ENREF_136" w:tooltip="Lajtha, 1994 #9792" w:history="1">
        <w:r w:rsidR="00E6043D">
          <w:rPr>
            <w:rFonts w:cs="Segoe UI"/>
            <w:noProof/>
          </w:rPr>
          <w:t>Lajtha and Marshall 1994</w:t>
        </w:r>
      </w:hyperlink>
      <w:r w:rsidR="008D6EF3">
        <w:rPr>
          <w:rFonts w:cs="Segoe UI"/>
          <w:noProof/>
        </w:rPr>
        <w:t xml:space="preserve">; </w:t>
      </w:r>
      <w:hyperlink w:anchor="_ENREF_228" w:tooltip="Udy, 1997 #9791" w:history="1">
        <w:r w:rsidR="00E6043D">
          <w:rPr>
            <w:rFonts w:cs="Segoe UI"/>
            <w:noProof/>
          </w:rPr>
          <w:t>Udy and Dennison 1997b</w:t>
        </w:r>
      </w:hyperlink>
      <w:r w:rsidR="008D6EF3">
        <w:rPr>
          <w:rFonts w:cs="Segoe UI"/>
          <w:noProof/>
        </w:rPr>
        <w:t xml:space="preserve">; </w:t>
      </w:r>
      <w:hyperlink w:anchor="_ENREF_87" w:tooltip="Dennison, 1999 #6992" w:history="1">
        <w:r w:rsidR="00E6043D">
          <w:rPr>
            <w:rFonts w:cs="Segoe UI"/>
            <w:noProof/>
          </w:rPr>
          <w:t>Dennison and Abal 1999</w:t>
        </w:r>
      </w:hyperlink>
      <w:r w:rsidR="008D6EF3">
        <w:rPr>
          <w:rFonts w:cs="Segoe UI"/>
          <w:noProof/>
        </w:rPr>
        <w:t xml:space="preserve">; </w:t>
      </w:r>
      <w:hyperlink w:anchor="_ENREF_1" w:tooltip="Abal, 2001 #9765" w:history="1">
        <w:r w:rsidR="00E6043D">
          <w:rPr>
            <w:rFonts w:cs="Segoe UI"/>
            <w:noProof/>
          </w:rPr>
          <w:t>Abal</w:t>
        </w:r>
        <w:r w:rsidR="00E6043D" w:rsidRPr="008D6EF3">
          <w:rPr>
            <w:rFonts w:cs="Segoe UI"/>
            <w:i/>
            <w:noProof/>
          </w:rPr>
          <w:t xml:space="preserve"> et al.</w:t>
        </w:r>
        <w:r w:rsidR="00E6043D">
          <w:rPr>
            <w:rFonts w:cs="Segoe UI"/>
            <w:noProof/>
          </w:rPr>
          <w:t xml:space="preserve"> 2001</w:t>
        </w:r>
      </w:hyperlink>
      <w:r w:rsidR="008D6EF3">
        <w:rPr>
          <w:rFonts w:cs="Segoe UI"/>
          <w:noProof/>
        </w:rPr>
        <w:t xml:space="preserve">; </w:t>
      </w:r>
      <w:hyperlink w:anchor="_ENREF_77" w:tooltip="Costanzo, 2001 #2582" w:history="1">
        <w:r w:rsidR="00E6043D">
          <w:rPr>
            <w:rFonts w:cs="Segoe UI"/>
            <w:noProof/>
          </w:rPr>
          <w:t>Costanzo</w:t>
        </w:r>
        <w:r w:rsidR="00E6043D" w:rsidRPr="008D6EF3">
          <w:rPr>
            <w:rFonts w:cs="Segoe UI"/>
            <w:i/>
            <w:noProof/>
          </w:rPr>
          <w:t xml:space="preserve"> et al.</w:t>
        </w:r>
        <w:r w:rsidR="00E6043D">
          <w:rPr>
            <w:rFonts w:cs="Segoe UI"/>
            <w:noProof/>
          </w:rPr>
          <w:t xml:space="preserve"> 2001</w:t>
        </w:r>
      </w:hyperlink>
      <w:r w:rsidR="008D6EF3">
        <w:rPr>
          <w:rFonts w:cs="Segoe UI"/>
        </w:rPr>
        <w:fldChar w:fldCharType="end"/>
      </w:r>
      <w:r w:rsidRPr="00EB7436">
        <w:rPr>
          <w:rFonts w:cs="Segoe UI"/>
        </w:rPr>
        <w:t>). Septic and aquaculture discharge undergo less biological treatment and are likely to have a signature closer to that of raw waste (δ</w:t>
      </w:r>
      <w:r w:rsidRPr="005F7F6E">
        <w:rPr>
          <w:rFonts w:cs="Segoe UI"/>
          <w:vertAlign w:val="superscript"/>
        </w:rPr>
        <w:t>15</w:t>
      </w:r>
      <w:r w:rsidRPr="00EB7436">
        <w:rPr>
          <w:rFonts w:cs="Segoe UI"/>
        </w:rPr>
        <w:t>N ~5‰) (</w:t>
      </w:r>
      <w:hyperlink w:anchor="_ENREF_132" w:tooltip="Jones, 2001 #8336" w:history="1">
        <w:r w:rsidR="00E6043D">
          <w:rPr>
            <w:rFonts w:cs="Segoe UI"/>
          </w:rPr>
          <w:fldChar w:fldCharType="begin"/>
        </w:r>
        <w:r w:rsidR="00E6043D">
          <w:rPr>
            <w:rFonts w:cs="Segoe UI"/>
          </w:rPr>
          <w:instrText xml:space="preserve"> ADDIN EN.CITE &lt;EndNote&gt;&lt;Cite&gt;&lt;Author&gt;Jones&lt;/Author&gt;&lt;Year&gt;2001&lt;/Year&gt;&lt;RecNum&gt;8336&lt;/RecNum&gt;&lt;DisplayText&gt;Jones&lt;style face="italic"&gt; et al.&lt;/style&gt; 2001&lt;/DisplayText&gt;&lt;record&gt;&lt;rec-number&gt;8336&lt;/rec-number&gt;&lt;foreign-keys&gt;&lt;key app="EN" db-id="0eve55x9y5vfd6e9dacxtew4eatve2dzds9a"&gt;8336&lt;/key&gt;&lt;/foreign-keys&gt;&lt;ref-type name="Journal Article"&gt;17&lt;/ref-type&gt;&lt;contributors&gt;&lt;authors&gt;&lt;author&gt;Jones, A. B.&lt;/author&gt;&lt;author&gt;O&amp;apos;Donohue, M. J.&lt;/author&gt;&lt;author&gt;Udy, J.&lt;/author&gt;&lt;author&gt;Dennison, W. C.&lt;/author&gt;&lt;/authors&gt;&lt;/contributors&gt;&lt;titles&gt;&lt;title&gt;Assessing ecological impacts of shrimp and sewage effluent: Biological indicators with standard water quality analyses&lt;/title&gt;&lt;secondary-title&gt;Estuarine Coastal and Shelf Science&lt;/secondary-title&gt;&lt;alt-title&gt;Estuar. Coast. Shelf Sci.&lt;/alt-title&gt;&lt;/titles&gt;&lt;periodical&gt;&lt;full-title&gt;Estuarine Coastal And Shelf Science&lt;/full-title&gt;&lt;/periodical&gt;&lt;pages&gt;91-109&lt;/pages&gt;&lt;volume&gt;52&lt;/volume&gt;&lt;number&gt;1&lt;/number&gt;&lt;keywords&gt;&lt;keyword&gt;aquaculture&lt;/keyword&gt;&lt;keyword&gt;shrimp effluent&lt;/keyword&gt;&lt;keyword&gt;sewage effluent&lt;/keyword&gt;&lt;keyword&gt;biological&lt;/keyword&gt;&lt;keyword&gt;indicators&lt;/keyword&gt;&lt;keyword&gt;stable isotopes&lt;/keyword&gt;&lt;keyword&gt;delta N-15&lt;/keyword&gt;&lt;keyword&gt;amino acid&lt;/keyword&gt;&lt;keyword&gt;composition&lt;/keyword&gt;&lt;keyword&gt;Moreton Bay Australia&lt;/keyword&gt;&lt;keyword&gt;GRACILARIA-PACIFICA RHODOPHYTA&lt;/keyword&gt;&lt;keyword&gt;AMINO-ACID LEVELS&lt;/keyword&gt;&lt;keyword&gt;ZOSTERA-&lt;/keyword&gt;&lt;keyword&gt;MARINA L&lt;/keyword&gt;&lt;keyword&gt;PHYSIOLOGICAL-RESPONSES&lt;/keyword&gt;&lt;keyword&gt;NUTRIENT AVAILABILITY&lt;/keyword&gt;&lt;keyword&gt;CYANIDIUM-CALDARIUM&lt;/keyword&gt;&lt;keyword&gt;ESTUARINE GRADIENT&lt;/keyword&gt;&lt;keyword&gt;EDULIS RHODOPHYTA&lt;/keyword&gt;&lt;keyword&gt;LIGHT-INTENSITY&lt;/keyword&gt;&lt;keyword&gt;NITROGEN UPTAKE&lt;/keyword&gt;&lt;/keywords&gt;&lt;dates&gt;&lt;year&gt;2001&lt;/year&gt;&lt;pub-dates&gt;&lt;date&gt;Jan&lt;/date&gt;&lt;/pub-dates&gt;&lt;/dates&gt;&lt;accession-num&gt;ISI:000167224800007&lt;/accession-num&gt;&lt;urls&gt;&lt;related-urls&gt;&lt;url&gt;&amp;lt;Go to ISI&amp;gt;://000167224800007&lt;/url&gt;&lt;/related-urls&gt;&lt;/urls&gt;&lt;/record&gt;&lt;/Cite&gt;&lt;/EndNote&gt;</w:instrText>
        </w:r>
        <w:r w:rsidR="00E6043D">
          <w:rPr>
            <w:rFonts w:cs="Segoe UI"/>
          </w:rPr>
          <w:fldChar w:fldCharType="separate"/>
        </w:r>
        <w:r w:rsidR="00E6043D">
          <w:rPr>
            <w:rFonts w:cs="Segoe UI"/>
            <w:noProof/>
          </w:rPr>
          <w:t>Jones</w:t>
        </w:r>
        <w:r w:rsidR="00E6043D" w:rsidRPr="008D6EF3">
          <w:rPr>
            <w:rFonts w:cs="Segoe UI"/>
            <w:i/>
            <w:noProof/>
          </w:rPr>
          <w:t xml:space="preserve"> et al.</w:t>
        </w:r>
        <w:r w:rsidR="00E6043D">
          <w:rPr>
            <w:rFonts w:cs="Segoe UI"/>
            <w:noProof/>
          </w:rPr>
          <w:t xml:space="preserve"> 2001</w:t>
        </w:r>
        <w:r w:rsidR="00E6043D">
          <w:rPr>
            <w:rFonts w:cs="Segoe UI"/>
          </w:rPr>
          <w:fldChar w:fldCharType="end"/>
        </w:r>
      </w:hyperlink>
      <w:r w:rsidRPr="00EB7436">
        <w:rPr>
          <w:rFonts w:cs="Segoe UI"/>
        </w:rPr>
        <w:t>).</w:t>
      </w:r>
    </w:p>
    <w:p w:rsidR="00EB7436" w:rsidRDefault="00EB7436" w:rsidP="00EB7436">
      <w:pPr>
        <w:rPr>
          <w:rFonts w:cs="Segoe UI"/>
        </w:rPr>
      </w:pPr>
      <w:r w:rsidRPr="00EB7436">
        <w:rPr>
          <w:rFonts w:cs="Segoe UI"/>
        </w:rPr>
        <w:t xml:space="preserve">Similar to N, there are two naturally occurring atomic forms of carbon (C), </w:t>
      </w:r>
      <w:r w:rsidRPr="005F7F6E">
        <w:rPr>
          <w:rFonts w:cs="Segoe UI"/>
          <w:vertAlign w:val="superscript"/>
        </w:rPr>
        <w:t>13</w:t>
      </w:r>
      <w:r w:rsidRPr="00EB7436">
        <w:rPr>
          <w:rFonts w:cs="Segoe UI"/>
        </w:rPr>
        <w:t xml:space="preserve">C and </w:t>
      </w:r>
      <w:r w:rsidRPr="005F7F6E">
        <w:rPr>
          <w:rFonts w:cs="Segoe UI"/>
          <w:vertAlign w:val="superscript"/>
        </w:rPr>
        <w:t>12</w:t>
      </w:r>
      <w:r w:rsidRPr="00EB7436">
        <w:rPr>
          <w:rFonts w:cs="Segoe UI"/>
        </w:rPr>
        <w:t xml:space="preserve">C, which are taken up during photosynthesis where </w:t>
      </w:r>
      <w:r w:rsidRPr="005F7F6E">
        <w:rPr>
          <w:rFonts w:cs="Segoe UI"/>
          <w:vertAlign w:val="superscript"/>
        </w:rPr>
        <w:t>12</w:t>
      </w:r>
      <w:r w:rsidRPr="00EB7436">
        <w:rPr>
          <w:rFonts w:cs="Segoe UI"/>
        </w:rPr>
        <w:t xml:space="preserve">C is the more abundant of the two, accounting for 98.89% of carbon. The ratio that </w:t>
      </w:r>
      <w:r w:rsidRPr="005F7F6E">
        <w:rPr>
          <w:rFonts w:cs="Segoe UI"/>
          <w:vertAlign w:val="superscript"/>
        </w:rPr>
        <w:t>13</w:t>
      </w:r>
      <w:r w:rsidRPr="00EB7436">
        <w:rPr>
          <w:rFonts w:cs="Segoe UI"/>
        </w:rPr>
        <w:t xml:space="preserve">C is taken up relative to </w:t>
      </w:r>
      <w:r w:rsidRPr="005F7F6E">
        <w:rPr>
          <w:rFonts w:cs="Segoe UI"/>
          <w:vertAlign w:val="superscript"/>
        </w:rPr>
        <w:t>12</w:t>
      </w:r>
      <w:r w:rsidRPr="00EB7436">
        <w:rPr>
          <w:rFonts w:cs="Segoe UI"/>
        </w:rPr>
        <w:t xml:space="preserve">C varies in time as a function of productivity, organic carbon burial and vegetation type. A measure of the ratio of stable isotopes </w:t>
      </w:r>
      <w:r w:rsidRPr="005F7F6E">
        <w:rPr>
          <w:rFonts w:cs="Segoe UI"/>
          <w:vertAlign w:val="superscript"/>
        </w:rPr>
        <w:t>13</w:t>
      </w:r>
      <w:r w:rsidRPr="00EB7436">
        <w:rPr>
          <w:rFonts w:cs="Segoe UI"/>
        </w:rPr>
        <w:t>C:</w:t>
      </w:r>
      <w:r w:rsidRPr="005F7F6E">
        <w:rPr>
          <w:rFonts w:cs="Segoe UI"/>
          <w:vertAlign w:val="superscript"/>
        </w:rPr>
        <w:t>12</w:t>
      </w:r>
      <w:r w:rsidRPr="00EB7436">
        <w:rPr>
          <w:rFonts w:cs="Segoe UI"/>
        </w:rPr>
        <w:t>C (i.e. δ</w:t>
      </w:r>
      <w:r w:rsidRPr="005F7F6E">
        <w:rPr>
          <w:rFonts w:cs="Segoe UI"/>
          <w:vertAlign w:val="superscript"/>
        </w:rPr>
        <w:t>13</w:t>
      </w:r>
      <w:r w:rsidRPr="00EB7436">
        <w:rPr>
          <w:rFonts w:cs="Segoe UI"/>
        </w:rPr>
        <w:t>C) is known as the isotopic signature, and reported in parts per thousand (per mil, ‰):</w:t>
      </w:r>
    </w:p>
    <w:p w:rsidR="00EB7436" w:rsidRDefault="00EB7436" w:rsidP="00EB7436">
      <w:pPr>
        <w:jc w:val="center"/>
        <w:rPr>
          <w:color w:val="000000"/>
          <w:szCs w:val="22"/>
        </w:rPr>
      </w:pPr>
      <w:r>
        <w:rPr>
          <w:noProof/>
          <w:color w:val="000000"/>
          <w:position w:val="-38"/>
          <w:szCs w:val="22"/>
          <w:lang w:eastAsia="en-AU"/>
        </w:rPr>
        <w:drawing>
          <wp:inline distT="0" distB="0" distL="0" distR="0" wp14:anchorId="6FEFB250" wp14:editId="59988938">
            <wp:extent cx="2179320" cy="540385"/>
            <wp:effectExtent l="0" t="0" r="0" b="0"/>
            <wp:docPr id="26" name="Picture 26" descr="Equation to determine delta13C in seagrass leaf tiss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2179320" cy="540385"/>
                    </a:xfrm>
                    <a:prstGeom prst="rect">
                      <a:avLst/>
                    </a:prstGeom>
                    <a:noFill/>
                    <a:ln>
                      <a:noFill/>
                    </a:ln>
                  </pic:spPr>
                </pic:pic>
              </a:graphicData>
            </a:graphic>
          </wp:inline>
        </w:drawing>
      </w:r>
    </w:p>
    <w:p w:rsidR="00EB7436" w:rsidRPr="00EB7436" w:rsidRDefault="00EB7436" w:rsidP="00EB7436">
      <w:pPr>
        <w:rPr>
          <w:rFonts w:cs="Segoe UI"/>
        </w:rPr>
      </w:pPr>
      <w:r w:rsidRPr="00EB7436">
        <w:rPr>
          <w:rFonts w:cs="Segoe UI"/>
        </w:rPr>
        <w:tab/>
        <w:t>where the standard is an established reference material.</w:t>
      </w:r>
    </w:p>
    <w:p w:rsidR="00EB7436" w:rsidRPr="00EB7436" w:rsidRDefault="00EB7436" w:rsidP="00EB7436">
      <w:pPr>
        <w:rPr>
          <w:rFonts w:cs="Segoe UI"/>
        </w:rPr>
      </w:pPr>
      <w:r w:rsidRPr="00EB7436">
        <w:rPr>
          <w:rFonts w:cs="Segoe UI"/>
        </w:rPr>
        <w:t xml:space="preserve">Experimental work has confirmed that seagrasses from high light, high productivity environments demonstrate (less negative) isotopic enrichment: i.e. low %C, low C:N, in contrast, more negative </w:t>
      </w:r>
      <w:r w:rsidRPr="00B229A4">
        <w:rPr>
          <w:rFonts w:cs="Segoe UI"/>
        </w:rPr>
        <w:t>δ</w:t>
      </w:r>
      <w:r w:rsidRPr="00B229A4">
        <w:rPr>
          <w:rFonts w:cs="Segoe UI"/>
          <w:vertAlign w:val="superscript"/>
        </w:rPr>
        <w:t>13</w:t>
      </w:r>
      <w:r w:rsidRPr="00B229A4">
        <w:rPr>
          <w:rFonts w:cs="Segoe UI"/>
        </w:rPr>
        <w:t>C</w:t>
      </w:r>
      <w:r w:rsidRPr="00EB7436">
        <w:rPr>
          <w:rFonts w:cs="Segoe UI"/>
        </w:rPr>
        <w:t>, may indicate that light is limited (</w:t>
      </w:r>
      <w:r w:rsidR="008D6EF3">
        <w:rPr>
          <w:rFonts w:cs="Segoe UI"/>
        </w:rPr>
        <w:fldChar w:fldCharType="begin">
          <w:fldData xml:space="preserve">PEVuZE5vdGU+PENpdGU+PEF1dGhvcj5HcmljZTwvQXV0aG9yPjxZZWFyPjE5OTY8L1llYXI+PFJl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</w:fldData>
        </w:fldChar>
      </w:r>
      <w:r w:rsidR="008D6EF3">
        <w:rPr>
          <w:rFonts w:cs="Segoe UI"/>
        </w:rPr>
        <w:instrText xml:space="preserve"> ADDIN EN.CITE </w:instrText>
      </w:r>
      <w:r w:rsidR="008D6EF3">
        <w:rPr>
          <w:rFonts w:cs="Segoe UI"/>
        </w:rPr>
        <w:fldChar w:fldCharType="begin">
          <w:fldData xml:space="preserve">PEVuZE5vdGU+PENpdGU+PEF1dGhvcj5HcmljZTwvQXV0aG9yPjxZZWFyPjE5OTY8L1llYXI+PFJl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</w:fldData>
        </w:fldChar>
      </w:r>
      <w:r w:rsidR="008D6EF3">
        <w:rPr>
          <w:rFonts w:cs="Segoe UI"/>
        </w:rPr>
        <w:instrText xml:space="preserve"> ADDIN EN.CITE.DATA </w:instrText>
      </w:r>
      <w:r w:rsidR="008D6EF3">
        <w:rPr>
          <w:rFonts w:cs="Segoe UI"/>
        </w:rPr>
      </w:r>
      <w:r w:rsidR="008D6EF3">
        <w:rPr>
          <w:rFonts w:cs="Segoe UI"/>
        </w:rPr>
        <w:fldChar w:fldCharType="end"/>
      </w:r>
      <w:r w:rsidR="008D6EF3">
        <w:rPr>
          <w:rFonts w:cs="Segoe UI"/>
        </w:rPr>
      </w:r>
      <w:r w:rsidR="008D6EF3">
        <w:rPr>
          <w:rFonts w:cs="Segoe UI"/>
        </w:rPr>
        <w:fldChar w:fldCharType="separate"/>
      </w:r>
      <w:hyperlink w:anchor="_ENREF_118" w:tooltip="Grice, 1996 #1346" w:history="1">
        <w:r w:rsidR="00E6043D">
          <w:rPr>
            <w:rFonts w:cs="Segoe UI"/>
            <w:noProof/>
          </w:rPr>
          <w:t>Grice</w:t>
        </w:r>
        <w:r w:rsidR="00E6043D" w:rsidRPr="008D6EF3">
          <w:rPr>
            <w:rFonts w:cs="Segoe UI"/>
            <w:i/>
            <w:noProof/>
          </w:rPr>
          <w:t>, et al.</w:t>
        </w:r>
        <w:r w:rsidR="00E6043D">
          <w:rPr>
            <w:rFonts w:cs="Segoe UI"/>
            <w:noProof/>
          </w:rPr>
          <w:t xml:space="preserve"> 1996</w:t>
        </w:r>
      </w:hyperlink>
      <w:r w:rsidR="008D6EF3">
        <w:rPr>
          <w:rFonts w:cs="Segoe UI"/>
          <w:noProof/>
        </w:rPr>
        <w:t xml:space="preserve">; </w:t>
      </w:r>
      <w:hyperlink w:anchor="_ENREF_108" w:tooltip="Fourqurean, 2005 #7505" w:history="1">
        <w:r w:rsidR="00E6043D">
          <w:rPr>
            <w:rFonts w:cs="Segoe UI"/>
            <w:noProof/>
          </w:rPr>
          <w:t>Fourqurean</w:t>
        </w:r>
        <w:r w:rsidR="00E6043D" w:rsidRPr="008D6EF3">
          <w:rPr>
            <w:rFonts w:cs="Segoe UI"/>
            <w:i/>
            <w:noProof/>
          </w:rPr>
          <w:t xml:space="preserve"> et al.</w:t>
        </w:r>
        <w:r w:rsidR="00E6043D">
          <w:rPr>
            <w:rFonts w:cs="Segoe UI"/>
            <w:noProof/>
          </w:rPr>
          <w:t xml:space="preserve"> 2005</w:t>
        </w:r>
      </w:hyperlink>
      <w:r w:rsidR="008D6EF3">
        <w:rPr>
          <w:rFonts w:cs="Segoe UI"/>
        </w:rPr>
        <w:fldChar w:fldCharType="end"/>
      </w:r>
      <w:r w:rsidRPr="00EB7436">
        <w:rPr>
          <w:rFonts w:cs="Segoe UI"/>
        </w:rPr>
        <w:t>).</w:t>
      </w:r>
    </w:p>
    <w:p w:rsidR="00EB7436" w:rsidRDefault="00EB7436" w:rsidP="00EB7436">
      <w:pPr>
        <w:rPr>
          <w:rFonts w:cs="Segoe UI"/>
        </w:rPr>
      </w:pPr>
      <w:r w:rsidRPr="00EB7436">
        <w:rPr>
          <w:rFonts w:cs="Segoe UI"/>
        </w:rPr>
        <w:t xml:space="preserve">Collection of seagrass leaf tissue (targeted foundation genus include </w:t>
      </w:r>
      <w:proofErr w:type="spellStart"/>
      <w:r w:rsidRPr="005F7F6E">
        <w:rPr>
          <w:rFonts w:cs="Segoe UI"/>
          <w:i/>
        </w:rPr>
        <w:t>Halodule</w:t>
      </w:r>
      <w:proofErr w:type="spellEnd"/>
      <w:r w:rsidRPr="00EB7436">
        <w:rPr>
          <w:rFonts w:cs="Segoe UI"/>
        </w:rPr>
        <w:t xml:space="preserve">, </w:t>
      </w:r>
      <w:proofErr w:type="spellStart"/>
      <w:r w:rsidRPr="005F7F6E">
        <w:rPr>
          <w:rFonts w:cs="Segoe UI"/>
          <w:i/>
        </w:rPr>
        <w:t>Zostera</w:t>
      </w:r>
      <w:proofErr w:type="spellEnd"/>
      <w:r w:rsidRPr="00EB7436">
        <w:rPr>
          <w:rFonts w:cs="Segoe UI"/>
        </w:rPr>
        <w:t xml:space="preserve"> and </w:t>
      </w:r>
      <w:proofErr w:type="spellStart"/>
      <w:r w:rsidRPr="005F7F6E">
        <w:rPr>
          <w:rFonts w:cs="Segoe UI"/>
          <w:i/>
        </w:rPr>
        <w:t>Cymodocea</w:t>
      </w:r>
      <w:proofErr w:type="spellEnd"/>
      <w:r w:rsidRPr="00EB7436">
        <w:rPr>
          <w:rFonts w:cs="Segoe UI"/>
        </w:rPr>
        <w:t>) for analysis of tissue nutrients (C, N, P, δ</w:t>
      </w:r>
      <w:r w:rsidRPr="005F7F6E">
        <w:rPr>
          <w:rFonts w:cs="Segoe UI"/>
          <w:vertAlign w:val="superscript"/>
        </w:rPr>
        <w:t>15</w:t>
      </w:r>
      <w:r w:rsidRPr="00EB7436">
        <w:rPr>
          <w:rFonts w:cs="Segoe UI"/>
        </w:rPr>
        <w:t>N, δ</w:t>
      </w:r>
      <w:r w:rsidRPr="00B229A4">
        <w:rPr>
          <w:rFonts w:cs="Segoe UI"/>
          <w:vertAlign w:val="superscript"/>
        </w:rPr>
        <w:t>13</w:t>
      </w:r>
      <w:r w:rsidRPr="00EB7436">
        <w:rPr>
          <w:rFonts w:cs="Segoe UI"/>
        </w:rPr>
        <w:t xml:space="preserve">C) is conducted in the late-dry season (October) sampling period at regions identified in </w:t>
      </w:r>
      <w:r w:rsidR="005F7F6E">
        <w:rPr>
          <w:rFonts w:cs="Segoe UI"/>
        </w:rPr>
        <w:fldChar w:fldCharType="begin"/>
      </w:r>
      <w:r w:rsidR="005F7F6E">
        <w:rPr>
          <w:rFonts w:cs="Segoe UI"/>
        </w:rPr>
        <w:instrText xml:space="preserve"> REF _Ref236539751 \h </w:instrText>
      </w:r>
      <w:r w:rsidR="005F7F6E">
        <w:rPr>
          <w:rFonts w:cs="Segoe UI"/>
        </w:rPr>
      </w:r>
      <w:r w:rsidR="005F7F6E">
        <w:rPr>
          <w:rFonts w:cs="Segoe UI"/>
        </w:rPr>
        <w:fldChar w:fldCharType="separate"/>
      </w:r>
      <w:r w:rsidR="009C068F" w:rsidRPr="00015190">
        <w:rPr>
          <w:color w:val="000000"/>
          <w:szCs w:val="22"/>
        </w:rPr>
        <w:t xml:space="preserve">Table </w:t>
      </w:r>
      <w:r w:rsidR="009C068F">
        <w:rPr>
          <w:noProof/>
          <w:color w:val="000000"/>
          <w:szCs w:val="22"/>
        </w:rPr>
        <w:t>3</w:t>
      </w:r>
      <w:r w:rsidR="005F7F6E">
        <w:rPr>
          <w:rFonts w:cs="Segoe UI"/>
        </w:rPr>
        <w:fldChar w:fldCharType="end"/>
      </w:r>
      <w:r w:rsidRPr="00EB7436">
        <w:rPr>
          <w:rFonts w:cs="Segoe UI"/>
        </w:rPr>
        <w:t>. Approximately 5 to 10 grams wet weight of seagrass leaves is harvested from three to six haphazardly chosen plots (2 to 3 m apart) in an area adjacent, of similar cover and species composition, to each monitoring site. All samples collected are given a unique sample code/identifier providing a custodial trail from the field sample to the analytical outcome.</w:t>
      </w:r>
    </w:p>
    <w:p w:rsidR="00EB7436" w:rsidRPr="00460ACB" w:rsidRDefault="00EB7436" w:rsidP="00460ACB">
      <w:pPr>
        <w:pStyle w:val="Heading4"/>
        <w:numPr>
          <w:ilvl w:val="0"/>
          <w:numId w:val="0"/>
        </w:numPr>
        <w:rPr>
          <w:rFonts w:asciiTheme="majorHAnsi" w:hAnsiTheme="majorHAnsi"/>
          <w:sz w:val="24"/>
          <w:szCs w:val="24"/>
        </w:rPr>
      </w:pPr>
      <w:bookmarkStart w:id="936" w:name="_Toc431493741"/>
      <w:r w:rsidRPr="00460ACB">
        <w:rPr>
          <w:rFonts w:asciiTheme="majorHAnsi" w:hAnsiTheme="majorHAnsi"/>
          <w:sz w:val="24"/>
          <w:szCs w:val="24"/>
        </w:rPr>
        <w:t xml:space="preserve">Epiphyte and </w:t>
      </w:r>
      <w:proofErr w:type="spellStart"/>
      <w:r w:rsidRPr="00460ACB">
        <w:rPr>
          <w:rFonts w:asciiTheme="majorHAnsi" w:hAnsiTheme="majorHAnsi"/>
          <w:sz w:val="24"/>
          <w:szCs w:val="24"/>
        </w:rPr>
        <w:t>macroalgae</w:t>
      </w:r>
      <w:proofErr w:type="spellEnd"/>
      <w:r w:rsidRPr="00460ACB">
        <w:rPr>
          <w:rFonts w:asciiTheme="majorHAnsi" w:hAnsiTheme="majorHAnsi"/>
          <w:sz w:val="24"/>
          <w:szCs w:val="24"/>
        </w:rPr>
        <w:t xml:space="preserve"> abundance</w:t>
      </w:r>
      <w:bookmarkEnd w:id="936"/>
    </w:p>
    <w:p w:rsidR="00EB7436" w:rsidRDefault="00EB7436" w:rsidP="00EB7436">
      <w:pPr>
        <w:spacing w:before="240"/>
        <w:rPr>
          <w:color w:val="000000"/>
          <w:szCs w:val="22"/>
        </w:rPr>
      </w:pPr>
      <w:r>
        <w:rPr>
          <w:color w:val="000000"/>
          <w:szCs w:val="22"/>
        </w:rPr>
        <w:t xml:space="preserve">Epiphyte and </w:t>
      </w:r>
      <w:proofErr w:type="spellStart"/>
      <w:r>
        <w:rPr>
          <w:color w:val="000000"/>
          <w:szCs w:val="22"/>
        </w:rPr>
        <w:t>macroalgae</w:t>
      </w:r>
      <w:proofErr w:type="spellEnd"/>
      <w:r>
        <w:rPr>
          <w:color w:val="000000"/>
          <w:szCs w:val="22"/>
        </w:rPr>
        <w:t xml:space="preserve"> cover were measured according to standard methods (</w:t>
      </w:r>
      <w:hyperlink w:anchor="_ENREF_173" w:tooltip="McKenzie, 2010 #9606" w:history="1">
        <w:r w:rsidR="00E6043D">
          <w:rPr>
            <w:color w:val="000000"/>
            <w:szCs w:val="22"/>
          </w:rPr>
          <w:fldChar w:fldCharType="begin"/>
        </w:r>
        <w:r w:rsidR="00E6043D">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E6043D">
          <w:rPr>
            <w:color w:val="000000"/>
            <w:szCs w:val="22"/>
          </w:rPr>
          <w:fldChar w:fldCharType="separate"/>
        </w:r>
        <w:r w:rsidR="00E6043D">
          <w:rPr>
            <w:noProof/>
            <w:color w:val="000000"/>
            <w:szCs w:val="22"/>
          </w:rPr>
          <w:t>McKenzie</w:t>
        </w:r>
        <w:r w:rsidR="00E6043D" w:rsidRPr="00644A84">
          <w:rPr>
            <w:i/>
            <w:noProof/>
            <w:color w:val="000000"/>
            <w:szCs w:val="22"/>
          </w:rPr>
          <w:t>, et al.</w:t>
        </w:r>
        <w:r w:rsidR="00E6043D">
          <w:rPr>
            <w:noProof/>
            <w:color w:val="000000"/>
            <w:szCs w:val="22"/>
          </w:rPr>
          <w:t xml:space="preserve"> 2010a</w:t>
        </w:r>
        <w:r w:rsidR="00E6043D">
          <w:rPr>
            <w:color w:val="000000"/>
            <w:szCs w:val="22"/>
          </w:rPr>
          <w:fldChar w:fldCharType="end"/>
        </w:r>
      </w:hyperlink>
      <w:r>
        <w:rPr>
          <w:color w:val="000000"/>
          <w:szCs w:val="22"/>
        </w:rPr>
        <w:t xml:space="preserve">). The total percentage of leaf surface area (both sides, all species pooled) covered by epiphytes and percentage of quadrat area covered by </w:t>
      </w:r>
      <w:proofErr w:type="spellStart"/>
      <w:r>
        <w:rPr>
          <w:color w:val="000000"/>
          <w:szCs w:val="22"/>
        </w:rPr>
        <w:t>macroalgae</w:t>
      </w:r>
      <w:proofErr w:type="spellEnd"/>
      <w:r>
        <w:rPr>
          <w:color w:val="000000"/>
          <w:szCs w:val="22"/>
        </w:rPr>
        <w:t xml:space="preserve">, were measured each monitoring </w:t>
      </w:r>
      <w:r>
        <w:rPr>
          <w:color w:val="000000"/>
          <w:szCs w:val="22"/>
        </w:rPr>
        <w:lastRenderedPageBreak/>
        <w:t>event. Values were compared against the GBR long-term average (1999-2010) calculated for each habitat type.</w:t>
      </w:r>
    </w:p>
    <w:p w:rsidR="00EB7436" w:rsidRDefault="00EB7436" w:rsidP="00EB7436">
      <w:pPr>
        <w:tabs>
          <w:tab w:val="left" w:pos="360"/>
        </w:tabs>
        <w:rPr>
          <w:color w:val="000000"/>
          <w:szCs w:val="22"/>
        </w:rPr>
      </w:pPr>
      <w:r>
        <w:rPr>
          <w:color w:val="000000"/>
          <w:szCs w:val="22"/>
        </w:rPr>
        <w:t>Increased epiphyte (the plants growing on the surfaces of slower-growing seagrass leaves (</w:t>
      </w:r>
      <w:hyperlink w:anchor="_ENREF_15" w:tooltip="Borowitzka, 2006 #7364" w:history="1">
        <w:r w:rsidR="00E6043D">
          <w:rPr>
            <w:color w:val="000000"/>
            <w:szCs w:val="22"/>
          </w:rPr>
          <w:fldChar w:fldCharType="begin"/>
        </w:r>
        <w:r w:rsidR="00E6043D">
          <w:rPr>
            <w:color w:val="000000"/>
            <w:szCs w:val="22"/>
          </w:rPr>
          <w:instrText xml:space="preserve"> ADDIN EN.CITE &lt;EndNote&gt;&lt;Cite&gt;&lt;Author&gt;Borowitzka&lt;/Author&gt;&lt;Year&gt;2006&lt;/Year&gt;&lt;RecNum&gt;7364&lt;/RecNum&gt;&lt;DisplayText&gt;Borowitzka&lt;style face="italic"&gt; et al.&lt;/style&gt; 2006&lt;/DisplayText&gt;&lt;record&gt;&lt;rec-number&gt;7364&lt;/rec-number&gt;&lt;foreign-keys&gt;&lt;key app="EN" db-id="0eve55x9y5vfd6e9dacxtew4eatve2dzds9a"&gt;7364&lt;/key&gt;&lt;/foreign-keys&gt;&lt;ref-type name="Book Section"&gt;5&lt;/ref-type&gt;&lt;contributors&gt;&lt;authors&gt;&lt;author&gt;Borowitzka, M.A.&lt;/author&gt;&lt;author&gt;Lavery, P.S.&lt;/author&gt;&lt;author&gt;van Keulen, M.&lt;/author&gt;&lt;/authors&gt;&lt;secondary-authors&gt;&lt;author&gt;Larkum, W.D.&lt;/author&gt;&lt;author&gt;Orth, R.J.&lt;/author&gt;&lt;author&gt;Duarte, C.M.&lt;/author&gt;&lt;/secondary-authors&gt;&lt;/contributors&gt;&lt;titles&gt;&lt;title&gt;Epiphytes of seagrasses&lt;/title&gt;&lt;secondary-title&gt;Seagrasses: biology, ecology and conservation&lt;/secondary-title&gt;&lt;/titles&gt;&lt;periodical&gt;&lt;full-title&gt;Seagrasses: Biology, Ecology and Conservation&lt;/full-title&gt;&lt;/periodical&gt;&lt;dates&gt;&lt;year&gt;2006&lt;/year&gt;&lt;/dates&gt;&lt;pub-location&gt;Dordrecht&lt;/pub-location&gt;&lt;publisher&gt;Springer&lt;/publisher&gt;&lt;isbn&gt;10 1-4020-2942&lt;/isbn&gt;&lt;urls&gt;&lt;/urls&gt;&lt;/record&gt;&lt;/Cite&gt;&lt;/EndNote&gt;</w:instrText>
        </w:r>
        <w:r w:rsidR="00E6043D">
          <w:rPr>
            <w:color w:val="000000"/>
            <w:szCs w:val="22"/>
          </w:rPr>
          <w:fldChar w:fldCharType="separate"/>
        </w:r>
        <w:r w:rsidR="00E6043D">
          <w:rPr>
            <w:noProof/>
            <w:color w:val="000000"/>
            <w:szCs w:val="22"/>
          </w:rPr>
          <w:t>Borowitzka</w:t>
        </w:r>
        <w:r w:rsidR="00E6043D" w:rsidRPr="00644A84">
          <w:rPr>
            <w:i/>
            <w:noProof/>
            <w:color w:val="000000"/>
            <w:szCs w:val="22"/>
          </w:rPr>
          <w:t xml:space="preserve"> et al.</w:t>
        </w:r>
        <w:r w:rsidR="00E6043D">
          <w:rPr>
            <w:noProof/>
            <w:color w:val="000000"/>
            <w:szCs w:val="22"/>
          </w:rPr>
          <w:t xml:space="preserve"> 2006</w:t>
        </w:r>
        <w:r w:rsidR="00E6043D">
          <w:rPr>
            <w:color w:val="000000"/>
            <w:szCs w:val="22"/>
          </w:rPr>
          <w:fldChar w:fldCharType="end"/>
        </w:r>
      </w:hyperlink>
      <w:r>
        <w:rPr>
          <w:color w:val="000000"/>
          <w:szCs w:val="22"/>
        </w:rPr>
        <w:t>) loads may result in shading of seagrass leaves by up to 65%, reducing photosynthetic rate and leaf densities of the seagrasses (</w:t>
      </w:r>
      <w:r w:rsidR="00644A84">
        <w:rPr>
          <w:color w:val="000000"/>
          <w:szCs w:val="22"/>
        </w:rPr>
        <w:fldChar w:fldCharType="begin">
          <w:fldData xml:space="preserve">PEVuZE5vdGU+PENpdGU+PEF1dGhvcj5TYW5kLUplbnNlbjwvQXV0aG9yPjxZZWFyPjE5Nzc8L1ll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</w:fldData>
        </w:fldChar>
      </w:r>
      <w:r w:rsidR="009A0520">
        <w:rPr>
          <w:color w:val="000000"/>
          <w:szCs w:val="22"/>
        </w:rPr>
        <w:instrText xml:space="preserve"> ADDIN EN.CITE </w:instrText>
      </w:r>
      <w:r w:rsidR="009A0520">
        <w:rPr>
          <w:color w:val="000000"/>
          <w:szCs w:val="22"/>
        </w:rPr>
        <w:fldChar w:fldCharType="begin">
          <w:fldData xml:space="preserve">PEVuZE5vdGU+PENpdGU+PEF1dGhvcj5TYW5kLUplbnNlbjwvQXV0aG9yPjxZZWFyPjE5Nzc8L1ll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</w:fldData>
        </w:fldChar>
      </w:r>
      <w:r w:rsidR="009A0520">
        <w:rPr>
          <w:color w:val="000000"/>
          <w:szCs w:val="22"/>
        </w:rPr>
        <w:instrText xml:space="preserve"> ADDIN EN.CITE.DATA </w:instrText>
      </w:r>
      <w:r w:rsidR="009A0520">
        <w:rPr>
          <w:color w:val="000000"/>
          <w:szCs w:val="22"/>
        </w:rPr>
      </w:r>
      <w:r w:rsidR="009A0520">
        <w:rPr>
          <w:color w:val="000000"/>
          <w:szCs w:val="22"/>
        </w:rPr>
        <w:fldChar w:fldCharType="end"/>
      </w:r>
      <w:r w:rsidR="00644A84">
        <w:rPr>
          <w:color w:val="000000"/>
          <w:szCs w:val="22"/>
        </w:rPr>
      </w:r>
      <w:r w:rsidR="00644A84">
        <w:rPr>
          <w:color w:val="000000"/>
          <w:szCs w:val="22"/>
        </w:rPr>
        <w:fldChar w:fldCharType="separate"/>
      </w:r>
      <w:hyperlink w:anchor="_ENREF_212" w:tooltip="Sand-Jensen, 1977 #116" w:history="1">
        <w:r w:rsidR="00E6043D">
          <w:rPr>
            <w:noProof/>
            <w:color w:val="000000"/>
            <w:szCs w:val="22"/>
          </w:rPr>
          <w:t>Sand-Jensen 1977</w:t>
        </w:r>
      </w:hyperlink>
      <w:r w:rsidR="00644A84">
        <w:rPr>
          <w:noProof/>
          <w:color w:val="000000"/>
          <w:szCs w:val="22"/>
        </w:rPr>
        <w:t xml:space="preserve">; </w:t>
      </w:r>
      <w:hyperlink w:anchor="_ENREF_225" w:tooltip="Tomasko, 1991 #1388" w:history="1">
        <w:r w:rsidR="00E6043D">
          <w:rPr>
            <w:noProof/>
            <w:color w:val="000000"/>
            <w:szCs w:val="22"/>
          </w:rPr>
          <w:t>Tomasko and Lapointe 1991</w:t>
        </w:r>
      </w:hyperlink>
      <w:r w:rsidR="00644A84">
        <w:rPr>
          <w:noProof/>
          <w:color w:val="000000"/>
          <w:szCs w:val="22"/>
        </w:rPr>
        <w:t xml:space="preserve">; </w:t>
      </w:r>
      <w:hyperlink w:anchor="_ENREF_235" w:tooltip="Walker, 1992 #305" w:history="1">
        <w:r w:rsidR="00E6043D">
          <w:rPr>
            <w:noProof/>
            <w:color w:val="000000"/>
            <w:szCs w:val="22"/>
          </w:rPr>
          <w:t>Walker and McComb 1992</w:t>
        </w:r>
      </w:hyperlink>
      <w:r w:rsidR="00644A84">
        <w:rPr>
          <w:noProof/>
          <w:color w:val="000000"/>
          <w:szCs w:val="22"/>
        </w:rPr>
        <w:t xml:space="preserve">; </w:t>
      </w:r>
      <w:hyperlink w:anchor="_ENREF_224" w:tooltip="Tomasko, 1996 #9740" w:history="1">
        <w:r w:rsidR="00E6043D">
          <w:rPr>
            <w:noProof/>
            <w:color w:val="000000"/>
            <w:szCs w:val="22"/>
          </w:rPr>
          <w:t>Tomasko</w:t>
        </w:r>
        <w:r w:rsidR="00E6043D" w:rsidRPr="00644A84">
          <w:rPr>
            <w:i/>
            <w:noProof/>
            <w:color w:val="000000"/>
            <w:szCs w:val="22"/>
          </w:rPr>
          <w:t xml:space="preserve"> et al.</w:t>
        </w:r>
        <w:r w:rsidR="00E6043D">
          <w:rPr>
            <w:noProof/>
            <w:color w:val="000000"/>
            <w:szCs w:val="22"/>
          </w:rPr>
          <w:t xml:space="preserve"> 1996</w:t>
        </w:r>
      </w:hyperlink>
      <w:r w:rsidR="00644A84">
        <w:rPr>
          <w:noProof/>
          <w:color w:val="000000"/>
          <w:szCs w:val="22"/>
        </w:rPr>
        <w:t xml:space="preserve">; </w:t>
      </w:r>
      <w:hyperlink w:anchor="_ENREF_113" w:tooltip="Frankovich, 1997 #5476" w:history="1">
        <w:r w:rsidR="00E6043D">
          <w:rPr>
            <w:noProof/>
            <w:color w:val="000000"/>
            <w:szCs w:val="22"/>
          </w:rPr>
          <w:t>Frankovich and Fourqurean 1997</w:t>
        </w:r>
      </w:hyperlink>
      <w:r w:rsidR="00644A84">
        <w:rPr>
          <w:noProof/>
          <w:color w:val="000000"/>
          <w:szCs w:val="22"/>
        </w:rPr>
        <w:t xml:space="preserve">; </w:t>
      </w:r>
      <w:hyperlink w:anchor="_ENREF_202" w:tooltip="Ralph, 1999 #9766" w:history="1">
        <w:r w:rsidR="00E6043D">
          <w:rPr>
            <w:noProof/>
            <w:color w:val="000000"/>
            <w:szCs w:val="22"/>
          </w:rPr>
          <w:t>Ralph and Gademann 1999</w:t>
        </w:r>
      </w:hyperlink>
      <w:r w:rsidR="00644A84">
        <w:rPr>
          <w:noProof/>
          <w:color w:val="000000"/>
          <w:szCs w:val="22"/>
        </w:rPr>
        <w:t xml:space="preserve">; </w:t>
      </w:r>
      <w:hyperlink w:anchor="_ENREF_226" w:tooltip="Touchette, 2000 #9751" w:history="1">
        <w:r w:rsidR="00E6043D">
          <w:rPr>
            <w:noProof/>
            <w:color w:val="000000"/>
            <w:szCs w:val="22"/>
          </w:rPr>
          <w:t>Touchette 2000</w:t>
        </w:r>
      </w:hyperlink>
      <w:r w:rsidR="00644A84">
        <w:rPr>
          <w:color w:val="000000"/>
          <w:szCs w:val="22"/>
        </w:rPr>
        <w:fldChar w:fldCharType="end"/>
      </w:r>
      <w:r>
        <w:rPr>
          <w:color w:val="000000"/>
          <w:szCs w:val="22"/>
        </w:rPr>
        <w:t xml:space="preserve">). In seagrass meadows, increases in the abundance of epiphytes are stimulated by nutrient loading (e.g. </w:t>
      </w:r>
      <w:r w:rsidR="00644A84">
        <w:rPr>
          <w:color w:val="000000"/>
          <w:szCs w:val="22"/>
        </w:rPr>
        <w:fldChar w:fldCharType="begin">
          <w:fldData xml:space="preserve">PEVuZE5vdGU+PENpdGU+PEF1dGhvcj5Cb3J1bTwvQXV0aG9yPjxZZWFyPjE5ODU8L1llYXI+PFJl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</w:fldData>
        </w:fldChar>
      </w:r>
      <w:r w:rsidR="00644A84">
        <w:rPr>
          <w:color w:val="000000"/>
          <w:szCs w:val="22"/>
        </w:rPr>
        <w:instrText xml:space="preserve"> ADDIN EN.CITE </w:instrText>
      </w:r>
      <w:r w:rsidR="00644A84">
        <w:rPr>
          <w:color w:val="000000"/>
          <w:szCs w:val="22"/>
        </w:rPr>
        <w:fldChar w:fldCharType="begin">
          <w:fldData xml:space="preserve">PEVuZE5vdGU+PENpdGU+PEF1dGhvcj5Cb3J1bTwvQXV0aG9yPjxZZWFyPjE5ODU8L1llYXI+PFJl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</w:fldData>
        </w:fldChar>
      </w:r>
      <w:r w:rsidR="00644A84">
        <w:rPr>
          <w:color w:val="000000"/>
          <w:szCs w:val="22"/>
        </w:rPr>
        <w:instrText xml:space="preserve"> ADDIN EN.CITE.DATA </w:instrText>
      </w:r>
      <w:r w:rsidR="00644A84">
        <w:rPr>
          <w:color w:val="000000"/>
          <w:szCs w:val="22"/>
        </w:rPr>
      </w:r>
      <w:r w:rsidR="00644A84">
        <w:rPr>
          <w:color w:val="000000"/>
          <w:szCs w:val="22"/>
        </w:rPr>
        <w:fldChar w:fldCharType="end"/>
      </w:r>
      <w:r w:rsidR="00644A84">
        <w:rPr>
          <w:color w:val="000000"/>
          <w:szCs w:val="22"/>
        </w:rPr>
      </w:r>
      <w:r w:rsidR="00644A84">
        <w:rPr>
          <w:color w:val="000000"/>
          <w:szCs w:val="22"/>
        </w:rPr>
        <w:fldChar w:fldCharType="separate"/>
      </w:r>
      <w:hyperlink w:anchor="_ENREF_16" w:tooltip="Borum, 1985 #9767" w:history="1">
        <w:r w:rsidR="00E6043D">
          <w:rPr>
            <w:noProof/>
            <w:color w:val="000000"/>
            <w:szCs w:val="22"/>
          </w:rPr>
          <w:t>Borum 1985</w:t>
        </w:r>
      </w:hyperlink>
      <w:r w:rsidR="00644A84">
        <w:rPr>
          <w:noProof/>
          <w:color w:val="000000"/>
          <w:szCs w:val="22"/>
        </w:rPr>
        <w:t xml:space="preserve">; </w:t>
      </w:r>
      <w:hyperlink w:anchor="_ENREF_220" w:tooltip="Silberstein, 1986 #129" w:history="1">
        <w:r w:rsidR="00E6043D">
          <w:rPr>
            <w:noProof/>
            <w:color w:val="000000"/>
            <w:szCs w:val="22"/>
          </w:rPr>
          <w:t>Silberstein</w:t>
        </w:r>
        <w:r w:rsidR="00E6043D" w:rsidRPr="00644A84">
          <w:rPr>
            <w:i/>
            <w:noProof/>
            <w:color w:val="000000"/>
            <w:szCs w:val="22"/>
          </w:rPr>
          <w:t xml:space="preserve"> et al.</w:t>
        </w:r>
        <w:r w:rsidR="00E6043D">
          <w:rPr>
            <w:noProof/>
            <w:color w:val="000000"/>
            <w:szCs w:val="22"/>
          </w:rPr>
          <w:t xml:space="preserve"> 1986</w:t>
        </w:r>
      </w:hyperlink>
      <w:r w:rsidR="00644A84">
        <w:rPr>
          <w:noProof/>
          <w:color w:val="000000"/>
          <w:szCs w:val="22"/>
        </w:rPr>
        <w:t xml:space="preserve">; </w:t>
      </w:r>
      <w:hyperlink w:anchor="_ENREF_189" w:tooltip="Neckles, 1994 #9768" w:history="1">
        <w:r w:rsidR="00E6043D">
          <w:rPr>
            <w:noProof/>
            <w:color w:val="000000"/>
            <w:szCs w:val="22"/>
          </w:rPr>
          <w:t>Neckles</w:t>
        </w:r>
        <w:r w:rsidR="00E6043D" w:rsidRPr="00644A84">
          <w:rPr>
            <w:i/>
            <w:noProof/>
            <w:color w:val="000000"/>
            <w:szCs w:val="22"/>
          </w:rPr>
          <w:t xml:space="preserve"> et al.</w:t>
        </w:r>
        <w:r w:rsidR="00E6043D">
          <w:rPr>
            <w:noProof/>
            <w:color w:val="000000"/>
            <w:szCs w:val="22"/>
          </w:rPr>
          <w:t xml:space="preserve"> 1994</w:t>
        </w:r>
      </w:hyperlink>
      <w:r w:rsidR="00644A84">
        <w:rPr>
          <w:noProof/>
          <w:color w:val="000000"/>
          <w:szCs w:val="22"/>
        </w:rPr>
        <w:t xml:space="preserve">; </w:t>
      </w:r>
      <w:hyperlink w:anchor="_ENREF_11" w:tooltip="Balata, 2008 #9769" w:history="1">
        <w:r w:rsidR="00E6043D">
          <w:rPr>
            <w:noProof/>
            <w:color w:val="000000"/>
            <w:szCs w:val="22"/>
          </w:rPr>
          <w:t>Balata</w:t>
        </w:r>
        <w:r w:rsidR="00E6043D" w:rsidRPr="00644A84">
          <w:rPr>
            <w:i/>
            <w:noProof/>
            <w:color w:val="000000"/>
            <w:szCs w:val="22"/>
          </w:rPr>
          <w:t xml:space="preserve"> et al.</w:t>
        </w:r>
        <w:r w:rsidR="00E6043D">
          <w:rPr>
            <w:noProof/>
            <w:color w:val="000000"/>
            <w:szCs w:val="22"/>
          </w:rPr>
          <w:t xml:space="preserve"> 2008</w:t>
        </w:r>
      </w:hyperlink>
      <w:r w:rsidR="00644A84">
        <w:rPr>
          <w:color w:val="000000"/>
          <w:szCs w:val="22"/>
        </w:rPr>
        <w:fldChar w:fldCharType="end"/>
      </w:r>
      <w:r>
        <w:rPr>
          <w:color w:val="000000"/>
          <w:szCs w:val="22"/>
        </w:rPr>
        <w:t xml:space="preserve">) and these increases in abundance have been implicated as the cause for declines of seagrasses during eutrophication, because of the associated decrease in light reaching the seagrass blade (e.g. </w:t>
      </w:r>
      <w:r w:rsidR="00644A84">
        <w:rPr>
          <w:color w:val="000000"/>
          <w:szCs w:val="22"/>
        </w:rPr>
        <w:fldChar w:fldCharType="begin"/>
      </w:r>
      <w:r w:rsidR="00644A84">
        <w:rPr>
          <w:color w:val="000000"/>
          <w:szCs w:val="22"/>
        </w:rPr>
        <w:instrText xml:space="preserve"> ADDIN EN.CITE &lt;EndNote&gt;&lt;Cite&gt;&lt;Author&gt;Orth&lt;/Author&gt;&lt;Year&gt;1983&lt;/Year&gt;&lt;RecNum&gt;304&lt;/RecNum&gt;&lt;DisplayText&gt;Orth and Moore 1983; Cambridge&lt;style face="italic"&gt; et al.&lt;/style&gt; 1986&lt;/DisplayText&gt;&lt;record&gt;&lt;rec-number&gt;304&lt;/rec-number&gt;&lt;foreign-keys&gt;&lt;key app="EN" db-id="0eve55x9y5vfd6e9dacxtew4eatve2dzds9a"&gt;304&lt;/key&gt;&lt;/foreign-keys&gt;&lt;ref-type name="Journal Article"&gt;17&lt;/ref-type&gt;&lt;contributors&gt;&lt;authors&gt;&lt;author&gt;Orth, Robert J.&lt;/author&gt;&lt;author&gt;Moore, Kenneth A.&lt;/author&gt;&lt;/authors&gt;&lt;/contributors&gt;&lt;titles&gt;&lt;title&gt;Chesapaeke Bay: An unprecedented decline in submerged aquatic vegetation&lt;/title&gt;&lt;secondary-title&gt;Science&lt;/secondary-title&gt;&lt;alt-title&gt;Science&lt;/alt-title&gt;&lt;/titles&gt;&lt;periodical&gt;&lt;full-title&gt;Science&lt;/full-title&gt;&lt;/periodical&gt;&lt;alt-periodical&gt;&lt;full-title&gt;Science&lt;/full-title&gt;&lt;/alt-periodical&gt;&lt;pages&gt;51-53&lt;/pages&gt;&lt;volume&gt;222&lt;/volume&gt;&lt;dates&gt;&lt;year&gt;1983&lt;/year&gt;&lt;/dates&gt;&lt;label&gt;266&lt;/label&gt;&lt;urls&gt;&lt;/urls&gt;&lt;custom1&gt;Annex&lt;/custom1&gt;&lt;/record&gt;&lt;/Cite&gt;&lt;Cite&gt;&lt;Author&gt;Cambridge&lt;/Author&gt;&lt;Year&gt;1986&lt;/Year&gt;&lt;RecNum&gt;64&lt;/RecNum&gt;&lt;record&gt;&lt;rec-number&gt;64&lt;/rec-number&gt;&lt;foreign-keys&gt;&lt;key app="EN" db-id="0eve55x9y5vfd6e9dacxtew4eatve2dzds9a"&gt;64&lt;/key&gt;&lt;/foreign-keys&gt;&lt;ref-type name="Journal Article"&gt;17&lt;/ref-type&gt;&lt;contributors&gt;&lt;authors&gt;&lt;author&gt;Cambridge, M. L.&lt;/author&gt;&lt;author&gt;Chiffings, A. W.&lt;/author&gt;&lt;author&gt;Brittan, C.&lt;/author&gt;&lt;author&gt;Moore, L.&lt;/author&gt;&lt;author&gt;McComb, A. J.&lt;/author&gt;&lt;/authors&gt;&lt;/contributors&gt;&lt;titles&gt;&lt;title&gt;The loss of seagrass in Cockburn Sound, Western Australia. II. Possible causes of seagrass decline&lt;/title&gt;&lt;secondary-title&gt;Aquatic Botany&lt;/secondary-title&gt;&lt;alt-title&gt;Aquat. Bot.&lt;/alt-title&gt;&lt;/titles&gt;&lt;periodical&gt;&lt;full-title&gt;Aquatic Botany&lt;/full-title&gt;&lt;/periodical&gt;&lt;pages&gt;269-285&lt;/pages&gt;&lt;volume&gt;24&lt;/volume&gt;&lt;keywords&gt;&lt;keyword&gt;GIBIBLIO&lt;/keyword&gt;&lt;keyword&gt;SEAGRASS LOSS&lt;/keyword&gt;&lt;/keywords&gt;&lt;dates&gt;&lt;year&gt;1986&lt;/year&gt;&lt;/dates&gt;&lt;label&gt;9&lt;/label&gt;&lt;urls&gt;&lt;/urls&gt;&lt;custom1&gt;Annex&lt;/custom1&gt;&lt;/record&gt;&lt;/Cite&gt;&lt;/EndNote&gt;</w:instrText>
      </w:r>
      <w:r w:rsidR="00644A84">
        <w:rPr>
          <w:color w:val="000000"/>
          <w:szCs w:val="22"/>
        </w:rPr>
        <w:fldChar w:fldCharType="separate"/>
      </w:r>
      <w:hyperlink w:anchor="_ENREF_193" w:tooltip="Orth, 1983 #304" w:history="1">
        <w:r w:rsidR="00E6043D">
          <w:rPr>
            <w:noProof/>
            <w:color w:val="000000"/>
            <w:szCs w:val="22"/>
          </w:rPr>
          <w:t>Orth and Moore 1983</w:t>
        </w:r>
      </w:hyperlink>
      <w:r w:rsidR="00644A84">
        <w:rPr>
          <w:noProof/>
          <w:color w:val="000000"/>
          <w:szCs w:val="22"/>
        </w:rPr>
        <w:t xml:space="preserve">; </w:t>
      </w:r>
      <w:hyperlink w:anchor="_ENREF_30" w:tooltip="Cambridge, 1986 #64" w:history="1">
        <w:r w:rsidR="00E6043D">
          <w:rPr>
            <w:noProof/>
            <w:color w:val="000000"/>
            <w:szCs w:val="22"/>
          </w:rPr>
          <w:t>Cambridge</w:t>
        </w:r>
        <w:r w:rsidR="00E6043D" w:rsidRPr="00644A84">
          <w:rPr>
            <w:i/>
            <w:noProof/>
            <w:color w:val="000000"/>
            <w:szCs w:val="22"/>
          </w:rPr>
          <w:t xml:space="preserve"> et al.</w:t>
        </w:r>
        <w:r w:rsidR="00E6043D">
          <w:rPr>
            <w:noProof/>
            <w:color w:val="000000"/>
            <w:szCs w:val="22"/>
          </w:rPr>
          <w:t xml:space="preserve"> 1986</w:t>
        </w:r>
      </w:hyperlink>
      <w:r w:rsidR="00644A84">
        <w:rPr>
          <w:color w:val="000000"/>
          <w:szCs w:val="22"/>
        </w:rPr>
        <w:fldChar w:fldCharType="end"/>
      </w:r>
      <w:r>
        <w:rPr>
          <w:color w:val="000000"/>
          <w:szCs w:val="22"/>
        </w:rPr>
        <w:t>).</w:t>
      </w:r>
    </w:p>
    <w:p w:rsidR="00EB7436" w:rsidRDefault="00EB7436" w:rsidP="00EB7436">
      <w:pPr>
        <w:spacing w:before="240"/>
        <w:rPr>
          <w:color w:val="000000"/>
          <w:szCs w:val="22"/>
        </w:rPr>
      </w:pPr>
      <w:r>
        <w:rPr>
          <w:color w:val="000000"/>
          <w:szCs w:val="22"/>
        </w:rPr>
        <w:t>Given the observed relationships between nutrient loading and the abundance of epiphytes observed in seagrass ecosystems from around the world, and the perceived threat to water quality owing to human population, the abundance of epiphytes in seagrass meadows may prove to be a valuable indicator for assessing both the current status and trends of the GBR seagrass meadows. However, preliminary analysis of the relationship between seagrass abundance and epiphyte cover collected by the RRMMP and MTSRF did not identify threshold levels beyond which loss of abundance occurred (</w:t>
      </w:r>
      <w:hyperlink w:anchor="_ENREF_163" w:tooltip="McKenzie, 2008 #9770" w:history="1">
        <w:r w:rsidR="00E6043D">
          <w:rPr>
            <w:color w:val="000000"/>
            <w:szCs w:val="22"/>
          </w:rPr>
          <w:fldChar w:fldCharType="begin"/>
        </w:r>
        <w:r w:rsidR="00E6043D">
          <w:rPr>
            <w:color w:val="000000"/>
            <w:szCs w:val="22"/>
          </w:rPr>
          <w:instrText xml:space="preserve"> ADDIN EN.CITE &lt;EndNote&gt;&lt;Cite&gt;&lt;Author&gt;McKenzie&lt;/Author&gt;&lt;Year&gt;2008&lt;/Year&gt;&lt;RecNum&gt;9770&lt;/RecNum&gt;&lt;DisplayText&gt;McKenzie 2008&lt;/DisplayText&gt;&lt;record&gt;&lt;rec-number&gt;9770&lt;/rec-number&gt;&lt;foreign-keys&gt;&lt;key app="EN" db-id="0eve55x9y5vfd6e9dacxtew4eatve2dzds9a"&gt;9770&lt;/key&gt;&lt;/foreign-keys&gt;&lt;ref-type name="Book"&gt;6&lt;/ref-type&gt;&lt;contributors&gt;&lt;authors&gt;&lt;author&gt;McKenzie, Len J&lt;/author&gt;&lt;/authors&gt;&lt;/contributors&gt;&lt;titles&gt;&lt;title&gt;Relationships between seagrass communities and epiphyte assemblages along the Queensland coast. Marine and Tropical Sciences Research Facility Milestone Report, Project 3.7.1c Progress Report #3, 11th June 2008&lt;/title&gt;&lt;/titles&gt;&lt;section&gt;5&lt;/section&gt;&lt;dates&gt;&lt;year&gt;2008&lt;/year&gt;&lt;/dates&gt;&lt;pub-location&gt;Cairns&lt;/pub-location&gt;&lt;publisher&gt;RRRC&lt;/publisher&gt;&lt;urls&gt;&lt;/urls&gt;&lt;/record&gt;&lt;/Cite&gt;&lt;/EndNote&gt;</w:instrText>
        </w:r>
        <w:r w:rsidR="00E6043D">
          <w:rPr>
            <w:color w:val="000000"/>
            <w:szCs w:val="22"/>
          </w:rPr>
          <w:fldChar w:fldCharType="separate"/>
        </w:r>
        <w:r w:rsidR="00E6043D">
          <w:rPr>
            <w:noProof/>
            <w:color w:val="000000"/>
            <w:szCs w:val="22"/>
          </w:rPr>
          <w:t>McKenzie 2008</w:t>
        </w:r>
        <w:r w:rsidR="00E6043D">
          <w:rPr>
            <w:color w:val="000000"/>
            <w:szCs w:val="22"/>
          </w:rPr>
          <w:fldChar w:fldCharType="end"/>
        </w:r>
      </w:hyperlink>
      <w:r>
        <w:rPr>
          <w:color w:val="000000"/>
          <w:szCs w:val="22"/>
        </w:rPr>
        <w:t>) suggesting further research and analysis.</w:t>
      </w:r>
    </w:p>
    <w:p w:rsidR="00460ACB" w:rsidRPr="00460ACB" w:rsidRDefault="00460ACB" w:rsidP="00460ACB">
      <w:pPr>
        <w:pStyle w:val="Heading4"/>
        <w:numPr>
          <w:ilvl w:val="0"/>
          <w:numId w:val="0"/>
        </w:numPr>
        <w:rPr>
          <w:rFonts w:asciiTheme="majorHAnsi" w:hAnsiTheme="majorHAnsi"/>
          <w:sz w:val="24"/>
          <w:szCs w:val="24"/>
        </w:rPr>
      </w:pPr>
      <w:bookmarkStart w:id="937" w:name="_Toc387600770"/>
      <w:r w:rsidRPr="00460ACB">
        <w:rPr>
          <w:rFonts w:asciiTheme="majorHAnsi" w:hAnsiTheme="majorHAnsi"/>
          <w:sz w:val="24"/>
          <w:szCs w:val="24"/>
        </w:rPr>
        <w:t>Inshore seagrass meadow boundary mapping</w:t>
      </w:r>
      <w:bookmarkEnd w:id="937"/>
    </w:p>
    <w:p w:rsidR="00460ACB" w:rsidRPr="00144953" w:rsidRDefault="00460ACB" w:rsidP="00460ACB">
      <w:pPr>
        <w:rPr>
          <w:rFonts w:cs="Segoe UI"/>
          <w:color w:val="000000"/>
        </w:rPr>
      </w:pPr>
      <w:r w:rsidRPr="00BC33E3">
        <w:rPr>
          <w:rFonts w:cs="Segoe UI"/>
        </w:rPr>
        <w:t>Mapping the edge of the seagrass meadow within 100 metres of each monitoring site is conducted in both the late dry (October) and late monsoon (April) monitoring periods at all sites</w:t>
      </w:r>
      <w:r w:rsidRPr="00BC33E3">
        <w:rPr>
          <w:rFonts w:cs="Segoe UI"/>
          <w:bCs/>
        </w:rPr>
        <w:t xml:space="preserve"> identified in </w:t>
      </w:r>
      <w:r w:rsidRPr="00144953">
        <w:rPr>
          <w:rFonts w:cs="Segoe UI"/>
          <w:bCs/>
          <w:color w:val="000000"/>
        </w:rPr>
        <w:fldChar w:fldCharType="begin"/>
      </w:r>
      <w:r w:rsidRPr="00144953">
        <w:rPr>
          <w:rFonts w:cs="Segoe UI"/>
          <w:bCs/>
          <w:color w:val="000000"/>
        </w:rPr>
        <w:instrText xml:space="preserve"> REF _Ref236539751 \h  \* MERGEFORMAT </w:instrText>
      </w:r>
      <w:r w:rsidRPr="00144953">
        <w:rPr>
          <w:rFonts w:cs="Segoe UI"/>
          <w:bCs/>
          <w:color w:val="000000"/>
        </w:rPr>
      </w:r>
      <w:r w:rsidRPr="00144953">
        <w:rPr>
          <w:rFonts w:cs="Segoe UI"/>
          <w:bCs/>
          <w:color w:val="000000"/>
        </w:rPr>
        <w:fldChar w:fldCharType="separate"/>
      </w:r>
      <w:r w:rsidR="009C068F" w:rsidRPr="00015190">
        <w:rPr>
          <w:color w:val="000000"/>
          <w:szCs w:val="22"/>
        </w:rPr>
        <w:t xml:space="preserve">Table </w:t>
      </w:r>
      <w:r w:rsidR="009C068F">
        <w:rPr>
          <w:noProof/>
          <w:color w:val="000000"/>
          <w:szCs w:val="22"/>
        </w:rPr>
        <w:t>3</w:t>
      </w:r>
      <w:r w:rsidRPr="00144953">
        <w:rPr>
          <w:rFonts w:cs="Segoe UI"/>
          <w:bCs/>
          <w:color w:val="000000"/>
        </w:rPr>
        <w:fldChar w:fldCharType="end"/>
      </w:r>
      <w:r w:rsidRPr="00144953">
        <w:rPr>
          <w:rFonts w:cs="Segoe UI"/>
          <w:bCs/>
          <w:color w:val="000000"/>
        </w:rPr>
        <w:t xml:space="preserve">. </w:t>
      </w:r>
      <w:r w:rsidRPr="00144953">
        <w:rPr>
          <w:rFonts w:cs="Segoe UI"/>
          <w:color w:val="000000"/>
        </w:rPr>
        <w:t>Training and equipment (GPS) are provided to personnel involved in the edge mapping.</w:t>
      </w:r>
    </w:p>
    <w:p w:rsidR="00460ACB" w:rsidRPr="00BC33E3" w:rsidRDefault="00460ACB" w:rsidP="00460ACB">
      <w:pPr>
        <w:rPr>
          <w:rFonts w:cs="Segoe UI"/>
        </w:rPr>
      </w:pPr>
      <w:r w:rsidRPr="00BC33E3">
        <w:rPr>
          <w:rFonts w:cs="Segoe UI"/>
        </w:rPr>
        <w:t>Mapping methodology follows standard methodology</w:t>
      </w:r>
      <w:r>
        <w:rPr>
          <w:rFonts w:cs="Segoe UI"/>
        </w:rPr>
        <w:t xml:space="preserve"> (</w:t>
      </w:r>
      <w:hyperlink w:anchor="_ENREF_170" w:tooltip="McKenzie, 2001 #3703" w:history="1">
        <w:r w:rsidR="00E6043D">
          <w:rPr>
            <w:rFonts w:cs="Segoe UI"/>
          </w:rPr>
          <w:fldChar w:fldCharType="begin"/>
        </w:r>
        <w:r w:rsidR="00E6043D">
          <w:rPr>
            <w:rFonts w:cs="Segoe UI"/>
          </w:rPr>
          <w:instrText xml:space="preserve"> ADDIN EN.CITE &lt;EndNote&gt;&lt;Cite&gt;&lt;Author&gt;McKenzie&lt;/Author&gt;&lt;Year&gt;2001&lt;/Year&gt;&lt;RecNum&gt;3703&lt;/RecNum&gt;&lt;DisplayText&gt;McKenzie&lt;style face="italic"&gt;, et al.&lt;/style&gt; 2001&lt;/DisplayText&gt;&lt;record&gt;&lt;rec-number&gt;3703&lt;/rec-number&gt;&lt;foreign-keys&gt;&lt;key app="EN" db-id="0eve55x9y5vfd6e9dacxtew4eatve2dzds9a"&gt;3703&lt;/key&gt;&lt;/foreign-keys&gt;&lt;ref-type name="Book Section"&gt;5&lt;/ref-type&gt;&lt;contributors&gt;&lt;authors&gt;&lt;author&gt;McKenzie, Len J&lt;/author&gt;&lt;author&gt;Finkbeiner, Mark A&lt;/author&gt;&lt;author&gt;Kirkman, Hugh&lt;/author&gt;&lt;/authors&gt;&lt;secondary-authors&gt;&lt;author&gt;Short, F.T.&lt;/author&gt;&lt;author&gt;Coles, R.G.&lt;/author&gt;&lt;/secondary-authors&gt;&lt;/contributors&gt;&lt;titles&gt;&lt;title&gt;Methods for mapping seagrass distribution&lt;/title&gt;&lt;secondary-title&gt;Global Seagrass Research Methods&lt;/secondary-title&gt;&lt;/titles&gt;&lt;periodical&gt;&lt;full-title&gt;Global Seagrass Research Methods&lt;/full-title&gt;&lt;/periodical&gt;&lt;pages&gt;101-121&lt;/pages&gt;&lt;section&gt;5&lt;/section&gt;&lt;dates&gt;&lt;year&gt;2001&lt;/year&gt;&lt;/dates&gt;&lt;pub-location&gt;Amsterdam&lt;/pub-location&gt;&lt;publisher&gt;Elsevier Science B.V.&lt;/publisher&gt;&lt;isbn&gt;0-404-50891-0&lt;/isbn&gt;&lt;urls&gt;&lt;/urls&gt;&lt;/record&gt;&lt;/Cite&gt;&lt;/EndNote&gt;</w:instrText>
        </w:r>
        <w:r w:rsidR="00E6043D">
          <w:rPr>
            <w:rFonts w:cs="Segoe UI"/>
          </w:rPr>
          <w:fldChar w:fldCharType="separate"/>
        </w:r>
        <w:r w:rsidR="00E6043D">
          <w:rPr>
            <w:rFonts w:cs="Segoe UI"/>
            <w:noProof/>
          </w:rPr>
          <w:t>McKenzie</w:t>
        </w:r>
        <w:r w:rsidR="00E6043D" w:rsidRPr="009A0520">
          <w:rPr>
            <w:rFonts w:cs="Segoe UI"/>
            <w:i/>
            <w:noProof/>
          </w:rPr>
          <w:t>, et al.</w:t>
        </w:r>
        <w:r w:rsidR="00E6043D">
          <w:rPr>
            <w:rFonts w:cs="Segoe UI"/>
            <w:noProof/>
          </w:rPr>
          <w:t xml:space="preserve"> 2001</w:t>
        </w:r>
        <w:r w:rsidR="00E6043D">
          <w:rPr>
            <w:rFonts w:cs="Segoe UI"/>
          </w:rPr>
          <w:fldChar w:fldCharType="end"/>
        </w:r>
      </w:hyperlink>
      <w:r>
        <w:rPr>
          <w:rFonts w:cs="Segoe UI"/>
        </w:rPr>
        <w:t>)</w:t>
      </w:r>
      <w:r w:rsidRPr="00BC33E3">
        <w:rPr>
          <w:rFonts w:cs="Segoe UI"/>
        </w:rPr>
        <w:t xml:space="preserve">. </w:t>
      </w:r>
      <w:r w:rsidRPr="00BC33E3">
        <w:rPr>
          <w:rFonts w:cs="Segoe UI"/>
          <w:lang w:eastAsia="en-AU"/>
        </w:rPr>
        <w:t xml:space="preserve">Edges are recorded as tracks (1 second polling) or a series of waypoints in the field using a </w:t>
      </w:r>
      <w:r w:rsidRPr="00BC33E3">
        <w:rPr>
          <w:rFonts w:cs="Segoe UI"/>
        </w:rPr>
        <w:t xml:space="preserve">portable Global Positioning </w:t>
      </w:r>
      <w:r w:rsidRPr="00BC33E3">
        <w:rPr>
          <w:rFonts w:cs="Segoe UI"/>
          <w:lang w:eastAsia="en-AU"/>
        </w:rPr>
        <w:t xml:space="preserve">System receiver (i.e. Garmin </w:t>
      </w:r>
      <w:proofErr w:type="spellStart"/>
      <w:r w:rsidRPr="00BC33E3">
        <w:rPr>
          <w:rFonts w:cs="Segoe UI"/>
          <w:lang w:eastAsia="en-AU"/>
        </w:rPr>
        <w:t>GPSmap</w:t>
      </w:r>
      <w:proofErr w:type="spellEnd"/>
      <w:r w:rsidRPr="00BC33E3">
        <w:rPr>
          <w:rFonts w:cs="Segoe UI"/>
          <w:vertAlign w:val="superscript"/>
          <w:lang w:eastAsia="en-AU"/>
        </w:rPr>
        <w:sym w:font="Symbol" w:char="F0D2"/>
      </w:r>
      <w:r w:rsidRPr="00BC33E3">
        <w:rPr>
          <w:rFonts w:cs="Segoe UI"/>
          <w:lang w:eastAsia="en-AU"/>
        </w:rPr>
        <w:t xml:space="preserve"> 60CSx or 62s). </w:t>
      </w:r>
      <w:r w:rsidRPr="00BC33E3">
        <w:rPr>
          <w:rFonts w:cs="Segoe UI"/>
        </w:rPr>
        <w:t>Accuracy in the field is dependent on the portable GPS</w:t>
      </w:r>
      <w:r w:rsidRPr="00BC33E3">
        <w:rPr>
          <w:rFonts w:cs="Segoe UI"/>
          <w:lang w:eastAsia="en-AU"/>
        </w:rPr>
        <w:t xml:space="preserve"> receiver (Garmin </w:t>
      </w:r>
      <w:proofErr w:type="spellStart"/>
      <w:r w:rsidRPr="00BC33E3">
        <w:rPr>
          <w:rFonts w:cs="Segoe UI"/>
          <w:lang w:eastAsia="en-AU"/>
        </w:rPr>
        <w:t>GPSmap</w:t>
      </w:r>
      <w:proofErr w:type="spellEnd"/>
      <w:r w:rsidRPr="00BC33E3">
        <w:rPr>
          <w:rFonts w:cs="Segoe UI"/>
          <w:vertAlign w:val="superscript"/>
          <w:lang w:eastAsia="en-AU"/>
        </w:rPr>
        <w:sym w:font="Symbol" w:char="F0D2"/>
      </w:r>
      <w:r w:rsidRPr="00BC33E3">
        <w:rPr>
          <w:rFonts w:cs="Segoe UI"/>
          <w:lang w:eastAsia="en-AU"/>
        </w:rPr>
        <w:t xml:space="preserve"> 60CSx is &lt;15m RMS95% (DGPS (USCG) accuracy: 3-5m, 95% typical) and how well the edge of the meadow is defined. Generally accuracy is within that of the GPS (i.e. 3 to 5 metres) and datum used is WGS84. Tracks and waypoints are downloaded from the GPS to portable computer using </w:t>
      </w:r>
      <w:proofErr w:type="spellStart"/>
      <w:r w:rsidRPr="00BC33E3">
        <w:rPr>
          <w:rFonts w:cs="Segoe UI"/>
          <w:lang w:eastAsia="en-AU"/>
        </w:rPr>
        <w:t>MapSource</w:t>
      </w:r>
      <w:proofErr w:type="spellEnd"/>
      <w:r w:rsidRPr="00BC33E3">
        <w:rPr>
          <w:rFonts w:cs="Segoe UI"/>
          <w:lang w:eastAsia="en-AU"/>
        </w:rPr>
        <w:t xml:space="preserve"> </w:t>
      </w:r>
      <w:r w:rsidRPr="00BC33E3">
        <w:rPr>
          <w:rFonts w:cs="Segoe UI"/>
        </w:rPr>
        <w:t xml:space="preserve">or </w:t>
      </w:r>
      <w:proofErr w:type="spellStart"/>
      <w:r w:rsidRPr="00BC33E3">
        <w:rPr>
          <w:rFonts w:cs="Segoe UI"/>
        </w:rPr>
        <w:t>BaseCamp</w:t>
      </w:r>
      <w:proofErr w:type="spellEnd"/>
      <w:r w:rsidRPr="00BC33E3">
        <w:rPr>
          <w:rFonts w:cs="Arial"/>
          <w:lang w:eastAsia="en-AU"/>
        </w:rPr>
        <w:t xml:space="preserve"> </w:t>
      </w:r>
      <w:r w:rsidRPr="00BC33E3">
        <w:rPr>
          <w:rFonts w:cs="Segoe UI"/>
          <w:lang w:eastAsia="en-AU"/>
        </w:rPr>
        <w:t>software as soon as practicable (preferably on returning from the day’s activity) and exported as *.</w:t>
      </w:r>
      <w:proofErr w:type="spellStart"/>
      <w:r w:rsidRPr="00BC33E3">
        <w:rPr>
          <w:rFonts w:cs="Segoe UI"/>
          <w:lang w:eastAsia="en-AU"/>
        </w:rPr>
        <w:t>dxf</w:t>
      </w:r>
      <w:proofErr w:type="spellEnd"/>
      <w:r w:rsidRPr="00BC33E3">
        <w:rPr>
          <w:rFonts w:cs="Segoe UI"/>
          <w:lang w:eastAsia="en-AU"/>
        </w:rPr>
        <w:t xml:space="preserve"> files to ESRI</w:t>
      </w:r>
      <w:r w:rsidRPr="00BC33E3">
        <w:rPr>
          <w:rFonts w:cs="Segoe UI"/>
          <w:vertAlign w:val="superscript"/>
        </w:rPr>
        <w:sym w:font="Symbol" w:char="F0E2"/>
      </w:r>
      <w:r w:rsidRPr="00BC33E3">
        <w:rPr>
          <w:rFonts w:cs="Segoe UI"/>
          <w:lang w:eastAsia="en-AU"/>
        </w:rPr>
        <w:t xml:space="preserve"> ArcGIS™</w:t>
      </w:r>
      <w:r w:rsidRPr="00BC33E3">
        <w:rPr>
          <w:rFonts w:cs="Segoe UI"/>
        </w:rPr>
        <w:t>. Subtidal edge mapping data has yet to be plotted.</w:t>
      </w:r>
    </w:p>
    <w:p w:rsidR="00460ACB" w:rsidRPr="00BC33E3" w:rsidRDefault="00460ACB" w:rsidP="00460ACB">
      <w:pPr>
        <w:rPr>
          <w:rFonts w:cs="Segoe UI"/>
          <w:lang w:eastAsia="en-AU"/>
        </w:rPr>
      </w:pPr>
      <w:r w:rsidRPr="00BC33E3">
        <w:rPr>
          <w:rFonts w:cs="Segoe UI"/>
          <w:lang w:eastAsia="en-AU"/>
        </w:rPr>
        <w:t>Mapping is conducted by trained and experienced scientists using ESRI</w:t>
      </w:r>
      <w:r w:rsidRPr="00BC33E3">
        <w:rPr>
          <w:rFonts w:cs="Segoe UI"/>
          <w:vertAlign w:val="superscript"/>
        </w:rPr>
        <w:sym w:font="Symbol" w:char="F0E2"/>
      </w:r>
      <w:r w:rsidRPr="00BC33E3">
        <w:rPr>
          <w:rFonts w:cs="Segoe UI"/>
          <w:lang w:eastAsia="en-AU"/>
        </w:rPr>
        <w:t xml:space="preserve"> ArcMap™ </w:t>
      </w:r>
      <w:r w:rsidR="00B229A4">
        <w:rPr>
          <w:rFonts w:cs="Segoe UI"/>
          <w:lang w:eastAsia="en-AU"/>
        </w:rPr>
        <w:t>10</w:t>
      </w:r>
      <w:r w:rsidRPr="00BC33E3">
        <w:rPr>
          <w:rFonts w:cs="Segoe UI"/>
          <w:lang w:eastAsia="en-AU"/>
        </w:rPr>
        <w:t>.3 (Environmental Systems Research Institute</w:t>
      </w:r>
      <w:r w:rsidRPr="00BC33E3">
        <w:rPr>
          <w:rFonts w:cs="Arial"/>
          <w:lang w:eastAsia="en-AU"/>
        </w:rPr>
        <w:t xml:space="preserve">, </w:t>
      </w:r>
      <w:r w:rsidRPr="00BC33E3">
        <w:rPr>
          <w:rFonts w:cs="Segoe UI"/>
          <w:lang w:eastAsia="en-AU"/>
        </w:rPr>
        <w:t xml:space="preserve">ArcGIS™ Desktop </w:t>
      </w:r>
      <w:r w:rsidR="00B229A4">
        <w:rPr>
          <w:rFonts w:cs="Segoe UI"/>
          <w:lang w:eastAsia="en-AU"/>
        </w:rPr>
        <w:t>10</w:t>
      </w:r>
      <w:r w:rsidRPr="00BC33E3">
        <w:rPr>
          <w:rFonts w:cs="Segoe UI"/>
          <w:lang w:eastAsia="en-AU"/>
        </w:rPr>
        <w:t>.3). Boundaries of meadows are determined based on the positions of survey Tracks and/or Waypoints and the presence of seagrass. Edges are mapped using the polyline feature to create a polyline (i.e. ‘join the dots’) which is then smoothed using the B-spline algorithm. The smoothed polyline is then converted to a polygon and saved as a shapefile. Coordinate system (map datum) used for projecting shapefile is AGD94.</w:t>
      </w:r>
    </w:p>
    <w:p w:rsidR="00460ACB" w:rsidRPr="00BC33E3" w:rsidRDefault="00460ACB" w:rsidP="00460ACB">
      <w:pPr>
        <w:rPr>
          <w:rFonts w:cs="Segoe UI"/>
          <w:lang w:eastAsia="en-AU"/>
        </w:rPr>
      </w:pPr>
      <w:r w:rsidRPr="00BC33E3">
        <w:rPr>
          <w:rFonts w:cs="Segoe UI"/>
          <w:lang w:eastAsia="en-AU"/>
        </w:rPr>
        <w:t xml:space="preserve">In certain cases seagrass meadows form very distinct edges that remain consistent over many growing seasons. However, in other cases the seagrass </w:t>
      </w:r>
      <w:r w:rsidRPr="00BC33E3">
        <w:rPr>
          <w:rFonts w:cs="Arial"/>
          <w:lang w:eastAsia="en-AU"/>
        </w:rPr>
        <w:t xml:space="preserve">landscape </w:t>
      </w:r>
      <w:r w:rsidRPr="00BC33E3">
        <w:rPr>
          <w:rFonts w:cs="Segoe UI"/>
          <w:lang w:eastAsia="en-AU"/>
        </w:rPr>
        <w:t xml:space="preserve">tends to grade from dense continuous cover to no cover over a continuum that includes small patches and shoots of decreasing density. Boundary edges in patchy meadows are vulnerable to interpreter variation, but the general rule is that a boundary edge is determined where there is a gap with the distance of more than 3 metres </w:t>
      </w:r>
      <w:r w:rsidRPr="00BC33E3">
        <w:rPr>
          <w:rFonts w:cs="Arial"/>
          <w:lang w:eastAsia="en-AU"/>
        </w:rPr>
        <w:t>(i.e. accuracy of the GPS)</w:t>
      </w:r>
      <w:r w:rsidRPr="00BC33E3">
        <w:rPr>
          <w:rFonts w:cs="Segoe UI"/>
          <w:lang w:eastAsia="en-AU"/>
        </w:rPr>
        <w:t>. Final shapefiles are then overlayed with aerial photographs and base maps (</w:t>
      </w:r>
      <w:proofErr w:type="spellStart"/>
      <w:r w:rsidRPr="00BC33E3">
        <w:rPr>
          <w:rFonts w:cs="Segoe UI"/>
          <w:lang w:eastAsia="en-AU"/>
        </w:rPr>
        <w:t>AusLig</w:t>
      </w:r>
      <w:proofErr w:type="spellEnd"/>
      <w:r w:rsidRPr="00BC33E3">
        <w:rPr>
          <w:rFonts w:cs="Segoe UI"/>
          <w:vertAlign w:val="superscript"/>
          <w:lang w:eastAsia="en-AU"/>
        </w:rPr>
        <w:t>™</w:t>
      </w:r>
      <w:r w:rsidRPr="00BC33E3">
        <w:rPr>
          <w:rFonts w:cs="Segoe UI"/>
          <w:lang w:eastAsia="en-AU"/>
        </w:rPr>
        <w:t xml:space="preserve">) to assist with illustration/presentation. </w:t>
      </w:r>
    </w:p>
    <w:p w:rsidR="00460ACB" w:rsidRPr="00BC33E3" w:rsidRDefault="00460ACB" w:rsidP="00460ACB">
      <w:pPr>
        <w:rPr>
          <w:rFonts w:cs="Segoe UI"/>
          <w:lang w:eastAsia="en-AU"/>
        </w:rPr>
      </w:pPr>
      <w:r w:rsidRPr="00BC33E3">
        <w:rPr>
          <w:rFonts w:cs="Segoe UI"/>
          <w:lang w:eastAsia="en-AU"/>
        </w:rPr>
        <w:t xml:space="preserve">The expected accuracy of the map product gives some level of confidence in using the data. Using the GIS, meadow boundaries are assigned a quality value based on the type and range of mapping </w:t>
      </w:r>
      <w:r w:rsidRPr="00BC33E3">
        <w:rPr>
          <w:rFonts w:cs="Segoe UI"/>
          <w:lang w:eastAsia="en-AU"/>
        </w:rPr>
        <w:lastRenderedPageBreak/>
        <w:t xml:space="preserve">information available for each site and determined by the distance between waypoints and GPS position fixing error. These meadow boundary errors are used to estimate the likely range of area for each meadow mapped (see </w:t>
      </w:r>
      <w:r>
        <w:rPr>
          <w:rFonts w:cs="Segoe UI"/>
          <w:lang w:eastAsia="en-AU"/>
        </w:rPr>
        <w:fldChar w:fldCharType="begin">
          <w:fldData xml:space="preserve">PEVuZE5vdGU+PENpdGU+PEF1dGhvcj5MZWUgTG9uZzwvQXV0aG9yPjxZZWFyPjE5OTc8L1llYXI+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</w:fldData>
        </w:fldChar>
      </w:r>
      <w:r>
        <w:rPr>
          <w:rFonts w:cs="Segoe UI"/>
          <w:lang w:eastAsia="en-AU"/>
        </w:rPr>
        <w:instrText xml:space="preserve"> ADDIN EN.CITE </w:instrText>
      </w:r>
      <w:r>
        <w:rPr>
          <w:rFonts w:cs="Segoe UI"/>
          <w:lang w:eastAsia="en-AU"/>
        </w:rPr>
        <w:fldChar w:fldCharType="begin">
          <w:fldData xml:space="preserve">PEVuZE5vdGU+PENpdGU+PEF1dGhvcj5MZWUgTG9uZzwvQXV0aG9yPjxZZWFyPjE5OTc8L1llYXI+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</w:fldData>
        </w:fldChar>
      </w:r>
      <w:r>
        <w:rPr>
          <w:rFonts w:cs="Segoe UI"/>
          <w:lang w:eastAsia="en-AU"/>
        </w:rPr>
        <w:instrText xml:space="preserve"> ADDIN EN.CITE.DATA </w:instrText>
      </w:r>
      <w:r>
        <w:rPr>
          <w:rFonts w:cs="Segoe UI"/>
          <w:lang w:eastAsia="en-AU"/>
        </w:rPr>
      </w:r>
      <w:r>
        <w:rPr>
          <w:rFonts w:cs="Segoe UI"/>
          <w:lang w:eastAsia="en-AU"/>
        </w:rPr>
        <w:fldChar w:fldCharType="end"/>
      </w:r>
      <w:r>
        <w:rPr>
          <w:rFonts w:cs="Segoe UI"/>
          <w:lang w:eastAsia="en-AU"/>
        </w:rPr>
      </w:r>
      <w:r>
        <w:rPr>
          <w:rFonts w:cs="Segoe UI"/>
          <w:lang w:eastAsia="en-AU"/>
        </w:rPr>
        <w:fldChar w:fldCharType="separate"/>
      </w:r>
      <w:hyperlink w:anchor="_ENREF_174" w:tooltip="McKenzie, 1996 #946" w:history="1">
        <w:r w:rsidR="00E6043D">
          <w:rPr>
            <w:rFonts w:cs="Segoe UI"/>
            <w:noProof/>
            <w:lang w:eastAsia="en-AU"/>
          </w:rPr>
          <w:t>McKenzie</w:t>
        </w:r>
        <w:r w:rsidR="00E6043D" w:rsidRPr="00644A84">
          <w:rPr>
            <w:rFonts w:cs="Segoe UI"/>
            <w:i/>
            <w:noProof/>
            <w:lang w:eastAsia="en-AU"/>
          </w:rPr>
          <w:t xml:space="preserve"> et al.</w:t>
        </w:r>
        <w:r w:rsidR="00E6043D">
          <w:rPr>
            <w:rFonts w:cs="Segoe UI"/>
            <w:noProof/>
            <w:lang w:eastAsia="en-AU"/>
          </w:rPr>
          <w:t xml:space="preserve"> 1996</w:t>
        </w:r>
      </w:hyperlink>
      <w:r>
        <w:rPr>
          <w:rFonts w:cs="Segoe UI"/>
          <w:noProof/>
          <w:lang w:eastAsia="en-AU"/>
        </w:rPr>
        <w:t xml:space="preserve">; </w:t>
      </w:r>
      <w:hyperlink w:anchor="_ENREF_145" w:tooltip="Lee Long, 1997 #5808" w:history="1">
        <w:r w:rsidR="00E6043D">
          <w:rPr>
            <w:rFonts w:cs="Segoe UI"/>
            <w:noProof/>
            <w:lang w:eastAsia="en-AU"/>
          </w:rPr>
          <w:t>Lee Long</w:t>
        </w:r>
        <w:r w:rsidR="00E6043D" w:rsidRPr="00644A84">
          <w:rPr>
            <w:rFonts w:cs="Segoe UI"/>
            <w:i/>
            <w:noProof/>
            <w:lang w:eastAsia="en-AU"/>
          </w:rPr>
          <w:t>, et al.</w:t>
        </w:r>
        <w:r w:rsidR="00E6043D">
          <w:rPr>
            <w:rFonts w:cs="Segoe UI"/>
            <w:noProof/>
            <w:lang w:eastAsia="en-AU"/>
          </w:rPr>
          <w:t xml:space="preserve"> 1997</w:t>
        </w:r>
      </w:hyperlink>
      <w:r>
        <w:rPr>
          <w:rFonts w:cs="Segoe UI"/>
          <w:noProof/>
          <w:lang w:eastAsia="en-AU"/>
        </w:rPr>
        <w:t xml:space="preserve">; </w:t>
      </w:r>
      <w:hyperlink w:anchor="_ENREF_172" w:tooltip="McKenzie, 1998 #6844" w:history="1">
        <w:r w:rsidR="00E6043D">
          <w:rPr>
            <w:rFonts w:cs="Segoe UI"/>
            <w:noProof/>
            <w:lang w:eastAsia="en-AU"/>
          </w:rPr>
          <w:t>McKenzie</w:t>
        </w:r>
        <w:r w:rsidR="00E6043D" w:rsidRPr="00644A84">
          <w:rPr>
            <w:rFonts w:cs="Segoe UI"/>
            <w:i/>
            <w:noProof/>
            <w:lang w:eastAsia="en-AU"/>
          </w:rPr>
          <w:t>, et al.</w:t>
        </w:r>
        <w:r w:rsidR="00E6043D">
          <w:rPr>
            <w:rFonts w:cs="Segoe UI"/>
            <w:noProof/>
            <w:lang w:eastAsia="en-AU"/>
          </w:rPr>
          <w:t xml:space="preserve"> 1998</w:t>
        </w:r>
      </w:hyperlink>
      <w:r>
        <w:rPr>
          <w:rFonts w:cs="Segoe UI"/>
          <w:lang w:eastAsia="en-AU"/>
        </w:rPr>
        <w:fldChar w:fldCharType="end"/>
      </w:r>
      <w:r w:rsidRPr="00BC33E3">
        <w:rPr>
          <w:rFonts w:cs="Segoe UI"/>
          <w:lang w:eastAsia="en-AU"/>
        </w:rPr>
        <w:t>).</w:t>
      </w:r>
    </w:p>
    <w:p w:rsidR="005F7F6E" w:rsidRDefault="00460ACB" w:rsidP="00EB7436">
      <w:pPr>
        <w:rPr>
          <w:rFonts w:cs="Segoe UI"/>
          <w:bCs/>
        </w:rPr>
      </w:pPr>
      <w:r w:rsidRPr="00BC33E3">
        <w:rPr>
          <w:rFonts w:cs="Segoe UI"/>
          <w:lang w:eastAsia="en-AU"/>
        </w:rPr>
        <w:t xml:space="preserve">Mapping at subtidal sites has been altered to suit the low visibility conditions and the requirement to map by SCUBA. From the central picket (deployment location of light and turbidity loggers) straight lines </w:t>
      </w:r>
      <w:r>
        <w:rPr>
          <w:rFonts w:cs="Segoe UI"/>
          <w:lang w:eastAsia="en-AU"/>
        </w:rPr>
        <w:t xml:space="preserve">of 50m length </w:t>
      </w:r>
      <w:r w:rsidRPr="00BC33E3">
        <w:rPr>
          <w:rFonts w:cs="Segoe UI"/>
          <w:lang w:eastAsia="en-AU"/>
        </w:rPr>
        <w:t xml:space="preserve">are </w:t>
      </w:r>
      <w:r>
        <w:rPr>
          <w:rFonts w:cs="Segoe UI"/>
          <w:lang w:eastAsia="en-AU"/>
        </w:rPr>
        <w:t>swum</w:t>
      </w:r>
      <w:r w:rsidRPr="00BC33E3">
        <w:rPr>
          <w:rFonts w:cs="Segoe UI"/>
          <w:lang w:eastAsia="en-AU"/>
        </w:rPr>
        <w:t xml:space="preserve"> at an angle of 45 degrees </w:t>
      </w:r>
      <w:r>
        <w:rPr>
          <w:rFonts w:cs="Segoe UI"/>
          <w:lang w:eastAsia="en-AU"/>
        </w:rPr>
        <w:t xml:space="preserve">from each other. The locations where the edges of the seagrass meadows/patches intercept the line are recorded. </w:t>
      </w:r>
      <w:r w:rsidRPr="00BC33E3">
        <w:rPr>
          <w:rFonts w:cs="Segoe UI"/>
          <w:lang w:eastAsia="en-AU"/>
        </w:rPr>
        <w:t>A GPS is attached to a flotation device at the surface of the water and fastened to the SCUBA diver to record travelling distance and transect orientation. Eight lines at 45 degrees are performed, with the first following the orientation of the monitoring transects; the others are undertaken at 45 degree angles from the first.</w:t>
      </w:r>
    </w:p>
    <w:p w:rsidR="004A36C2" w:rsidRPr="00460ACB" w:rsidRDefault="004A36C2" w:rsidP="00460ACB">
      <w:pPr>
        <w:pStyle w:val="Heading3"/>
        <w:rPr>
          <w:rFonts w:asciiTheme="minorHAnsi" w:hAnsiTheme="minorHAnsi"/>
          <w:sz w:val="24"/>
          <w:szCs w:val="24"/>
        </w:rPr>
      </w:pPr>
      <w:bookmarkStart w:id="938" w:name="_Toc335144666"/>
      <w:bookmarkStart w:id="939" w:name="_Ref387589130"/>
      <w:bookmarkStart w:id="940" w:name="_Toc387600768"/>
      <w:bookmarkStart w:id="941" w:name="_Toc461884925"/>
      <w:bookmarkStart w:id="942" w:name="_Toc462047391"/>
      <w:r w:rsidRPr="00460ACB">
        <w:rPr>
          <w:rFonts w:asciiTheme="minorHAnsi" w:hAnsiTheme="minorHAnsi"/>
          <w:sz w:val="24"/>
          <w:szCs w:val="24"/>
        </w:rPr>
        <w:t>Observer training</w:t>
      </w:r>
      <w:bookmarkEnd w:id="938"/>
      <w:bookmarkEnd w:id="939"/>
      <w:bookmarkEnd w:id="940"/>
      <w:bookmarkEnd w:id="941"/>
      <w:bookmarkEnd w:id="942"/>
    </w:p>
    <w:p w:rsidR="004A36C2" w:rsidRPr="00BC33E3" w:rsidRDefault="004A36C2" w:rsidP="004A36C2">
      <w:pPr>
        <w:rPr>
          <w:rFonts w:cs="Segoe UI"/>
        </w:rPr>
      </w:pPr>
      <w:r w:rsidRPr="00BC33E3">
        <w:rPr>
          <w:rFonts w:cs="Segoe UI"/>
        </w:rPr>
        <w:t>The JCU personnel collecting data in association with this project are without exception highly experienced in the collection of seagrass monitoring data. The majority of observers have been involved in seagrass monitoring for at least a decade and were employed specifically for their skills associated with the tasks required.</w:t>
      </w:r>
    </w:p>
    <w:p w:rsidR="004A36C2" w:rsidRPr="00BC33E3" w:rsidRDefault="004A36C2" w:rsidP="004A36C2">
      <w:pPr>
        <w:rPr>
          <w:rFonts w:cs="Segoe UI"/>
        </w:rPr>
      </w:pPr>
      <w:r w:rsidRPr="00BC33E3">
        <w:rPr>
          <w:rFonts w:cs="Segoe UI"/>
        </w:rPr>
        <w:t>All observers have successfully completed at Level 1 Seagrass-Watch training course (seagrasswatch.org/training.html) and have demonstrated competency across 7 core units: achieved 80% of formal assessment (classroom and laboratory) (5 units); and demonstrated competency in the field both during the workshop (1 unit) and post workshop (1 unit = successful completion of 3 monitoring events/periods within 12 months). Volunteers who assist JCU scientists have also successfully completed a Level 1 training course.</w:t>
      </w:r>
    </w:p>
    <w:p w:rsidR="004A36C2" w:rsidRPr="00BC33E3" w:rsidRDefault="004A36C2" w:rsidP="004A36C2">
      <w:pPr>
        <w:rPr>
          <w:rFonts w:cs="Segoe UI"/>
        </w:rPr>
      </w:pPr>
      <w:r w:rsidRPr="00BC33E3">
        <w:rPr>
          <w:rFonts w:cs="Segoe UI"/>
        </w:rPr>
        <w:t>Technical issues concerning quality control of data are important and are resolved by: using standard methods which ensure completeness in the field (the comparison between the amounts of valid or useable data originally planned to collect, versus how much was collected); using standard seagrass cover calibration sheets to ensure precision (the degree of agreement among repeated measurements of the same characteristic at the same place and the same time) and consistency between observers and across sites at monitoring times. Ongoing standardisation of observers is achieved through routine comparisons during sampling events. Any discrepancy is used to identify and subsequently mitigate bias. For the most part however uncertainties in percentage cover or species identification are mitigated in the field via direct communication, or the collection of voucher specimens (to be checked under microscope and pressed in herbarium) and the use of a digital camera to record images (</w:t>
      </w:r>
      <w:r w:rsidR="004537A8">
        <w:rPr>
          <w:rFonts w:cs="Segoe UI"/>
        </w:rPr>
        <w:t>every</w:t>
      </w:r>
      <w:r w:rsidRPr="00BC33E3">
        <w:rPr>
          <w:rFonts w:cs="Segoe UI"/>
        </w:rPr>
        <w:t xml:space="preserve"> quadrat</w:t>
      </w:r>
      <w:r w:rsidR="004537A8">
        <w:rPr>
          <w:rFonts w:cs="Segoe UI"/>
        </w:rPr>
        <w:t xml:space="preserve"> is </w:t>
      </w:r>
      <w:r w:rsidRPr="00BC33E3">
        <w:rPr>
          <w:rFonts w:cs="Segoe UI"/>
        </w:rPr>
        <w:t xml:space="preserve">photographed) for later identification and </w:t>
      </w:r>
      <w:r w:rsidR="004537A8">
        <w:rPr>
          <w:rFonts w:cs="Segoe UI"/>
        </w:rPr>
        <w:t>validation</w:t>
      </w:r>
      <w:r w:rsidRPr="00BC33E3">
        <w:rPr>
          <w:rFonts w:cs="Segoe UI"/>
        </w:rPr>
        <w:t>. Evidence of competency is securely filed on a secure server in Cairns at James Cook University</w:t>
      </w:r>
      <w:r w:rsidR="00036CBF">
        <w:rPr>
          <w:rFonts w:cs="Segoe UI"/>
        </w:rPr>
        <w:t>.</w:t>
      </w:r>
    </w:p>
    <w:p w:rsidR="008D6EF3" w:rsidRDefault="00B229A4" w:rsidP="004A36C2">
      <w:pPr>
        <w:rPr>
          <w:rFonts w:cs="Segoe UI"/>
        </w:rPr>
      </w:pPr>
      <w:proofErr w:type="spellStart"/>
      <w:r>
        <w:rPr>
          <w:rFonts w:cs="Segoe UI"/>
        </w:rPr>
        <w:t>Howley</w:t>
      </w:r>
      <w:proofErr w:type="spellEnd"/>
      <w:r>
        <w:rPr>
          <w:rFonts w:cs="Segoe UI"/>
        </w:rPr>
        <w:t xml:space="preserve"> Consulting wa</w:t>
      </w:r>
      <w:r w:rsidR="004A36C2" w:rsidRPr="00BC33E3">
        <w:rPr>
          <w:rFonts w:cs="Segoe UI"/>
        </w:rPr>
        <w:t xml:space="preserve">s responsible for surveys in the Cooktown region. The </w:t>
      </w:r>
      <w:proofErr w:type="spellStart"/>
      <w:r w:rsidR="004A36C2" w:rsidRPr="00BC33E3">
        <w:rPr>
          <w:rFonts w:cs="Segoe UI"/>
        </w:rPr>
        <w:t>Howley</w:t>
      </w:r>
      <w:proofErr w:type="spellEnd"/>
      <w:r w:rsidR="004A36C2" w:rsidRPr="00BC33E3">
        <w:rPr>
          <w:rFonts w:cs="Segoe UI"/>
        </w:rPr>
        <w:t xml:space="preserve"> Consulting observer, Christina </w:t>
      </w:r>
      <w:proofErr w:type="spellStart"/>
      <w:r w:rsidR="004A36C2" w:rsidRPr="00BC33E3">
        <w:rPr>
          <w:rFonts w:cs="Segoe UI"/>
        </w:rPr>
        <w:t>Howley</w:t>
      </w:r>
      <w:proofErr w:type="spellEnd"/>
      <w:r w:rsidR="004A36C2" w:rsidRPr="00BC33E3">
        <w:rPr>
          <w:rFonts w:cs="Segoe UI"/>
        </w:rPr>
        <w:t xml:space="preserve">, has been assessing seagrass resources in the </w:t>
      </w:r>
      <w:smartTag w:uri="urn:schemas-microsoft-com:office:smarttags" w:element="place">
        <w:r w:rsidR="004A36C2" w:rsidRPr="00BC33E3">
          <w:rPr>
            <w:rFonts w:cs="Segoe UI"/>
          </w:rPr>
          <w:t>Cape York</w:t>
        </w:r>
      </w:smartTag>
      <w:r w:rsidR="004A36C2" w:rsidRPr="00BC33E3">
        <w:rPr>
          <w:rFonts w:cs="Segoe UI"/>
        </w:rPr>
        <w:t xml:space="preserve"> region for over a decade and has successfully completed a Level 1 training course. </w:t>
      </w:r>
    </w:p>
    <w:p w:rsidR="008D6EF3" w:rsidRPr="00460ACB" w:rsidRDefault="008D6EF3" w:rsidP="00460ACB">
      <w:pPr>
        <w:pStyle w:val="Heading3"/>
        <w:rPr>
          <w:rFonts w:asciiTheme="minorHAnsi" w:hAnsiTheme="minorHAnsi"/>
          <w:sz w:val="24"/>
          <w:szCs w:val="24"/>
        </w:rPr>
      </w:pPr>
      <w:bookmarkStart w:id="943" w:name="_Toc461884926"/>
      <w:bookmarkStart w:id="944" w:name="_Toc462047392"/>
      <w:r w:rsidRPr="00460ACB">
        <w:rPr>
          <w:rFonts w:asciiTheme="minorHAnsi" w:hAnsiTheme="minorHAnsi"/>
          <w:sz w:val="24"/>
          <w:szCs w:val="24"/>
        </w:rPr>
        <w:t>Laboratory analysis</w:t>
      </w:r>
      <w:bookmarkEnd w:id="943"/>
      <w:bookmarkEnd w:id="944"/>
    </w:p>
    <w:p w:rsidR="004A36C2" w:rsidRPr="00460ACB" w:rsidRDefault="004A36C2" w:rsidP="00460ACB">
      <w:pPr>
        <w:pStyle w:val="Heading4"/>
        <w:numPr>
          <w:ilvl w:val="0"/>
          <w:numId w:val="0"/>
        </w:numPr>
        <w:rPr>
          <w:rFonts w:asciiTheme="majorHAnsi" w:hAnsiTheme="majorHAnsi"/>
          <w:sz w:val="24"/>
          <w:szCs w:val="24"/>
        </w:rPr>
      </w:pPr>
      <w:bookmarkStart w:id="945" w:name="_Toc387600769"/>
      <w:r w:rsidRPr="00460ACB">
        <w:rPr>
          <w:rFonts w:asciiTheme="majorHAnsi" w:hAnsiTheme="majorHAnsi"/>
          <w:sz w:val="24"/>
          <w:szCs w:val="24"/>
        </w:rPr>
        <w:t>Inshore seagrass meadow abundance, community structure and reproductive health</w:t>
      </w:r>
      <w:bookmarkEnd w:id="945"/>
    </w:p>
    <w:p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reproductive health</w:t>
      </w:r>
    </w:p>
    <w:p w:rsidR="004A36C2" w:rsidRPr="00BC33E3" w:rsidRDefault="004A36C2" w:rsidP="004A36C2">
      <w:pPr>
        <w:autoSpaceDE w:val="0"/>
        <w:autoSpaceDN w:val="0"/>
        <w:adjustRightInd w:val="0"/>
        <w:rPr>
          <w:rFonts w:cs="Segoe UI"/>
        </w:rPr>
      </w:pPr>
      <w:r w:rsidRPr="00BC33E3">
        <w:rPr>
          <w:rFonts w:cs="Segoe UI"/>
        </w:rPr>
        <w:t xml:space="preserve">In the laboratory, reproductive structures (spathes, fruit, female flower or male flowers; </w:t>
      </w:r>
      <w:r w:rsidR="00144953">
        <w:rPr>
          <w:rFonts w:cs="Segoe UI"/>
        </w:rPr>
        <w:fldChar w:fldCharType="begin"/>
      </w:r>
      <w:r w:rsidR="00144953">
        <w:rPr>
          <w:rFonts w:cs="Segoe UI"/>
        </w:rPr>
        <w:instrText xml:space="preserve"> REF _Ref410146772 \h </w:instrText>
      </w:r>
      <w:r w:rsidR="00144953">
        <w:rPr>
          <w:rFonts w:cs="Segoe UI"/>
        </w:rPr>
      </w:r>
      <w:r w:rsidR="00144953">
        <w:rPr>
          <w:rFonts w:cs="Segoe UI"/>
        </w:rPr>
        <w:fldChar w:fldCharType="separate"/>
      </w:r>
      <w:r w:rsidR="009C068F">
        <w:t xml:space="preserve">Figure </w:t>
      </w:r>
      <w:r w:rsidR="009C068F">
        <w:rPr>
          <w:noProof/>
        </w:rPr>
        <w:t>130</w:t>
      </w:r>
      <w:r w:rsidR="00144953">
        <w:rPr>
          <w:rFonts w:cs="Segoe UI"/>
        </w:rPr>
        <w:fldChar w:fldCharType="end"/>
      </w:r>
      <w:r w:rsidRPr="00BC33E3">
        <w:rPr>
          <w:rFonts w:cs="Segoe UI"/>
        </w:rPr>
        <w:t xml:space="preserve">) of plants from each core are identified and counted for each sample and species. If </w:t>
      </w:r>
      <w:proofErr w:type="spellStart"/>
      <w:r w:rsidRPr="00BC33E3">
        <w:rPr>
          <w:rFonts w:cs="Segoe UI"/>
          <w:i/>
        </w:rPr>
        <w:t>Halodule</w:t>
      </w:r>
      <w:proofErr w:type="spellEnd"/>
      <w:r w:rsidRPr="00BC33E3">
        <w:rPr>
          <w:rFonts w:cs="Segoe UI"/>
          <w:i/>
        </w:rPr>
        <w:t xml:space="preserve"> </w:t>
      </w:r>
      <w:proofErr w:type="spellStart"/>
      <w:r w:rsidRPr="00BC33E3">
        <w:rPr>
          <w:rFonts w:cs="Segoe UI"/>
          <w:i/>
        </w:rPr>
        <w:t>uninervis</w:t>
      </w:r>
      <w:proofErr w:type="spellEnd"/>
      <w:r w:rsidRPr="00BC33E3">
        <w:rPr>
          <w:rFonts w:cs="Segoe UI"/>
        </w:rPr>
        <w:t xml:space="preserve"> seeds (brown green colour) are still attached to the rhizome, they are counted as fruits. Seed estimates are not recorded for </w:t>
      </w:r>
      <w:proofErr w:type="spellStart"/>
      <w:r w:rsidRPr="00BC33E3">
        <w:rPr>
          <w:rFonts w:cs="Segoe UI"/>
          <w:i/>
        </w:rPr>
        <w:t>Halophila</w:t>
      </w:r>
      <w:proofErr w:type="spellEnd"/>
      <w:r w:rsidRPr="00BC33E3">
        <w:rPr>
          <w:rFonts w:cs="Segoe UI"/>
          <w:i/>
        </w:rPr>
        <w:t xml:space="preserve"> </w:t>
      </w:r>
      <w:proofErr w:type="spellStart"/>
      <w:r w:rsidRPr="00BC33E3">
        <w:rPr>
          <w:rFonts w:cs="Segoe UI"/>
          <w:i/>
        </w:rPr>
        <w:t>ovalis</w:t>
      </w:r>
      <w:proofErr w:type="spellEnd"/>
      <w:r w:rsidRPr="00BC33E3">
        <w:rPr>
          <w:rFonts w:cs="Segoe UI"/>
        </w:rPr>
        <w:t xml:space="preserve"> due to time constraints (if time is available post this first pass of the samples, fruits will be dissected and seeds counted). For </w:t>
      </w:r>
      <w:proofErr w:type="spellStart"/>
      <w:r w:rsidRPr="00BC33E3">
        <w:rPr>
          <w:rFonts w:cs="Segoe UI"/>
          <w:i/>
        </w:rPr>
        <w:t>Zostera</w:t>
      </w:r>
      <w:proofErr w:type="spellEnd"/>
      <w:r w:rsidRPr="00BC33E3">
        <w:rPr>
          <w:rFonts w:cs="Segoe UI"/>
          <w:i/>
        </w:rPr>
        <w:t xml:space="preserve"> </w:t>
      </w:r>
      <w:proofErr w:type="spellStart"/>
      <w:r w:rsidRPr="00BC33E3">
        <w:rPr>
          <w:rFonts w:cs="Segoe UI"/>
          <w:i/>
        </w:rPr>
        <w:t>muelleri</w:t>
      </w:r>
      <w:proofErr w:type="spellEnd"/>
      <w:r w:rsidRPr="00BC33E3">
        <w:rPr>
          <w:rFonts w:cs="Segoe UI"/>
          <w:i/>
        </w:rPr>
        <w:t xml:space="preserve"> </w:t>
      </w:r>
      <w:r w:rsidRPr="00BC33E3">
        <w:rPr>
          <w:rFonts w:cs="Segoe UI"/>
        </w:rPr>
        <w:t>subsp</w:t>
      </w:r>
      <w:r w:rsidRPr="00BC33E3">
        <w:rPr>
          <w:rFonts w:cs="Segoe UI"/>
          <w:i/>
        </w:rPr>
        <w:t xml:space="preserve">. </w:t>
      </w:r>
      <w:proofErr w:type="spellStart"/>
      <w:r w:rsidRPr="00BC33E3">
        <w:rPr>
          <w:rFonts w:cs="Segoe UI"/>
          <w:i/>
        </w:rPr>
        <w:lastRenderedPageBreak/>
        <w:t>capricorni</w:t>
      </w:r>
      <w:proofErr w:type="spellEnd"/>
      <w:r w:rsidRPr="00BC33E3">
        <w:rPr>
          <w:rFonts w:cs="Segoe UI"/>
        </w:rPr>
        <w:t>, the number of spathes is recorded, male and female flowers and seeds counted during dissection, if there is time after the initial pass of the samples. Apical meristems are counted if possible, however</w:t>
      </w:r>
      <w:r w:rsidR="00B07FC2">
        <w:rPr>
          <w:rFonts w:cs="Segoe UI"/>
        </w:rPr>
        <w:t>,</w:t>
      </w:r>
      <w:r w:rsidRPr="00BC33E3">
        <w:rPr>
          <w:rFonts w:cs="Segoe UI"/>
        </w:rPr>
        <w:t xml:space="preserve"> most are not recorded as they were too damaged by the collection process to be able to be identified correctly. The number of nodes for each species is counted, and for each species present in the sample, 10 random internode lengths and 10 random leaf widths are measured. Approximately 5% of samples are cross-calibrated between technicians (preferable from another centre). All samples, including flowers and spathes and fruits/fruiting bodies are kept and re-frozen in the site bags for approximately 2 years for revalidation if required. Reproductive effort is calculated as the number of reproductive structures per core. </w:t>
      </w:r>
    </w:p>
    <w:p w:rsidR="004A36C2" w:rsidRPr="00BC33E3" w:rsidRDefault="004A36C2" w:rsidP="004A36C2">
      <w:pPr>
        <w:autoSpaceDE w:val="0"/>
        <w:autoSpaceDN w:val="0"/>
        <w:adjustRightInd w:val="0"/>
        <w:rPr>
          <w:rFonts w:cs="Segoe UI"/>
        </w:rPr>
      </w:pPr>
    </w:p>
    <w:p w:rsidR="004A36C2" w:rsidRPr="00B14AD9" w:rsidRDefault="001F4593" w:rsidP="004A36C2">
      <w:pPr>
        <w:keepNext/>
        <w:rPr>
          <w:rFonts w:cs="Arial"/>
        </w:rPr>
      </w:pPr>
      <w:r w:rsidRPr="008E7A03">
        <w:rPr>
          <w:rFonts w:cs="Arial"/>
          <w:noProof/>
          <w:lang w:eastAsia="en-AU"/>
        </w:rPr>
        <w:drawing>
          <wp:inline distT="0" distB="0" distL="0" distR="0" wp14:anchorId="4BD50162" wp14:editId="45A2F6DA">
            <wp:extent cx="5711825" cy="2186305"/>
            <wp:effectExtent l="19050" t="19050" r="22225" b="23495"/>
            <wp:docPr id="129" name="Picture 2049" descr="Form and size of reproductive structure of the three seagrasses collected: Halophila ovalis, Halodule uninervis and Zostera muelleri ssp. capricor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7.2. Form and size of reproductive structure of the three seagrasses collected: Halophila ovalis, Halodule uninervis and Zostera muelleri ssp. capricorni"/>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5711825" cy="2186305"/>
                    </a:xfrm>
                    <a:prstGeom prst="rect">
                      <a:avLst/>
                    </a:prstGeom>
                    <a:noFill/>
                    <a:ln w="9525" cmpd="sng">
                      <a:solidFill>
                        <a:srgbClr val="7F7F7F"/>
                      </a:solidFill>
                      <a:miter lim="800000"/>
                      <a:headEnd/>
                      <a:tailEnd/>
                    </a:ln>
                    <a:effectLst/>
                  </pic:spPr>
                </pic:pic>
              </a:graphicData>
            </a:graphic>
          </wp:inline>
        </w:drawing>
      </w:r>
    </w:p>
    <w:p w:rsidR="004A36C2" w:rsidRPr="009A568D" w:rsidRDefault="009A568D" w:rsidP="009A568D">
      <w:bookmarkStart w:id="946" w:name="_Ref410146772"/>
      <w:bookmarkStart w:id="947" w:name="_Toc431493915"/>
      <w:bookmarkStart w:id="948" w:name="_Toc462684970"/>
      <w:r>
        <w:t xml:space="preserve">Figure </w:t>
      </w:r>
      <w:fldSimple w:instr=" SEQ Figure \* ARABIC ">
        <w:r w:rsidR="009C068F">
          <w:rPr>
            <w:noProof/>
          </w:rPr>
          <w:t>130</w:t>
        </w:r>
      </w:fldSimple>
      <w:bookmarkEnd w:id="946"/>
      <w:r>
        <w:t xml:space="preserve">. </w:t>
      </w:r>
      <w:r w:rsidRPr="009A568D">
        <w:t xml:space="preserve">Form and size of reproductive structure of the seagrasses collected: </w:t>
      </w:r>
      <w:proofErr w:type="spellStart"/>
      <w:r w:rsidRPr="009A568D">
        <w:rPr>
          <w:i/>
        </w:rPr>
        <w:t>Halophila</w:t>
      </w:r>
      <w:proofErr w:type="spellEnd"/>
      <w:r w:rsidRPr="009A568D">
        <w:rPr>
          <w:i/>
        </w:rPr>
        <w:t xml:space="preserve"> </w:t>
      </w:r>
      <w:proofErr w:type="spellStart"/>
      <w:r w:rsidRPr="009A568D">
        <w:rPr>
          <w:i/>
        </w:rPr>
        <w:t>ovalis</w:t>
      </w:r>
      <w:proofErr w:type="spellEnd"/>
      <w:r w:rsidRPr="009A568D">
        <w:t xml:space="preserve">, </w:t>
      </w:r>
      <w:proofErr w:type="spellStart"/>
      <w:r w:rsidRPr="009A568D">
        <w:rPr>
          <w:i/>
        </w:rPr>
        <w:t>Halodule</w:t>
      </w:r>
      <w:proofErr w:type="spellEnd"/>
      <w:r w:rsidRPr="009A568D">
        <w:rPr>
          <w:i/>
        </w:rPr>
        <w:t xml:space="preserve"> </w:t>
      </w:r>
      <w:proofErr w:type="spellStart"/>
      <w:r w:rsidRPr="009A568D">
        <w:rPr>
          <w:i/>
        </w:rPr>
        <w:t>uninervis</w:t>
      </w:r>
      <w:proofErr w:type="spellEnd"/>
      <w:r w:rsidRPr="009A568D">
        <w:t xml:space="preserve"> and </w:t>
      </w:r>
      <w:proofErr w:type="spellStart"/>
      <w:r w:rsidRPr="009A568D">
        <w:rPr>
          <w:i/>
        </w:rPr>
        <w:t>Zostera</w:t>
      </w:r>
      <w:proofErr w:type="spellEnd"/>
      <w:r w:rsidRPr="009A568D">
        <w:rPr>
          <w:i/>
        </w:rPr>
        <w:t xml:space="preserve"> </w:t>
      </w:r>
      <w:proofErr w:type="spellStart"/>
      <w:r w:rsidRPr="009A568D">
        <w:rPr>
          <w:i/>
        </w:rPr>
        <w:t>muelleri</w:t>
      </w:r>
      <w:proofErr w:type="spellEnd"/>
      <w:r w:rsidRPr="009A568D">
        <w:t xml:space="preserve"> subsp. </w:t>
      </w:r>
      <w:proofErr w:type="spellStart"/>
      <w:r w:rsidRPr="009A568D">
        <w:rPr>
          <w:i/>
        </w:rPr>
        <w:t>capricorni</w:t>
      </w:r>
      <w:bookmarkEnd w:id="947"/>
      <w:bookmarkEnd w:id="948"/>
      <w:proofErr w:type="spellEnd"/>
    </w:p>
    <w:p w:rsidR="009A568D" w:rsidRPr="00B14AD9" w:rsidRDefault="009A568D" w:rsidP="004A36C2">
      <w:pPr>
        <w:rPr>
          <w:rFonts w:cs="Arial"/>
        </w:rPr>
      </w:pPr>
    </w:p>
    <w:p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tissue nutrients</w:t>
      </w:r>
    </w:p>
    <w:p w:rsidR="004A36C2" w:rsidRPr="00BC33E3" w:rsidRDefault="004A36C2" w:rsidP="004A36C2">
      <w:pPr>
        <w:rPr>
          <w:rFonts w:cs="Segoe UI"/>
        </w:rPr>
      </w:pPr>
      <w:r w:rsidRPr="00BC33E3">
        <w:rPr>
          <w:rFonts w:cs="Segoe UI"/>
        </w:rPr>
        <w:t xml:space="preserve">Leaves are separated in the laboratory into seagrass species and epiphytic algae removed by gently scraping the leaf surface. Samples are oven dried at 60°C to weight constancy. Dried biomass samples of leaves are then homogenised by milling to fine powders prior to nutrient analyses and stored in sealed vials. </w:t>
      </w:r>
    </w:p>
    <w:p w:rsidR="004A36C2" w:rsidRPr="00BC33E3" w:rsidRDefault="004A36C2" w:rsidP="004A36C2">
      <w:pPr>
        <w:rPr>
          <w:rFonts w:cs="Segoe UI"/>
        </w:rPr>
      </w:pPr>
      <w:r w:rsidRPr="00BC33E3">
        <w:rPr>
          <w:rFonts w:cs="Segoe UI"/>
        </w:rPr>
        <w:t xml:space="preserve">The ground tissue samples are sent to </w:t>
      </w:r>
      <w:proofErr w:type="spellStart"/>
      <w:r w:rsidRPr="00BC33E3">
        <w:rPr>
          <w:rFonts w:cs="Segoe UI"/>
        </w:rPr>
        <w:t>Chemcentre</w:t>
      </w:r>
      <w:proofErr w:type="spellEnd"/>
      <w:r w:rsidRPr="00BC33E3">
        <w:rPr>
          <w:rFonts w:cs="Segoe UI"/>
        </w:rPr>
        <w:t xml:space="preserve"> (</w:t>
      </w:r>
      <w:smartTag w:uri="urn:schemas-microsoft-com:office:smarttags" w:element="place">
        <w:smartTag w:uri="urn:schemas-microsoft-com:office:smarttags" w:element="State">
          <w:r w:rsidRPr="00BC33E3">
            <w:rPr>
              <w:rFonts w:cs="Segoe UI"/>
            </w:rPr>
            <w:t>Western Australia</w:t>
          </w:r>
        </w:smartTag>
      </w:smartTag>
      <w:r w:rsidRPr="00BC33E3">
        <w:rPr>
          <w:rFonts w:cs="Segoe UI"/>
        </w:rPr>
        <w:t xml:space="preserve">) for analysis. The </w:t>
      </w:r>
      <w:proofErr w:type="spellStart"/>
      <w:r w:rsidRPr="00BC33E3">
        <w:rPr>
          <w:rFonts w:cs="Segoe UI"/>
        </w:rPr>
        <w:t>Chemcentre</w:t>
      </w:r>
      <w:proofErr w:type="spellEnd"/>
      <w:r w:rsidRPr="00BC33E3">
        <w:rPr>
          <w:rFonts w:cs="Segoe UI"/>
        </w:rPr>
        <w:t xml:space="preserve"> holds NATA accreditation for constituents of the environment including soil, sediments, waters and wastewaters. (Note that details of </w:t>
      </w:r>
      <w:proofErr w:type="spellStart"/>
      <w:r w:rsidRPr="00BC33E3">
        <w:rPr>
          <w:rFonts w:cs="Segoe UI"/>
        </w:rPr>
        <w:t>Chemcentre</w:t>
      </w:r>
      <w:proofErr w:type="spellEnd"/>
      <w:r w:rsidRPr="00BC33E3">
        <w:rPr>
          <w:rFonts w:cs="Segoe UI"/>
        </w:rPr>
        <w:t xml:space="preserve"> accreditation can be found at the NATA website: </w:t>
      </w:r>
      <w:hyperlink r:id="rId215" w:history="1">
        <w:r w:rsidR="00B229A4" w:rsidRPr="005E1875">
          <w:rPr>
            <w:rStyle w:val="Hyperlink"/>
            <w:rFonts w:cs="Segoe UI"/>
          </w:rPr>
          <w:t>www.nata.asn.au</w:t>
        </w:r>
      </w:hyperlink>
      <w:r w:rsidRPr="00BC33E3">
        <w:rPr>
          <w:rFonts w:cs="Segoe UI"/>
        </w:rPr>
        <w:t xml:space="preserve">). The NATA accreditation held by the </w:t>
      </w:r>
      <w:proofErr w:type="spellStart"/>
      <w:r w:rsidRPr="00BC33E3">
        <w:rPr>
          <w:rFonts w:cs="Segoe UI"/>
        </w:rPr>
        <w:t>ChemCentre</w:t>
      </w:r>
      <w:proofErr w:type="spellEnd"/>
      <w:r w:rsidRPr="00BC33E3">
        <w:rPr>
          <w:rFonts w:cs="Segoe UI"/>
        </w:rPr>
        <w:t xml:space="preserve"> includes a wide variety of QA/QC procedures covering the registration and identification of samples with unique codes and the regular calibration of all quantitative laboratory equipment required for the analysis. The </w:t>
      </w:r>
      <w:proofErr w:type="spellStart"/>
      <w:r w:rsidRPr="00BC33E3">
        <w:rPr>
          <w:rFonts w:cs="Segoe UI"/>
        </w:rPr>
        <w:t>ChemCentre</w:t>
      </w:r>
      <w:proofErr w:type="spellEnd"/>
      <w:r w:rsidRPr="00BC33E3">
        <w:rPr>
          <w:rFonts w:cs="Segoe UI"/>
        </w:rPr>
        <w:t xml:space="preserv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rsidR="004A36C2" w:rsidRPr="00BC33E3" w:rsidRDefault="004A36C2" w:rsidP="004A36C2">
      <w:pPr>
        <w:rPr>
          <w:rFonts w:cs="Segoe UI"/>
        </w:rPr>
      </w:pPr>
      <w:r w:rsidRPr="00BC33E3">
        <w:rPr>
          <w:rFonts w:cs="Segoe UI"/>
        </w:rPr>
        <w:t xml:space="preserve">Nitrogen and phosphorus are extracted using a standardized selenium </w:t>
      </w:r>
      <w:proofErr w:type="spellStart"/>
      <w:r w:rsidRPr="00BC33E3">
        <w:rPr>
          <w:rFonts w:cs="Segoe UI"/>
        </w:rPr>
        <w:t>Kjeldahl</w:t>
      </w:r>
      <w:proofErr w:type="spellEnd"/>
      <w:r w:rsidRPr="00BC33E3">
        <w:rPr>
          <w:rFonts w:cs="Segoe UI"/>
        </w:rPr>
        <w:t xml:space="preserve"> digest and the concentrations determined with an automatic analyser using standard techniques at </w:t>
      </w:r>
      <w:proofErr w:type="spellStart"/>
      <w:r w:rsidRPr="00BC33E3">
        <w:rPr>
          <w:rFonts w:cs="Segoe UI"/>
        </w:rPr>
        <w:t>Chemcentre</w:t>
      </w:r>
      <w:proofErr w:type="spellEnd"/>
      <w:r w:rsidRPr="00BC33E3">
        <w:rPr>
          <w:rFonts w:cs="Segoe UI"/>
        </w:rPr>
        <w:t xml:space="preserve"> in </w:t>
      </w:r>
      <w:smartTag w:uri="urn:schemas-microsoft-com:office:smarttags" w:element="place">
        <w:smartTag w:uri="urn:schemas-microsoft-com:office:smarttags" w:element="State">
          <w:r w:rsidRPr="00BC33E3">
            <w:rPr>
              <w:rFonts w:cs="Segoe UI"/>
            </w:rPr>
            <w:t>Western Australia</w:t>
          </w:r>
        </w:smartTag>
      </w:smartTag>
      <w:r w:rsidRPr="00BC33E3">
        <w:rPr>
          <w:rFonts w:cs="Segoe UI"/>
        </w:rPr>
        <w:t xml:space="preserve"> (a NATA certified laboratory). Percent C was determined using atomic absorption, also at </w:t>
      </w:r>
      <w:proofErr w:type="spellStart"/>
      <w:r w:rsidRPr="00BC33E3">
        <w:rPr>
          <w:rFonts w:cs="Segoe UI"/>
        </w:rPr>
        <w:t>Chemcentre</w:t>
      </w:r>
      <w:proofErr w:type="spellEnd"/>
      <w:r w:rsidRPr="00BC33E3">
        <w:rPr>
          <w:rFonts w:cs="Segoe UI"/>
        </w:rPr>
        <w:t xml:space="preserve">. Elemental ratios (C:N:P) are then calculated on a </w:t>
      </w:r>
      <w:proofErr w:type="spellStart"/>
      <w:r w:rsidRPr="00BC33E3">
        <w:rPr>
          <w:rFonts w:cs="Segoe UI"/>
        </w:rPr>
        <w:t>mole:mole</w:t>
      </w:r>
      <w:proofErr w:type="spellEnd"/>
      <w:r w:rsidRPr="00BC33E3">
        <w:rPr>
          <w:rFonts w:cs="Segoe UI"/>
        </w:rPr>
        <w:t xml:space="preserve"> basis using atomic </w:t>
      </w:r>
      <w:r w:rsidRPr="00BC33E3">
        <w:rPr>
          <w:rFonts w:cs="Segoe UI"/>
        </w:rPr>
        <w:lastRenderedPageBreak/>
        <w:t>weights (i.e., C=12, N=14, P=31). Analysis of all seagrass tissue nutrient data is based upon the calculation of the atomic ratios of C:N:P.</w:t>
      </w:r>
    </w:p>
    <w:p w:rsidR="004A36C2" w:rsidRPr="00BC33E3" w:rsidRDefault="004A36C2" w:rsidP="004A36C2">
      <w:pPr>
        <w:rPr>
          <w:rFonts w:cs="Segoe UI"/>
        </w:rPr>
      </w:pPr>
      <w:r w:rsidRPr="00BC33E3">
        <w:rPr>
          <w:rFonts w:cs="Segoe UI"/>
        </w:rPr>
        <w:t xml:space="preserve">To determine percent carbon, dried and milled seagrass leaf tissue material is combusted at 1400°C in a controlled atmosphere (e.g. </w:t>
      </w:r>
      <w:proofErr w:type="spellStart"/>
      <w:r w:rsidRPr="00BC33E3">
        <w:rPr>
          <w:rFonts w:cs="Segoe UI"/>
        </w:rPr>
        <w:t>Leco</w:t>
      </w:r>
      <w:proofErr w:type="spellEnd"/>
      <w:r w:rsidRPr="00BC33E3">
        <w:rPr>
          <w:rFonts w:cs="Segoe UI"/>
        </w:rPr>
        <w:t>). This converts all carbon containing compounds to carbon dioxide.  Water and oxygen is then removed from the system and the gaseous product is determined spectrophotometrically.</w:t>
      </w:r>
    </w:p>
    <w:p w:rsidR="004A36C2" w:rsidRPr="00BC33E3" w:rsidRDefault="004A36C2" w:rsidP="004A36C2">
      <w:pPr>
        <w:rPr>
          <w:rFonts w:cs="Segoe UI"/>
          <w:szCs w:val="20"/>
        </w:rPr>
      </w:pPr>
      <w:r w:rsidRPr="00BC33E3">
        <w:rPr>
          <w:rFonts w:cs="Segoe UI"/>
        </w:rPr>
        <w:t xml:space="preserve">Total nitrogen and phosphorus content of dried and milled homogenous seagrass tissue material is determined by </w:t>
      </w:r>
      <w:proofErr w:type="spellStart"/>
      <w:r w:rsidRPr="00BC33E3">
        <w:rPr>
          <w:rFonts w:cs="Segoe UI"/>
        </w:rPr>
        <w:t>Chemcentre</w:t>
      </w:r>
      <w:proofErr w:type="spellEnd"/>
      <w:r w:rsidRPr="00BC33E3">
        <w:rPr>
          <w:rFonts w:cs="Segoe UI"/>
        </w:rPr>
        <w:t xml:space="preserve"> using a standardized selenium </w:t>
      </w:r>
      <w:proofErr w:type="spellStart"/>
      <w:r w:rsidRPr="00BC33E3">
        <w:rPr>
          <w:rFonts w:cs="Segoe UI"/>
        </w:rPr>
        <w:t>Kjeldahl</w:t>
      </w:r>
      <w:proofErr w:type="spellEnd"/>
      <w:r w:rsidRPr="00BC33E3">
        <w:rPr>
          <w:rFonts w:cs="Segoe UI"/>
        </w:rPr>
        <w:t xml:space="preserve"> digest. Samples are digested in a mixture of sulphuric acid, potassium sulphate and a copper sulphat</w:t>
      </w:r>
      <w:r w:rsidR="00B07FC2">
        <w:rPr>
          <w:rFonts w:cs="Segoe UI"/>
        </w:rPr>
        <w:t xml:space="preserve">e catalyst (cf. </w:t>
      </w:r>
      <w:proofErr w:type="spellStart"/>
      <w:r w:rsidR="00B07FC2">
        <w:rPr>
          <w:rFonts w:cs="Segoe UI"/>
        </w:rPr>
        <w:t>Kjeldahl</w:t>
      </w:r>
      <w:proofErr w:type="spellEnd"/>
      <w:r w:rsidR="00B07FC2">
        <w:rPr>
          <w:rFonts w:cs="Segoe UI"/>
        </w:rPr>
        <w:t>).</w:t>
      </w:r>
      <w:r w:rsidRPr="00BC33E3">
        <w:rPr>
          <w:rFonts w:cs="Segoe UI"/>
        </w:rPr>
        <w:t xml:space="preserve"> This converts all forms of nitrogen to the ammonium form and all forms of phospho</w:t>
      </w:r>
      <w:r w:rsidR="00B07FC2">
        <w:rPr>
          <w:rFonts w:cs="Segoe UI"/>
        </w:rPr>
        <w:t>rus to the orthophosphate form.</w:t>
      </w:r>
      <w:r w:rsidRPr="00BC33E3">
        <w:rPr>
          <w:rFonts w:cs="Segoe UI"/>
        </w:rPr>
        <w:t xml:space="preserve"> The digest is diluted and any potentially interfering metals present are complexed with citrate and tartrate.</w:t>
      </w:r>
      <w:r w:rsidR="00B07FC2">
        <w:rPr>
          <w:rFonts w:cs="Segoe UI"/>
        </w:rPr>
        <w:t xml:space="preserve"> </w:t>
      </w:r>
      <w:r w:rsidRPr="00BC33E3">
        <w:rPr>
          <w:rFonts w:cs="Segoe UI"/>
        </w:rPr>
        <w:t xml:space="preserve">For the nitrogen determination an aliquot is taken and the ammonium ions are determined </w:t>
      </w:r>
      <w:proofErr w:type="spellStart"/>
      <w:r w:rsidRPr="00BC33E3">
        <w:rPr>
          <w:rFonts w:cs="Segoe UI"/>
        </w:rPr>
        <w:t>colorimetrically</w:t>
      </w:r>
      <w:proofErr w:type="spellEnd"/>
      <w:r w:rsidRPr="00BC33E3">
        <w:rPr>
          <w:rFonts w:cs="Segoe UI"/>
        </w:rPr>
        <w:t xml:space="preserve"> following reduction with hydrazine to the nitrate ion, followed by diazotisation of 1-naphthylenediamine and subsequent coupling with sulphanilamide. For total phosphorus an aliquot of the digest solution is diluted and the P determined as the </w:t>
      </w:r>
      <w:proofErr w:type="spellStart"/>
      <w:r w:rsidRPr="00BC33E3">
        <w:rPr>
          <w:rFonts w:cs="Segoe UI"/>
        </w:rPr>
        <w:t>phosphomolybdenum</w:t>
      </w:r>
      <w:proofErr w:type="spellEnd"/>
      <w:r w:rsidRPr="00BC33E3">
        <w:rPr>
          <w:rFonts w:cs="Segoe UI"/>
        </w:rPr>
        <w:t xml:space="preserve"> blue complex (modified Murphy and Riley</w:t>
      </w:r>
      <w:r w:rsidRPr="00BC33E3">
        <w:rPr>
          <w:rFonts w:cs="Segoe UI"/>
        </w:rPr>
        <w:fldChar w:fldCharType="begin"/>
      </w:r>
      <w:r w:rsidRPr="00BC33E3">
        <w:rPr>
          <w:rFonts w:cs="Segoe UI"/>
        </w:rPr>
        <w:instrText>ADDIN RW.CITE{{19446 Murphy, J. 1962}}</w:instrText>
      </w:r>
      <w:r w:rsidRPr="00BC33E3">
        <w:rPr>
          <w:rFonts w:cs="Segoe UI"/>
        </w:rPr>
        <w:fldChar w:fldCharType="separate"/>
      </w:r>
      <w:r w:rsidRPr="00BC33E3">
        <w:rPr>
          <w:rFonts w:cs="Segoe UI"/>
          <w:vertAlign w:val="superscript"/>
        </w:rPr>
        <w:t>117</w:t>
      </w:r>
      <w:r w:rsidRPr="00BC33E3">
        <w:rPr>
          <w:rFonts w:cs="Segoe UI"/>
        </w:rPr>
        <w:fldChar w:fldCharType="end"/>
      </w:r>
      <w:r w:rsidRPr="00BC33E3">
        <w:rPr>
          <w:rFonts w:cs="Segoe UI"/>
        </w:rPr>
        <w:t xml:space="preserve"> procedure).</w:t>
      </w:r>
    </w:p>
    <w:p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leaf isotopes</w:t>
      </w:r>
    </w:p>
    <w:p w:rsidR="004A36C2" w:rsidRPr="00BC33E3" w:rsidRDefault="004A36C2" w:rsidP="004A36C2">
      <w:pPr>
        <w:rPr>
          <w:rFonts w:cs="Segoe UI"/>
        </w:rPr>
      </w:pPr>
      <w:r w:rsidRPr="00BC33E3">
        <w:rPr>
          <w:rFonts w:cs="Segoe UI"/>
        </w:rPr>
        <w:t>A subset of each ground tissue sample was sent to Natural Isotopes (</w:t>
      </w:r>
      <w:smartTag w:uri="urn:schemas-microsoft-com:office:smarttags" w:element="place">
        <w:smartTag w:uri="urn:schemas-microsoft-com:office:smarttags" w:element="State">
          <w:r w:rsidRPr="00BC33E3">
            <w:rPr>
              <w:rFonts w:cs="Segoe UI"/>
            </w:rPr>
            <w:t>Western Australia</w:t>
          </w:r>
        </w:smartTag>
      </w:smartTag>
      <w:r w:rsidRPr="00BC33E3">
        <w:rPr>
          <w:rFonts w:cs="Segoe UI"/>
        </w:rPr>
        <w:t>) for δ</w:t>
      </w:r>
      <w:r w:rsidRPr="00BC33E3">
        <w:rPr>
          <w:rFonts w:cs="Segoe UI"/>
          <w:vertAlign w:val="superscript"/>
        </w:rPr>
        <w:t>15</w:t>
      </w:r>
      <w:r w:rsidRPr="00BC33E3">
        <w:rPr>
          <w:rFonts w:cs="Segoe UI"/>
        </w:rPr>
        <w:t>N and δ</w:t>
      </w:r>
      <w:r w:rsidRPr="00BC33E3">
        <w:rPr>
          <w:rFonts w:cs="Segoe UI"/>
          <w:vertAlign w:val="superscript"/>
        </w:rPr>
        <w:t>13</w:t>
      </w:r>
      <w:r w:rsidRPr="00BC33E3">
        <w:rPr>
          <w:rFonts w:cs="Segoe UI"/>
        </w:rPr>
        <w:t xml:space="preserve">C analysis. The samples were weighed into tin capsules and combusted by elemental analyser (ANCA-SL, </w:t>
      </w:r>
      <w:proofErr w:type="spellStart"/>
      <w:r w:rsidRPr="00BC33E3">
        <w:rPr>
          <w:rFonts w:cs="Segoe UI"/>
        </w:rPr>
        <w:t>SerCon</w:t>
      </w:r>
      <w:proofErr w:type="spellEnd"/>
      <w:r w:rsidRPr="00BC33E3">
        <w:rPr>
          <w:rFonts w:cs="Segoe UI"/>
        </w:rPr>
        <w:t xml:space="preserve"> Limited, </w:t>
      </w:r>
      <w:smartTag w:uri="urn:schemas-microsoft-com:office:smarttags" w:element="place">
        <w:smartTag w:uri="urn:schemas-microsoft-com:office:smarttags" w:element="City">
          <w:r w:rsidRPr="00BC33E3">
            <w:rPr>
              <w:rFonts w:cs="Segoe UI"/>
            </w:rPr>
            <w:t>Crewe</w:t>
          </w:r>
        </w:smartTag>
        <w:r w:rsidRPr="00BC33E3">
          <w:rPr>
            <w:rFonts w:cs="Segoe UI"/>
          </w:rPr>
          <w:t xml:space="preserve">, </w:t>
        </w:r>
        <w:smartTag w:uri="urn:schemas-microsoft-com:office:smarttags" w:element="country-region">
          <w:r w:rsidRPr="00BC33E3">
            <w:rPr>
              <w:rFonts w:cs="Segoe UI"/>
            </w:rPr>
            <w:t>United Kingdom</w:t>
          </w:r>
        </w:smartTag>
      </w:smartTag>
      <w:r w:rsidRPr="00BC33E3">
        <w:rPr>
          <w:rFonts w:cs="Segoe UI"/>
        </w:rPr>
        <w:t>) to N</w:t>
      </w:r>
      <w:r w:rsidRPr="00BC33E3">
        <w:rPr>
          <w:rFonts w:cs="Segoe UI"/>
          <w:vertAlign w:val="subscript"/>
        </w:rPr>
        <w:t>2</w:t>
      </w:r>
      <w:r w:rsidRPr="00BC33E3">
        <w:rPr>
          <w:rFonts w:cs="Segoe UI"/>
        </w:rPr>
        <w:t xml:space="preserve"> and CO</w:t>
      </w:r>
      <w:r w:rsidRPr="00BC33E3">
        <w:rPr>
          <w:rFonts w:cs="Segoe UI"/>
          <w:vertAlign w:val="subscript"/>
        </w:rPr>
        <w:t>2</w:t>
      </w:r>
      <w:r w:rsidRPr="00BC33E3">
        <w:rPr>
          <w:rFonts w:cs="Segoe UI"/>
        </w:rPr>
        <w:t>.  The N</w:t>
      </w:r>
      <w:r w:rsidRPr="00BC33E3">
        <w:rPr>
          <w:rFonts w:cs="Segoe UI"/>
          <w:vertAlign w:val="subscript"/>
        </w:rPr>
        <w:t>2</w:t>
      </w:r>
      <w:r w:rsidRPr="00BC33E3">
        <w:rPr>
          <w:rFonts w:cs="Segoe UI"/>
        </w:rPr>
        <w:t xml:space="preserve"> and CO</w:t>
      </w:r>
      <w:r w:rsidRPr="00BC33E3">
        <w:rPr>
          <w:rFonts w:cs="Segoe UI"/>
          <w:vertAlign w:val="subscript"/>
        </w:rPr>
        <w:t>2</w:t>
      </w:r>
      <w:r w:rsidRPr="00BC33E3">
        <w:rPr>
          <w:rFonts w:cs="Segoe UI"/>
        </w:rPr>
        <w:t xml:space="preserve"> was purified by gas chromatography and the nitrogen and carbon elemental composition and isotope ratios were determined by continuous flow isotope ratio mass spectrometry (20-22 IRMS, </w:t>
      </w:r>
      <w:proofErr w:type="spellStart"/>
      <w:r w:rsidRPr="00BC33E3">
        <w:rPr>
          <w:rFonts w:cs="Segoe UI"/>
        </w:rPr>
        <w:t>SerCon</w:t>
      </w:r>
      <w:proofErr w:type="spellEnd"/>
      <w:r w:rsidRPr="00BC33E3">
        <w:rPr>
          <w:rFonts w:cs="Segoe UI"/>
        </w:rPr>
        <w:t xml:space="preserve"> Limited, Crewe, United Kingdom).  Reference materials of know elemental composition and isotopic ratios were interspaced with the samples for calibration.</w:t>
      </w:r>
    </w:p>
    <w:p w:rsidR="004A36C2" w:rsidRPr="00BC33E3" w:rsidRDefault="004A36C2" w:rsidP="004A36C2">
      <w:pPr>
        <w:rPr>
          <w:rFonts w:cs="Segoe UI"/>
        </w:rPr>
      </w:pPr>
      <w:r w:rsidRPr="00BC33E3">
        <w:rPr>
          <w:rFonts w:cs="Segoe UI"/>
        </w:rPr>
        <w:t xml:space="preserve">Raw nitrogen and carbon elemental composition and isotope ratio data were corrected for instrument drift and blank contribution using </w:t>
      </w:r>
      <w:proofErr w:type="spellStart"/>
      <w:r w:rsidRPr="00BC33E3">
        <w:rPr>
          <w:rFonts w:cs="Segoe UI"/>
        </w:rPr>
        <w:t>Callisto</w:t>
      </w:r>
      <w:proofErr w:type="spellEnd"/>
      <w:r w:rsidRPr="00BC33E3">
        <w:rPr>
          <w:rFonts w:cs="Segoe UI"/>
        </w:rPr>
        <w:t xml:space="preserve"> software </w:t>
      </w:r>
      <w:proofErr w:type="spellStart"/>
      <w:r w:rsidRPr="00BC33E3">
        <w:rPr>
          <w:rFonts w:cs="Segoe UI"/>
        </w:rPr>
        <w:t>SerCon</w:t>
      </w:r>
      <w:proofErr w:type="spellEnd"/>
      <w:r w:rsidRPr="00BC33E3">
        <w:rPr>
          <w:rFonts w:cs="Segoe UI"/>
        </w:rPr>
        <w:t xml:space="preserve"> Limited, </w:t>
      </w:r>
      <w:smartTag w:uri="urn:schemas-microsoft-com:office:smarttags" w:element="place">
        <w:smartTag w:uri="urn:schemas-microsoft-com:office:smarttags" w:element="City">
          <w:r w:rsidRPr="00BC33E3">
            <w:rPr>
              <w:rFonts w:cs="Segoe UI"/>
            </w:rPr>
            <w:t>Crewe</w:t>
          </w:r>
        </w:smartTag>
        <w:r w:rsidRPr="00BC33E3">
          <w:rPr>
            <w:rFonts w:cs="Segoe UI"/>
          </w:rPr>
          <w:t xml:space="preserve">, </w:t>
        </w:r>
        <w:smartTag w:uri="urn:schemas-microsoft-com:office:smarttags" w:element="country-region">
          <w:r w:rsidRPr="00BC33E3">
            <w:rPr>
              <w:rFonts w:cs="Segoe UI"/>
            </w:rPr>
            <w:t>United Kingdom</w:t>
          </w:r>
        </w:smartTag>
      </w:smartTag>
      <w:r w:rsidRPr="00BC33E3">
        <w:rPr>
          <w:rFonts w:cs="Segoe UI"/>
        </w:rPr>
        <w:t>).  A standard analysed at variable weights corrects for instrument linearity, IAEA-N-2 and IAEA-N-1 used to normalise the nitrogen isotope ratio, IAEA-CH-6 and IAEA-CH-7 to normalise the carbon isotope ratio, such that IAEA-N-2 (δ</w:t>
      </w:r>
      <w:r w:rsidRPr="00BC33E3">
        <w:rPr>
          <w:rFonts w:cs="Segoe UI"/>
          <w:vertAlign w:val="superscript"/>
        </w:rPr>
        <w:t>15</w:t>
      </w:r>
      <w:r w:rsidRPr="00BC33E3">
        <w:rPr>
          <w:rFonts w:cs="Segoe UI"/>
        </w:rPr>
        <w:t>N = 20.32‰), IAEA-N-1 (δ</w:t>
      </w:r>
      <w:r w:rsidRPr="00BC33E3">
        <w:rPr>
          <w:rFonts w:cs="Segoe UI"/>
          <w:vertAlign w:val="superscript"/>
        </w:rPr>
        <w:t>15</w:t>
      </w:r>
      <w:r w:rsidRPr="00BC33E3">
        <w:rPr>
          <w:rFonts w:cs="Segoe UI"/>
        </w:rPr>
        <w:t>N = 0.43‰), IAEA-CH-6 (δ</w:t>
      </w:r>
      <w:r w:rsidRPr="00BC33E3">
        <w:rPr>
          <w:rFonts w:cs="Segoe UI"/>
          <w:vertAlign w:val="superscript"/>
        </w:rPr>
        <w:t>13</w:t>
      </w:r>
      <w:r w:rsidRPr="00BC33E3">
        <w:rPr>
          <w:rFonts w:cs="Segoe UI"/>
        </w:rPr>
        <w:t>C = -10.45‰) and IAEA-CH-7 δ</w:t>
      </w:r>
      <w:r w:rsidRPr="00BC33E3">
        <w:rPr>
          <w:rFonts w:cs="Segoe UI"/>
          <w:vertAlign w:val="superscript"/>
        </w:rPr>
        <w:t>13</w:t>
      </w:r>
      <w:r w:rsidRPr="00BC33E3">
        <w:rPr>
          <w:rFonts w:cs="Segoe UI"/>
        </w:rPr>
        <w:t>C = -32.15‰).</w:t>
      </w:r>
    </w:p>
    <w:p w:rsidR="004A36C2" w:rsidRDefault="004A36C2" w:rsidP="004A36C2">
      <w:pPr>
        <w:rPr>
          <w:rFonts w:cs="Segoe UI"/>
        </w:rPr>
      </w:pPr>
      <w:r w:rsidRPr="00BC33E3">
        <w:rPr>
          <w:rFonts w:cs="Segoe UI"/>
        </w:rPr>
        <w:t>Nitrogen isotope ratios were reported in parts per thousand (per mil) relative to N</w:t>
      </w:r>
      <w:r w:rsidRPr="00BC33E3">
        <w:rPr>
          <w:rFonts w:cs="Segoe UI"/>
          <w:vertAlign w:val="subscript"/>
        </w:rPr>
        <w:t>2</w:t>
      </w:r>
      <w:r w:rsidRPr="00BC33E3">
        <w:rPr>
          <w:rFonts w:cs="Segoe UI"/>
        </w:rPr>
        <w:t xml:space="preserve"> in air.  The nitrogen bearing internationally distributed isotope reference material N</w:t>
      </w:r>
      <w:r w:rsidRPr="00BC33E3">
        <w:rPr>
          <w:rFonts w:cs="Segoe UI"/>
          <w:vertAlign w:val="subscript"/>
        </w:rPr>
        <w:t>2</w:t>
      </w:r>
      <w:r w:rsidRPr="00BC33E3">
        <w:rPr>
          <w:rFonts w:cs="Segoe UI"/>
        </w:rPr>
        <w:t xml:space="preserve"> in air had a given value of 0‰ (exactly).  Carbon isotope ratios were reported in parts per thousand (per millilitre) relative to V-PDB.  The carbon bearing internationally distributed isotope reference materials NBS19 and L-SVEC, had a given value of +1.95‰ (exactly) and -46.6‰ (exactly). Compositional values were reported as percent nitrogen and percent carbon present in the sample analysed.</w:t>
      </w:r>
    </w:p>
    <w:p w:rsidR="008D6EF3" w:rsidRPr="00BC33E3" w:rsidRDefault="008D6EF3" w:rsidP="004A36C2">
      <w:pPr>
        <w:rPr>
          <w:rFonts w:cs="Segoe UI"/>
        </w:rPr>
      </w:pPr>
    </w:p>
    <w:p w:rsidR="008D6EF3" w:rsidRPr="00BC33E3" w:rsidRDefault="008D6EF3" w:rsidP="004A36C2">
      <w:pPr>
        <w:autoSpaceDE w:val="0"/>
        <w:autoSpaceDN w:val="0"/>
        <w:adjustRightInd w:val="0"/>
        <w:rPr>
          <w:rFonts w:cs="Segoe UI"/>
        </w:rPr>
      </w:pPr>
    </w:p>
    <w:p w:rsidR="00842050" w:rsidRDefault="00842050" w:rsidP="004A36C2">
      <w:pPr>
        <w:spacing w:before="60" w:after="60"/>
        <w:rPr>
          <w:rFonts w:cs="Segoe UI"/>
        </w:rPr>
        <w:sectPr w:rsidR="00842050" w:rsidSect="00104000">
          <w:headerReference w:type="even" r:id="rId216"/>
          <w:headerReference w:type="default" r:id="rId217"/>
          <w:footerReference w:type="default" r:id="rId218"/>
          <w:headerReference w:type="first" r:id="rId219"/>
          <w:pgSz w:w="11906" w:h="16838"/>
          <w:pgMar w:top="1418" w:right="1418" w:bottom="1418" w:left="1418" w:header="709" w:footer="709" w:gutter="0"/>
          <w:cols w:space="708"/>
          <w:docGrid w:linePitch="360"/>
        </w:sectPr>
      </w:pPr>
    </w:p>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F12624" w:rsidRDefault="00F12624" w:rsidP="00F12624"/>
    <w:p w:rsidR="00842050" w:rsidRPr="00902825" w:rsidRDefault="00842050" w:rsidP="001A5B75">
      <w:pPr>
        <w:pStyle w:val="Heading1"/>
        <w:pageBreakBefore w:val="0"/>
        <w:numPr>
          <w:ilvl w:val="0"/>
          <w:numId w:val="17"/>
        </w:numPr>
      </w:pPr>
      <w:bookmarkStart w:id="949" w:name="_Toc462047393"/>
      <w:r>
        <w:t>Report card methods and calculations</w:t>
      </w:r>
      <w:bookmarkEnd w:id="949"/>
    </w:p>
    <w:p w:rsidR="00842050" w:rsidRDefault="00842050" w:rsidP="00842050"/>
    <w:p w:rsidR="00842050" w:rsidRDefault="00842050" w:rsidP="00842050"/>
    <w:p w:rsidR="00842050" w:rsidRDefault="00842050" w:rsidP="00842050"/>
    <w:p w:rsidR="00842050" w:rsidRDefault="00842050" w:rsidP="00842050"/>
    <w:p w:rsidR="00842050" w:rsidRDefault="00842050" w:rsidP="00842050"/>
    <w:p w:rsidR="000C731C" w:rsidRPr="00475FC4" w:rsidRDefault="00842050" w:rsidP="00842050">
      <w:pPr>
        <w:spacing w:before="60" w:after="60"/>
        <w:rPr>
          <w:rFonts w:cs="Segoe UI"/>
        </w:rPr>
      </w:pPr>
      <w:r>
        <w:rPr>
          <w:color w:val="000000"/>
          <w:szCs w:val="22"/>
        </w:rPr>
        <w:br w:type="page"/>
      </w:r>
    </w:p>
    <w:p w:rsidR="00FA17EB" w:rsidRPr="00F12624" w:rsidRDefault="00FA17EB" w:rsidP="00F12624">
      <w:pPr>
        <w:pStyle w:val="Heading2"/>
      </w:pPr>
      <w:bookmarkStart w:id="950" w:name="_Toc462047394"/>
      <w:r w:rsidRPr="00F12624">
        <w:lastRenderedPageBreak/>
        <w:t>Report card approach</w:t>
      </w:r>
      <w:bookmarkEnd w:id="950"/>
    </w:p>
    <w:p w:rsidR="00842050" w:rsidRDefault="00842050" w:rsidP="00842050">
      <w:pPr>
        <w:rPr>
          <w:color w:val="000000"/>
          <w:szCs w:val="22"/>
        </w:rPr>
      </w:pPr>
      <w:r>
        <w:rPr>
          <w:color w:val="000000"/>
          <w:szCs w:val="22"/>
        </w:rPr>
        <w:t xml:space="preserve">Three indicators (presented as </w:t>
      </w:r>
      <w:proofErr w:type="spellStart"/>
      <w:r>
        <w:rPr>
          <w:color w:val="000000"/>
          <w:szCs w:val="22"/>
        </w:rPr>
        <w:t>unitless</w:t>
      </w:r>
      <w:proofErr w:type="spellEnd"/>
      <w:r>
        <w:rPr>
          <w:color w:val="000000"/>
          <w:szCs w:val="22"/>
        </w:rPr>
        <w:t xml:space="preserve"> scores) were </w:t>
      </w:r>
      <w:r>
        <w:rPr>
          <w:color w:val="000000"/>
          <w:szCs w:val="22"/>
          <w:lang w:val="en-US"/>
        </w:rPr>
        <w:t>selected by the GBRMPA, using advice from expert working groups and the Paddock to Reef Integration Team,</w:t>
      </w:r>
      <w:r>
        <w:rPr>
          <w:color w:val="000000"/>
          <w:szCs w:val="22"/>
        </w:rPr>
        <w:t xml:space="preserve"> for the seagrass report card: </w:t>
      </w:r>
    </w:p>
    <w:p w:rsidR="00842050" w:rsidRDefault="00842050" w:rsidP="00036CBF">
      <w:pPr>
        <w:numPr>
          <w:ilvl w:val="0"/>
          <w:numId w:val="18"/>
        </w:numPr>
        <w:spacing w:before="0" w:after="0"/>
        <w:rPr>
          <w:color w:val="000000"/>
          <w:szCs w:val="22"/>
        </w:rPr>
      </w:pPr>
      <w:r>
        <w:rPr>
          <w:color w:val="000000"/>
          <w:szCs w:val="22"/>
        </w:rPr>
        <w:t>seagrass abundance (cover)</w:t>
      </w:r>
    </w:p>
    <w:p w:rsidR="00842050" w:rsidRDefault="00842050" w:rsidP="00036CBF">
      <w:pPr>
        <w:numPr>
          <w:ilvl w:val="0"/>
          <w:numId w:val="18"/>
        </w:numPr>
        <w:spacing w:before="0" w:after="0"/>
        <w:rPr>
          <w:color w:val="000000"/>
          <w:szCs w:val="22"/>
        </w:rPr>
      </w:pPr>
      <w:r>
        <w:rPr>
          <w:color w:val="000000"/>
          <w:szCs w:val="22"/>
        </w:rPr>
        <w:t>reproductive effort</w:t>
      </w:r>
    </w:p>
    <w:p w:rsidR="00842050" w:rsidRDefault="00842050" w:rsidP="00036CBF">
      <w:pPr>
        <w:numPr>
          <w:ilvl w:val="0"/>
          <w:numId w:val="18"/>
        </w:numPr>
        <w:spacing w:before="0"/>
        <w:rPr>
          <w:color w:val="000000"/>
          <w:szCs w:val="22"/>
        </w:rPr>
      </w:pPr>
      <w:r>
        <w:rPr>
          <w:color w:val="000000"/>
          <w:szCs w:val="22"/>
        </w:rPr>
        <w:t>nutrient status (seagrass tissue C:N ratio)</w:t>
      </w:r>
    </w:p>
    <w:p w:rsidR="00842050" w:rsidRDefault="00842050" w:rsidP="00842050">
      <w:pPr>
        <w:rPr>
          <w:color w:val="000000"/>
        </w:rPr>
      </w:pPr>
      <w:r>
        <w:rPr>
          <w:color w:val="000000"/>
          <w:szCs w:val="22"/>
        </w:rPr>
        <w:t xml:space="preserve">The methods for calculation of scores was chosen by </w:t>
      </w:r>
      <w:r>
        <w:rPr>
          <w:color w:val="000000"/>
          <w:szCs w:val="22"/>
          <w:lang w:val="en-US"/>
        </w:rPr>
        <w:t xml:space="preserve">the Paddock to Reef Integration Team (i.e. not the authors of this report) and </w:t>
      </w:r>
      <w:r>
        <w:rPr>
          <w:color w:val="000000"/>
          <w:szCs w:val="22"/>
        </w:rPr>
        <w:t xml:space="preserve">all report card scores are transformed to a five point scale from 0 to 100 </w:t>
      </w:r>
      <w:r>
        <w:rPr>
          <w:color w:val="000000"/>
          <w:szCs w:val="22"/>
          <w:lang w:val="en-US"/>
        </w:rPr>
        <w:t xml:space="preserve">as directed </w:t>
      </w:r>
      <w:r>
        <w:rPr>
          <w:color w:val="000000"/>
          <w:szCs w:val="22"/>
        </w:rPr>
        <w:t>to allow integration with other components of the Paddock to Reef report card (</w:t>
      </w:r>
      <w:hyperlink w:anchor="_ENREF_91" w:tooltip="Department of the Premier and Cabinet, 2014 #10062" w:history="1">
        <w:r w:rsidR="00E6043D">
          <w:fldChar w:fldCharType="begin"/>
        </w:r>
        <w:r w:rsidR="00E6043D">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E6043D">
          <w:fldChar w:fldCharType="separate"/>
        </w:r>
        <w:r w:rsidR="00E6043D">
          <w:rPr>
            <w:noProof/>
          </w:rPr>
          <w:t>Department of the Premier and Cabinet 2014</w:t>
        </w:r>
        <w:r w:rsidR="00E6043D">
          <w:fldChar w:fldCharType="end"/>
        </w:r>
      </w:hyperlink>
      <w:r>
        <w:rPr>
          <w:color w:val="000000"/>
          <w:szCs w:val="22"/>
        </w:rPr>
        <w:t xml:space="preserve">). </w:t>
      </w:r>
      <w:r>
        <w:rPr>
          <w:i/>
          <w:color w:val="000000"/>
          <w:szCs w:val="22"/>
        </w:rPr>
        <w:t xml:space="preserve">Please note that the scale from 0 to 100 is </w:t>
      </w:r>
      <w:proofErr w:type="spellStart"/>
      <w:r>
        <w:rPr>
          <w:i/>
          <w:color w:val="000000"/>
          <w:szCs w:val="22"/>
        </w:rPr>
        <w:t>unitless</w:t>
      </w:r>
      <w:proofErr w:type="spellEnd"/>
      <w:r>
        <w:rPr>
          <w:i/>
          <w:color w:val="000000"/>
          <w:szCs w:val="22"/>
        </w:rPr>
        <w:t xml:space="preserve"> and should not be interpreted as a proportion or ratio.</w:t>
      </w:r>
    </w:p>
    <w:p w:rsidR="00842050" w:rsidRPr="00842050" w:rsidRDefault="00842050" w:rsidP="00842050">
      <w:pPr>
        <w:spacing w:before="240"/>
        <w:rPr>
          <w:color w:val="000000"/>
          <w:szCs w:val="22"/>
        </w:rPr>
      </w:pPr>
    </w:p>
    <w:p w:rsidR="00FA17EB" w:rsidRPr="00F12624" w:rsidRDefault="00EC7975" w:rsidP="00F12624">
      <w:pPr>
        <w:pStyle w:val="Heading2"/>
      </w:pPr>
      <w:bookmarkStart w:id="951" w:name="_Toc462047395"/>
      <w:r w:rsidRPr="00F12624">
        <w:t>Seagrass a</w:t>
      </w:r>
      <w:r w:rsidR="00FA17EB" w:rsidRPr="00F12624">
        <w:t>bundance</w:t>
      </w:r>
      <w:bookmarkEnd w:id="951"/>
      <w:r w:rsidRPr="00F12624">
        <w:t xml:space="preserve"> </w:t>
      </w:r>
    </w:p>
    <w:p w:rsidR="00842050" w:rsidRPr="00842050" w:rsidRDefault="00842050" w:rsidP="00842050">
      <w:pPr>
        <w:spacing w:before="240"/>
        <w:rPr>
          <w:color w:val="000000"/>
          <w:szCs w:val="22"/>
        </w:rPr>
      </w:pPr>
      <w:r w:rsidRPr="00842050">
        <w:rPr>
          <w:color w:val="000000"/>
          <w:szCs w:val="22"/>
        </w:rPr>
        <w:t xml:space="preserve">Seagrass abundance (% cover) is used to indicate the state of the seagrass to resist stressors, reproductive effort to indicate the potential for the seagrass to recover from loss, and the nutrient status to indicate the condition of the environment in which the seagrass are growing in recognition of seagrass' role as a </w:t>
      </w:r>
      <w:proofErr w:type="spellStart"/>
      <w:r w:rsidRPr="00842050">
        <w:rPr>
          <w:color w:val="000000"/>
          <w:szCs w:val="22"/>
        </w:rPr>
        <w:t>bioindicator</w:t>
      </w:r>
      <w:proofErr w:type="spellEnd"/>
      <w:r w:rsidRPr="00842050">
        <w:rPr>
          <w:color w:val="000000"/>
          <w:szCs w:val="22"/>
        </w:rPr>
        <w:t xml:space="preserve"> of environmental (including water quality) health.</w:t>
      </w:r>
    </w:p>
    <w:p w:rsidR="00842050" w:rsidRDefault="00842050" w:rsidP="00842050">
      <w:pPr>
        <w:spacing w:before="240"/>
        <w:rPr>
          <w:color w:val="000000"/>
          <w:szCs w:val="22"/>
        </w:rPr>
      </w:pPr>
      <w:r w:rsidRPr="00842050">
        <w:rPr>
          <w:color w:val="000000"/>
          <w:szCs w:val="22"/>
        </w:rPr>
        <w:t>The status of seagrass abundance (% cover) was determined using the seagrass abundance guidelines developed by McKenzie (2009). The seagrass abundance measure in the MMP is the average % cover of seagrass per monitoring site. Individual site and subregional (habitat type within each NRM region) seagrass abundance guidelines were developed based on % cover data collected from individual sites and/or reference sites (</w:t>
      </w:r>
      <w:hyperlink w:anchor="_ENREF_164" w:tooltip="McKenzie, 2009 #9756" w:history="1">
        <w:r w:rsidR="00E6043D">
          <w:rPr>
            <w:color w:val="000000"/>
            <w:szCs w:val="22"/>
          </w:rPr>
          <w:fldChar w:fldCharType="begin"/>
        </w:r>
        <w:r w:rsidR="00E6043D">
          <w:rPr>
            <w:color w:val="000000"/>
            <w:szCs w:val="22"/>
          </w:rPr>
          <w:instrText xml:space="preserve"> ADDIN EN.CITE &lt;EndNote&gt;&lt;Cite&gt;&lt;Author&gt;McKenzie&lt;/Author&gt;&lt;Year&gt;2009&lt;/Year&gt;&lt;RecNum&gt;9756&lt;/RecNum&gt;&lt;DisplayText&gt;McKenzie 2009&lt;/DisplayText&gt;&lt;record&gt;&lt;rec-number&gt;9756&lt;/rec-number&gt;&lt;foreign-keys&gt;&lt;key app="EN" db-id="0eve55x9y5vfd6e9dacxtew4eatve2dzds9a"&gt;9756&lt;/key&gt;&lt;/foreign-keys&gt;&lt;ref-type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 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http://www.rrrc.org.au/publications/downloads/113-QDPIF-McKenzie-L-2009-June-Milestone-Report.pdf  accessed 27 August 2010.&lt;/secondary-title&gt;&lt;/titles&gt;&lt;pages&gt;7-1&lt;/pages&gt;&lt;dates&gt;&lt;year&gt;2009&lt;/year&gt;&lt;/dates&gt;&lt;pub-location&gt;Cairns&lt;/pub-location&gt;&lt;publisher&gt;RRRC&lt;/publisher&gt;&lt;urls&gt;&lt;/urls&gt;&lt;/record&gt;&lt;/Cite&gt;&lt;/EndNote&gt;</w:instrText>
        </w:r>
        <w:r w:rsidR="00E6043D">
          <w:rPr>
            <w:color w:val="000000"/>
            <w:szCs w:val="22"/>
          </w:rPr>
          <w:fldChar w:fldCharType="separate"/>
        </w:r>
        <w:r w:rsidR="00E6043D">
          <w:rPr>
            <w:noProof/>
            <w:color w:val="000000"/>
            <w:szCs w:val="22"/>
          </w:rPr>
          <w:t>McKenzie 2009</w:t>
        </w:r>
        <w:r w:rsidR="00E6043D">
          <w:rPr>
            <w:color w:val="000000"/>
            <w:szCs w:val="22"/>
          </w:rPr>
          <w:fldChar w:fldCharType="end"/>
        </w:r>
      </w:hyperlink>
      <w:r w:rsidRPr="00842050">
        <w:rPr>
          <w:color w:val="000000"/>
          <w:szCs w:val="22"/>
        </w:rPr>
        <w:t>). Guidelines for individual sites were only applied if the conditions of the site aligned with reference site conditions.</w:t>
      </w:r>
    </w:p>
    <w:p w:rsidR="00EC7975" w:rsidRPr="00517276" w:rsidRDefault="00EC7975" w:rsidP="00842050">
      <w:pPr>
        <w:spacing w:before="240"/>
        <w:rPr>
          <w:color w:val="000000"/>
          <w:szCs w:val="22"/>
        </w:rPr>
      </w:pPr>
      <w:r w:rsidRPr="00517276">
        <w:rPr>
          <w:color w:val="000000"/>
          <w:szCs w:val="22"/>
        </w:rPr>
        <w:t>A reference site is a site whose condition is considered to be a suitable baseline or benchmark for assessment and management of sites in similar habitats. Ideally, seagrass meadows in near pristine condition with a long-term abundance database would have priority as reference sites. However, as near-pristine meadows are not available, sites which have received less intense impacts can justifiably be used. In such situations, reference sites are those where the condition of the site has been subject to minimal/limited disturbance for 3-5 years. The duration of 3-5 years is based on recovery from impact times (</w:t>
      </w:r>
      <w:hyperlink w:anchor="_ENREF_32" w:tooltip="Campbell, 2004 #2838" w:history="1">
        <w:r w:rsidR="00E6043D">
          <w:rPr>
            <w:color w:val="000000"/>
            <w:szCs w:val="22"/>
          </w:rPr>
          <w:fldChar w:fldCharType="begin"/>
        </w:r>
        <w:r w:rsidR="00E6043D">
          <w:rPr>
            <w:color w:val="000000"/>
            <w:szCs w:val="22"/>
          </w:rPr>
          <w:instrText xml:space="preserve"> ADDIN EN.CITE &lt;EndNote&gt;&lt;Cite&gt;&lt;Author&gt;Campbell&lt;/Author&gt;&lt;Year&gt;2004&lt;/Year&gt;&lt;RecNum&gt;2838&lt;/RecNum&gt;&lt;DisplayText&gt;Campbell and McKenzie 2004&lt;/DisplayText&gt;&lt;record&gt;&lt;rec-number&gt;2838&lt;/rec-number&gt;&lt;foreign-keys&gt;&lt;key app="EN" db-id="0eve55x9y5vfd6e9dacxtew4eatve2dzds9a"&gt;2838&lt;/key&gt;&lt;/foreign-keys&gt;&lt;ref-type name="Journal Article"&gt;17&lt;/ref-type&gt;&lt;contributors&gt;&lt;authors&gt;&lt;author&gt;Campbell, Stuart J.&lt;/author&gt;&lt;author&gt;McKenzie, Len 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number&gt;3&lt;/number&gt;&lt;dates&gt;&lt;year&gt;2004&lt;/year&gt;&lt;pub-dates&gt;&lt;date&gt;2004/7&lt;/date&gt;&lt;/pub-dates&gt;&lt;/dates&gt;&lt;urls&gt;&lt;related-urls&gt;&lt;url&gt;http://www.sciencedirect.com/science/article/B6WDV-4C4BJR5-5/2/154810987202fc6d27ba6fa35c07f197&lt;/url&gt;&lt;/related-urls&gt;&lt;/urls&gt;&lt;/record&gt;&lt;/Cite&gt;&lt;/EndNote&gt;</w:instrText>
        </w:r>
        <w:r w:rsidR="00E6043D">
          <w:rPr>
            <w:color w:val="000000"/>
            <w:szCs w:val="22"/>
          </w:rPr>
          <w:fldChar w:fldCharType="separate"/>
        </w:r>
        <w:r w:rsidR="00E6043D">
          <w:rPr>
            <w:noProof/>
            <w:color w:val="000000"/>
            <w:szCs w:val="22"/>
          </w:rPr>
          <w:t>Campbell and McKenzie 2004</w:t>
        </w:r>
        <w:r w:rsidR="00E6043D">
          <w:rPr>
            <w:color w:val="000000"/>
            <w:szCs w:val="22"/>
          </w:rPr>
          <w:fldChar w:fldCharType="end"/>
        </w:r>
      </w:hyperlink>
      <w:r w:rsidRPr="00517276">
        <w:rPr>
          <w:color w:val="000000"/>
          <w:szCs w:val="22"/>
        </w:rPr>
        <w:t xml:space="preserve">). </w:t>
      </w:r>
    </w:p>
    <w:p w:rsidR="00EC7975" w:rsidRPr="00517276" w:rsidRDefault="00036CBF" w:rsidP="00EC7975">
      <w:pPr>
        <w:spacing w:before="240"/>
        <w:rPr>
          <w:color w:val="000000"/>
          <w:szCs w:val="22"/>
        </w:rPr>
      </w:pPr>
      <w:r>
        <w:rPr>
          <w:color w:val="000000"/>
          <w:szCs w:val="22"/>
        </w:rPr>
        <w:t>There is n</w:t>
      </w:r>
      <w:r w:rsidR="00EC7975" w:rsidRPr="00517276">
        <w:rPr>
          <w:color w:val="000000"/>
          <w:szCs w:val="22"/>
        </w:rPr>
        <w:t xml:space="preserve">o </w:t>
      </w:r>
      <w:r>
        <w:rPr>
          <w:color w:val="000000"/>
          <w:szCs w:val="22"/>
        </w:rPr>
        <w:t>set/established</w:t>
      </w:r>
      <w:r w:rsidR="00EC7975" w:rsidRPr="00517276">
        <w:rPr>
          <w:color w:val="000000"/>
          <w:szCs w:val="22"/>
        </w:rPr>
        <w:t xml:space="preserve"> protocol for the selection of reference sites and the process is ultimately iterative. The criteria for defining a minimally/least disturbed seagrass reference site is based on </w:t>
      </w:r>
      <w:hyperlink w:anchor="_ENREF_188" w:tooltip="Monitoring River Health Initiative, 1994 #9713" w:history="1">
        <w:r w:rsidR="00E6043D">
          <w:rPr>
            <w:color w:val="000000"/>
            <w:szCs w:val="22"/>
          </w:rPr>
          <w:fldChar w:fldCharType="begin"/>
        </w:r>
        <w:r w:rsidR="00E6043D">
          <w:rPr>
            <w:color w:val="000000"/>
            <w:szCs w:val="22"/>
          </w:rPr>
          <w:instrText xml:space="preserve"> ADDIN EN.CITE &lt;EndNote&gt;&lt;Cite&gt;&lt;Author&gt;Monitoring River Health Initiative&lt;/Author&gt;&lt;Year&gt;1994&lt;/Year&gt;&lt;RecNum&gt;9713&lt;/RecNum&gt;&lt;DisplayText&gt;Monitoring River Health Initiative 1994&lt;/DisplayText&gt;&lt;record&gt;&lt;rec-number&gt;9713&lt;/rec-number&gt;&lt;foreign-keys&gt;&lt;key app="EN" db-id="0eve55x9y5vfd6e9dacxtew4eatve2dzds9a"&gt;9713&lt;/key&gt;&lt;/foreign-keys&gt;&lt;ref-type name="Book"&gt;6&lt;/ref-type&gt;&lt;contributors&gt;&lt;authors&gt;&lt;author&gt;Monitoring River Health Initiative,&lt;/author&gt;&lt;/authors&gt;&lt;/contributors&gt;&lt;titles&gt;&lt;title&gt;River Bioassessment Manual, National River Processes and Management Program, Tasmania. http://www.environment.gov.au/water/publications/environmental/rivers/nrhp/bioassess.html, accessed 10 February 2014.&lt;/title&gt;&lt;/titles&gt;&lt;pages&gt;44&lt;/pages&gt;&lt;dates&gt;&lt;year&gt;1994&lt;/year&gt;&lt;/dates&gt;&lt;urls&gt;&lt;/urls&gt;&lt;/record&gt;&lt;/Cite&gt;&lt;/EndNote&gt;</w:instrText>
        </w:r>
        <w:r w:rsidR="00E6043D">
          <w:rPr>
            <w:color w:val="000000"/>
            <w:szCs w:val="22"/>
          </w:rPr>
          <w:fldChar w:fldCharType="separate"/>
        </w:r>
        <w:r w:rsidR="00E6043D">
          <w:rPr>
            <w:noProof/>
            <w:color w:val="000000"/>
            <w:szCs w:val="22"/>
          </w:rPr>
          <w:t>Monitoring River Health Initiative 1994</w:t>
        </w:r>
        <w:r w:rsidR="00E6043D">
          <w:rPr>
            <w:color w:val="000000"/>
            <w:szCs w:val="22"/>
          </w:rPr>
          <w:fldChar w:fldCharType="end"/>
        </w:r>
      </w:hyperlink>
      <w:r w:rsidR="00EC7975" w:rsidRPr="00517276">
        <w:rPr>
          <w:color w:val="000000"/>
          <w:szCs w:val="22"/>
        </w:rPr>
        <w:t>) and includes some or all of the following:</w:t>
      </w:r>
    </w:p>
    <w:p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beyond 10km of a major river: as most suspended solids and particulate nutrients are deposited within a few kilometres of river mouths (</w:t>
      </w:r>
      <w:r w:rsidR="00644A84">
        <w:rPr>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RU4iIGRiLWlkPSIwZXZlNTV4OXk1dmZkNmU5ZGFjeHRldzRlYXR2ZTJkemRzOWEiPjkwNDM8L2tl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</w:fldData>
        </w:fldChar>
      </w:r>
      <w:r w:rsidR="00DD4F10">
        <w:rPr>
          <w:color w:val="000000"/>
          <w:szCs w:val="22"/>
        </w:rPr>
        <w:instrText xml:space="preserve"> ADDIN EN.CITE </w:instrText>
      </w:r>
      <w:r w:rsidR="00DD4F10">
        <w:rPr>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RU4iIGRiLWlkPSIwZXZlNTV4OXk1dmZkNmU5ZGFjeHRldzRlYXR2ZTJkemRzOWEiPjkwNDM8L2tl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</w:fldData>
        </w:fldChar>
      </w:r>
      <w:r w:rsidR="00DD4F10">
        <w:rPr>
          <w:color w:val="000000"/>
          <w:szCs w:val="22"/>
        </w:rPr>
        <w:instrText xml:space="preserve"> ADDIN EN.CITE.DATA </w:instrText>
      </w:r>
      <w:r w:rsidR="00DD4F10">
        <w:rPr>
          <w:color w:val="000000"/>
          <w:szCs w:val="22"/>
        </w:rPr>
      </w:r>
      <w:r w:rsidR="00DD4F10">
        <w:rPr>
          <w:color w:val="000000"/>
          <w:szCs w:val="22"/>
        </w:rPr>
        <w:fldChar w:fldCharType="end"/>
      </w:r>
      <w:r w:rsidR="00644A84">
        <w:rPr>
          <w:color w:val="000000"/>
          <w:szCs w:val="22"/>
        </w:rPr>
      </w:r>
      <w:r w:rsidR="00644A84">
        <w:rPr>
          <w:color w:val="000000"/>
          <w:szCs w:val="22"/>
        </w:rPr>
        <w:fldChar w:fldCharType="separate"/>
      </w:r>
      <w:hyperlink w:anchor="_ENREF_158" w:tooltip="McCulloch, 2003 #9043" w:history="1">
        <w:r w:rsidR="00E6043D">
          <w:rPr>
            <w:noProof/>
            <w:color w:val="000000"/>
            <w:szCs w:val="22"/>
          </w:rPr>
          <w:t>McCulloch</w:t>
        </w:r>
        <w:r w:rsidR="00E6043D" w:rsidRPr="00644A84">
          <w:rPr>
            <w:i/>
            <w:noProof/>
            <w:color w:val="000000"/>
            <w:szCs w:val="22"/>
          </w:rPr>
          <w:t xml:space="preserve"> et al.</w:t>
        </w:r>
        <w:r w:rsidR="00E6043D">
          <w:rPr>
            <w:noProof/>
            <w:color w:val="000000"/>
            <w:szCs w:val="22"/>
          </w:rPr>
          <w:t xml:space="preserve"> 2003</w:t>
        </w:r>
      </w:hyperlink>
      <w:r w:rsidR="00644A84">
        <w:rPr>
          <w:noProof/>
          <w:color w:val="000000"/>
          <w:szCs w:val="22"/>
        </w:rPr>
        <w:t xml:space="preserve">; </w:t>
      </w:r>
      <w:hyperlink w:anchor="_ENREF_241" w:tooltip="Webster, 2010 #9775" w:history="1">
        <w:r w:rsidR="00E6043D">
          <w:rPr>
            <w:noProof/>
            <w:color w:val="000000"/>
            <w:szCs w:val="22"/>
          </w:rPr>
          <w:t>Webster and Ford 2010</w:t>
        </w:r>
      </w:hyperlink>
      <w:r w:rsidR="00644A84">
        <w:rPr>
          <w:noProof/>
          <w:color w:val="000000"/>
          <w:szCs w:val="22"/>
        </w:rPr>
        <w:t xml:space="preserve">; </w:t>
      </w:r>
      <w:hyperlink w:anchor="_ENREF_10" w:tooltip="Bainbridge, 2012 #9776" w:history="1">
        <w:r w:rsidR="00E6043D">
          <w:rPr>
            <w:noProof/>
            <w:color w:val="000000"/>
            <w:szCs w:val="22"/>
          </w:rPr>
          <w:t>Bainbridge</w:t>
        </w:r>
        <w:r w:rsidR="00E6043D" w:rsidRPr="00644A84">
          <w:rPr>
            <w:i/>
            <w:noProof/>
            <w:color w:val="000000"/>
            <w:szCs w:val="22"/>
          </w:rPr>
          <w:t xml:space="preserve"> et al.</w:t>
        </w:r>
        <w:r w:rsidR="00E6043D">
          <w:rPr>
            <w:noProof/>
            <w:color w:val="000000"/>
            <w:szCs w:val="22"/>
          </w:rPr>
          <w:t xml:space="preserve"> 2012</w:t>
        </w:r>
      </w:hyperlink>
      <w:r w:rsidR="00644A84">
        <w:rPr>
          <w:noProof/>
          <w:color w:val="000000"/>
          <w:szCs w:val="22"/>
        </w:rPr>
        <w:t xml:space="preserve">; </w:t>
      </w:r>
      <w:hyperlink w:anchor="_ENREF_21" w:tooltip="Brodie, 2012 #9319" w:history="1">
        <w:r w:rsidR="00E6043D">
          <w:rPr>
            <w:noProof/>
            <w:color w:val="000000"/>
            <w:szCs w:val="22"/>
          </w:rPr>
          <w:t>Brodie</w:t>
        </w:r>
        <w:r w:rsidR="00E6043D" w:rsidRPr="00644A84">
          <w:rPr>
            <w:i/>
            <w:noProof/>
            <w:color w:val="000000"/>
            <w:szCs w:val="22"/>
          </w:rPr>
          <w:t xml:space="preserve"> et al.</w:t>
        </w:r>
        <w:r w:rsidR="00E6043D">
          <w:rPr>
            <w:noProof/>
            <w:color w:val="000000"/>
            <w:szCs w:val="22"/>
          </w:rPr>
          <w:t xml:space="preserve"> 2012</w:t>
        </w:r>
      </w:hyperlink>
      <w:r w:rsidR="00644A84">
        <w:rPr>
          <w:color w:val="000000"/>
          <w:szCs w:val="22"/>
        </w:rPr>
        <w:fldChar w:fldCharType="end"/>
      </w:r>
      <w:r w:rsidRPr="00517276">
        <w:rPr>
          <w:color w:val="000000"/>
          <w:szCs w:val="22"/>
        </w:rPr>
        <w:t>).</w:t>
      </w:r>
    </w:p>
    <w:p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no major urban area/development (&gt;5000 population) within 10km upstream (prevailing current)</w:t>
      </w:r>
    </w:p>
    <w:p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no significant point source wastewater discharge within the estuary</w:t>
      </w:r>
    </w:p>
    <w:p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 xml:space="preserve">has not been impacted by an event (anthropogenic or extreme climate) in the last 3-5 years </w:t>
      </w:r>
    </w:p>
    <w:p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where the species composition is dominated by the foundation species expected for the habitats (</w:t>
      </w:r>
      <w:hyperlink w:anchor="_ENREF_35" w:tooltip="Carruthers, 2002 #8021" w:history="1">
        <w:r w:rsidR="00E6043D">
          <w:rPr>
            <w:color w:val="000000"/>
            <w:szCs w:val="22"/>
          </w:rPr>
          <w:fldChar w:fldCharType="begin"/>
        </w:r>
        <w:r w:rsidR="00E6043D">
          <w:rPr>
            <w:color w:val="000000"/>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E6043D">
          <w:rPr>
            <w:color w:val="000000"/>
            <w:szCs w:val="22"/>
          </w:rPr>
          <w:fldChar w:fldCharType="separate"/>
        </w:r>
        <w:r w:rsidR="00E6043D">
          <w:rPr>
            <w:noProof/>
            <w:color w:val="000000"/>
            <w:szCs w:val="22"/>
          </w:rPr>
          <w:t>Carruthers</w:t>
        </w:r>
        <w:r w:rsidR="00E6043D" w:rsidRPr="00644A84">
          <w:rPr>
            <w:i/>
            <w:noProof/>
            <w:color w:val="000000"/>
            <w:szCs w:val="22"/>
          </w:rPr>
          <w:t>, et al.</w:t>
        </w:r>
        <w:r w:rsidR="00E6043D">
          <w:rPr>
            <w:noProof/>
            <w:color w:val="000000"/>
            <w:szCs w:val="22"/>
          </w:rPr>
          <w:t xml:space="preserve"> 2002</w:t>
        </w:r>
        <w:r w:rsidR="00E6043D">
          <w:rPr>
            <w:color w:val="000000"/>
            <w:szCs w:val="22"/>
          </w:rPr>
          <w:fldChar w:fldCharType="end"/>
        </w:r>
      </w:hyperlink>
      <w:r w:rsidRPr="00517276">
        <w:rPr>
          <w:color w:val="000000"/>
          <w:szCs w:val="22"/>
        </w:rPr>
        <w:t xml:space="preserve">), and </w:t>
      </w:r>
    </w:p>
    <w:p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does not suggest the meadow is in recovery (i.e. dominated by early colonising).</w:t>
      </w:r>
    </w:p>
    <w:p w:rsidR="00EC7975" w:rsidRPr="00517276" w:rsidRDefault="00EC7975" w:rsidP="00EC7975">
      <w:pPr>
        <w:spacing w:before="240"/>
        <w:rPr>
          <w:color w:val="000000"/>
          <w:szCs w:val="22"/>
        </w:rPr>
      </w:pPr>
      <w:r w:rsidRPr="00517276">
        <w:rPr>
          <w:color w:val="000000"/>
          <w:szCs w:val="22"/>
        </w:rPr>
        <w:lastRenderedPageBreak/>
        <w:t>The 80</w:t>
      </w:r>
      <w:r w:rsidRPr="00517276">
        <w:rPr>
          <w:color w:val="000000"/>
          <w:szCs w:val="22"/>
          <w:vertAlign w:val="superscript"/>
        </w:rPr>
        <w:t>th</w:t>
      </w:r>
      <w:r w:rsidRPr="00517276">
        <w:rPr>
          <w:color w:val="000000"/>
          <w:szCs w:val="22"/>
        </w:rPr>
        <w:t>, 50</w:t>
      </w:r>
      <w:r w:rsidRPr="00517276">
        <w:rPr>
          <w:color w:val="000000"/>
          <w:szCs w:val="22"/>
          <w:vertAlign w:val="superscript"/>
        </w:rPr>
        <w:t>th</w:t>
      </w:r>
      <w:r w:rsidRPr="00517276">
        <w:rPr>
          <w:color w:val="000000"/>
          <w:szCs w:val="22"/>
        </w:rPr>
        <w:t xml:space="preserve"> and 20</w:t>
      </w:r>
      <w:r w:rsidRPr="00517276">
        <w:rPr>
          <w:color w:val="000000"/>
          <w:szCs w:val="22"/>
          <w:vertAlign w:val="superscript"/>
        </w:rPr>
        <w:t>th</w:t>
      </w:r>
      <w:r w:rsidRPr="00517276">
        <w:rPr>
          <w:color w:val="000000"/>
          <w:szCs w:val="22"/>
        </w:rPr>
        <w:t xml:space="preserve"> percentiles were used to define the guideline values as these are recommended for water quality guidelines (</w:t>
      </w:r>
      <w:hyperlink w:anchor="_ENREF_90" w:tooltip="Department of Environment and Resource Management, 2009 #9777" w:history="1">
        <w:r w:rsidR="00E6043D">
          <w:rPr>
            <w:color w:val="000000"/>
            <w:szCs w:val="22"/>
          </w:rPr>
          <w:fldChar w:fldCharType="begin"/>
        </w:r>
        <w:r w:rsidR="00E6043D">
          <w:rPr>
            <w:color w:val="000000"/>
            <w:szCs w:val="22"/>
          </w:rPr>
          <w:instrText xml:space="preserve"> ADDIN EN.CITE &lt;EndNote&gt;&lt;Cite&gt;&lt;Author&gt;Department of Environment and Resource Management&lt;/Author&gt;&lt;Year&gt;2009&lt;/Year&gt;&lt;RecNum&gt;9777&lt;/RecNum&gt;&lt;DisplayText&gt;Department of Environment and Resource Management 2009&lt;/DisplayText&gt;&lt;record&gt;&lt;rec-number&gt;9777&lt;/rec-number&gt;&lt;foreign-keys&gt;&lt;key app="EN" db-id="0eve55x9y5vfd6e9dacxtew4eatve2dzds9a"&gt;9777&lt;/key&gt;&lt;/foreign-keys&gt;&lt;ref-type name="Book"&gt;6&lt;/ref-type&gt;&lt;contributors&gt;&lt;authors&gt;&lt;author&gt;Department of Environment and Resource Management,&lt;/author&gt;&lt;/authors&gt;&lt;/contributors&gt;&lt;titles&gt;&lt;title&gt;Queensland Water Quality Guidelines, Version 3. ISBN 978-0-9806986-0-2&lt;/title&gt;&lt;/titles&gt;&lt;pages&gt;121&lt;/pages&gt;&lt;dates&gt;&lt;year&gt;2009&lt;/year&gt;&lt;/dates&gt;&lt;pub-location&gt;Brisbane&lt;/pub-location&gt;&lt;publisher&gt;State of Queensland (Department of Environment and Resource Management)&lt;/publisher&gt;&lt;urls&gt;&lt;/urls&gt;&lt;/record&gt;&lt;/Cite&gt;&lt;/EndNote&gt;</w:instrText>
        </w:r>
        <w:r w:rsidR="00E6043D">
          <w:rPr>
            <w:color w:val="000000"/>
            <w:szCs w:val="22"/>
          </w:rPr>
          <w:fldChar w:fldCharType="separate"/>
        </w:r>
        <w:r w:rsidR="00E6043D">
          <w:rPr>
            <w:noProof/>
            <w:color w:val="000000"/>
            <w:szCs w:val="22"/>
          </w:rPr>
          <w:t>Department of Environment and Resource Management 2009</w:t>
        </w:r>
        <w:r w:rsidR="00E6043D">
          <w:rPr>
            <w:color w:val="000000"/>
            <w:szCs w:val="22"/>
          </w:rPr>
          <w:fldChar w:fldCharType="end"/>
        </w:r>
      </w:hyperlink>
      <w:r w:rsidRPr="00517276">
        <w:rPr>
          <w:color w:val="000000"/>
          <w:szCs w:val="22"/>
        </w:rPr>
        <w:t xml:space="preserve">), and there is no evidence that this approach would not be appropriate for seagrass meadows in the GBR. </w:t>
      </w:r>
      <w:r w:rsidR="006845E9">
        <w:rPr>
          <w:color w:val="000000"/>
          <w:szCs w:val="22"/>
        </w:rPr>
        <w:t xml:space="preserve">At the request of the </w:t>
      </w:r>
      <w:r w:rsidR="006845E9" w:rsidRPr="00517276">
        <w:rPr>
          <w:color w:val="000000"/>
          <w:szCs w:val="22"/>
          <w:lang w:val="en-US"/>
        </w:rPr>
        <w:t>Paddock to Reef Integration Team</w:t>
      </w:r>
      <w:r w:rsidR="006845E9">
        <w:rPr>
          <w:color w:val="000000"/>
          <w:szCs w:val="22"/>
          <w:lang w:val="en-US"/>
        </w:rPr>
        <w:t>, the 80</w:t>
      </w:r>
      <w:r w:rsidR="006845E9" w:rsidRPr="006845E9">
        <w:rPr>
          <w:color w:val="000000"/>
          <w:szCs w:val="22"/>
          <w:vertAlign w:val="superscript"/>
          <w:lang w:val="en-US"/>
        </w:rPr>
        <w:t>th</w:t>
      </w:r>
      <w:r w:rsidR="006845E9">
        <w:rPr>
          <w:color w:val="000000"/>
          <w:szCs w:val="22"/>
          <w:lang w:val="en-US"/>
        </w:rPr>
        <w:t xml:space="preserve"> percentile was changed to 75</w:t>
      </w:r>
      <w:r w:rsidR="006845E9" w:rsidRPr="006845E9">
        <w:rPr>
          <w:color w:val="000000"/>
          <w:szCs w:val="22"/>
          <w:vertAlign w:val="superscript"/>
          <w:lang w:val="en-US"/>
        </w:rPr>
        <w:t>th</w:t>
      </w:r>
      <w:r w:rsidR="006845E9">
        <w:rPr>
          <w:color w:val="000000"/>
          <w:szCs w:val="22"/>
          <w:lang w:val="en-US"/>
        </w:rPr>
        <w:t xml:space="preserve"> to align with other </w:t>
      </w:r>
      <w:r w:rsidR="006845E9" w:rsidRPr="00517276">
        <w:rPr>
          <w:color w:val="000000"/>
          <w:szCs w:val="22"/>
          <w:lang w:val="en-US"/>
        </w:rPr>
        <w:t xml:space="preserve">Paddock to Reef </w:t>
      </w:r>
      <w:r w:rsidR="006845E9">
        <w:rPr>
          <w:color w:val="000000"/>
          <w:szCs w:val="22"/>
          <w:lang w:val="en-US"/>
        </w:rPr>
        <w:t>report card</w:t>
      </w:r>
      <w:r w:rsidR="006845E9" w:rsidRPr="006845E9">
        <w:rPr>
          <w:color w:val="000000"/>
          <w:szCs w:val="22"/>
          <w:lang w:val="en-US"/>
        </w:rPr>
        <w:t xml:space="preserve"> </w:t>
      </w:r>
      <w:r w:rsidR="006845E9">
        <w:rPr>
          <w:color w:val="000000"/>
          <w:szCs w:val="22"/>
          <w:lang w:val="en-US"/>
        </w:rPr>
        <w:t>components.</w:t>
      </w:r>
      <w:r w:rsidR="006845E9">
        <w:rPr>
          <w:color w:val="000000"/>
          <w:szCs w:val="22"/>
        </w:rPr>
        <w:t xml:space="preserve"> </w:t>
      </w:r>
      <w:r w:rsidRPr="00517276">
        <w:rPr>
          <w:color w:val="000000"/>
          <w:szCs w:val="22"/>
        </w:rPr>
        <w:t>By plotting the percentile estimates with increasing sample size, the reduction in error becomes apparent as it moves towards the true value (e.g.</w:t>
      </w:r>
      <w:r w:rsidR="006624EF">
        <w:rPr>
          <w:color w:val="000000"/>
          <w:szCs w:val="22"/>
        </w:rPr>
        <w:t xml:space="preserve"> </w:t>
      </w:r>
      <w:r w:rsidR="006624EF">
        <w:rPr>
          <w:color w:val="000000"/>
          <w:szCs w:val="22"/>
        </w:rPr>
        <w:fldChar w:fldCharType="begin"/>
      </w:r>
      <w:r w:rsidR="006624EF">
        <w:rPr>
          <w:color w:val="000000"/>
          <w:szCs w:val="22"/>
        </w:rPr>
        <w:instrText xml:space="preserve"> REF _Ref410560182 \h </w:instrText>
      </w:r>
      <w:r w:rsidR="006624EF">
        <w:rPr>
          <w:color w:val="000000"/>
          <w:szCs w:val="22"/>
        </w:rPr>
      </w:r>
      <w:r w:rsidR="006624EF">
        <w:rPr>
          <w:color w:val="000000"/>
          <w:szCs w:val="22"/>
        </w:rPr>
        <w:fldChar w:fldCharType="separate"/>
      </w:r>
      <w:r w:rsidR="009C068F" w:rsidRPr="00517276">
        <w:rPr>
          <w:color w:val="000000"/>
        </w:rPr>
        <w:t xml:space="preserve">Figure </w:t>
      </w:r>
      <w:r w:rsidR="009C068F">
        <w:rPr>
          <w:noProof/>
          <w:color w:val="000000"/>
        </w:rPr>
        <w:t>131</w:t>
      </w:r>
      <w:r w:rsidR="006624EF">
        <w:rPr>
          <w:color w:val="000000"/>
          <w:szCs w:val="22"/>
        </w:rPr>
        <w:fldChar w:fldCharType="end"/>
      </w:r>
      <w:r w:rsidRPr="00517276">
        <w:rPr>
          <w:color w:val="000000"/>
          <w:szCs w:val="22"/>
        </w:rPr>
        <w:t xml:space="preserve">). </w:t>
      </w:r>
    </w:p>
    <w:p w:rsidR="00EC7975" w:rsidRPr="00517276" w:rsidRDefault="00EC7975" w:rsidP="00EC7975">
      <w:pPr>
        <w:spacing w:before="240"/>
        <w:rPr>
          <w:color w:val="000000"/>
          <w:szCs w:val="22"/>
        </w:rPr>
      </w:pPr>
      <w:r w:rsidRPr="00517276">
        <w:rPr>
          <w:color w:val="000000"/>
          <w:szCs w:val="22"/>
        </w:rPr>
        <w:t>Across the majority of reference sites, variance for the 50</w:t>
      </w:r>
      <w:r w:rsidRPr="00517276">
        <w:rPr>
          <w:color w:val="000000"/>
          <w:szCs w:val="22"/>
          <w:vertAlign w:val="superscript"/>
        </w:rPr>
        <w:t>th</w:t>
      </w:r>
      <w:r w:rsidRPr="00517276">
        <w:rPr>
          <w:color w:val="000000"/>
          <w:szCs w:val="22"/>
        </w:rPr>
        <w:t xml:space="preserve"> and 20</w:t>
      </w:r>
      <w:r w:rsidRPr="00517276">
        <w:rPr>
          <w:color w:val="000000"/>
          <w:szCs w:val="22"/>
          <w:vertAlign w:val="superscript"/>
        </w:rPr>
        <w:t>th</w:t>
      </w:r>
      <w:r w:rsidRPr="00517276">
        <w:rPr>
          <w:color w:val="000000"/>
          <w:szCs w:val="22"/>
        </w:rPr>
        <w:t xml:space="preserve"> percentiles was found to level off at around 15–20 samples (i.e. sampling events), suggesting this number of samples was sufficient to provide a reasonable estimate of the true percentile value.  This sample size is reasonably close to the </w:t>
      </w:r>
      <w:hyperlink w:anchor="_ENREF_7" w:tooltip="ANZECC, 2000 #7891" w:history="1">
        <w:r w:rsidR="00E6043D">
          <w:rPr>
            <w:color w:val="000000"/>
            <w:szCs w:val="22"/>
          </w:rPr>
          <w:fldChar w:fldCharType="begin"/>
        </w:r>
        <w:r w:rsidR="00E6043D">
          <w:rPr>
            <w:color w:val="000000"/>
            <w:szCs w:val="22"/>
          </w:rPr>
          <w:instrText xml:space="preserve"> ADDIN EN.CITE &lt;EndNote&gt;&lt;Cite&gt;&lt;Author&gt;ANZECC&lt;/Author&gt;&lt;Year&gt;2000&lt;/Year&gt;&lt;RecNum&gt;7891&lt;/RecNum&gt;&lt;DisplayText&gt;ANZECC 2000&lt;/DisplayText&gt;&lt;record&gt;&lt;rec-number&gt;7891&lt;/rec-number&gt;&lt;foreign-keys&gt;&lt;key app="EN" db-id="0eve55x9y5vfd6e9dacxtew4eatve2dzds9a"&gt;7891&lt;/key&gt;&lt;/foreign-keys&gt;&lt;ref-type name="Report"&gt;27&lt;/ref-type&gt;&lt;contributors&gt;&lt;authors&gt;&lt;author&gt;ANZECC,&lt;/author&gt;&lt;/authors&gt;&lt;/contributors&gt;&lt;titles&gt;&lt;title&gt;Australian and New Zealand guidelines for fresh and marine water quality&lt;/title&gt;&lt;/titles&gt;&lt;dates&gt;&lt;year&gt;2000&lt;/year&gt;&lt;/dates&gt;&lt;pub-location&gt;Canberra&lt;/pub-location&gt;&lt;publisher&gt;Australian and New Zealand Environment and Conservation Council and Agriculture and Resource Management Council of Australia and New Zealand&lt;/publisher&gt;&lt;urls&gt;&lt;/urls&gt;&lt;/record&gt;&lt;/Cite&gt;&lt;/EndNote&gt;</w:instrText>
        </w:r>
        <w:r w:rsidR="00E6043D">
          <w:rPr>
            <w:color w:val="000000"/>
            <w:szCs w:val="22"/>
          </w:rPr>
          <w:fldChar w:fldCharType="separate"/>
        </w:r>
        <w:r w:rsidR="00E6043D">
          <w:rPr>
            <w:noProof/>
            <w:color w:val="000000"/>
            <w:szCs w:val="22"/>
          </w:rPr>
          <w:t>ANZECC 2000</w:t>
        </w:r>
        <w:r w:rsidR="00E6043D">
          <w:rPr>
            <w:color w:val="000000"/>
            <w:szCs w:val="22"/>
          </w:rPr>
          <w:fldChar w:fldCharType="end"/>
        </w:r>
      </w:hyperlink>
      <w:r w:rsidRPr="00517276">
        <w:rPr>
          <w:color w:val="000000"/>
          <w:szCs w:val="22"/>
        </w:rPr>
        <w:t xml:space="preserve"> Guidelines recommendation of 24 data values. </w:t>
      </w:r>
    </w:p>
    <w:p w:rsidR="00EC7975" w:rsidRPr="00517276" w:rsidRDefault="00EC7975" w:rsidP="00EC7975">
      <w:pPr>
        <w:spacing w:before="240"/>
        <w:rPr>
          <w:color w:val="000000"/>
          <w:szCs w:val="22"/>
        </w:rPr>
      </w:pPr>
      <w:r w:rsidRPr="00517276">
        <w:rPr>
          <w:color w:val="000000"/>
          <w:szCs w:val="22"/>
        </w:rPr>
        <w:t xml:space="preserve">Nonlinear regressions (exponential rise to maximum, two parameter) were then fitted to percent cover percentile values at each number of sampling events using the following model: </w:t>
      </w:r>
    </w:p>
    <w:p w:rsidR="00EC7975" w:rsidRPr="00517276" w:rsidRDefault="001F4593" w:rsidP="00EC7975">
      <w:pPr>
        <w:spacing w:before="240"/>
        <w:jc w:val="center"/>
        <w:rPr>
          <w:color w:val="000000"/>
          <w:szCs w:val="22"/>
        </w:rPr>
      </w:pPr>
      <w:r w:rsidRPr="00517276">
        <w:rPr>
          <w:noProof/>
          <w:color w:val="000000"/>
          <w:position w:val="-10"/>
          <w:szCs w:val="22"/>
          <w:lang w:eastAsia="en-AU"/>
        </w:rPr>
        <w:drawing>
          <wp:inline distT="0" distB="0" distL="0" distR="0" wp14:anchorId="17E4D267" wp14:editId="40687EA7">
            <wp:extent cx="850900" cy="220980"/>
            <wp:effectExtent l="0" t="0" r="6350" b="7620"/>
            <wp:docPr id="130" name="Picture 130" descr="Model of nonlinear regressions (exponential rise to maximum, two parameter) fitted to percent cover percentile valu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850900" cy="220980"/>
                    </a:xfrm>
                    <a:prstGeom prst="rect">
                      <a:avLst/>
                    </a:prstGeom>
                    <a:noFill/>
                    <a:ln>
                      <a:noFill/>
                    </a:ln>
                  </pic:spPr>
                </pic:pic>
              </a:graphicData>
            </a:graphic>
          </wp:inline>
        </w:drawing>
      </w:r>
    </w:p>
    <w:p w:rsidR="00EC7975" w:rsidRPr="00517276" w:rsidRDefault="00EC7975" w:rsidP="00EC7975">
      <w:pPr>
        <w:spacing w:before="240"/>
        <w:rPr>
          <w:color w:val="000000"/>
          <w:szCs w:val="22"/>
        </w:rPr>
      </w:pPr>
      <w:r w:rsidRPr="00517276">
        <w:rPr>
          <w:color w:val="000000"/>
          <w:szCs w:val="22"/>
        </w:rPr>
        <w:t xml:space="preserve">where </w:t>
      </w:r>
      <w:r w:rsidRPr="00517276">
        <w:rPr>
          <w:i/>
          <w:color w:val="000000"/>
          <w:szCs w:val="22"/>
        </w:rPr>
        <w:t>y</w:t>
      </w:r>
      <w:r w:rsidRPr="00517276">
        <w:rPr>
          <w:color w:val="000000"/>
          <w:szCs w:val="22"/>
        </w:rPr>
        <w:t xml:space="preserve"> is the seagrass cover percentile at each number of sampling events (</w:t>
      </w:r>
      <w:r w:rsidRPr="00517276">
        <w:rPr>
          <w:i/>
          <w:color w:val="000000"/>
          <w:szCs w:val="22"/>
        </w:rPr>
        <w:t>x</w:t>
      </w:r>
      <w:r w:rsidRPr="00517276">
        <w:rPr>
          <w:color w:val="000000"/>
          <w:szCs w:val="22"/>
        </w:rPr>
        <w:t xml:space="preserve">), </w:t>
      </w:r>
      <w:r w:rsidRPr="00517276">
        <w:rPr>
          <w:i/>
          <w:color w:val="000000"/>
          <w:szCs w:val="22"/>
        </w:rPr>
        <w:t>a</w:t>
      </w:r>
      <w:r w:rsidRPr="00517276">
        <w:rPr>
          <w:color w:val="000000"/>
          <w:szCs w:val="22"/>
        </w:rPr>
        <w:t xml:space="preserve"> is the asymptotic average of the seagrass cover percentile, and </w:t>
      </w:r>
      <w:r w:rsidRPr="00517276">
        <w:rPr>
          <w:i/>
          <w:color w:val="000000"/>
          <w:szCs w:val="22"/>
        </w:rPr>
        <w:t>b</w:t>
      </w:r>
      <w:r w:rsidRPr="00517276">
        <w:rPr>
          <w:color w:val="000000"/>
          <w:szCs w:val="22"/>
        </w:rPr>
        <w:t xml:space="preserve"> is the rate coefficient that determines how quickly (or slowly) the maximum is attained (i.e., the slope). The asymptotic average was then used as the guideline value for each percentile (</w:t>
      </w:r>
      <w:r>
        <w:rPr>
          <w:color w:val="000000"/>
          <w:szCs w:val="22"/>
        </w:rPr>
        <w:fldChar w:fldCharType="begin"/>
      </w:r>
      <w:r>
        <w:rPr>
          <w:color w:val="000000"/>
          <w:szCs w:val="22"/>
        </w:rPr>
        <w:instrText xml:space="preserve"> REF _Ref340344284 \h </w:instrText>
      </w:r>
      <w:r>
        <w:rPr>
          <w:color w:val="000000"/>
          <w:szCs w:val="22"/>
        </w:rPr>
      </w:r>
      <w:r>
        <w:rPr>
          <w:color w:val="000000"/>
          <w:szCs w:val="22"/>
        </w:rPr>
        <w:fldChar w:fldCharType="separate"/>
      </w:r>
      <w:r w:rsidR="009C068F">
        <w:rPr>
          <w:color w:val="000000"/>
        </w:rPr>
        <w:t xml:space="preserve">Table </w:t>
      </w:r>
      <w:r w:rsidR="009C068F">
        <w:rPr>
          <w:noProof/>
          <w:color w:val="000000"/>
        </w:rPr>
        <w:t>33</w:t>
      </w:r>
      <w:r>
        <w:rPr>
          <w:color w:val="000000"/>
          <w:szCs w:val="22"/>
        </w:rPr>
        <w:fldChar w:fldCharType="end"/>
      </w:r>
      <w:r w:rsidRPr="00517276">
        <w:rPr>
          <w:color w:val="000000"/>
          <w:szCs w:val="22"/>
        </w:rPr>
        <w:t>).</w:t>
      </w:r>
    </w:p>
    <w:p w:rsidR="00EC7975" w:rsidRPr="00517276" w:rsidRDefault="001F4593" w:rsidP="00EC7975">
      <w:pPr>
        <w:jc w:val="center"/>
        <w:rPr>
          <w:color w:val="000000"/>
        </w:rPr>
      </w:pPr>
      <w:bookmarkStart w:id="952" w:name="_Ref316226853"/>
      <w:r w:rsidRPr="00517276">
        <w:rPr>
          <w:noProof/>
          <w:color w:val="000000"/>
          <w:lang w:eastAsia="en-AU"/>
        </w:rPr>
        <w:drawing>
          <wp:inline distT="0" distB="0" distL="0" distR="0" wp14:anchorId="03CFA038" wp14:editId="4F4225C3">
            <wp:extent cx="2773045" cy="2096770"/>
            <wp:effectExtent l="0" t="0" r="0" b="0"/>
            <wp:docPr id="131" name="Picture 131" descr="Figure showing relationship between sample size and the error in estimation of percentile values for seagrass abundance (% cover) in coastal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igure showing relationship between sample size and the error in estimation of percentile values for seagrass abundance (% cover) in coastal seagrass habitats in the Wet Tropics NRM."/>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2773045" cy="2096770"/>
                    </a:xfrm>
                    <a:prstGeom prst="rect">
                      <a:avLst/>
                    </a:prstGeom>
                    <a:noFill/>
                    <a:ln>
                      <a:noFill/>
                    </a:ln>
                  </pic:spPr>
                </pic:pic>
              </a:graphicData>
            </a:graphic>
          </wp:inline>
        </w:drawing>
      </w:r>
      <w:r w:rsidR="00EC7975" w:rsidRPr="00517276">
        <w:rPr>
          <w:color w:val="000000"/>
        </w:rPr>
        <w:t xml:space="preserve"> </w:t>
      </w:r>
      <w:r w:rsidRPr="00517276">
        <w:rPr>
          <w:noProof/>
          <w:color w:val="000000"/>
          <w:sz w:val="18"/>
          <w:szCs w:val="18"/>
          <w:lang w:eastAsia="en-AU"/>
        </w:rPr>
        <w:drawing>
          <wp:inline distT="0" distB="0" distL="0" distR="0" wp14:anchorId="37AF8421" wp14:editId="636CBB1B">
            <wp:extent cx="2768600" cy="2092325"/>
            <wp:effectExtent l="0" t="0" r="0" b="0"/>
            <wp:docPr id="132" name="Picture 132" descr="Figure showing relationship between sample size and the error in estimation of percentile values for seagrass abundance (% cover) in reef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Figure showing relationship between sample size and the error in estimation of percentile values for seagrass abundance (% cover) in reef seagrass habitats in the Wet Tropics NRM."/>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2768600" cy="2092325"/>
                    </a:xfrm>
                    <a:prstGeom prst="rect">
                      <a:avLst/>
                    </a:prstGeom>
                    <a:noFill/>
                    <a:ln>
                      <a:noFill/>
                    </a:ln>
                  </pic:spPr>
                </pic:pic>
              </a:graphicData>
            </a:graphic>
          </wp:inline>
        </w:drawing>
      </w:r>
    </w:p>
    <w:p w:rsidR="00EC7975" w:rsidRPr="00517276" w:rsidRDefault="00EC7975" w:rsidP="00EC7975">
      <w:pPr>
        <w:rPr>
          <w:i/>
          <w:vanish/>
          <w:color w:val="000000"/>
          <w:szCs w:val="22"/>
          <w:specVanish/>
        </w:rPr>
      </w:pPr>
      <w:bookmarkStart w:id="953" w:name="_Ref410560182"/>
      <w:bookmarkStart w:id="954" w:name="_Toc431493916"/>
      <w:bookmarkStart w:id="955" w:name="_Toc462684971"/>
      <w:r w:rsidRPr="00517276">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131</w:t>
      </w:r>
      <w:r w:rsidR="0073595B">
        <w:rPr>
          <w:color w:val="000000"/>
        </w:rPr>
        <w:fldChar w:fldCharType="end"/>
      </w:r>
      <w:bookmarkEnd w:id="952"/>
      <w:bookmarkEnd w:id="953"/>
      <w:r w:rsidRPr="00517276">
        <w:rPr>
          <w:color w:val="000000"/>
        </w:rPr>
        <w:t xml:space="preserve">. </w:t>
      </w:r>
      <w:r w:rsidRPr="00517276">
        <w:rPr>
          <w:i/>
          <w:color w:val="000000"/>
        </w:rPr>
        <w:t>Relationship between sample size and the error in estimation of percentile values for seagrass abundance (% cover) in coastal and reef seagrass habitats in the Wet Tropics NRM.</w:t>
      </w:r>
      <w:bookmarkEnd w:id="954"/>
      <w:bookmarkEnd w:id="955"/>
      <w:r w:rsidRPr="00517276">
        <w:rPr>
          <w:i/>
          <w:color w:val="000000"/>
        </w:rPr>
        <w:t xml:space="preserve"> </w:t>
      </w:r>
    </w:p>
    <w:p w:rsidR="00EC7975" w:rsidRPr="00517276" w:rsidRDefault="00EC7975" w:rsidP="00EC7975">
      <w:pPr>
        <w:rPr>
          <w:color w:val="000000"/>
        </w:rPr>
      </w:pPr>
      <w:r w:rsidRPr="00517276">
        <w:rPr>
          <w:i/>
          <w:color w:val="000000"/>
          <w:sz w:val="18"/>
          <w:szCs w:val="18"/>
        </w:rPr>
        <w:sym w:font="Wingdings 3" w:char="F071"/>
      </w:r>
      <w:r w:rsidRPr="00517276">
        <w:rPr>
          <w:i/>
          <w:color w:val="000000"/>
        </w:rPr>
        <w:t xml:space="preserve"> = 75</w:t>
      </w:r>
      <w:r w:rsidRPr="00DA2935">
        <w:rPr>
          <w:i/>
          <w:color w:val="000000"/>
          <w:vertAlign w:val="superscript"/>
        </w:rPr>
        <w:t>th</w:t>
      </w:r>
      <w:r w:rsidRPr="00517276">
        <w:rPr>
          <w:i/>
          <w:color w:val="000000"/>
        </w:rPr>
        <w:t xml:space="preserve"> percentile, ○ = 50</w:t>
      </w:r>
      <w:r w:rsidRPr="00DA2935">
        <w:rPr>
          <w:i/>
          <w:color w:val="000000"/>
          <w:vertAlign w:val="superscript"/>
        </w:rPr>
        <w:t>th</w:t>
      </w:r>
      <w:r w:rsidRPr="00517276">
        <w:rPr>
          <w:i/>
          <w:color w:val="000000"/>
        </w:rPr>
        <w:t xml:space="preserve"> percentile,● = 20</w:t>
      </w:r>
      <w:r w:rsidRPr="00DA2935">
        <w:rPr>
          <w:i/>
          <w:color w:val="000000"/>
          <w:vertAlign w:val="superscript"/>
        </w:rPr>
        <w:t>th</w:t>
      </w:r>
      <w:r w:rsidRPr="00517276">
        <w:rPr>
          <w:i/>
          <w:color w:val="000000"/>
        </w:rPr>
        <w:t xml:space="preserve"> percentile. Dashed lines are asymptotic averages for each percentile plot. </w:t>
      </w:r>
    </w:p>
    <w:p w:rsidR="00EC7975" w:rsidRPr="00517276" w:rsidRDefault="00EC7975" w:rsidP="00EC7975">
      <w:pPr>
        <w:rPr>
          <w:color w:val="000000"/>
          <w:szCs w:val="22"/>
        </w:rPr>
      </w:pPr>
      <w:r w:rsidRPr="00517276">
        <w:rPr>
          <w:color w:val="000000"/>
          <w:szCs w:val="22"/>
        </w:rPr>
        <w:t>As sampling events occur every 3-6 months depending on the site, this is equivalent to 3-10 years of monitoring to establish percentile values. Based on the analyses, it was recommended that estimates of the 20</w:t>
      </w:r>
      <w:r w:rsidRPr="00517276">
        <w:rPr>
          <w:color w:val="000000"/>
          <w:szCs w:val="22"/>
          <w:vertAlign w:val="superscript"/>
        </w:rPr>
        <w:t>th</w:t>
      </w:r>
      <w:r w:rsidRPr="00517276">
        <w:rPr>
          <w:color w:val="000000"/>
          <w:szCs w:val="22"/>
        </w:rPr>
        <w:t xml:space="preserve"> percentile at a reference site should be based on a minimum of 18 samples collected over at least three years. For the 50</w:t>
      </w:r>
      <w:r w:rsidRPr="00517276">
        <w:rPr>
          <w:color w:val="000000"/>
          <w:szCs w:val="22"/>
          <w:vertAlign w:val="superscript"/>
        </w:rPr>
        <w:t>th</w:t>
      </w:r>
      <w:r w:rsidRPr="00517276">
        <w:rPr>
          <w:color w:val="000000"/>
          <w:szCs w:val="22"/>
        </w:rPr>
        <w:t xml:space="preserve"> percentile a smaller minimum number of samples (approximately 10–12) would be adequate but in most situations it would be necessary to collect sufficient data for the 20</w:t>
      </w:r>
      <w:r w:rsidRPr="00517276">
        <w:rPr>
          <w:color w:val="000000"/>
          <w:szCs w:val="22"/>
          <w:vertAlign w:val="superscript"/>
        </w:rPr>
        <w:t>th</w:t>
      </w:r>
      <w:r w:rsidRPr="00517276">
        <w:rPr>
          <w:color w:val="000000"/>
          <w:szCs w:val="22"/>
        </w:rPr>
        <w:t xml:space="preserve"> percentile anyway. For seagrass habitats with low variability, a more appropriate guideline was the 10</w:t>
      </w:r>
      <w:r w:rsidRPr="00517276">
        <w:rPr>
          <w:color w:val="000000"/>
          <w:szCs w:val="22"/>
          <w:vertAlign w:val="superscript"/>
        </w:rPr>
        <w:t>th</w:t>
      </w:r>
      <w:r w:rsidRPr="00517276">
        <w:rPr>
          <w:color w:val="000000"/>
          <w:szCs w:val="22"/>
        </w:rPr>
        <w:t xml:space="preserve"> percentile primarily the result of seasonal fluctuations (as nearly every seasonal low would fall below the 20</w:t>
      </w:r>
      <w:r w:rsidRPr="00517276">
        <w:rPr>
          <w:color w:val="000000"/>
          <w:szCs w:val="22"/>
          <w:vertAlign w:val="superscript"/>
        </w:rPr>
        <w:t>th</w:t>
      </w:r>
      <w:r w:rsidRPr="00517276">
        <w:rPr>
          <w:color w:val="000000"/>
          <w:szCs w:val="22"/>
        </w:rPr>
        <w:t xml:space="preserve"> percentile). Percentile variability was further reduced within a habitat type of each region by pooling at least two (preferably more) reference sites to derive guidelines. The subregional guideline is calculated from the mean of all reference sites within a habitat type within a region.</w:t>
      </w:r>
    </w:p>
    <w:p w:rsidR="00EC7975" w:rsidRPr="00517276" w:rsidRDefault="00EC7975" w:rsidP="00EC7975">
      <w:pPr>
        <w:rPr>
          <w:color w:val="000000"/>
          <w:szCs w:val="22"/>
        </w:rPr>
      </w:pPr>
      <w:r w:rsidRPr="00517276">
        <w:rPr>
          <w:color w:val="000000"/>
          <w:szCs w:val="22"/>
        </w:rPr>
        <w:lastRenderedPageBreak/>
        <w:t>Using the seagrass guidelines, seagrass state can be determined for each monitoring event at each site and allocated as good (median abundance at or above 50</w:t>
      </w:r>
      <w:r w:rsidRPr="00517276">
        <w:rPr>
          <w:color w:val="000000"/>
          <w:szCs w:val="22"/>
          <w:vertAlign w:val="superscript"/>
        </w:rPr>
        <w:t>th</w:t>
      </w:r>
      <w:r w:rsidRPr="00517276">
        <w:rPr>
          <w:color w:val="000000"/>
          <w:szCs w:val="22"/>
        </w:rPr>
        <w:t xml:space="preserve"> percentile), moderate (median abundance below 50</w:t>
      </w:r>
      <w:r w:rsidRPr="00517276">
        <w:rPr>
          <w:color w:val="000000"/>
          <w:szCs w:val="22"/>
          <w:vertAlign w:val="superscript"/>
        </w:rPr>
        <w:t>th</w:t>
      </w:r>
      <w:r w:rsidRPr="00517276">
        <w:rPr>
          <w:color w:val="000000"/>
          <w:szCs w:val="22"/>
        </w:rPr>
        <w:t xml:space="preserve"> percentile and at or above 20</w:t>
      </w:r>
      <w:r w:rsidRPr="00517276">
        <w:rPr>
          <w:color w:val="000000"/>
          <w:szCs w:val="22"/>
          <w:vertAlign w:val="superscript"/>
        </w:rPr>
        <w:t>th</w:t>
      </w:r>
      <w:r w:rsidRPr="00517276">
        <w:rPr>
          <w:color w:val="000000"/>
          <w:szCs w:val="22"/>
        </w:rPr>
        <w:t xml:space="preserve"> percentile), poor (median abundance below 20</w:t>
      </w:r>
      <w:r w:rsidRPr="00517276">
        <w:rPr>
          <w:color w:val="000000"/>
          <w:szCs w:val="22"/>
          <w:vertAlign w:val="superscript"/>
        </w:rPr>
        <w:t>th</w:t>
      </w:r>
      <w:r w:rsidRPr="00517276">
        <w:rPr>
          <w:color w:val="000000"/>
          <w:szCs w:val="22"/>
        </w:rPr>
        <w:t xml:space="preserve"> or 10</w:t>
      </w:r>
      <w:r w:rsidRPr="00517276">
        <w:rPr>
          <w:color w:val="000000"/>
          <w:szCs w:val="22"/>
          <w:vertAlign w:val="superscript"/>
        </w:rPr>
        <w:t>th</w:t>
      </w:r>
      <w:r w:rsidRPr="00517276">
        <w:rPr>
          <w:color w:val="000000"/>
          <w:szCs w:val="22"/>
        </w:rPr>
        <w:t xml:space="preserve"> percentile).  For example, when the median seagrass abundance for Yule Point is plotted against the 20</w:t>
      </w:r>
      <w:r w:rsidRPr="00517276">
        <w:rPr>
          <w:color w:val="000000"/>
          <w:szCs w:val="22"/>
          <w:vertAlign w:val="superscript"/>
        </w:rPr>
        <w:t>th</w:t>
      </w:r>
      <w:r w:rsidRPr="00517276">
        <w:rPr>
          <w:color w:val="000000"/>
          <w:szCs w:val="22"/>
        </w:rPr>
        <w:t xml:space="preserve"> and 50</w:t>
      </w:r>
      <w:r w:rsidRPr="00517276">
        <w:rPr>
          <w:color w:val="000000"/>
          <w:szCs w:val="22"/>
          <w:vertAlign w:val="superscript"/>
        </w:rPr>
        <w:t>th</w:t>
      </w:r>
      <w:r w:rsidRPr="00517276">
        <w:rPr>
          <w:color w:val="000000"/>
          <w:szCs w:val="22"/>
        </w:rPr>
        <w:t xml:space="preserve"> percentiles for coastal habitats in the Wet Tropics (</w:t>
      </w:r>
      <w:r w:rsidR="00144953">
        <w:rPr>
          <w:color w:val="000000"/>
          <w:szCs w:val="22"/>
        </w:rPr>
        <w:fldChar w:fldCharType="begin"/>
      </w:r>
      <w:r w:rsidR="00144953">
        <w:rPr>
          <w:color w:val="000000"/>
          <w:szCs w:val="22"/>
        </w:rPr>
        <w:instrText xml:space="preserve"> REF _Ref410146982 \h </w:instrText>
      </w:r>
      <w:r w:rsidR="00144953">
        <w:rPr>
          <w:color w:val="000000"/>
          <w:szCs w:val="22"/>
        </w:rPr>
      </w:r>
      <w:r w:rsidR="00144953">
        <w:rPr>
          <w:color w:val="000000"/>
          <w:szCs w:val="22"/>
        </w:rPr>
        <w:fldChar w:fldCharType="separate"/>
      </w:r>
      <w:r w:rsidR="009C068F" w:rsidRPr="00517276">
        <w:rPr>
          <w:color w:val="000000"/>
          <w:szCs w:val="22"/>
        </w:rPr>
        <w:t xml:space="preserve">Figure </w:t>
      </w:r>
      <w:r w:rsidR="009C068F">
        <w:rPr>
          <w:noProof/>
          <w:color w:val="000000"/>
          <w:szCs w:val="22"/>
        </w:rPr>
        <w:t>132</w:t>
      </w:r>
      <w:r w:rsidR="00144953">
        <w:rPr>
          <w:color w:val="000000"/>
          <w:szCs w:val="22"/>
        </w:rPr>
        <w:fldChar w:fldCharType="end"/>
      </w:r>
      <w:r w:rsidRPr="00517276">
        <w:rPr>
          <w:color w:val="000000"/>
          <w:szCs w:val="22"/>
        </w:rPr>
        <w:t xml:space="preserve">), it indicates that the meadows were in a poor condition in </w:t>
      </w:r>
      <w:proofErr w:type="spellStart"/>
      <w:r w:rsidRPr="00517276">
        <w:rPr>
          <w:color w:val="000000"/>
          <w:szCs w:val="22"/>
        </w:rPr>
        <w:t>mid 2000</w:t>
      </w:r>
      <w:proofErr w:type="spellEnd"/>
      <w:r w:rsidRPr="00517276">
        <w:rPr>
          <w:color w:val="000000"/>
          <w:szCs w:val="22"/>
        </w:rPr>
        <w:t>, mid 2001 and mid 2006 (based on abundance).</w:t>
      </w:r>
    </w:p>
    <w:p w:rsidR="00EC7975" w:rsidRPr="00517276" w:rsidRDefault="001F4593" w:rsidP="00EC7975">
      <w:pPr>
        <w:jc w:val="center"/>
        <w:rPr>
          <w:color w:val="000000"/>
          <w:szCs w:val="22"/>
        </w:rPr>
      </w:pPr>
      <w:bookmarkStart w:id="956" w:name="_Ref316226955"/>
      <w:r w:rsidRPr="00517276">
        <w:rPr>
          <w:noProof/>
          <w:color w:val="000000"/>
          <w:lang w:eastAsia="en-AU"/>
        </w:rPr>
        <w:drawing>
          <wp:inline distT="0" distB="0" distL="0" distR="0" wp14:anchorId="5D52E1D5" wp14:editId="4FAE9F37">
            <wp:extent cx="2700000" cy="1641600"/>
            <wp:effectExtent l="0" t="0" r="5715" b="0"/>
            <wp:docPr id="133" name="Picture 133" descr="Figure showing median seagrass abundance (% cover) at Yule Point plotted against the 50th and 20th percentiles for coastal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Figure showing median seagrass abundance (% cover) at Yule Point plotted against the 50th and 20th percentiles for coastal seagrass habitat in the Wet Tropics"/>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2700000" cy="1641600"/>
                    </a:xfrm>
                    <a:prstGeom prst="rect">
                      <a:avLst/>
                    </a:prstGeom>
                    <a:noFill/>
                    <a:ln>
                      <a:noFill/>
                    </a:ln>
                  </pic:spPr>
                </pic:pic>
              </a:graphicData>
            </a:graphic>
          </wp:inline>
        </w:drawing>
      </w:r>
      <w:r w:rsidR="005F7F6E">
        <w:rPr>
          <w:color w:val="000000"/>
          <w:szCs w:val="22"/>
        </w:rPr>
        <w:t xml:space="preserve"> </w:t>
      </w:r>
      <w:r w:rsidR="005F7F6E" w:rsidRPr="00517276">
        <w:rPr>
          <w:noProof/>
          <w:color w:val="000000"/>
          <w:lang w:eastAsia="en-AU"/>
        </w:rPr>
        <w:drawing>
          <wp:inline distT="0" distB="0" distL="0" distR="0" wp14:anchorId="791EDDF7" wp14:editId="30363688">
            <wp:extent cx="2700000" cy="1641600"/>
            <wp:effectExtent l="0" t="0" r="5715" b="0"/>
            <wp:docPr id="134" name="Picture 134" descr="Figure showing median seagrass abundance (% cover) at Green Island plotted against the 50th and 10th percentiles for intertidal reef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Figure showing median seagrass abundance (% cover) at Green Island plotted against the 50th and 10th percentiles for intertidal reef seagrass habitat in the Wet Tropics."/>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2700000" cy="1641600"/>
                    </a:xfrm>
                    <a:prstGeom prst="rect">
                      <a:avLst/>
                    </a:prstGeom>
                    <a:noFill/>
                    <a:ln>
                      <a:noFill/>
                    </a:ln>
                  </pic:spPr>
                </pic:pic>
              </a:graphicData>
            </a:graphic>
          </wp:inline>
        </w:drawing>
      </w:r>
    </w:p>
    <w:p w:rsidR="00EC7975" w:rsidRPr="00517276" w:rsidRDefault="00EC7975" w:rsidP="00EC7975">
      <w:pPr>
        <w:rPr>
          <w:i/>
          <w:color w:val="000000"/>
          <w:szCs w:val="22"/>
        </w:rPr>
      </w:pPr>
      <w:bookmarkStart w:id="957" w:name="_Ref410146982"/>
      <w:bookmarkStart w:id="958" w:name="_Toc431493917"/>
      <w:bookmarkStart w:id="959" w:name="_Toc462684972"/>
      <w:r w:rsidRPr="0051727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132</w:t>
      </w:r>
      <w:r w:rsidR="0073595B">
        <w:rPr>
          <w:color w:val="000000"/>
          <w:szCs w:val="22"/>
        </w:rPr>
        <w:fldChar w:fldCharType="end"/>
      </w:r>
      <w:bookmarkEnd w:id="956"/>
      <w:bookmarkEnd w:id="957"/>
      <w:r w:rsidRPr="00517276">
        <w:rPr>
          <w:color w:val="000000"/>
          <w:szCs w:val="22"/>
        </w:rPr>
        <w:t>.</w:t>
      </w:r>
      <w:r w:rsidRPr="00517276">
        <w:rPr>
          <w:i/>
          <w:color w:val="000000"/>
          <w:szCs w:val="22"/>
        </w:rPr>
        <w:t xml:space="preserve"> Median seagrass abundance (% cover) at Yule Point </w:t>
      </w:r>
      <w:r w:rsidR="005F7F6E">
        <w:rPr>
          <w:i/>
          <w:color w:val="000000"/>
          <w:szCs w:val="22"/>
        </w:rPr>
        <w:t xml:space="preserve">(left) and Green Island (right) </w:t>
      </w:r>
      <w:r w:rsidRPr="00517276">
        <w:rPr>
          <w:i/>
          <w:color w:val="000000"/>
          <w:szCs w:val="22"/>
        </w:rPr>
        <w:t>plotted against the 50</w:t>
      </w:r>
      <w:r w:rsidRPr="00517276">
        <w:rPr>
          <w:i/>
          <w:color w:val="000000"/>
          <w:szCs w:val="22"/>
          <w:vertAlign w:val="superscript"/>
        </w:rPr>
        <w:t>th</w:t>
      </w:r>
      <w:r w:rsidRPr="00517276">
        <w:rPr>
          <w:i/>
          <w:color w:val="000000"/>
          <w:szCs w:val="22"/>
        </w:rPr>
        <w:t xml:space="preserve"> and 20</w:t>
      </w:r>
      <w:r w:rsidRPr="00517276">
        <w:rPr>
          <w:i/>
          <w:color w:val="000000"/>
          <w:szCs w:val="22"/>
          <w:vertAlign w:val="superscript"/>
        </w:rPr>
        <w:t>th</w:t>
      </w:r>
      <w:r w:rsidRPr="00517276">
        <w:rPr>
          <w:i/>
          <w:color w:val="000000"/>
          <w:szCs w:val="22"/>
        </w:rPr>
        <w:t xml:space="preserve"> percentiles for coastal </w:t>
      </w:r>
      <w:r w:rsidR="005F7F6E">
        <w:rPr>
          <w:i/>
          <w:color w:val="000000"/>
          <w:szCs w:val="22"/>
        </w:rPr>
        <w:t xml:space="preserve">and </w:t>
      </w:r>
      <w:r w:rsidR="005F7F6E" w:rsidRPr="00517276">
        <w:rPr>
          <w:i/>
          <w:color w:val="000000"/>
          <w:szCs w:val="22"/>
        </w:rPr>
        <w:t xml:space="preserve">intertidal reef </w:t>
      </w:r>
      <w:r w:rsidRPr="00517276">
        <w:rPr>
          <w:i/>
          <w:color w:val="000000"/>
          <w:szCs w:val="22"/>
        </w:rPr>
        <w:t>seagrass habitat in the Wet Tropics.</w:t>
      </w:r>
      <w:bookmarkEnd w:id="958"/>
      <w:bookmarkEnd w:id="959"/>
    </w:p>
    <w:p w:rsidR="00EC7975" w:rsidRPr="00517276" w:rsidRDefault="00EC7975" w:rsidP="00EC7975">
      <w:pPr>
        <w:rPr>
          <w:color w:val="000000"/>
          <w:szCs w:val="22"/>
        </w:rPr>
      </w:pPr>
      <w:r w:rsidRPr="00517276">
        <w:rPr>
          <w:color w:val="000000"/>
          <w:szCs w:val="22"/>
        </w:rPr>
        <w:t xml:space="preserve">Similarly, when the median seagrass abundance for </w:t>
      </w:r>
      <w:smartTag w:uri="urn:schemas-microsoft-com:office:smarttags" w:element="place">
        <w:smartTag w:uri="urn:schemas-microsoft-com:office:smarttags" w:element="PlaceName">
          <w:r w:rsidRPr="00517276">
            <w:rPr>
              <w:color w:val="000000"/>
              <w:szCs w:val="22"/>
            </w:rPr>
            <w:t>Green</w:t>
          </w:r>
        </w:smartTag>
        <w:r w:rsidRPr="00517276">
          <w:rPr>
            <w:color w:val="000000"/>
            <w:szCs w:val="22"/>
          </w:rPr>
          <w:t xml:space="preserve"> </w:t>
        </w:r>
        <w:smartTag w:uri="urn:schemas-microsoft-com:office:smarttags" w:element="PlaceType">
          <w:r w:rsidRPr="00517276">
            <w:rPr>
              <w:color w:val="000000"/>
              <w:szCs w:val="22"/>
            </w:rPr>
            <w:t>Island</w:t>
          </w:r>
        </w:smartTag>
      </w:smartTag>
      <w:r w:rsidRPr="00517276">
        <w:rPr>
          <w:color w:val="000000"/>
          <w:szCs w:val="22"/>
        </w:rPr>
        <w:t xml:space="preserve"> is plotted against the 20</w:t>
      </w:r>
      <w:r w:rsidRPr="00517276">
        <w:rPr>
          <w:color w:val="000000"/>
          <w:szCs w:val="22"/>
          <w:vertAlign w:val="superscript"/>
        </w:rPr>
        <w:t>th</w:t>
      </w:r>
      <w:r w:rsidRPr="00517276">
        <w:rPr>
          <w:color w:val="000000"/>
          <w:szCs w:val="22"/>
        </w:rPr>
        <w:t xml:space="preserve"> and 50</w:t>
      </w:r>
      <w:r w:rsidRPr="00517276">
        <w:rPr>
          <w:color w:val="000000"/>
          <w:szCs w:val="22"/>
          <w:vertAlign w:val="superscript"/>
        </w:rPr>
        <w:t>th</w:t>
      </w:r>
      <w:r w:rsidRPr="00517276">
        <w:rPr>
          <w:color w:val="000000"/>
          <w:szCs w:val="22"/>
        </w:rPr>
        <w:t xml:space="preserve"> percentiles for intertidal reef habitats in the Wet Tropics, it indicates that the meadows were in a poor condition in the middle of most years (based on abundance). However, the poor rating is most likely a consequence of seasonal lows in abundance. Therefore, in this instance, it was more appropriate to set the guideline at the 10</w:t>
      </w:r>
      <w:r w:rsidRPr="00517276">
        <w:rPr>
          <w:color w:val="000000"/>
          <w:szCs w:val="22"/>
          <w:vertAlign w:val="superscript"/>
        </w:rPr>
        <w:t>th</w:t>
      </w:r>
      <w:r w:rsidRPr="00517276">
        <w:rPr>
          <w:color w:val="000000"/>
          <w:szCs w:val="22"/>
        </w:rPr>
        <w:t xml:space="preserve"> rather than the 20</w:t>
      </w:r>
      <w:r w:rsidRPr="00517276">
        <w:rPr>
          <w:color w:val="000000"/>
          <w:szCs w:val="22"/>
          <w:vertAlign w:val="superscript"/>
        </w:rPr>
        <w:t>th</w:t>
      </w:r>
      <w:r w:rsidRPr="00517276">
        <w:rPr>
          <w:color w:val="000000"/>
          <w:szCs w:val="22"/>
        </w:rPr>
        <w:t xml:space="preserve"> percentile.</w:t>
      </w:r>
    </w:p>
    <w:p w:rsidR="00EC7975" w:rsidRPr="00517276" w:rsidRDefault="00EC7975" w:rsidP="00EC7975">
      <w:pPr>
        <w:spacing w:before="240"/>
        <w:rPr>
          <w:color w:val="000000"/>
          <w:szCs w:val="22"/>
        </w:rPr>
      </w:pPr>
      <w:r w:rsidRPr="00517276">
        <w:rPr>
          <w:color w:val="000000"/>
          <w:szCs w:val="22"/>
        </w:rPr>
        <w:t>Using this approach, subregional seagrass abundance guidelines (hereafter known as “the seagrass guidelines”) were developed for each seagrass habitat types where possible (</w:t>
      </w:r>
      <w:r w:rsidRPr="00517276">
        <w:rPr>
          <w:color w:val="000000"/>
          <w:szCs w:val="22"/>
        </w:rPr>
        <w:fldChar w:fldCharType="begin"/>
      </w:r>
      <w:r w:rsidRPr="00517276">
        <w:rPr>
          <w:color w:val="000000"/>
          <w:szCs w:val="22"/>
        </w:rPr>
        <w:instrText xml:space="preserve"> REF _Ref340344284 \h  \* MERGEFORMAT </w:instrText>
      </w:r>
      <w:r w:rsidRPr="00517276">
        <w:rPr>
          <w:color w:val="000000"/>
          <w:szCs w:val="22"/>
        </w:rPr>
      </w:r>
      <w:r w:rsidRPr="00517276">
        <w:rPr>
          <w:color w:val="000000"/>
          <w:szCs w:val="22"/>
        </w:rPr>
        <w:fldChar w:fldCharType="separate"/>
      </w:r>
      <w:r w:rsidR="009C068F">
        <w:rPr>
          <w:color w:val="000000"/>
        </w:rPr>
        <w:t xml:space="preserve">Table </w:t>
      </w:r>
      <w:r w:rsidR="009C068F">
        <w:rPr>
          <w:noProof/>
          <w:color w:val="000000"/>
        </w:rPr>
        <w:t>33</w:t>
      </w:r>
      <w:r w:rsidRPr="00517276">
        <w:rPr>
          <w:color w:val="000000"/>
          <w:szCs w:val="22"/>
        </w:rPr>
        <w:fldChar w:fldCharType="end"/>
      </w:r>
      <w:r w:rsidRPr="00517276">
        <w:rPr>
          <w:color w:val="000000"/>
          <w:szCs w:val="22"/>
        </w:rPr>
        <w:t>). If an individual site had 18 or more sampling events and no identified impacts (e.g., major loss from cyclone), an abundance guideline was determined at the site or location level rather than using the subregional guideline from the reference sites (i.e. as more guidelines are developed at the site level, they contribute to the subregional guideline).</w:t>
      </w:r>
    </w:p>
    <w:p w:rsidR="00842050" w:rsidRDefault="00842050" w:rsidP="00842050">
      <w:pPr>
        <w:spacing w:before="240"/>
        <w:rPr>
          <w:color w:val="000000"/>
          <w:szCs w:val="22"/>
        </w:rPr>
      </w:pPr>
      <w:r>
        <w:rPr>
          <w:color w:val="000000"/>
          <w:szCs w:val="22"/>
        </w:rPr>
        <w:t>After discussions with GBRMPA scientists and the Paddock to Reef integration team, the seagrass guidelines were further refined by allocating the additional categories of very good (median abundance at or above 75</w:t>
      </w:r>
      <w:r>
        <w:rPr>
          <w:color w:val="000000"/>
          <w:szCs w:val="22"/>
          <w:vertAlign w:val="superscript"/>
        </w:rPr>
        <w:t>th</w:t>
      </w:r>
      <w:r>
        <w:rPr>
          <w:color w:val="000000"/>
          <w:szCs w:val="22"/>
        </w:rPr>
        <w:t xml:space="preserve"> percentile), and very poor (median abundance below 20</w:t>
      </w:r>
      <w:r>
        <w:rPr>
          <w:color w:val="000000"/>
          <w:szCs w:val="22"/>
          <w:vertAlign w:val="superscript"/>
        </w:rPr>
        <w:t>th</w:t>
      </w:r>
      <w:r>
        <w:rPr>
          <w:color w:val="000000"/>
          <w:szCs w:val="22"/>
        </w:rPr>
        <w:t xml:space="preserve"> or 10</w:t>
      </w:r>
      <w:r>
        <w:rPr>
          <w:color w:val="000000"/>
          <w:szCs w:val="22"/>
          <w:vertAlign w:val="superscript"/>
        </w:rPr>
        <w:t>th</w:t>
      </w:r>
      <w:r>
        <w:rPr>
          <w:color w:val="000000"/>
          <w:szCs w:val="22"/>
        </w:rPr>
        <w:t xml:space="preserve"> percentile and declined by &gt;20% since previous sampling event). Seagrass state was then rescaled to a five point scale from 0 to 100 to allow integration with other components of the Paddock to Reef report card (</w:t>
      </w:r>
      <w:hyperlink w:anchor="_ENREF_91" w:tooltip="Department of the Premier and Cabinet, 2014 #10062" w:history="1">
        <w:r w:rsidR="00E6043D">
          <w:fldChar w:fldCharType="begin"/>
        </w:r>
        <w:r w:rsidR="00E6043D">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E6043D">
          <w:fldChar w:fldCharType="separate"/>
        </w:r>
        <w:r w:rsidR="00E6043D">
          <w:rPr>
            <w:noProof/>
          </w:rPr>
          <w:t>Department of the Premier and Cabinet 2014</w:t>
        </w:r>
        <w:r w:rsidR="00E6043D">
          <w:fldChar w:fldCharType="end"/>
        </w:r>
      </w:hyperlink>
      <w:r>
        <w:rPr>
          <w:color w:val="000000"/>
          <w:szCs w:val="22"/>
        </w:rPr>
        <w:t xml:space="preserve">). Please note that the scale from 0 to 100 is </w:t>
      </w:r>
      <w:proofErr w:type="spellStart"/>
      <w:r>
        <w:rPr>
          <w:color w:val="000000"/>
          <w:szCs w:val="22"/>
        </w:rPr>
        <w:t>unitless</w:t>
      </w:r>
      <w:proofErr w:type="spellEnd"/>
      <w:r>
        <w:rPr>
          <w:color w:val="000000"/>
          <w:szCs w:val="22"/>
        </w:rPr>
        <w:t xml:space="preserve"> and should not be interpreted as a proportion or ratio.</w:t>
      </w:r>
    </w:p>
    <w:p w:rsidR="005F7F6E" w:rsidRDefault="005F7F6E">
      <w:pPr>
        <w:spacing w:before="0" w:after="0"/>
        <w:rPr>
          <w:color w:val="000000"/>
          <w:szCs w:val="22"/>
        </w:rPr>
      </w:pPr>
      <w:r>
        <w:rPr>
          <w:color w:val="000000"/>
          <w:szCs w:val="22"/>
        </w:rPr>
        <w:br w:type="page"/>
      </w:r>
    </w:p>
    <w:p w:rsidR="00842050" w:rsidRDefault="00842050" w:rsidP="00BA2BCE">
      <w:pPr>
        <w:keepNext/>
        <w:spacing w:after="0"/>
        <w:ind w:left="142"/>
        <w:jc w:val="center"/>
        <w:rPr>
          <w:i/>
          <w:vanish/>
          <w:color w:val="000000"/>
          <w:szCs w:val="22"/>
          <w:specVanish/>
        </w:rPr>
      </w:pPr>
      <w:bookmarkStart w:id="960" w:name="_Ref340344284"/>
      <w:bookmarkStart w:id="961" w:name="_Toc431494020"/>
      <w:bookmarkStart w:id="962" w:name="_Toc462685102"/>
      <w:bookmarkStart w:id="963" w:name="_Toc431494021"/>
      <w:r>
        <w:rPr>
          <w:color w:val="000000"/>
        </w:rPr>
        <w:lastRenderedPageBreak/>
        <w:t xml:space="preserve">Table </w:t>
      </w:r>
      <w:r>
        <w:fldChar w:fldCharType="begin"/>
      </w:r>
      <w:r>
        <w:rPr>
          <w:color w:val="000000"/>
        </w:rPr>
        <w:instrText xml:space="preserve"> SEQ Table \* ARABIC </w:instrText>
      </w:r>
      <w:r>
        <w:fldChar w:fldCharType="separate"/>
      </w:r>
      <w:r w:rsidR="009C068F">
        <w:rPr>
          <w:noProof/>
          <w:color w:val="000000"/>
        </w:rPr>
        <w:t>33</w:t>
      </w:r>
      <w:r>
        <w:fldChar w:fldCharType="end"/>
      </w:r>
      <w:bookmarkEnd w:id="960"/>
      <w:r>
        <w:rPr>
          <w:color w:val="000000"/>
        </w:rPr>
        <w:t xml:space="preserve">. </w:t>
      </w:r>
      <w:r>
        <w:rPr>
          <w:i/>
          <w:color w:val="000000"/>
        </w:rPr>
        <w:t>Seagrass percentage cover guidelines (“the seagrass guidelines”) for each site/location and the subregional guidelines (bold) for each NRM habitat.</w:t>
      </w:r>
      <w:bookmarkEnd w:id="961"/>
      <w:bookmarkEnd w:id="962"/>
      <w:r>
        <w:rPr>
          <w:i/>
          <w:color w:val="000000"/>
        </w:rPr>
        <w:t xml:space="preserve"> </w:t>
      </w:r>
    </w:p>
    <w:p w:rsidR="00842050" w:rsidRDefault="00842050" w:rsidP="00BA2BCE">
      <w:pPr>
        <w:spacing w:before="240" w:after="0"/>
        <w:ind w:left="142"/>
        <w:rPr>
          <w:color w:val="000000"/>
        </w:rPr>
      </w:pPr>
      <w:r>
        <w:rPr>
          <w:i/>
          <w:color w:val="000000"/>
        </w:rPr>
        <w:t>Values in light grey not used. ^ denotes regional reference site, * from nearest adjacent region</w:t>
      </w:r>
      <w:r w:rsidR="00036CBF">
        <w:rPr>
          <w:i/>
          <w:color w:val="000000"/>
        </w:rPr>
        <w:t>. For site details, see Tables 3</w:t>
      </w:r>
      <w:r w:rsidR="00BA2BCE">
        <w:rPr>
          <w:i/>
          <w:color w:val="000000"/>
        </w:rPr>
        <w:t xml:space="preserve"> &amp; </w:t>
      </w:r>
      <w:r w:rsidR="00036CBF" w:rsidRPr="00036CBF">
        <w:rPr>
          <w:i/>
          <w:color w:val="000000"/>
        </w:rPr>
        <w:t>4.</w:t>
      </w:r>
    </w:p>
    <w:tbl>
      <w:tblPr>
        <w:tblpPr w:leftFromText="180" w:rightFromText="180" w:vertAnchor="text" w:horzAnchor="margin" w:tblpXSpec="center" w:tblpY="56"/>
        <w:tblW w:w="8838" w:type="dxa"/>
        <w:tblLook w:val="04A0" w:firstRow="1" w:lastRow="0" w:firstColumn="1" w:lastColumn="0" w:noHBand="0" w:noVBand="1"/>
      </w:tblPr>
      <w:tblGrid>
        <w:gridCol w:w="2071"/>
        <w:gridCol w:w="956"/>
        <w:gridCol w:w="2117"/>
        <w:gridCol w:w="923"/>
        <w:gridCol w:w="924"/>
        <w:gridCol w:w="923"/>
        <w:gridCol w:w="924"/>
      </w:tblGrid>
      <w:tr w:rsidR="00842050" w:rsidTr="00805748">
        <w:trPr>
          <w:trHeight w:val="260"/>
        </w:trPr>
        <w:tc>
          <w:tcPr>
            <w:tcW w:w="2071" w:type="dxa"/>
            <w:vMerge w:val="restart"/>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line="200" w:lineRule="exact"/>
              <w:jc w:val="center"/>
              <w:rPr>
                <w:rFonts w:cs="Arial"/>
                <w:b/>
                <w:bCs/>
                <w:color w:val="000000"/>
                <w:sz w:val="18"/>
                <w:szCs w:val="18"/>
              </w:rPr>
            </w:pPr>
            <w:r>
              <w:rPr>
                <w:rFonts w:cs="Arial"/>
                <w:b/>
                <w:bCs/>
                <w:color w:val="000000"/>
                <w:sz w:val="18"/>
                <w:szCs w:val="18"/>
              </w:rPr>
              <w:t>NRM region</w:t>
            </w:r>
          </w:p>
        </w:tc>
        <w:tc>
          <w:tcPr>
            <w:tcW w:w="956" w:type="dxa"/>
            <w:vMerge w:val="restart"/>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line="200" w:lineRule="exact"/>
              <w:jc w:val="center"/>
              <w:rPr>
                <w:rFonts w:cs="Arial"/>
                <w:b/>
                <w:bCs/>
                <w:color w:val="000000"/>
                <w:sz w:val="18"/>
                <w:szCs w:val="18"/>
              </w:rPr>
            </w:pPr>
            <w:r>
              <w:rPr>
                <w:rFonts w:cs="Arial"/>
                <w:b/>
                <w:bCs/>
                <w:color w:val="000000"/>
                <w:sz w:val="18"/>
                <w:szCs w:val="18"/>
              </w:rPr>
              <w:t>site/</w:t>
            </w:r>
          </w:p>
          <w:p w:rsidR="00842050" w:rsidRDefault="00842050" w:rsidP="00805748">
            <w:pPr>
              <w:spacing w:before="0" w:after="0" w:line="200" w:lineRule="exact"/>
              <w:jc w:val="center"/>
              <w:rPr>
                <w:rFonts w:cs="Arial"/>
                <w:b/>
                <w:bCs/>
                <w:color w:val="000000"/>
                <w:sz w:val="18"/>
                <w:szCs w:val="18"/>
              </w:rPr>
            </w:pPr>
            <w:r>
              <w:rPr>
                <w:rFonts w:cs="Arial"/>
                <w:b/>
                <w:bCs/>
                <w:color w:val="000000"/>
                <w:sz w:val="18"/>
                <w:szCs w:val="18"/>
              </w:rPr>
              <w:t>location</w:t>
            </w:r>
          </w:p>
        </w:tc>
        <w:tc>
          <w:tcPr>
            <w:tcW w:w="2117" w:type="dxa"/>
            <w:vMerge w:val="restart"/>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line="200" w:lineRule="exact"/>
              <w:jc w:val="center"/>
              <w:rPr>
                <w:rFonts w:cs="Arial"/>
                <w:b/>
                <w:bCs/>
                <w:color w:val="000000"/>
                <w:sz w:val="18"/>
                <w:szCs w:val="18"/>
              </w:rPr>
            </w:pPr>
            <w:r>
              <w:rPr>
                <w:rFonts w:cs="Arial"/>
                <w:b/>
                <w:bCs/>
                <w:color w:val="000000"/>
                <w:sz w:val="18"/>
                <w:szCs w:val="18"/>
              </w:rPr>
              <w:t>Habitat</w:t>
            </w:r>
          </w:p>
        </w:tc>
        <w:tc>
          <w:tcPr>
            <w:tcW w:w="3694" w:type="dxa"/>
            <w:gridSpan w:val="4"/>
            <w:tcBorders>
              <w:top w:val="single" w:sz="4" w:space="0" w:color="auto"/>
              <w:left w:val="nil"/>
              <w:bottom w:val="nil"/>
              <w:right w:val="nil"/>
            </w:tcBorders>
            <w:shd w:val="clear" w:color="auto" w:fill="BBE0E3"/>
            <w:noWrap/>
            <w:vAlign w:val="center"/>
            <w:hideMark/>
          </w:tcPr>
          <w:p w:rsidR="00842050" w:rsidRDefault="00842050" w:rsidP="00805748">
            <w:pPr>
              <w:spacing w:before="0" w:after="0" w:line="200" w:lineRule="exact"/>
              <w:jc w:val="center"/>
              <w:rPr>
                <w:rFonts w:cs="Arial"/>
                <w:b/>
                <w:bCs/>
                <w:color w:val="000000"/>
                <w:sz w:val="18"/>
                <w:szCs w:val="18"/>
              </w:rPr>
            </w:pPr>
            <w:r>
              <w:rPr>
                <w:rFonts w:cs="Arial"/>
                <w:b/>
                <w:bCs/>
                <w:color w:val="000000"/>
                <w:sz w:val="18"/>
                <w:szCs w:val="18"/>
              </w:rPr>
              <w:t>percentile guideline</w:t>
            </w:r>
          </w:p>
        </w:tc>
      </w:tr>
      <w:tr w:rsidR="00842050" w:rsidTr="00805748">
        <w:trPr>
          <w:trHeight w:val="153"/>
        </w:trPr>
        <w:tc>
          <w:tcPr>
            <w:tcW w:w="0" w:type="auto"/>
            <w:vMerge/>
            <w:tcBorders>
              <w:top w:val="single" w:sz="4" w:space="0" w:color="auto"/>
              <w:left w:val="nil"/>
              <w:bottom w:val="single" w:sz="4" w:space="0" w:color="auto"/>
              <w:right w:val="nil"/>
            </w:tcBorders>
            <w:vAlign w:val="center"/>
            <w:hideMark/>
          </w:tcPr>
          <w:p w:rsidR="00842050" w:rsidRDefault="00842050" w:rsidP="00805748">
            <w:pPr>
              <w:spacing w:before="0" w:after="0"/>
              <w:rPr>
                <w:rFonts w:cs="Arial"/>
                <w:b/>
                <w:bCs/>
                <w:color w:val="000000"/>
                <w:sz w:val="18"/>
                <w:szCs w:val="18"/>
              </w:rPr>
            </w:pPr>
          </w:p>
        </w:tc>
        <w:tc>
          <w:tcPr>
            <w:tcW w:w="0" w:type="auto"/>
            <w:vMerge/>
            <w:tcBorders>
              <w:top w:val="single" w:sz="4" w:space="0" w:color="auto"/>
              <w:left w:val="nil"/>
              <w:bottom w:val="single" w:sz="4" w:space="0" w:color="auto"/>
              <w:right w:val="nil"/>
            </w:tcBorders>
            <w:vAlign w:val="center"/>
            <w:hideMark/>
          </w:tcPr>
          <w:p w:rsidR="00842050" w:rsidRDefault="00842050" w:rsidP="00805748">
            <w:pPr>
              <w:spacing w:before="0" w:after="0"/>
              <w:rPr>
                <w:rFonts w:cs="Arial"/>
                <w:b/>
                <w:bCs/>
                <w:color w:val="000000"/>
                <w:sz w:val="18"/>
                <w:szCs w:val="18"/>
              </w:rPr>
            </w:pPr>
          </w:p>
        </w:tc>
        <w:tc>
          <w:tcPr>
            <w:tcW w:w="0" w:type="auto"/>
            <w:vMerge/>
            <w:tcBorders>
              <w:top w:val="single" w:sz="4" w:space="0" w:color="auto"/>
              <w:left w:val="nil"/>
              <w:bottom w:val="single" w:sz="4" w:space="0" w:color="auto"/>
              <w:right w:val="nil"/>
            </w:tcBorders>
            <w:vAlign w:val="center"/>
            <w:hideMark/>
          </w:tcPr>
          <w:p w:rsidR="00842050" w:rsidRDefault="00842050" w:rsidP="00805748">
            <w:pPr>
              <w:spacing w:before="0" w:after="0"/>
              <w:rPr>
                <w:rFonts w:cs="Arial"/>
                <w:b/>
                <w:bCs/>
                <w:color w:val="000000"/>
                <w:sz w:val="18"/>
                <w:szCs w:val="18"/>
              </w:rPr>
            </w:pPr>
          </w:p>
        </w:tc>
        <w:tc>
          <w:tcPr>
            <w:tcW w:w="923" w:type="dxa"/>
            <w:tcBorders>
              <w:top w:val="nil"/>
              <w:left w:val="nil"/>
              <w:bottom w:val="single" w:sz="4" w:space="0" w:color="auto"/>
              <w:right w:val="nil"/>
            </w:tcBorders>
            <w:shd w:val="clear" w:color="auto" w:fill="BBE0E3"/>
            <w:noWrap/>
            <w:vAlign w:val="center"/>
            <w:hideMark/>
          </w:tcPr>
          <w:p w:rsidR="00842050" w:rsidRDefault="00842050" w:rsidP="00805748">
            <w:pPr>
              <w:spacing w:before="0" w:after="0" w:line="200" w:lineRule="exact"/>
              <w:jc w:val="center"/>
              <w:rPr>
                <w:rFonts w:cs="Arial"/>
                <w:b/>
                <w:bCs/>
                <w:color w:val="000000"/>
                <w:sz w:val="18"/>
                <w:szCs w:val="18"/>
              </w:rPr>
            </w:pPr>
            <w:r>
              <w:rPr>
                <w:rFonts w:cs="Arial"/>
                <w:b/>
                <w:bCs/>
                <w:color w:val="000000"/>
                <w:sz w:val="18"/>
                <w:szCs w:val="18"/>
              </w:rPr>
              <w:t>10</w:t>
            </w:r>
            <w:r>
              <w:rPr>
                <w:rFonts w:cs="Arial"/>
                <w:b/>
                <w:bCs/>
                <w:color w:val="000000"/>
                <w:sz w:val="18"/>
                <w:szCs w:val="18"/>
                <w:vertAlign w:val="superscript"/>
              </w:rPr>
              <w:t>th</w:t>
            </w:r>
          </w:p>
        </w:tc>
        <w:tc>
          <w:tcPr>
            <w:tcW w:w="924" w:type="dxa"/>
            <w:tcBorders>
              <w:top w:val="nil"/>
              <w:left w:val="nil"/>
              <w:bottom w:val="single" w:sz="4" w:space="0" w:color="auto"/>
              <w:right w:val="nil"/>
            </w:tcBorders>
            <w:shd w:val="clear" w:color="auto" w:fill="BBE0E3"/>
            <w:noWrap/>
            <w:vAlign w:val="center"/>
            <w:hideMark/>
          </w:tcPr>
          <w:p w:rsidR="00842050" w:rsidRDefault="00842050" w:rsidP="00805748">
            <w:pPr>
              <w:spacing w:before="0" w:after="0" w:line="200" w:lineRule="exact"/>
              <w:jc w:val="center"/>
              <w:rPr>
                <w:rFonts w:cs="Arial"/>
                <w:b/>
                <w:bCs/>
                <w:color w:val="000000"/>
                <w:sz w:val="18"/>
                <w:szCs w:val="18"/>
              </w:rPr>
            </w:pPr>
            <w:r>
              <w:rPr>
                <w:rFonts w:cs="Arial"/>
                <w:b/>
                <w:bCs/>
                <w:color w:val="000000"/>
                <w:sz w:val="18"/>
                <w:szCs w:val="18"/>
              </w:rPr>
              <w:t>20</w:t>
            </w:r>
            <w:r>
              <w:rPr>
                <w:rFonts w:cs="Arial"/>
                <w:b/>
                <w:bCs/>
                <w:color w:val="000000"/>
                <w:sz w:val="18"/>
                <w:szCs w:val="18"/>
                <w:vertAlign w:val="superscript"/>
              </w:rPr>
              <w:t>th</w:t>
            </w:r>
          </w:p>
        </w:tc>
        <w:tc>
          <w:tcPr>
            <w:tcW w:w="923" w:type="dxa"/>
            <w:tcBorders>
              <w:top w:val="nil"/>
              <w:left w:val="nil"/>
              <w:bottom w:val="single" w:sz="4" w:space="0" w:color="auto"/>
              <w:right w:val="nil"/>
            </w:tcBorders>
            <w:shd w:val="clear" w:color="auto" w:fill="BBE0E3"/>
            <w:noWrap/>
            <w:vAlign w:val="center"/>
            <w:hideMark/>
          </w:tcPr>
          <w:p w:rsidR="00842050" w:rsidRDefault="00842050" w:rsidP="00805748">
            <w:pPr>
              <w:spacing w:before="0" w:after="0" w:line="200" w:lineRule="exact"/>
              <w:jc w:val="center"/>
              <w:rPr>
                <w:rFonts w:cs="Arial"/>
                <w:b/>
                <w:bCs/>
                <w:color w:val="000000"/>
                <w:sz w:val="18"/>
                <w:szCs w:val="18"/>
              </w:rPr>
            </w:pPr>
            <w:r>
              <w:rPr>
                <w:rFonts w:cs="Arial"/>
                <w:b/>
                <w:bCs/>
                <w:color w:val="000000"/>
                <w:sz w:val="18"/>
                <w:szCs w:val="18"/>
              </w:rPr>
              <w:t>50</w:t>
            </w:r>
            <w:r>
              <w:rPr>
                <w:rFonts w:cs="Arial"/>
                <w:b/>
                <w:bCs/>
                <w:color w:val="000000"/>
                <w:sz w:val="18"/>
                <w:szCs w:val="18"/>
                <w:vertAlign w:val="superscript"/>
              </w:rPr>
              <w:t>th</w:t>
            </w:r>
          </w:p>
        </w:tc>
        <w:tc>
          <w:tcPr>
            <w:tcW w:w="924" w:type="dxa"/>
            <w:tcBorders>
              <w:top w:val="nil"/>
              <w:left w:val="nil"/>
              <w:bottom w:val="single" w:sz="4" w:space="0" w:color="auto"/>
              <w:right w:val="nil"/>
            </w:tcBorders>
            <w:shd w:val="clear" w:color="auto" w:fill="BBE0E3"/>
            <w:noWrap/>
            <w:vAlign w:val="center"/>
            <w:hideMark/>
          </w:tcPr>
          <w:p w:rsidR="00842050" w:rsidRDefault="00842050" w:rsidP="00805748">
            <w:pPr>
              <w:spacing w:before="0" w:after="0" w:line="200" w:lineRule="exact"/>
              <w:jc w:val="center"/>
              <w:rPr>
                <w:rFonts w:cs="Arial"/>
                <w:b/>
                <w:bCs/>
                <w:color w:val="000000"/>
                <w:sz w:val="18"/>
                <w:szCs w:val="18"/>
              </w:rPr>
            </w:pPr>
            <w:r>
              <w:rPr>
                <w:rFonts w:cs="Arial"/>
                <w:b/>
                <w:bCs/>
                <w:color w:val="000000"/>
                <w:sz w:val="18"/>
                <w:szCs w:val="18"/>
              </w:rPr>
              <w:t>75</w:t>
            </w:r>
            <w:r>
              <w:rPr>
                <w:rFonts w:cs="Arial"/>
                <w:b/>
                <w:bCs/>
                <w:color w:val="000000"/>
                <w:sz w:val="18"/>
                <w:szCs w:val="18"/>
                <w:vertAlign w:val="superscript"/>
              </w:rPr>
              <w:t>th</w:t>
            </w:r>
          </w:p>
        </w:tc>
      </w:tr>
      <w:tr w:rsidR="00842050" w:rsidTr="00805748">
        <w:trPr>
          <w:trHeight w:val="170"/>
        </w:trPr>
        <w:tc>
          <w:tcPr>
            <w:tcW w:w="207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Cape York</w:t>
            </w:r>
          </w:p>
        </w:tc>
        <w:tc>
          <w:tcPr>
            <w:tcW w:w="956"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AP1^</w:t>
            </w:r>
          </w:p>
        </w:tc>
        <w:tc>
          <w:tcPr>
            <w:tcW w:w="211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11</w:t>
            </w:r>
          </w:p>
        </w:tc>
        <w:tc>
          <w:tcPr>
            <w:tcW w:w="924"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16.8</w:t>
            </w:r>
          </w:p>
        </w:tc>
        <w:tc>
          <w:tcPr>
            <w:tcW w:w="923"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18.9</w:t>
            </w:r>
          </w:p>
        </w:tc>
        <w:tc>
          <w:tcPr>
            <w:tcW w:w="924"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23.7</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AP2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11</w:t>
            </w:r>
          </w:p>
        </w:tc>
        <w:tc>
          <w:tcPr>
            <w:tcW w:w="924" w:type="dxa"/>
            <w:shd w:val="clear" w:color="auto" w:fill="F3F9FA"/>
            <w:noWrap/>
            <w:vAlign w:val="center"/>
          </w:tcPr>
          <w:p w:rsidR="00842050" w:rsidRDefault="00842050" w:rsidP="00805748">
            <w:pPr>
              <w:spacing w:before="0" w:after="0"/>
              <w:jc w:val="center"/>
              <w:rPr>
                <w:rFonts w:cs="Arial"/>
                <w:color w:val="000000"/>
                <w:sz w:val="18"/>
                <w:szCs w:val="18"/>
              </w:rPr>
            </w:pP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18.9</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23.7</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FR</w:t>
            </w:r>
          </w:p>
        </w:tc>
        <w:tc>
          <w:tcPr>
            <w:tcW w:w="2117" w:type="dxa"/>
            <w:shd w:val="clear" w:color="auto" w:fill="F3F9FA"/>
            <w:noWrap/>
            <w:vAlign w:val="bottom"/>
            <w:hideMark/>
          </w:tcPr>
          <w:p w:rsidR="00842050" w:rsidRDefault="00842050" w:rsidP="00805748">
            <w:pPr>
              <w:spacing w:before="0" w:after="0"/>
              <w:rPr>
                <w:rFonts w:cs="Arial"/>
                <w:bCs/>
                <w:i/>
                <w:iCs/>
                <w:color w:val="000000"/>
                <w:sz w:val="18"/>
                <w:szCs w:val="18"/>
              </w:rPr>
            </w:pPr>
            <w:r>
              <w:rPr>
                <w:rFonts w:cs="Arial"/>
                <w:color w:val="000000"/>
                <w:sz w:val="18"/>
                <w:szCs w:val="18"/>
              </w:rPr>
              <w:t>reef intertidal</w:t>
            </w:r>
          </w:p>
        </w:tc>
        <w:tc>
          <w:tcPr>
            <w:tcW w:w="923" w:type="dxa"/>
            <w:shd w:val="clear" w:color="auto" w:fill="F3F9FA"/>
            <w:noWrap/>
            <w:vAlign w:val="center"/>
          </w:tcPr>
          <w:p w:rsidR="00842050" w:rsidRDefault="00842050" w:rsidP="00805748">
            <w:pPr>
              <w:spacing w:before="0" w:after="0"/>
              <w:jc w:val="center"/>
              <w:rPr>
                <w:rFonts w:cs="Arial"/>
                <w:bCs/>
                <w:i/>
                <w:iCs/>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16.8</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18.9</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23.7</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ST</w:t>
            </w:r>
          </w:p>
        </w:tc>
        <w:tc>
          <w:tcPr>
            <w:tcW w:w="2117" w:type="dxa"/>
            <w:shd w:val="clear" w:color="auto" w:fill="F3F9FA"/>
            <w:noWrap/>
            <w:vAlign w:val="bottom"/>
            <w:hideMark/>
          </w:tcPr>
          <w:p w:rsidR="00842050" w:rsidRDefault="00842050" w:rsidP="00805748">
            <w:pPr>
              <w:spacing w:before="0" w:after="0"/>
              <w:rPr>
                <w:rFonts w:cs="Arial"/>
                <w:bCs/>
                <w:i/>
                <w:iCs/>
                <w:color w:val="000000"/>
                <w:sz w:val="18"/>
                <w:szCs w:val="18"/>
              </w:rPr>
            </w:pPr>
            <w:r>
              <w:rPr>
                <w:rFonts w:cs="Arial"/>
                <w:color w:val="000000"/>
                <w:sz w:val="18"/>
                <w:szCs w:val="18"/>
              </w:rPr>
              <w:t>reef intertidal</w:t>
            </w:r>
          </w:p>
        </w:tc>
        <w:tc>
          <w:tcPr>
            <w:tcW w:w="923" w:type="dxa"/>
            <w:shd w:val="clear" w:color="auto" w:fill="F3F9FA"/>
            <w:noWrap/>
            <w:vAlign w:val="center"/>
          </w:tcPr>
          <w:p w:rsidR="00842050" w:rsidRDefault="00842050" w:rsidP="00805748">
            <w:pPr>
              <w:spacing w:before="0" w:after="0"/>
              <w:jc w:val="center"/>
              <w:rPr>
                <w:rFonts w:cs="Arial"/>
                <w:bCs/>
                <w:i/>
                <w:iCs/>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16.8</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18.9</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23.7</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YY</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tcPr>
          <w:p w:rsidR="00842050" w:rsidRDefault="00842050" w:rsidP="00805748">
            <w:pPr>
              <w:spacing w:before="0" w:after="0"/>
              <w:jc w:val="center"/>
              <w:rPr>
                <w:rFonts w:cs="Arial"/>
                <w:bCs/>
                <w:i/>
                <w:iCs/>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16.8</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18.9</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23.7</w:t>
            </w:r>
          </w:p>
        </w:tc>
      </w:tr>
      <w:tr w:rsidR="00842050" w:rsidTr="00805748">
        <w:trPr>
          <w:trHeight w:val="170"/>
        </w:trPr>
        <w:tc>
          <w:tcPr>
            <w:tcW w:w="2071" w:type="dxa"/>
            <w:shd w:val="clear" w:color="auto" w:fill="E7F3F4"/>
            <w:noWrap/>
            <w:vAlign w:val="bottom"/>
          </w:tcPr>
          <w:p w:rsidR="00842050" w:rsidRDefault="00842050" w:rsidP="00805748">
            <w:pPr>
              <w:spacing w:before="0" w:after="0"/>
              <w:rPr>
                <w:rFonts w:cs="Arial"/>
                <w:color w:val="000000"/>
                <w:sz w:val="18"/>
                <w:szCs w:val="18"/>
              </w:rPr>
            </w:pPr>
          </w:p>
        </w:tc>
        <w:tc>
          <w:tcPr>
            <w:tcW w:w="956"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reef intertidal</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11</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16.8</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18.9</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23.7</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SR*</w:t>
            </w:r>
          </w:p>
        </w:tc>
        <w:tc>
          <w:tcPr>
            <w:tcW w:w="2117" w:type="dxa"/>
            <w:shd w:val="clear" w:color="auto" w:fill="F3F9FA"/>
            <w:noWrap/>
            <w:vAlign w:val="bottom"/>
            <w:hideMark/>
          </w:tcPr>
          <w:p w:rsidR="00842050" w:rsidRDefault="00842050" w:rsidP="00805748">
            <w:pPr>
              <w:spacing w:before="0" w:after="0"/>
              <w:rPr>
                <w:rFonts w:cs="Arial"/>
                <w:bCs/>
                <w:i/>
                <w:iCs/>
                <w:color w:val="000000"/>
                <w:sz w:val="18"/>
                <w:szCs w:val="18"/>
              </w:rPr>
            </w:pPr>
            <w:r>
              <w:rPr>
                <w:rFonts w:cs="Arial"/>
                <w:color w:val="000000"/>
                <w:sz w:val="18"/>
                <w:szCs w:val="18"/>
              </w:rPr>
              <w:t>coastal intertidal</w:t>
            </w:r>
          </w:p>
        </w:tc>
        <w:tc>
          <w:tcPr>
            <w:tcW w:w="923" w:type="dxa"/>
            <w:shd w:val="clear" w:color="auto" w:fill="F3F9FA"/>
            <w:noWrap/>
            <w:vAlign w:val="center"/>
          </w:tcPr>
          <w:p w:rsidR="00842050" w:rsidRDefault="00842050" w:rsidP="00805748">
            <w:pPr>
              <w:spacing w:before="0" w:after="0"/>
              <w:jc w:val="center"/>
              <w:rPr>
                <w:rFonts w:cs="Arial"/>
                <w:bCs/>
                <w:i/>
                <w:iCs/>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6.6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12.9</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14.8</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BY*</w:t>
            </w:r>
          </w:p>
        </w:tc>
        <w:tc>
          <w:tcPr>
            <w:tcW w:w="2117" w:type="dxa"/>
            <w:shd w:val="clear" w:color="auto" w:fill="F3F9FA"/>
            <w:noWrap/>
            <w:vAlign w:val="bottom"/>
            <w:hideMark/>
          </w:tcPr>
          <w:p w:rsidR="00842050" w:rsidRDefault="00842050" w:rsidP="00805748">
            <w:pPr>
              <w:spacing w:before="0" w:after="0"/>
              <w:rPr>
                <w:rFonts w:cs="Arial"/>
                <w:bCs/>
                <w:i/>
                <w:iCs/>
                <w:color w:val="000000"/>
                <w:sz w:val="18"/>
                <w:szCs w:val="18"/>
              </w:rPr>
            </w:pPr>
            <w:r>
              <w:rPr>
                <w:rFonts w:cs="Arial"/>
                <w:color w:val="000000"/>
                <w:sz w:val="18"/>
                <w:szCs w:val="18"/>
              </w:rPr>
              <w:t>coastal intertidal</w:t>
            </w:r>
          </w:p>
        </w:tc>
        <w:tc>
          <w:tcPr>
            <w:tcW w:w="923" w:type="dxa"/>
            <w:shd w:val="clear" w:color="auto" w:fill="F3F9FA"/>
            <w:noWrap/>
            <w:vAlign w:val="center"/>
          </w:tcPr>
          <w:p w:rsidR="00842050" w:rsidRDefault="00842050" w:rsidP="00805748">
            <w:pPr>
              <w:spacing w:before="0" w:after="0"/>
              <w:jc w:val="center"/>
              <w:rPr>
                <w:rFonts w:cs="Arial"/>
                <w:bCs/>
                <w:i/>
                <w:iCs/>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6.6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12.9</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14.8</w:t>
            </w:r>
          </w:p>
        </w:tc>
      </w:tr>
      <w:tr w:rsidR="00842050" w:rsidTr="00805748">
        <w:trPr>
          <w:trHeight w:val="170"/>
        </w:trPr>
        <w:tc>
          <w:tcPr>
            <w:tcW w:w="207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 </w:t>
            </w:r>
          </w:p>
        </w:tc>
        <w:tc>
          <w:tcPr>
            <w:tcW w:w="956"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coastal intertidal</w:t>
            </w:r>
            <w:r>
              <w:rPr>
                <w:rFonts w:cs="Arial"/>
                <w:color w:val="000000"/>
                <w:sz w:val="18"/>
                <w:szCs w:val="18"/>
              </w:rPr>
              <w:t>*</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5</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6.6</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12.9</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14.8</w:t>
            </w:r>
          </w:p>
        </w:tc>
      </w:tr>
      <w:tr w:rsidR="00842050" w:rsidTr="00805748">
        <w:trPr>
          <w:trHeight w:val="170"/>
        </w:trPr>
        <w:tc>
          <w:tcPr>
            <w:tcW w:w="207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Wet Tropics</w:t>
            </w:r>
          </w:p>
        </w:tc>
        <w:tc>
          <w:tcPr>
            <w:tcW w:w="956"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LB</w:t>
            </w:r>
          </w:p>
        </w:tc>
        <w:tc>
          <w:tcPr>
            <w:tcW w:w="211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tcBorders>
              <w:top w:val="single" w:sz="4" w:space="0" w:color="auto"/>
              <w:left w:val="nil"/>
              <w:bottom w:val="nil"/>
              <w:right w:val="nil"/>
            </w:tcBorders>
            <w:shd w:val="clear" w:color="auto" w:fill="F3F9FA"/>
            <w:noWrap/>
            <w:vAlign w:val="center"/>
          </w:tcPr>
          <w:p w:rsidR="00842050" w:rsidRDefault="00842050" w:rsidP="00805748">
            <w:pPr>
              <w:spacing w:before="0" w:after="0"/>
              <w:jc w:val="center"/>
              <w:rPr>
                <w:rFonts w:cs="Arial"/>
                <w:color w:val="000000"/>
                <w:sz w:val="18"/>
                <w:szCs w:val="18"/>
              </w:rPr>
            </w:pPr>
          </w:p>
        </w:tc>
        <w:tc>
          <w:tcPr>
            <w:tcW w:w="924"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6.6</w:t>
            </w:r>
          </w:p>
        </w:tc>
        <w:tc>
          <w:tcPr>
            <w:tcW w:w="923"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12.9</w:t>
            </w:r>
          </w:p>
        </w:tc>
        <w:tc>
          <w:tcPr>
            <w:tcW w:w="924"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14.8</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YP1^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4.3</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7</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14</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15.4</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YP2^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5.7</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6.2</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11.8</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14.2</w:t>
            </w:r>
          </w:p>
        </w:tc>
      </w:tr>
      <w:tr w:rsidR="00842050" w:rsidTr="00805748">
        <w:trPr>
          <w:trHeight w:val="170"/>
        </w:trPr>
        <w:tc>
          <w:tcPr>
            <w:tcW w:w="2071" w:type="dxa"/>
            <w:shd w:val="clear" w:color="auto" w:fill="E7F3F4"/>
            <w:noWrap/>
            <w:vAlign w:val="bottom"/>
          </w:tcPr>
          <w:p w:rsidR="00842050" w:rsidRDefault="00842050" w:rsidP="00805748">
            <w:pPr>
              <w:spacing w:before="0" w:after="0"/>
              <w:rPr>
                <w:rFonts w:cs="Arial"/>
                <w:color w:val="000000"/>
                <w:sz w:val="18"/>
                <w:szCs w:val="18"/>
              </w:rPr>
            </w:pPr>
          </w:p>
        </w:tc>
        <w:tc>
          <w:tcPr>
            <w:tcW w:w="956"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coastal intertidal</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5</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6.6</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12.9</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14.8</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DI</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27.5</w:t>
            </w:r>
          </w:p>
        </w:tc>
        <w:tc>
          <w:tcPr>
            <w:tcW w:w="924" w:type="dxa"/>
            <w:shd w:val="clear" w:color="auto" w:fill="F3F9FA"/>
            <w:noWrap/>
            <w:vAlign w:val="center"/>
          </w:tcPr>
          <w:p w:rsidR="00842050" w:rsidRDefault="00842050" w:rsidP="00805748">
            <w:pPr>
              <w:spacing w:before="0" w:after="0"/>
              <w:jc w:val="center"/>
              <w:rPr>
                <w:rFonts w:cs="Arial"/>
                <w:color w:val="000000"/>
                <w:sz w:val="18"/>
                <w:szCs w:val="18"/>
              </w:rPr>
            </w:pP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37.7</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41</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GI1^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32.5</w:t>
            </w:r>
          </w:p>
        </w:tc>
        <w:tc>
          <w:tcPr>
            <w:tcW w:w="924"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38.2</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42.7</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45.5</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GI2^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22.5</w:t>
            </w:r>
          </w:p>
        </w:tc>
        <w:tc>
          <w:tcPr>
            <w:tcW w:w="924"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25.6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32.7</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36.7</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LI1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27.5</w:t>
            </w:r>
          </w:p>
        </w:tc>
        <w:tc>
          <w:tcPr>
            <w:tcW w:w="924" w:type="dxa"/>
            <w:shd w:val="clear" w:color="auto" w:fill="F3F9FA"/>
            <w:noWrap/>
            <w:vAlign w:val="center"/>
          </w:tcPr>
          <w:p w:rsidR="00842050" w:rsidRDefault="00842050" w:rsidP="00805748">
            <w:pPr>
              <w:spacing w:before="0" w:after="0"/>
              <w:jc w:val="center"/>
              <w:rPr>
                <w:rFonts w:cs="Arial"/>
                <w:color w:val="000000"/>
                <w:sz w:val="18"/>
                <w:szCs w:val="18"/>
              </w:rPr>
            </w:pP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37.7</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41</w:t>
            </w:r>
          </w:p>
        </w:tc>
      </w:tr>
      <w:tr w:rsidR="00842050" w:rsidTr="00805748">
        <w:trPr>
          <w:trHeight w:val="170"/>
        </w:trPr>
        <w:tc>
          <w:tcPr>
            <w:tcW w:w="2071"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 </w:t>
            </w:r>
          </w:p>
        </w:tc>
        <w:tc>
          <w:tcPr>
            <w:tcW w:w="956"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reef intertidal</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27.5</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31.9</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37.7</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41.1</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DI3</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subtidal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22</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33</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39.2</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GI3^</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subtidal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22</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33</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39.2</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LI2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subtidal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22</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33</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39.2</w:t>
            </w:r>
          </w:p>
        </w:tc>
      </w:tr>
      <w:tr w:rsidR="00842050" w:rsidTr="00805748">
        <w:trPr>
          <w:trHeight w:val="170"/>
        </w:trPr>
        <w:tc>
          <w:tcPr>
            <w:tcW w:w="207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 </w:t>
            </w:r>
          </w:p>
        </w:tc>
        <w:tc>
          <w:tcPr>
            <w:tcW w:w="956"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reef subtidal</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22</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26</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33</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39.2</w:t>
            </w:r>
          </w:p>
        </w:tc>
      </w:tr>
      <w:tr w:rsidR="00842050" w:rsidTr="00805748">
        <w:trPr>
          <w:trHeight w:val="170"/>
        </w:trPr>
        <w:tc>
          <w:tcPr>
            <w:tcW w:w="207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Burdekin</w:t>
            </w:r>
          </w:p>
        </w:tc>
        <w:tc>
          <w:tcPr>
            <w:tcW w:w="956"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BB1^</w:t>
            </w:r>
          </w:p>
        </w:tc>
        <w:tc>
          <w:tcPr>
            <w:tcW w:w="211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16.3</w:t>
            </w:r>
          </w:p>
        </w:tc>
        <w:tc>
          <w:tcPr>
            <w:tcW w:w="924"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21.4</w:t>
            </w:r>
          </w:p>
        </w:tc>
        <w:tc>
          <w:tcPr>
            <w:tcW w:w="923"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25.4</w:t>
            </w:r>
          </w:p>
        </w:tc>
        <w:tc>
          <w:tcPr>
            <w:tcW w:w="924"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35.2</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SB1^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7.5</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10</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16.8</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22</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SB2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tcPr>
          <w:p w:rsidR="00842050" w:rsidRDefault="00842050" w:rsidP="00805748">
            <w:pPr>
              <w:spacing w:before="0" w:after="0"/>
              <w:jc w:val="center"/>
              <w:rPr>
                <w:rFonts w:cs="Arial"/>
                <w:bCs/>
                <w:i/>
                <w:iCs/>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bCs/>
                <w:i/>
                <w:iCs/>
                <w:color w:val="000000"/>
                <w:sz w:val="18"/>
                <w:szCs w:val="18"/>
              </w:rPr>
            </w:pPr>
            <w:r>
              <w:rPr>
                <w:rFonts w:cs="Arial"/>
                <w:color w:val="000000"/>
                <w:sz w:val="18"/>
                <w:szCs w:val="18"/>
              </w:rPr>
              <w:t>10</w:t>
            </w:r>
          </w:p>
        </w:tc>
        <w:tc>
          <w:tcPr>
            <w:tcW w:w="923" w:type="dxa"/>
            <w:shd w:val="clear" w:color="auto" w:fill="F3F9FA"/>
            <w:noWrap/>
            <w:vAlign w:val="center"/>
            <w:hideMark/>
          </w:tcPr>
          <w:p w:rsidR="00842050" w:rsidRDefault="00842050" w:rsidP="00805748">
            <w:pPr>
              <w:spacing w:before="0" w:after="0"/>
              <w:jc w:val="center"/>
              <w:rPr>
                <w:rFonts w:cs="Arial"/>
                <w:bCs/>
                <w:i/>
                <w:iCs/>
                <w:color w:val="000000"/>
                <w:sz w:val="18"/>
                <w:szCs w:val="18"/>
              </w:rPr>
            </w:pPr>
            <w:r>
              <w:rPr>
                <w:rFonts w:cs="Arial"/>
                <w:color w:val="000000"/>
                <w:sz w:val="18"/>
                <w:szCs w:val="18"/>
              </w:rPr>
              <w:t>16.8</w:t>
            </w:r>
          </w:p>
        </w:tc>
        <w:tc>
          <w:tcPr>
            <w:tcW w:w="924" w:type="dxa"/>
            <w:shd w:val="clear" w:color="auto" w:fill="F3F9FA"/>
            <w:noWrap/>
            <w:vAlign w:val="center"/>
            <w:hideMark/>
          </w:tcPr>
          <w:p w:rsidR="00842050" w:rsidRDefault="00842050" w:rsidP="00805748">
            <w:pPr>
              <w:spacing w:before="0" w:after="0"/>
              <w:jc w:val="center"/>
              <w:rPr>
                <w:rFonts w:cs="Arial"/>
                <w:bCs/>
                <w:i/>
                <w:iCs/>
                <w:color w:val="000000"/>
                <w:sz w:val="18"/>
                <w:szCs w:val="18"/>
              </w:rPr>
            </w:pPr>
            <w:r>
              <w:rPr>
                <w:rFonts w:cs="Arial"/>
                <w:color w:val="000000"/>
                <w:sz w:val="18"/>
                <w:szCs w:val="18"/>
              </w:rPr>
              <w:t>22</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JR</w:t>
            </w:r>
          </w:p>
        </w:tc>
        <w:tc>
          <w:tcPr>
            <w:tcW w:w="2117" w:type="dxa"/>
            <w:shd w:val="clear" w:color="auto" w:fill="F3F9FA"/>
            <w:noWrap/>
            <w:vAlign w:val="bottom"/>
            <w:hideMark/>
          </w:tcPr>
          <w:p w:rsidR="00842050" w:rsidRDefault="00842050" w:rsidP="00805748">
            <w:pPr>
              <w:spacing w:before="0" w:after="0"/>
              <w:rPr>
                <w:rFonts w:cs="Arial"/>
                <w:b/>
                <w:bCs/>
                <w:i/>
                <w:iCs/>
                <w:color w:val="000000"/>
                <w:sz w:val="18"/>
                <w:szCs w:val="18"/>
              </w:rPr>
            </w:pPr>
            <w:r>
              <w:rPr>
                <w:rFonts w:cs="Arial"/>
                <w:color w:val="000000"/>
                <w:sz w:val="18"/>
                <w:szCs w:val="18"/>
              </w:rPr>
              <w:t>coastal intertidal</w:t>
            </w:r>
          </w:p>
        </w:tc>
        <w:tc>
          <w:tcPr>
            <w:tcW w:w="923" w:type="dxa"/>
            <w:shd w:val="clear" w:color="auto" w:fill="F3F9FA"/>
            <w:noWrap/>
            <w:vAlign w:val="center"/>
          </w:tcPr>
          <w:p w:rsidR="00842050" w:rsidRDefault="00842050" w:rsidP="00805748">
            <w:pPr>
              <w:spacing w:before="0" w:after="0"/>
              <w:jc w:val="center"/>
              <w:rPr>
                <w:rFonts w:cs="Arial"/>
                <w:bCs/>
                <w:i/>
                <w:iCs/>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bCs/>
                <w:i/>
                <w:iCs/>
                <w:color w:val="000000"/>
                <w:sz w:val="18"/>
                <w:szCs w:val="18"/>
              </w:rPr>
            </w:pPr>
            <w:r>
              <w:rPr>
                <w:rFonts w:cs="Arial"/>
                <w:bCs/>
                <w:i/>
                <w:iCs/>
                <w:color w:val="000000"/>
                <w:sz w:val="18"/>
                <w:szCs w:val="18"/>
              </w:rPr>
              <w:t>15.7</w:t>
            </w:r>
          </w:p>
        </w:tc>
        <w:tc>
          <w:tcPr>
            <w:tcW w:w="923" w:type="dxa"/>
            <w:shd w:val="clear" w:color="auto" w:fill="F3F9FA"/>
            <w:noWrap/>
            <w:vAlign w:val="center"/>
            <w:hideMark/>
          </w:tcPr>
          <w:p w:rsidR="00842050" w:rsidRDefault="00842050" w:rsidP="00805748">
            <w:pPr>
              <w:spacing w:before="0" w:after="0"/>
              <w:jc w:val="center"/>
              <w:rPr>
                <w:rFonts w:cs="Arial"/>
                <w:bCs/>
                <w:i/>
                <w:iCs/>
                <w:color w:val="000000"/>
                <w:sz w:val="18"/>
                <w:szCs w:val="18"/>
              </w:rPr>
            </w:pPr>
            <w:r>
              <w:rPr>
                <w:rFonts w:cs="Arial"/>
                <w:bCs/>
                <w:i/>
                <w:iCs/>
                <w:color w:val="000000"/>
                <w:sz w:val="18"/>
                <w:szCs w:val="18"/>
              </w:rPr>
              <w:t>21.1</w:t>
            </w:r>
          </w:p>
        </w:tc>
        <w:tc>
          <w:tcPr>
            <w:tcW w:w="924" w:type="dxa"/>
            <w:shd w:val="clear" w:color="auto" w:fill="F3F9FA"/>
            <w:noWrap/>
            <w:vAlign w:val="center"/>
            <w:hideMark/>
          </w:tcPr>
          <w:p w:rsidR="00842050" w:rsidRDefault="00842050" w:rsidP="00805748">
            <w:pPr>
              <w:spacing w:before="0" w:after="0"/>
              <w:jc w:val="center"/>
              <w:rPr>
                <w:rFonts w:cs="Arial"/>
                <w:bCs/>
                <w:i/>
                <w:iCs/>
                <w:color w:val="000000"/>
                <w:sz w:val="18"/>
                <w:szCs w:val="18"/>
              </w:rPr>
            </w:pPr>
            <w:r>
              <w:rPr>
                <w:rFonts w:cs="Arial"/>
                <w:bCs/>
                <w:i/>
                <w:iCs/>
                <w:color w:val="000000"/>
                <w:sz w:val="18"/>
                <w:szCs w:val="18"/>
              </w:rPr>
              <w:t>28.6</w:t>
            </w:r>
          </w:p>
        </w:tc>
      </w:tr>
      <w:tr w:rsidR="00842050" w:rsidTr="00805748">
        <w:trPr>
          <w:trHeight w:val="170"/>
        </w:trPr>
        <w:tc>
          <w:tcPr>
            <w:tcW w:w="2071" w:type="dxa"/>
            <w:shd w:val="clear" w:color="auto" w:fill="E7F3F4"/>
            <w:noWrap/>
            <w:vAlign w:val="bottom"/>
          </w:tcPr>
          <w:p w:rsidR="00842050" w:rsidRDefault="00842050" w:rsidP="00805748">
            <w:pPr>
              <w:spacing w:before="0" w:after="0"/>
              <w:rPr>
                <w:rFonts w:cs="Arial"/>
                <w:color w:val="000000"/>
                <w:sz w:val="18"/>
                <w:szCs w:val="18"/>
              </w:rPr>
            </w:pPr>
          </w:p>
        </w:tc>
        <w:tc>
          <w:tcPr>
            <w:tcW w:w="956"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coastal intertidal</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11.9</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15.7</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21.1</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28.6</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MI1^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23</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33.4</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37</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MI2^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21.3</w:t>
            </w:r>
          </w:p>
        </w:tc>
        <w:tc>
          <w:tcPr>
            <w:tcW w:w="924"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26.5</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35.6</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41</w:t>
            </w:r>
          </w:p>
        </w:tc>
      </w:tr>
      <w:tr w:rsidR="00842050" w:rsidTr="00805748">
        <w:trPr>
          <w:trHeight w:val="170"/>
        </w:trPr>
        <w:tc>
          <w:tcPr>
            <w:tcW w:w="2071"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 </w:t>
            </w:r>
          </w:p>
        </w:tc>
        <w:tc>
          <w:tcPr>
            <w:tcW w:w="956"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reef intertidal</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22.2</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26.3</w:t>
            </w:r>
          </w:p>
        </w:tc>
        <w:tc>
          <w:tcPr>
            <w:tcW w:w="923"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34.5</w:t>
            </w:r>
          </w:p>
        </w:tc>
        <w:tc>
          <w:tcPr>
            <w:tcW w:w="924" w:type="dxa"/>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39</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MI3</w:t>
            </w:r>
          </w:p>
        </w:tc>
        <w:tc>
          <w:tcPr>
            <w:tcW w:w="2117" w:type="dxa"/>
            <w:shd w:val="clear" w:color="auto" w:fill="F3F9FA"/>
            <w:noWrap/>
            <w:vAlign w:val="bottom"/>
            <w:hideMark/>
          </w:tcPr>
          <w:p w:rsidR="00842050" w:rsidRDefault="00842050" w:rsidP="00805748">
            <w:pPr>
              <w:spacing w:before="0" w:after="0"/>
              <w:rPr>
                <w:rFonts w:cs="Arial"/>
                <w:b/>
                <w:bCs/>
                <w:i/>
                <w:iCs/>
                <w:color w:val="000000"/>
                <w:sz w:val="18"/>
                <w:szCs w:val="18"/>
              </w:rPr>
            </w:pPr>
            <w:r>
              <w:rPr>
                <w:rFonts w:cs="Arial"/>
                <w:color w:val="000000"/>
                <w:sz w:val="18"/>
                <w:szCs w:val="18"/>
              </w:rPr>
              <w:t>reef subtidal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22</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33</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39.2</w:t>
            </w:r>
          </w:p>
        </w:tc>
      </w:tr>
      <w:tr w:rsidR="00842050" w:rsidTr="00805748">
        <w:trPr>
          <w:trHeight w:val="170"/>
        </w:trPr>
        <w:tc>
          <w:tcPr>
            <w:tcW w:w="2071" w:type="dxa"/>
            <w:tcBorders>
              <w:top w:val="nil"/>
              <w:left w:val="nil"/>
              <w:bottom w:val="single" w:sz="4" w:space="0" w:color="auto"/>
              <w:right w:val="nil"/>
            </w:tcBorders>
            <w:shd w:val="clear" w:color="auto" w:fill="E7F3F4"/>
            <w:noWrap/>
            <w:vAlign w:val="bottom"/>
          </w:tcPr>
          <w:p w:rsidR="00842050" w:rsidRDefault="00842050" w:rsidP="00805748">
            <w:pPr>
              <w:spacing w:before="0" w:after="0"/>
              <w:rPr>
                <w:rFonts w:cs="Arial"/>
                <w:color w:val="000000"/>
                <w:sz w:val="18"/>
                <w:szCs w:val="18"/>
              </w:rPr>
            </w:pPr>
          </w:p>
        </w:tc>
        <w:tc>
          <w:tcPr>
            <w:tcW w:w="956"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reef subtidal</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22*</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26*</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33*</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39.2*</w:t>
            </w:r>
          </w:p>
        </w:tc>
      </w:tr>
      <w:tr w:rsidR="00842050" w:rsidTr="00805748">
        <w:trPr>
          <w:trHeight w:val="170"/>
        </w:trPr>
        <w:tc>
          <w:tcPr>
            <w:tcW w:w="207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Mackay Whitsunday</w:t>
            </w:r>
          </w:p>
        </w:tc>
        <w:tc>
          <w:tcPr>
            <w:tcW w:w="956"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SI</w:t>
            </w:r>
          </w:p>
        </w:tc>
        <w:tc>
          <w:tcPr>
            <w:tcW w:w="211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estuarine intertidal</w:t>
            </w:r>
          </w:p>
        </w:tc>
        <w:tc>
          <w:tcPr>
            <w:tcW w:w="923" w:type="dxa"/>
            <w:tcBorders>
              <w:top w:val="single" w:sz="4" w:space="0" w:color="auto"/>
              <w:left w:val="nil"/>
              <w:bottom w:val="nil"/>
              <w:right w:val="nil"/>
            </w:tcBorders>
            <w:shd w:val="clear" w:color="auto" w:fill="F3F9FA"/>
            <w:noWrap/>
            <w:vAlign w:val="center"/>
          </w:tcPr>
          <w:p w:rsidR="00842050" w:rsidRDefault="00842050" w:rsidP="00805748">
            <w:pPr>
              <w:spacing w:before="0" w:after="0"/>
              <w:jc w:val="center"/>
              <w:rPr>
                <w:rFonts w:cs="Arial"/>
                <w:color w:val="000000"/>
                <w:sz w:val="18"/>
                <w:szCs w:val="18"/>
              </w:rPr>
            </w:pPr>
          </w:p>
        </w:tc>
        <w:tc>
          <w:tcPr>
            <w:tcW w:w="924"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w:t>
            </w:r>
          </w:p>
        </w:tc>
        <w:tc>
          <w:tcPr>
            <w:tcW w:w="923"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34.1</w:t>
            </w:r>
          </w:p>
        </w:tc>
        <w:tc>
          <w:tcPr>
            <w:tcW w:w="924" w:type="dxa"/>
            <w:tcBorders>
              <w:top w:val="single" w:sz="4" w:space="0" w:color="auto"/>
              <w:left w:val="nil"/>
              <w:bottom w:val="nil"/>
              <w:right w:val="nil"/>
            </w:tcBorders>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54</w:t>
            </w:r>
          </w:p>
        </w:tc>
      </w:tr>
      <w:tr w:rsidR="00842050" w:rsidTr="00805748">
        <w:trPr>
          <w:trHeight w:val="170"/>
        </w:trPr>
        <w:tc>
          <w:tcPr>
            <w:tcW w:w="2071" w:type="dxa"/>
            <w:shd w:val="clear" w:color="auto" w:fill="E7F3F4"/>
            <w:noWrap/>
            <w:vAlign w:val="bottom"/>
          </w:tcPr>
          <w:p w:rsidR="00842050" w:rsidRDefault="00842050" w:rsidP="00805748">
            <w:pPr>
              <w:spacing w:before="0" w:after="0"/>
              <w:rPr>
                <w:rFonts w:cs="Arial"/>
                <w:color w:val="000000"/>
                <w:sz w:val="18"/>
                <w:szCs w:val="18"/>
              </w:rPr>
            </w:pPr>
          </w:p>
        </w:tc>
        <w:tc>
          <w:tcPr>
            <w:tcW w:w="956"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estuarine intertidal</w:t>
            </w:r>
          </w:p>
        </w:tc>
        <w:tc>
          <w:tcPr>
            <w:tcW w:w="923"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10.8*</w:t>
            </w:r>
          </w:p>
        </w:tc>
        <w:tc>
          <w:tcPr>
            <w:tcW w:w="924"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18*</w:t>
            </w:r>
          </w:p>
        </w:tc>
        <w:tc>
          <w:tcPr>
            <w:tcW w:w="923"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34.1*</w:t>
            </w:r>
          </w:p>
        </w:tc>
        <w:tc>
          <w:tcPr>
            <w:tcW w:w="924"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54*</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PI2^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18.1</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18.7</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25.1</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27.6</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PI3^</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6.1</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7.6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13.1</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16.8</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MP2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tcPr>
          <w:p w:rsidR="00842050" w:rsidRDefault="00842050" w:rsidP="00805748">
            <w:pPr>
              <w:spacing w:before="0" w:after="0"/>
              <w:jc w:val="center"/>
              <w:rPr>
                <w:rFonts w:cs="Arial"/>
                <w:color w:val="808080"/>
                <w:sz w:val="18"/>
                <w:szCs w:val="18"/>
              </w:rPr>
            </w:pP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color w:val="000000"/>
                <w:sz w:val="16"/>
                <w:szCs w:val="16"/>
              </w:rPr>
              <w:t>18.9</w:t>
            </w:r>
          </w:p>
        </w:tc>
        <w:tc>
          <w:tcPr>
            <w:tcW w:w="923" w:type="dxa"/>
            <w:shd w:val="clear" w:color="auto" w:fill="F3F9FA"/>
            <w:noWrap/>
            <w:vAlign w:val="bottom"/>
            <w:hideMark/>
          </w:tcPr>
          <w:p w:rsidR="00842050" w:rsidRDefault="00842050" w:rsidP="00805748">
            <w:pPr>
              <w:spacing w:before="0" w:after="0"/>
              <w:jc w:val="center"/>
              <w:rPr>
                <w:rFonts w:cs="Arial"/>
                <w:color w:val="000000"/>
                <w:sz w:val="18"/>
                <w:szCs w:val="18"/>
              </w:rPr>
            </w:pPr>
            <w:r>
              <w:rPr>
                <w:color w:val="000000"/>
                <w:sz w:val="16"/>
                <w:szCs w:val="16"/>
              </w:rPr>
              <w:t>22.8</w:t>
            </w: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color w:val="000000"/>
                <w:sz w:val="16"/>
                <w:szCs w:val="16"/>
              </w:rPr>
              <w:t>25.4</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MP3</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tcPr>
          <w:p w:rsidR="00842050" w:rsidRDefault="00842050" w:rsidP="00805748">
            <w:pPr>
              <w:spacing w:before="0" w:after="0"/>
              <w:jc w:val="center"/>
              <w:rPr>
                <w:rFonts w:cs="Arial"/>
                <w:color w:val="808080"/>
                <w:sz w:val="18"/>
                <w:szCs w:val="18"/>
              </w:rPr>
            </w:pP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color w:val="000000"/>
                <w:sz w:val="16"/>
                <w:szCs w:val="16"/>
              </w:rPr>
              <w:t>17.9</w:t>
            </w:r>
          </w:p>
        </w:tc>
        <w:tc>
          <w:tcPr>
            <w:tcW w:w="923" w:type="dxa"/>
            <w:shd w:val="clear" w:color="auto" w:fill="F3F9FA"/>
            <w:noWrap/>
            <w:vAlign w:val="bottom"/>
            <w:hideMark/>
          </w:tcPr>
          <w:p w:rsidR="00842050" w:rsidRDefault="00842050" w:rsidP="00805748">
            <w:pPr>
              <w:spacing w:before="0" w:after="0"/>
              <w:jc w:val="center"/>
              <w:rPr>
                <w:rFonts w:cs="Arial"/>
                <w:color w:val="000000"/>
                <w:sz w:val="18"/>
                <w:szCs w:val="18"/>
              </w:rPr>
            </w:pPr>
            <w:r>
              <w:rPr>
                <w:color w:val="000000"/>
                <w:sz w:val="16"/>
                <w:szCs w:val="16"/>
              </w:rPr>
              <w:t>20</w:t>
            </w: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color w:val="000000"/>
                <w:sz w:val="16"/>
                <w:szCs w:val="16"/>
              </w:rPr>
              <w:t>22.3</w:t>
            </w:r>
          </w:p>
        </w:tc>
      </w:tr>
      <w:tr w:rsidR="00842050" w:rsidTr="00805748">
        <w:trPr>
          <w:trHeight w:val="170"/>
        </w:trPr>
        <w:tc>
          <w:tcPr>
            <w:tcW w:w="2071" w:type="dxa"/>
            <w:shd w:val="clear" w:color="auto" w:fill="E7F3F4"/>
            <w:noWrap/>
            <w:vAlign w:val="bottom"/>
          </w:tcPr>
          <w:p w:rsidR="00842050" w:rsidRDefault="00842050" w:rsidP="00805748">
            <w:pPr>
              <w:spacing w:before="0" w:after="0"/>
              <w:rPr>
                <w:rFonts w:cs="Arial"/>
                <w:color w:val="000000"/>
                <w:sz w:val="18"/>
                <w:szCs w:val="18"/>
              </w:rPr>
            </w:pPr>
          </w:p>
        </w:tc>
        <w:tc>
          <w:tcPr>
            <w:tcW w:w="956"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coastal intertidal</w:t>
            </w:r>
          </w:p>
        </w:tc>
        <w:tc>
          <w:tcPr>
            <w:tcW w:w="923"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12.1</w:t>
            </w:r>
          </w:p>
        </w:tc>
        <w:tc>
          <w:tcPr>
            <w:tcW w:w="924"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13.15</w:t>
            </w:r>
          </w:p>
        </w:tc>
        <w:tc>
          <w:tcPr>
            <w:tcW w:w="923"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19.1</w:t>
            </w:r>
          </w:p>
        </w:tc>
        <w:tc>
          <w:tcPr>
            <w:tcW w:w="924"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22.2</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HB1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tcPr>
          <w:p w:rsidR="00842050" w:rsidRDefault="00842050" w:rsidP="00805748">
            <w:pPr>
              <w:spacing w:before="0" w:after="0"/>
              <w:jc w:val="center"/>
              <w:rPr>
                <w:rFonts w:cs="Arial"/>
                <w:color w:val="000000"/>
                <w:sz w:val="18"/>
                <w:szCs w:val="18"/>
              </w:rPr>
            </w:pP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sz w:val="16"/>
                <w:szCs w:val="16"/>
              </w:rPr>
              <w:t>10.53</w:t>
            </w:r>
          </w:p>
        </w:tc>
        <w:tc>
          <w:tcPr>
            <w:tcW w:w="923" w:type="dxa"/>
            <w:shd w:val="clear" w:color="auto" w:fill="F3F9FA"/>
            <w:noWrap/>
            <w:vAlign w:val="bottom"/>
            <w:hideMark/>
          </w:tcPr>
          <w:p w:rsidR="00842050" w:rsidRDefault="00842050" w:rsidP="00805748">
            <w:pPr>
              <w:spacing w:before="0" w:after="0"/>
              <w:jc w:val="center"/>
              <w:rPr>
                <w:rFonts w:cs="Arial"/>
                <w:color w:val="000000"/>
                <w:sz w:val="18"/>
                <w:szCs w:val="18"/>
              </w:rPr>
            </w:pPr>
            <w:r>
              <w:rPr>
                <w:sz w:val="16"/>
                <w:szCs w:val="16"/>
              </w:rPr>
              <w:t>12.9</w:t>
            </w: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sz w:val="16"/>
                <w:szCs w:val="16"/>
              </w:rPr>
              <w:t>14.2</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HB2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tcPr>
          <w:p w:rsidR="00842050" w:rsidRDefault="00842050" w:rsidP="00805748">
            <w:pPr>
              <w:spacing w:before="0" w:after="0"/>
              <w:jc w:val="center"/>
              <w:rPr>
                <w:rFonts w:cs="Arial"/>
                <w:color w:val="000000"/>
                <w:sz w:val="18"/>
                <w:szCs w:val="18"/>
              </w:rPr>
            </w:pP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sz w:val="16"/>
                <w:szCs w:val="16"/>
              </w:rPr>
              <w:t>7.95</w:t>
            </w:r>
          </w:p>
        </w:tc>
        <w:tc>
          <w:tcPr>
            <w:tcW w:w="923" w:type="dxa"/>
            <w:shd w:val="clear" w:color="auto" w:fill="F3F9FA"/>
            <w:noWrap/>
            <w:vAlign w:val="bottom"/>
            <w:hideMark/>
          </w:tcPr>
          <w:p w:rsidR="00842050" w:rsidRDefault="00842050" w:rsidP="00805748">
            <w:pPr>
              <w:spacing w:before="0" w:after="0"/>
              <w:jc w:val="center"/>
              <w:rPr>
                <w:rFonts w:cs="Arial"/>
                <w:color w:val="000000"/>
                <w:sz w:val="18"/>
                <w:szCs w:val="18"/>
              </w:rPr>
            </w:pPr>
            <w:r>
              <w:rPr>
                <w:sz w:val="16"/>
                <w:szCs w:val="16"/>
              </w:rPr>
              <w:t>11.59</w:t>
            </w: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sz w:val="16"/>
                <w:szCs w:val="16"/>
              </w:rPr>
              <w:t>13.4</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HM</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22.2</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808080"/>
                <w:sz w:val="18"/>
                <w:szCs w:val="18"/>
              </w:rPr>
              <w:t>26.2</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34.5</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39</w:t>
            </w:r>
          </w:p>
        </w:tc>
      </w:tr>
      <w:tr w:rsidR="00842050" w:rsidTr="00805748">
        <w:trPr>
          <w:trHeight w:val="170"/>
        </w:trPr>
        <w:tc>
          <w:tcPr>
            <w:tcW w:w="207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 </w:t>
            </w:r>
          </w:p>
        </w:tc>
        <w:tc>
          <w:tcPr>
            <w:tcW w:w="956"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reef intertidal</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22.2*</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26.2*</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34.5*</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39*</w:t>
            </w:r>
          </w:p>
        </w:tc>
      </w:tr>
      <w:tr w:rsidR="00842050" w:rsidTr="00805748">
        <w:trPr>
          <w:trHeight w:val="170"/>
        </w:trPr>
        <w:tc>
          <w:tcPr>
            <w:tcW w:w="2071"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Fitzroy</w:t>
            </w: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GH</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estuarine intertidal</w:t>
            </w:r>
          </w:p>
        </w:tc>
        <w:tc>
          <w:tcPr>
            <w:tcW w:w="923" w:type="dxa"/>
            <w:shd w:val="clear" w:color="auto" w:fill="F3F9FA"/>
            <w:noWrap/>
            <w:vAlign w:val="center"/>
          </w:tcPr>
          <w:p w:rsidR="00842050" w:rsidRDefault="00842050" w:rsidP="00805748">
            <w:pPr>
              <w:spacing w:before="0" w:after="0"/>
              <w:jc w:val="center"/>
              <w:rPr>
                <w:rFonts w:cs="Arial"/>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34.1</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54</w:t>
            </w:r>
          </w:p>
        </w:tc>
      </w:tr>
      <w:tr w:rsidR="00842050" w:rsidTr="00805748">
        <w:trPr>
          <w:trHeight w:val="170"/>
        </w:trPr>
        <w:tc>
          <w:tcPr>
            <w:tcW w:w="2071" w:type="dxa"/>
            <w:shd w:val="clear" w:color="auto" w:fill="E7F3F4"/>
            <w:noWrap/>
            <w:vAlign w:val="bottom"/>
          </w:tcPr>
          <w:p w:rsidR="00842050" w:rsidRDefault="00842050" w:rsidP="00805748">
            <w:pPr>
              <w:spacing w:before="0" w:after="0"/>
              <w:rPr>
                <w:rFonts w:cs="Arial"/>
                <w:color w:val="000000"/>
                <w:sz w:val="18"/>
                <w:szCs w:val="18"/>
              </w:rPr>
            </w:pPr>
          </w:p>
        </w:tc>
        <w:tc>
          <w:tcPr>
            <w:tcW w:w="956"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estuarine intertidal</w:t>
            </w:r>
          </w:p>
        </w:tc>
        <w:tc>
          <w:tcPr>
            <w:tcW w:w="923"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10.8*</w:t>
            </w:r>
          </w:p>
        </w:tc>
        <w:tc>
          <w:tcPr>
            <w:tcW w:w="924"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18*</w:t>
            </w:r>
          </w:p>
        </w:tc>
        <w:tc>
          <w:tcPr>
            <w:tcW w:w="923"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34.1*</w:t>
            </w:r>
          </w:p>
        </w:tc>
        <w:tc>
          <w:tcPr>
            <w:tcW w:w="924"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54*</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RC1^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18.6</w:t>
            </w:r>
          </w:p>
        </w:tc>
        <w:tc>
          <w:tcPr>
            <w:tcW w:w="924"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20.6</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24.4</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34.5</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WH1^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13.1</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14.4</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18.8</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22.3</w:t>
            </w:r>
          </w:p>
        </w:tc>
      </w:tr>
      <w:tr w:rsidR="00842050" w:rsidTr="00805748">
        <w:trPr>
          <w:trHeight w:val="170"/>
        </w:trPr>
        <w:tc>
          <w:tcPr>
            <w:tcW w:w="2071" w:type="dxa"/>
            <w:shd w:val="clear" w:color="auto" w:fill="E7F3F4"/>
            <w:noWrap/>
            <w:vAlign w:val="bottom"/>
          </w:tcPr>
          <w:p w:rsidR="00842050" w:rsidRDefault="00842050" w:rsidP="00805748">
            <w:pPr>
              <w:spacing w:before="0" w:after="0"/>
              <w:rPr>
                <w:rFonts w:cs="Arial"/>
                <w:color w:val="000000"/>
                <w:sz w:val="18"/>
                <w:szCs w:val="18"/>
              </w:rPr>
            </w:pPr>
          </w:p>
        </w:tc>
        <w:tc>
          <w:tcPr>
            <w:tcW w:w="956" w:type="dxa"/>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coastal intertidal</w:t>
            </w:r>
          </w:p>
        </w:tc>
        <w:tc>
          <w:tcPr>
            <w:tcW w:w="923"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15.85</w:t>
            </w:r>
          </w:p>
        </w:tc>
        <w:tc>
          <w:tcPr>
            <w:tcW w:w="924"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17.5</w:t>
            </w:r>
          </w:p>
        </w:tc>
        <w:tc>
          <w:tcPr>
            <w:tcW w:w="923"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21.6</w:t>
            </w:r>
          </w:p>
        </w:tc>
        <w:tc>
          <w:tcPr>
            <w:tcW w:w="924" w:type="dxa"/>
            <w:shd w:val="clear" w:color="auto" w:fill="E7F3F4"/>
            <w:noWrap/>
            <w:vAlign w:val="center"/>
            <w:hideMark/>
          </w:tcPr>
          <w:p w:rsidR="00842050" w:rsidRDefault="00842050" w:rsidP="00805748">
            <w:pPr>
              <w:spacing w:before="0" w:after="0"/>
              <w:jc w:val="center"/>
              <w:rPr>
                <w:rFonts w:cs="Arial"/>
                <w:b/>
                <w:color w:val="000000"/>
                <w:sz w:val="18"/>
                <w:szCs w:val="18"/>
              </w:rPr>
            </w:pPr>
            <w:r>
              <w:rPr>
                <w:rFonts w:cs="Arial"/>
                <w:b/>
                <w:color w:val="000000"/>
                <w:sz w:val="18"/>
                <w:szCs w:val="18"/>
              </w:rPr>
              <w:t>28.4</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GK</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reef intertidal</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22.2</w:t>
            </w:r>
          </w:p>
        </w:tc>
        <w:tc>
          <w:tcPr>
            <w:tcW w:w="924" w:type="dxa"/>
            <w:shd w:val="clear" w:color="auto" w:fill="F3F9FA"/>
            <w:noWrap/>
            <w:vAlign w:val="center"/>
          </w:tcPr>
          <w:p w:rsidR="00842050" w:rsidRDefault="00842050" w:rsidP="00805748">
            <w:pPr>
              <w:spacing w:before="0" w:after="0"/>
              <w:jc w:val="center"/>
              <w:rPr>
                <w:rFonts w:cs="Arial"/>
                <w:color w:val="000000"/>
                <w:sz w:val="18"/>
                <w:szCs w:val="18"/>
              </w:rPr>
            </w:pP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34.5</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39</w:t>
            </w:r>
          </w:p>
        </w:tc>
      </w:tr>
      <w:tr w:rsidR="00842050" w:rsidTr="00805748">
        <w:trPr>
          <w:trHeight w:val="170"/>
        </w:trPr>
        <w:tc>
          <w:tcPr>
            <w:tcW w:w="207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 </w:t>
            </w:r>
          </w:p>
        </w:tc>
        <w:tc>
          <w:tcPr>
            <w:tcW w:w="956"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reef intertidal</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22.2*</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26.2*</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34.5*</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39*</w:t>
            </w:r>
          </w:p>
        </w:tc>
      </w:tr>
      <w:tr w:rsidR="00842050" w:rsidTr="00805748">
        <w:trPr>
          <w:trHeight w:val="170"/>
        </w:trPr>
        <w:tc>
          <w:tcPr>
            <w:tcW w:w="2071"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Burnett Mary</w:t>
            </w: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RD</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estuarine intertidal</w:t>
            </w:r>
          </w:p>
        </w:tc>
        <w:tc>
          <w:tcPr>
            <w:tcW w:w="923" w:type="dxa"/>
            <w:shd w:val="clear" w:color="auto" w:fill="F3F9FA"/>
            <w:noWrap/>
            <w:vAlign w:val="center"/>
          </w:tcPr>
          <w:p w:rsidR="00842050" w:rsidRDefault="00842050" w:rsidP="00805748">
            <w:pPr>
              <w:spacing w:before="0" w:after="0"/>
              <w:jc w:val="center"/>
              <w:rPr>
                <w:rFonts w:cs="Arial"/>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34.1</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54</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UG1^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estuarine intertidal</w:t>
            </w:r>
          </w:p>
        </w:tc>
        <w:tc>
          <w:tcPr>
            <w:tcW w:w="923" w:type="dxa"/>
            <w:shd w:val="clear" w:color="auto" w:fill="F3F9FA"/>
            <w:noWrap/>
            <w:vAlign w:val="center"/>
            <w:hideMark/>
          </w:tcPr>
          <w:p w:rsidR="00842050" w:rsidRDefault="00842050" w:rsidP="00805748">
            <w:pPr>
              <w:spacing w:before="0" w:after="0"/>
              <w:jc w:val="center"/>
              <w:rPr>
                <w:rFonts w:cs="Arial"/>
                <w:color w:val="808080"/>
                <w:sz w:val="18"/>
                <w:szCs w:val="18"/>
              </w:rPr>
            </w:pPr>
            <w:r>
              <w:rPr>
                <w:rFonts w:cs="Arial"/>
                <w:color w:val="808080"/>
                <w:sz w:val="18"/>
                <w:szCs w:val="18"/>
              </w:rPr>
              <w:t>10.8</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34.1</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54</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UG2</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estuarine intertidal</w:t>
            </w:r>
          </w:p>
        </w:tc>
        <w:tc>
          <w:tcPr>
            <w:tcW w:w="923" w:type="dxa"/>
            <w:shd w:val="clear" w:color="auto" w:fill="F3F9FA"/>
            <w:noWrap/>
            <w:vAlign w:val="center"/>
          </w:tcPr>
          <w:p w:rsidR="00842050" w:rsidRDefault="00842050" w:rsidP="00805748">
            <w:pPr>
              <w:spacing w:before="0" w:after="0"/>
              <w:jc w:val="center"/>
              <w:rPr>
                <w:rFonts w:cs="Arial"/>
                <w:color w:val="000000"/>
                <w:sz w:val="18"/>
                <w:szCs w:val="18"/>
              </w:rPr>
            </w:pP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18</w:t>
            </w:r>
          </w:p>
        </w:tc>
        <w:tc>
          <w:tcPr>
            <w:tcW w:w="923"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34.1</w:t>
            </w:r>
          </w:p>
        </w:tc>
        <w:tc>
          <w:tcPr>
            <w:tcW w:w="924" w:type="dxa"/>
            <w:shd w:val="clear" w:color="auto" w:fill="F3F9FA"/>
            <w:noWrap/>
            <w:vAlign w:val="center"/>
            <w:hideMark/>
          </w:tcPr>
          <w:p w:rsidR="00842050" w:rsidRDefault="00842050" w:rsidP="00805748">
            <w:pPr>
              <w:spacing w:before="0" w:after="0"/>
              <w:jc w:val="center"/>
              <w:rPr>
                <w:rFonts w:cs="Arial"/>
                <w:color w:val="000000"/>
                <w:sz w:val="18"/>
                <w:szCs w:val="18"/>
              </w:rPr>
            </w:pPr>
            <w:r>
              <w:rPr>
                <w:rFonts w:cs="Arial"/>
                <w:color w:val="000000"/>
                <w:sz w:val="18"/>
                <w:szCs w:val="18"/>
              </w:rPr>
              <w:t>54</w:t>
            </w:r>
          </w:p>
        </w:tc>
      </w:tr>
      <w:tr w:rsidR="00842050" w:rsidTr="00805748">
        <w:trPr>
          <w:trHeight w:val="170"/>
        </w:trPr>
        <w:tc>
          <w:tcPr>
            <w:tcW w:w="2071" w:type="dxa"/>
            <w:tcBorders>
              <w:top w:val="nil"/>
              <w:left w:val="nil"/>
              <w:bottom w:val="single" w:sz="4" w:space="0" w:color="auto"/>
              <w:right w:val="nil"/>
            </w:tcBorders>
            <w:shd w:val="clear" w:color="auto" w:fill="E7F3F4"/>
            <w:noWrap/>
            <w:vAlign w:val="bottom"/>
          </w:tcPr>
          <w:p w:rsidR="00842050" w:rsidRDefault="00842050" w:rsidP="00805748">
            <w:pPr>
              <w:spacing w:before="0" w:after="0"/>
              <w:rPr>
                <w:rFonts w:cs="Arial"/>
                <w:color w:val="000000"/>
                <w:sz w:val="18"/>
                <w:szCs w:val="18"/>
              </w:rPr>
            </w:pPr>
          </w:p>
        </w:tc>
        <w:tc>
          <w:tcPr>
            <w:tcW w:w="956"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estuarine intertidal</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10.8</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18</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34.1</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54</w:t>
            </w:r>
          </w:p>
        </w:tc>
      </w:tr>
      <w:tr w:rsidR="00842050" w:rsidTr="00805748">
        <w:trPr>
          <w:trHeight w:val="170"/>
        </w:trPr>
        <w:tc>
          <w:tcPr>
            <w:tcW w:w="2071" w:type="dxa"/>
            <w:shd w:val="clear" w:color="auto" w:fill="F3F9FA"/>
            <w:noWrap/>
            <w:vAlign w:val="bottom"/>
          </w:tcPr>
          <w:p w:rsidR="00842050" w:rsidRDefault="00842050" w:rsidP="00805748">
            <w:pPr>
              <w:spacing w:before="0" w:after="0"/>
              <w:rPr>
                <w:rFonts w:cs="Arial"/>
                <w:color w:val="000000"/>
                <w:sz w:val="18"/>
                <w:szCs w:val="18"/>
              </w:rPr>
            </w:pPr>
          </w:p>
        </w:tc>
        <w:tc>
          <w:tcPr>
            <w:tcW w:w="956" w:type="dxa"/>
            <w:shd w:val="clear" w:color="auto" w:fill="F3F9FA"/>
            <w:noWrap/>
            <w:vAlign w:val="bottom"/>
            <w:hideMark/>
          </w:tcPr>
          <w:p w:rsidR="00842050" w:rsidRDefault="00842050" w:rsidP="00805748">
            <w:pPr>
              <w:spacing w:before="0" w:after="0"/>
              <w:jc w:val="right"/>
              <w:rPr>
                <w:rFonts w:cs="Arial"/>
                <w:color w:val="000000"/>
                <w:sz w:val="18"/>
                <w:szCs w:val="18"/>
              </w:rPr>
            </w:pPr>
            <w:r>
              <w:rPr>
                <w:rFonts w:cs="Arial"/>
                <w:color w:val="000000"/>
                <w:sz w:val="18"/>
                <w:szCs w:val="18"/>
              </w:rPr>
              <w:t>BH1</w:t>
            </w:r>
          </w:p>
        </w:tc>
        <w:tc>
          <w:tcPr>
            <w:tcW w:w="2117" w:type="dxa"/>
            <w:shd w:val="clear" w:color="auto" w:fill="F3F9FA"/>
            <w:noWrap/>
            <w:vAlign w:val="bottom"/>
            <w:hideMark/>
          </w:tcPr>
          <w:p w:rsidR="00842050" w:rsidRDefault="00842050" w:rsidP="00805748">
            <w:pPr>
              <w:spacing w:before="0" w:after="0"/>
              <w:rPr>
                <w:rFonts w:cs="Arial"/>
                <w:color w:val="000000"/>
                <w:sz w:val="18"/>
                <w:szCs w:val="18"/>
              </w:rPr>
            </w:pPr>
            <w:r>
              <w:rPr>
                <w:rFonts w:cs="Arial"/>
                <w:color w:val="000000"/>
                <w:sz w:val="18"/>
                <w:szCs w:val="18"/>
              </w:rPr>
              <w:t>coastal intertidal</w:t>
            </w:r>
          </w:p>
        </w:tc>
        <w:tc>
          <w:tcPr>
            <w:tcW w:w="923" w:type="dxa"/>
            <w:shd w:val="clear" w:color="auto" w:fill="F3F9FA"/>
            <w:noWrap/>
            <w:vAlign w:val="center"/>
          </w:tcPr>
          <w:p w:rsidR="00842050" w:rsidRDefault="00842050" w:rsidP="00805748">
            <w:pPr>
              <w:spacing w:before="0" w:after="0"/>
              <w:jc w:val="center"/>
              <w:rPr>
                <w:rFonts w:cs="Arial"/>
                <w:color w:val="808080"/>
                <w:sz w:val="18"/>
                <w:szCs w:val="18"/>
              </w:rPr>
            </w:pP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iCs/>
                <w:sz w:val="16"/>
                <w:szCs w:val="16"/>
              </w:rPr>
              <w:t>7.8</w:t>
            </w:r>
          </w:p>
        </w:tc>
        <w:tc>
          <w:tcPr>
            <w:tcW w:w="923" w:type="dxa"/>
            <w:shd w:val="clear" w:color="auto" w:fill="F3F9FA"/>
            <w:noWrap/>
            <w:vAlign w:val="bottom"/>
            <w:hideMark/>
          </w:tcPr>
          <w:p w:rsidR="00842050" w:rsidRDefault="00842050" w:rsidP="00805748">
            <w:pPr>
              <w:spacing w:before="0" w:after="0"/>
              <w:jc w:val="center"/>
              <w:rPr>
                <w:rFonts w:cs="Arial"/>
                <w:color w:val="000000"/>
                <w:sz w:val="18"/>
                <w:szCs w:val="18"/>
              </w:rPr>
            </w:pPr>
            <w:r>
              <w:rPr>
                <w:iCs/>
                <w:sz w:val="16"/>
                <w:szCs w:val="16"/>
              </w:rPr>
              <w:t>11.9</w:t>
            </w:r>
          </w:p>
        </w:tc>
        <w:tc>
          <w:tcPr>
            <w:tcW w:w="924" w:type="dxa"/>
            <w:shd w:val="clear" w:color="auto" w:fill="F3F9FA"/>
            <w:noWrap/>
            <w:vAlign w:val="bottom"/>
            <w:hideMark/>
          </w:tcPr>
          <w:p w:rsidR="00842050" w:rsidRDefault="00842050" w:rsidP="00805748">
            <w:pPr>
              <w:spacing w:before="0" w:after="0"/>
              <w:jc w:val="center"/>
              <w:rPr>
                <w:rFonts w:cs="Arial"/>
                <w:color w:val="000000"/>
                <w:sz w:val="18"/>
                <w:szCs w:val="18"/>
              </w:rPr>
            </w:pPr>
            <w:r>
              <w:rPr>
                <w:iCs/>
                <w:sz w:val="16"/>
                <w:szCs w:val="16"/>
              </w:rPr>
              <w:t>21.6</w:t>
            </w:r>
          </w:p>
        </w:tc>
      </w:tr>
      <w:tr w:rsidR="00842050" w:rsidTr="00805748">
        <w:trPr>
          <w:trHeight w:val="170"/>
        </w:trPr>
        <w:tc>
          <w:tcPr>
            <w:tcW w:w="2071" w:type="dxa"/>
            <w:tcBorders>
              <w:top w:val="nil"/>
              <w:left w:val="nil"/>
              <w:bottom w:val="single" w:sz="4" w:space="0" w:color="auto"/>
              <w:right w:val="nil"/>
            </w:tcBorders>
            <w:shd w:val="clear" w:color="auto" w:fill="E7F3F4"/>
            <w:noWrap/>
            <w:vAlign w:val="bottom"/>
          </w:tcPr>
          <w:p w:rsidR="00842050" w:rsidRDefault="00842050" w:rsidP="00805748">
            <w:pPr>
              <w:spacing w:before="0" w:after="0"/>
              <w:rPr>
                <w:rFonts w:cs="Arial"/>
                <w:color w:val="000000"/>
                <w:sz w:val="18"/>
                <w:szCs w:val="18"/>
              </w:rPr>
            </w:pPr>
          </w:p>
        </w:tc>
        <w:tc>
          <w:tcPr>
            <w:tcW w:w="956"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color w:val="000000"/>
                <w:sz w:val="18"/>
                <w:szCs w:val="18"/>
              </w:rPr>
            </w:pPr>
            <w:r>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rPr>
                <w:rFonts w:cs="Arial"/>
                <w:b/>
                <w:bCs/>
                <w:i/>
                <w:iCs/>
                <w:color w:val="000000"/>
                <w:sz w:val="18"/>
                <w:szCs w:val="18"/>
              </w:rPr>
            </w:pPr>
            <w:r>
              <w:rPr>
                <w:rFonts w:cs="Arial"/>
                <w:b/>
                <w:bCs/>
                <w:i/>
                <w:iCs/>
                <w:color w:val="000000"/>
                <w:sz w:val="18"/>
                <w:szCs w:val="18"/>
              </w:rPr>
              <w:t>coastal intertidal</w:t>
            </w:r>
          </w:p>
        </w:tc>
        <w:tc>
          <w:tcPr>
            <w:tcW w:w="923" w:type="dxa"/>
            <w:tcBorders>
              <w:top w:val="nil"/>
              <w:left w:val="nil"/>
              <w:bottom w:val="single" w:sz="4" w:space="0" w:color="auto"/>
              <w:right w:val="nil"/>
            </w:tcBorders>
            <w:shd w:val="clear" w:color="auto" w:fill="E7F3F4"/>
            <w:noWrap/>
            <w:vAlign w:val="center"/>
          </w:tcPr>
          <w:p w:rsidR="00842050" w:rsidRDefault="00842050" w:rsidP="00805748">
            <w:pPr>
              <w:spacing w:before="0" w:after="0"/>
              <w:jc w:val="center"/>
              <w:rPr>
                <w:rFonts w:cs="Arial"/>
                <w:b/>
                <w:bCs/>
                <w:i/>
                <w:iCs/>
                <w:color w:val="000000"/>
                <w:sz w:val="18"/>
                <w:szCs w:val="18"/>
              </w:rPr>
            </w:pP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7.8</w:t>
            </w:r>
          </w:p>
        </w:tc>
        <w:tc>
          <w:tcPr>
            <w:tcW w:w="923"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11.9</w:t>
            </w:r>
          </w:p>
        </w:tc>
        <w:tc>
          <w:tcPr>
            <w:tcW w:w="924" w:type="dxa"/>
            <w:tcBorders>
              <w:top w:val="nil"/>
              <w:left w:val="nil"/>
              <w:bottom w:val="single" w:sz="4" w:space="0" w:color="auto"/>
              <w:right w:val="nil"/>
            </w:tcBorders>
            <w:shd w:val="clear" w:color="auto" w:fill="E7F3F4"/>
            <w:noWrap/>
            <w:vAlign w:val="center"/>
            <w:hideMark/>
          </w:tcPr>
          <w:p w:rsidR="00842050" w:rsidRDefault="00842050" w:rsidP="00805748">
            <w:pPr>
              <w:spacing w:before="0" w:after="0"/>
              <w:jc w:val="center"/>
              <w:rPr>
                <w:rFonts w:cs="Arial"/>
                <w:b/>
                <w:bCs/>
                <w:i/>
                <w:iCs/>
                <w:color w:val="000000"/>
                <w:sz w:val="18"/>
                <w:szCs w:val="18"/>
              </w:rPr>
            </w:pPr>
            <w:r>
              <w:rPr>
                <w:rFonts w:cs="Arial"/>
                <w:b/>
                <w:bCs/>
                <w:i/>
                <w:iCs/>
                <w:color w:val="000000"/>
                <w:sz w:val="18"/>
                <w:szCs w:val="18"/>
              </w:rPr>
              <w:t>21.6</w:t>
            </w:r>
          </w:p>
        </w:tc>
      </w:tr>
    </w:tbl>
    <w:p w:rsidR="00842050" w:rsidRDefault="00842050" w:rsidP="00842050">
      <w:pPr>
        <w:ind w:left="540" w:hanging="540"/>
        <w:rPr>
          <w:color w:val="000000"/>
        </w:rPr>
      </w:pPr>
    </w:p>
    <w:p w:rsidR="00842050" w:rsidRDefault="00842050" w:rsidP="00842050">
      <w:pPr>
        <w:jc w:val="center"/>
        <w:rPr>
          <w:i/>
          <w:vanish/>
          <w:color w:val="000000"/>
          <w:specVanish/>
        </w:rPr>
      </w:pPr>
      <w:bookmarkStart w:id="964" w:name="_Toc462685103"/>
      <w:r>
        <w:rPr>
          <w:color w:val="000000"/>
        </w:rPr>
        <w:t xml:space="preserve">Table </w:t>
      </w:r>
      <w:r>
        <w:fldChar w:fldCharType="begin"/>
      </w:r>
      <w:r>
        <w:rPr>
          <w:color w:val="000000"/>
        </w:rPr>
        <w:instrText xml:space="preserve"> SEQ Table \* ARABIC </w:instrText>
      </w:r>
      <w:r>
        <w:fldChar w:fldCharType="separate"/>
      </w:r>
      <w:r w:rsidR="009C068F">
        <w:rPr>
          <w:noProof/>
          <w:color w:val="000000"/>
        </w:rPr>
        <w:t>34</w:t>
      </w:r>
      <w:r>
        <w:fldChar w:fldCharType="end"/>
      </w:r>
      <w:r>
        <w:rPr>
          <w:color w:val="000000"/>
        </w:rPr>
        <w:t xml:space="preserve">. </w:t>
      </w:r>
      <w:r>
        <w:rPr>
          <w:rFonts w:cs="Arial"/>
          <w:i/>
          <w:color w:val="000000"/>
        </w:rPr>
        <w:t>Scoring threshold table to determine seagrass abundance status.</w:t>
      </w:r>
      <w:bookmarkEnd w:id="963"/>
      <w:bookmarkEnd w:id="964"/>
      <w:r>
        <w:rPr>
          <w:i/>
          <w:color w:val="000000"/>
        </w:rPr>
        <w:t xml:space="preserve"> </w:t>
      </w:r>
    </w:p>
    <w:p w:rsidR="00842050" w:rsidRDefault="00842050" w:rsidP="00842050">
      <w:pPr>
        <w:jc w:val="center"/>
        <w:rPr>
          <w:color w:val="000000"/>
        </w:rPr>
      </w:pPr>
      <w:proofErr w:type="gramStart"/>
      <w:r>
        <w:rPr>
          <w:i/>
          <w:color w:val="000000"/>
        </w:rPr>
        <w:t>low</w:t>
      </w:r>
      <w:proofErr w:type="gramEnd"/>
      <w:r>
        <w:rPr>
          <w:i/>
          <w:color w:val="000000"/>
        </w:rPr>
        <w:t xml:space="preserve"> = 10</w:t>
      </w:r>
      <w:r>
        <w:rPr>
          <w:i/>
          <w:color w:val="000000"/>
          <w:vertAlign w:val="superscript"/>
        </w:rPr>
        <w:t>th</w:t>
      </w:r>
      <w:r>
        <w:rPr>
          <w:i/>
          <w:color w:val="000000"/>
        </w:rPr>
        <w:t xml:space="preserve"> or 20</w:t>
      </w:r>
      <w:r>
        <w:rPr>
          <w:i/>
          <w:color w:val="000000"/>
          <w:vertAlign w:val="superscript"/>
        </w:rPr>
        <w:t>th</w:t>
      </w:r>
      <w:r>
        <w:rPr>
          <w:i/>
          <w:color w:val="000000"/>
        </w:rPr>
        <w:t xml:space="preserve"> percentile guideline (</w:t>
      </w:r>
      <w:r>
        <w:fldChar w:fldCharType="begin"/>
      </w:r>
      <w:r>
        <w:rPr>
          <w:i/>
          <w:color w:val="000000"/>
        </w:rPr>
        <w:instrText xml:space="preserve"> REF _Ref340344284 \h  \* MERGEFORMAT </w:instrText>
      </w:r>
      <w:r>
        <w:fldChar w:fldCharType="separate"/>
      </w:r>
      <w:r w:rsidR="009C068F" w:rsidRPr="009C068F">
        <w:rPr>
          <w:i/>
        </w:rPr>
        <w:t xml:space="preserve">Table </w:t>
      </w:r>
      <w:r w:rsidR="009C068F" w:rsidRPr="009C068F">
        <w:rPr>
          <w:i/>
          <w:noProof/>
          <w:color w:val="000000"/>
        </w:rPr>
        <w:t>33</w:t>
      </w:r>
      <w:r>
        <w:fldChar w:fldCharType="end"/>
      </w:r>
      <w:r>
        <w:rPr>
          <w:i/>
          <w:color w:val="000000"/>
        </w:rPr>
        <w:t xml:space="preserve">). NB: scores are </w:t>
      </w:r>
      <w:proofErr w:type="spellStart"/>
      <w:r>
        <w:rPr>
          <w:i/>
          <w:color w:val="000000"/>
        </w:rPr>
        <w:t>unitless</w:t>
      </w:r>
      <w:proofErr w:type="spellEnd"/>
      <w:r>
        <w:rPr>
          <w:i/>
          <w:color w:val="000000"/>
        </w:rPr>
        <w:t>.</w:t>
      </w:r>
    </w:p>
    <w:tbl>
      <w:tblPr>
        <w:tblW w:w="6200" w:type="dxa"/>
        <w:jc w:val="center"/>
        <w:tblLook w:val="04A0" w:firstRow="1" w:lastRow="0" w:firstColumn="1" w:lastColumn="0" w:noHBand="0" w:noVBand="1"/>
      </w:tblPr>
      <w:tblGrid>
        <w:gridCol w:w="1370"/>
        <w:gridCol w:w="1650"/>
        <w:gridCol w:w="1560"/>
        <w:gridCol w:w="1620"/>
      </w:tblGrid>
      <w:tr w:rsidR="00842050" w:rsidTr="00805748">
        <w:trPr>
          <w:trHeight w:val="290"/>
          <w:jc w:val="center"/>
        </w:trPr>
        <w:tc>
          <w:tcPr>
            <w:tcW w:w="1370"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lang w:val="en-US"/>
              </w:rPr>
            </w:pPr>
            <w:r>
              <w:rPr>
                <w:b/>
                <w:color w:val="000000"/>
                <w:szCs w:val="22"/>
                <w:lang w:val="en-US"/>
              </w:rPr>
              <w:t>description</w:t>
            </w:r>
          </w:p>
        </w:tc>
        <w:tc>
          <w:tcPr>
            <w:tcW w:w="1650"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lang w:val="en-US"/>
              </w:rPr>
            </w:pPr>
            <w:r>
              <w:rPr>
                <w:b/>
                <w:color w:val="000000"/>
                <w:szCs w:val="22"/>
                <w:lang w:val="en-US"/>
              </w:rPr>
              <w:t>category</w:t>
            </w:r>
          </w:p>
        </w:tc>
        <w:tc>
          <w:tcPr>
            <w:tcW w:w="1560"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lang w:val="en-US"/>
              </w:rPr>
            </w:pPr>
            <w:r>
              <w:rPr>
                <w:b/>
                <w:color w:val="000000"/>
                <w:szCs w:val="22"/>
                <w:lang w:val="en-US"/>
              </w:rPr>
              <w:t>score</w:t>
            </w:r>
          </w:p>
        </w:tc>
        <w:tc>
          <w:tcPr>
            <w:tcW w:w="1620"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lang w:val="en-US"/>
              </w:rPr>
            </w:pPr>
            <w:r>
              <w:rPr>
                <w:b/>
                <w:color w:val="000000"/>
                <w:szCs w:val="22"/>
                <w:lang w:val="en-US"/>
              </w:rPr>
              <w:t>status</w:t>
            </w:r>
          </w:p>
        </w:tc>
      </w:tr>
      <w:tr w:rsidR="00842050" w:rsidTr="00805748">
        <w:trPr>
          <w:trHeight w:val="290"/>
          <w:jc w:val="center"/>
        </w:trPr>
        <w:tc>
          <w:tcPr>
            <w:tcW w:w="1370" w:type="dxa"/>
            <w:noWrap/>
            <w:vAlign w:val="bottom"/>
            <w:hideMark/>
          </w:tcPr>
          <w:p w:rsidR="00842050" w:rsidRDefault="00842050" w:rsidP="00805748">
            <w:pPr>
              <w:spacing w:before="0" w:after="0"/>
              <w:rPr>
                <w:i/>
                <w:iCs/>
                <w:color w:val="000000"/>
                <w:lang w:eastAsia="en-AU"/>
              </w:rPr>
            </w:pPr>
            <w:r>
              <w:rPr>
                <w:i/>
                <w:iCs/>
                <w:color w:val="000000"/>
                <w:szCs w:val="22"/>
                <w:lang w:eastAsia="en-AU"/>
              </w:rPr>
              <w:t>very good</w:t>
            </w:r>
          </w:p>
        </w:tc>
        <w:tc>
          <w:tcPr>
            <w:tcW w:w="1650" w:type="dxa"/>
            <w:noWrap/>
            <w:vAlign w:val="bottom"/>
            <w:hideMark/>
          </w:tcPr>
          <w:p w:rsidR="00842050" w:rsidRDefault="00842050" w:rsidP="00805748">
            <w:pPr>
              <w:spacing w:before="0" w:after="0"/>
              <w:jc w:val="center"/>
              <w:rPr>
                <w:color w:val="000000"/>
                <w:lang w:eastAsia="en-AU"/>
              </w:rPr>
            </w:pPr>
            <w:r>
              <w:rPr>
                <w:color w:val="000000"/>
                <w:szCs w:val="22"/>
                <w:lang w:eastAsia="en-AU"/>
              </w:rPr>
              <w:t>75-100</w:t>
            </w:r>
          </w:p>
        </w:tc>
        <w:tc>
          <w:tcPr>
            <w:tcW w:w="1560" w:type="dxa"/>
            <w:noWrap/>
            <w:vAlign w:val="bottom"/>
            <w:hideMark/>
          </w:tcPr>
          <w:p w:rsidR="00842050" w:rsidRDefault="00842050" w:rsidP="00805748">
            <w:pPr>
              <w:spacing w:before="0" w:after="0"/>
              <w:jc w:val="center"/>
              <w:rPr>
                <w:color w:val="000000"/>
                <w:lang w:eastAsia="en-AU"/>
              </w:rPr>
            </w:pPr>
            <w:r>
              <w:rPr>
                <w:color w:val="000000"/>
                <w:szCs w:val="22"/>
                <w:lang w:eastAsia="en-AU"/>
              </w:rPr>
              <w:t>100</w:t>
            </w:r>
          </w:p>
        </w:tc>
        <w:tc>
          <w:tcPr>
            <w:tcW w:w="1620" w:type="dxa"/>
            <w:shd w:val="clear" w:color="auto" w:fill="008000"/>
            <w:noWrap/>
            <w:vAlign w:val="bottom"/>
            <w:hideMark/>
          </w:tcPr>
          <w:p w:rsidR="00842050" w:rsidRDefault="00842050" w:rsidP="00796FE8">
            <w:pPr>
              <w:spacing w:before="0" w:after="0"/>
              <w:jc w:val="center"/>
              <w:rPr>
                <w:color w:val="000000"/>
                <w:lang w:eastAsia="en-AU"/>
              </w:rPr>
            </w:pPr>
            <w:r>
              <w:rPr>
                <w:color w:val="000000"/>
                <w:szCs w:val="22"/>
                <w:lang w:eastAsia="en-AU"/>
              </w:rPr>
              <w:t>8</w:t>
            </w:r>
            <w:r w:rsidR="00796FE8">
              <w:rPr>
                <w:color w:val="000000"/>
                <w:szCs w:val="22"/>
                <w:lang w:eastAsia="en-AU"/>
              </w:rPr>
              <w:t>1</w:t>
            </w:r>
            <w:r>
              <w:rPr>
                <w:color w:val="000000"/>
                <w:szCs w:val="22"/>
                <w:lang w:eastAsia="en-AU"/>
              </w:rPr>
              <w:t xml:space="preserve"> - 100</w:t>
            </w:r>
          </w:p>
        </w:tc>
      </w:tr>
      <w:tr w:rsidR="00842050" w:rsidTr="00805748">
        <w:trPr>
          <w:trHeight w:val="290"/>
          <w:jc w:val="center"/>
        </w:trPr>
        <w:tc>
          <w:tcPr>
            <w:tcW w:w="1370" w:type="dxa"/>
            <w:noWrap/>
            <w:vAlign w:val="bottom"/>
            <w:hideMark/>
          </w:tcPr>
          <w:p w:rsidR="00842050" w:rsidRDefault="00842050" w:rsidP="00805748">
            <w:pPr>
              <w:spacing w:before="0" w:after="0"/>
              <w:rPr>
                <w:i/>
                <w:iCs/>
                <w:color w:val="000000"/>
                <w:lang w:eastAsia="en-AU"/>
              </w:rPr>
            </w:pPr>
            <w:r>
              <w:rPr>
                <w:i/>
                <w:iCs/>
                <w:color w:val="000000"/>
                <w:szCs w:val="22"/>
                <w:lang w:eastAsia="en-AU"/>
              </w:rPr>
              <w:t>good</w:t>
            </w:r>
          </w:p>
        </w:tc>
        <w:tc>
          <w:tcPr>
            <w:tcW w:w="1650" w:type="dxa"/>
            <w:noWrap/>
            <w:vAlign w:val="bottom"/>
            <w:hideMark/>
          </w:tcPr>
          <w:p w:rsidR="00842050" w:rsidRDefault="00842050" w:rsidP="00805748">
            <w:pPr>
              <w:spacing w:before="0" w:after="0"/>
              <w:jc w:val="center"/>
              <w:rPr>
                <w:color w:val="000000"/>
                <w:lang w:eastAsia="en-AU"/>
              </w:rPr>
            </w:pPr>
            <w:r>
              <w:rPr>
                <w:color w:val="000000"/>
                <w:szCs w:val="22"/>
                <w:lang w:eastAsia="en-AU"/>
              </w:rPr>
              <w:t>50-75</w:t>
            </w:r>
          </w:p>
        </w:tc>
        <w:tc>
          <w:tcPr>
            <w:tcW w:w="1560" w:type="dxa"/>
            <w:noWrap/>
            <w:vAlign w:val="bottom"/>
            <w:hideMark/>
          </w:tcPr>
          <w:p w:rsidR="00842050" w:rsidRDefault="00842050" w:rsidP="00805748">
            <w:pPr>
              <w:spacing w:before="0" w:after="0"/>
              <w:jc w:val="center"/>
              <w:rPr>
                <w:color w:val="000000"/>
                <w:lang w:eastAsia="en-AU"/>
              </w:rPr>
            </w:pPr>
            <w:r>
              <w:rPr>
                <w:color w:val="000000"/>
                <w:szCs w:val="22"/>
                <w:lang w:eastAsia="en-AU"/>
              </w:rPr>
              <w:t>75</w:t>
            </w:r>
          </w:p>
        </w:tc>
        <w:tc>
          <w:tcPr>
            <w:tcW w:w="1620" w:type="dxa"/>
            <w:shd w:val="clear" w:color="auto" w:fill="92D050"/>
            <w:noWrap/>
            <w:vAlign w:val="bottom"/>
            <w:hideMark/>
          </w:tcPr>
          <w:p w:rsidR="00842050" w:rsidRDefault="00842050" w:rsidP="00796FE8">
            <w:pPr>
              <w:spacing w:before="0" w:after="0"/>
              <w:jc w:val="center"/>
              <w:rPr>
                <w:color w:val="000000"/>
                <w:lang w:eastAsia="en-AU"/>
              </w:rPr>
            </w:pPr>
            <w:r>
              <w:rPr>
                <w:color w:val="000000"/>
                <w:szCs w:val="22"/>
                <w:lang w:eastAsia="en-AU"/>
              </w:rPr>
              <w:t>6</w:t>
            </w:r>
            <w:r w:rsidR="00796FE8">
              <w:rPr>
                <w:color w:val="000000"/>
                <w:szCs w:val="22"/>
                <w:lang w:eastAsia="en-AU"/>
              </w:rPr>
              <w:t>1</w:t>
            </w:r>
            <w:r>
              <w:rPr>
                <w:color w:val="000000"/>
                <w:szCs w:val="22"/>
                <w:lang w:eastAsia="en-AU"/>
              </w:rPr>
              <w:t xml:space="preserve"> - 80</w:t>
            </w:r>
          </w:p>
        </w:tc>
      </w:tr>
      <w:tr w:rsidR="00842050" w:rsidTr="00805748">
        <w:trPr>
          <w:trHeight w:val="290"/>
          <w:jc w:val="center"/>
        </w:trPr>
        <w:tc>
          <w:tcPr>
            <w:tcW w:w="1370" w:type="dxa"/>
            <w:noWrap/>
            <w:vAlign w:val="bottom"/>
            <w:hideMark/>
          </w:tcPr>
          <w:p w:rsidR="00842050" w:rsidRDefault="00842050" w:rsidP="00805748">
            <w:pPr>
              <w:spacing w:before="0" w:after="0"/>
              <w:rPr>
                <w:i/>
                <w:iCs/>
                <w:color w:val="000000"/>
                <w:lang w:eastAsia="en-AU"/>
              </w:rPr>
            </w:pPr>
            <w:r>
              <w:rPr>
                <w:i/>
                <w:iCs/>
                <w:color w:val="000000"/>
                <w:szCs w:val="22"/>
                <w:lang w:eastAsia="en-AU"/>
              </w:rPr>
              <w:t>moderate</w:t>
            </w:r>
          </w:p>
        </w:tc>
        <w:tc>
          <w:tcPr>
            <w:tcW w:w="1650" w:type="dxa"/>
            <w:noWrap/>
            <w:vAlign w:val="bottom"/>
            <w:hideMark/>
          </w:tcPr>
          <w:p w:rsidR="00842050" w:rsidRDefault="00842050" w:rsidP="00805748">
            <w:pPr>
              <w:spacing w:before="0" w:after="0"/>
              <w:jc w:val="center"/>
              <w:rPr>
                <w:color w:val="000000"/>
                <w:lang w:eastAsia="en-AU"/>
              </w:rPr>
            </w:pPr>
            <w:r>
              <w:rPr>
                <w:color w:val="000000"/>
                <w:szCs w:val="22"/>
                <w:lang w:eastAsia="en-AU"/>
              </w:rPr>
              <w:t>low-50</w:t>
            </w:r>
          </w:p>
        </w:tc>
        <w:tc>
          <w:tcPr>
            <w:tcW w:w="1560" w:type="dxa"/>
            <w:noWrap/>
            <w:vAlign w:val="bottom"/>
            <w:hideMark/>
          </w:tcPr>
          <w:p w:rsidR="00842050" w:rsidRDefault="00842050" w:rsidP="00805748">
            <w:pPr>
              <w:spacing w:before="0" w:after="0"/>
              <w:jc w:val="center"/>
              <w:rPr>
                <w:color w:val="000000"/>
                <w:lang w:eastAsia="en-AU"/>
              </w:rPr>
            </w:pPr>
            <w:r>
              <w:rPr>
                <w:color w:val="000000"/>
                <w:szCs w:val="22"/>
                <w:lang w:eastAsia="en-AU"/>
              </w:rPr>
              <w:t>50</w:t>
            </w:r>
          </w:p>
        </w:tc>
        <w:tc>
          <w:tcPr>
            <w:tcW w:w="1620" w:type="dxa"/>
            <w:shd w:val="clear" w:color="auto" w:fill="FFFF00"/>
            <w:noWrap/>
            <w:vAlign w:val="bottom"/>
            <w:hideMark/>
          </w:tcPr>
          <w:p w:rsidR="00842050" w:rsidRDefault="00842050" w:rsidP="00796FE8">
            <w:pPr>
              <w:spacing w:before="0" w:after="0"/>
              <w:jc w:val="center"/>
              <w:rPr>
                <w:color w:val="000000"/>
                <w:lang w:eastAsia="en-AU"/>
              </w:rPr>
            </w:pPr>
            <w:r>
              <w:rPr>
                <w:color w:val="000000"/>
                <w:szCs w:val="22"/>
                <w:lang w:eastAsia="en-AU"/>
              </w:rPr>
              <w:t>4</w:t>
            </w:r>
            <w:r w:rsidR="00796FE8">
              <w:rPr>
                <w:color w:val="000000"/>
                <w:szCs w:val="22"/>
                <w:lang w:eastAsia="en-AU"/>
              </w:rPr>
              <w:t xml:space="preserve">1 - </w:t>
            </w:r>
            <w:r>
              <w:rPr>
                <w:color w:val="000000"/>
                <w:szCs w:val="22"/>
                <w:lang w:eastAsia="en-AU"/>
              </w:rPr>
              <w:t>60</w:t>
            </w:r>
          </w:p>
        </w:tc>
      </w:tr>
      <w:tr w:rsidR="00842050" w:rsidTr="00805748">
        <w:trPr>
          <w:trHeight w:val="290"/>
          <w:jc w:val="center"/>
        </w:trPr>
        <w:tc>
          <w:tcPr>
            <w:tcW w:w="1370" w:type="dxa"/>
            <w:noWrap/>
            <w:vAlign w:val="bottom"/>
            <w:hideMark/>
          </w:tcPr>
          <w:p w:rsidR="00842050" w:rsidRDefault="00842050" w:rsidP="00805748">
            <w:pPr>
              <w:spacing w:before="0" w:after="0"/>
              <w:rPr>
                <w:i/>
                <w:iCs/>
                <w:color w:val="000000"/>
                <w:lang w:eastAsia="en-AU"/>
              </w:rPr>
            </w:pPr>
            <w:r>
              <w:rPr>
                <w:i/>
                <w:iCs/>
                <w:color w:val="000000"/>
                <w:szCs w:val="22"/>
                <w:lang w:eastAsia="en-AU"/>
              </w:rPr>
              <w:t>poor</w:t>
            </w:r>
          </w:p>
        </w:tc>
        <w:tc>
          <w:tcPr>
            <w:tcW w:w="1650" w:type="dxa"/>
            <w:noWrap/>
            <w:vAlign w:val="bottom"/>
            <w:hideMark/>
          </w:tcPr>
          <w:p w:rsidR="00842050" w:rsidRDefault="00842050" w:rsidP="00805748">
            <w:pPr>
              <w:spacing w:before="0" w:after="0"/>
              <w:jc w:val="center"/>
              <w:rPr>
                <w:color w:val="000000"/>
                <w:lang w:eastAsia="en-AU"/>
              </w:rPr>
            </w:pPr>
            <w:r>
              <w:rPr>
                <w:color w:val="000000"/>
                <w:szCs w:val="22"/>
                <w:lang w:eastAsia="en-AU"/>
              </w:rPr>
              <w:t>&lt;low</w:t>
            </w:r>
          </w:p>
        </w:tc>
        <w:tc>
          <w:tcPr>
            <w:tcW w:w="1560" w:type="dxa"/>
            <w:noWrap/>
            <w:vAlign w:val="bottom"/>
            <w:hideMark/>
          </w:tcPr>
          <w:p w:rsidR="00842050" w:rsidRDefault="00842050" w:rsidP="00805748">
            <w:pPr>
              <w:spacing w:before="0" w:after="0"/>
              <w:jc w:val="center"/>
              <w:rPr>
                <w:color w:val="000000"/>
                <w:lang w:eastAsia="en-AU"/>
              </w:rPr>
            </w:pPr>
            <w:r>
              <w:rPr>
                <w:color w:val="000000"/>
                <w:szCs w:val="22"/>
                <w:lang w:eastAsia="en-AU"/>
              </w:rPr>
              <w:t>25</w:t>
            </w:r>
          </w:p>
        </w:tc>
        <w:tc>
          <w:tcPr>
            <w:tcW w:w="1620" w:type="dxa"/>
            <w:shd w:val="clear" w:color="auto" w:fill="FFC000"/>
            <w:noWrap/>
            <w:vAlign w:val="bottom"/>
            <w:hideMark/>
          </w:tcPr>
          <w:p w:rsidR="00842050" w:rsidRDefault="00842050" w:rsidP="00796FE8">
            <w:pPr>
              <w:spacing w:before="0" w:after="0"/>
              <w:jc w:val="center"/>
              <w:rPr>
                <w:color w:val="000000"/>
                <w:lang w:eastAsia="en-AU"/>
              </w:rPr>
            </w:pPr>
            <w:r>
              <w:rPr>
                <w:color w:val="000000"/>
                <w:szCs w:val="22"/>
                <w:lang w:eastAsia="en-AU"/>
              </w:rPr>
              <w:t>2</w:t>
            </w:r>
            <w:r w:rsidR="00796FE8">
              <w:rPr>
                <w:color w:val="000000"/>
                <w:szCs w:val="22"/>
                <w:lang w:eastAsia="en-AU"/>
              </w:rPr>
              <w:t>1</w:t>
            </w:r>
            <w:r>
              <w:rPr>
                <w:color w:val="000000"/>
                <w:szCs w:val="22"/>
                <w:lang w:eastAsia="en-AU"/>
              </w:rPr>
              <w:t xml:space="preserve"> - 40</w:t>
            </w:r>
          </w:p>
        </w:tc>
      </w:tr>
      <w:tr w:rsidR="00842050" w:rsidTr="00805748">
        <w:trPr>
          <w:trHeight w:val="290"/>
          <w:jc w:val="center"/>
        </w:trPr>
        <w:tc>
          <w:tcPr>
            <w:tcW w:w="1370" w:type="dxa"/>
            <w:tcBorders>
              <w:top w:val="nil"/>
              <w:left w:val="nil"/>
              <w:bottom w:val="single" w:sz="4" w:space="0" w:color="auto"/>
              <w:right w:val="nil"/>
            </w:tcBorders>
            <w:noWrap/>
            <w:vAlign w:val="bottom"/>
            <w:hideMark/>
          </w:tcPr>
          <w:p w:rsidR="00842050" w:rsidRDefault="00842050" w:rsidP="00805748">
            <w:pPr>
              <w:spacing w:before="0" w:after="0"/>
              <w:rPr>
                <w:i/>
                <w:iCs/>
                <w:color w:val="000000"/>
                <w:lang w:eastAsia="en-AU"/>
              </w:rPr>
            </w:pPr>
            <w:r>
              <w:rPr>
                <w:i/>
                <w:iCs/>
                <w:color w:val="000000"/>
                <w:szCs w:val="22"/>
                <w:lang w:eastAsia="en-AU"/>
              </w:rPr>
              <w:t>very poor</w:t>
            </w:r>
          </w:p>
        </w:tc>
        <w:tc>
          <w:tcPr>
            <w:tcW w:w="1650" w:type="dxa"/>
            <w:tcBorders>
              <w:top w:val="nil"/>
              <w:left w:val="nil"/>
              <w:bottom w:val="single" w:sz="4" w:space="0" w:color="auto"/>
              <w:right w:val="nil"/>
            </w:tcBorders>
            <w:noWrap/>
            <w:vAlign w:val="bottom"/>
            <w:hideMark/>
          </w:tcPr>
          <w:p w:rsidR="00842050" w:rsidRDefault="00842050" w:rsidP="00805748">
            <w:pPr>
              <w:spacing w:before="0" w:after="0"/>
              <w:jc w:val="center"/>
              <w:rPr>
                <w:color w:val="000000"/>
                <w:lang w:eastAsia="en-AU"/>
              </w:rPr>
            </w:pPr>
            <w:r>
              <w:rPr>
                <w:color w:val="000000"/>
                <w:szCs w:val="22"/>
                <w:lang w:eastAsia="en-AU"/>
              </w:rPr>
              <w:t>&lt;low by &gt;20%</w:t>
            </w:r>
          </w:p>
        </w:tc>
        <w:tc>
          <w:tcPr>
            <w:tcW w:w="1560" w:type="dxa"/>
            <w:tcBorders>
              <w:top w:val="nil"/>
              <w:left w:val="nil"/>
              <w:bottom w:val="single" w:sz="4" w:space="0" w:color="auto"/>
              <w:right w:val="nil"/>
            </w:tcBorders>
            <w:noWrap/>
            <w:vAlign w:val="bottom"/>
            <w:hideMark/>
          </w:tcPr>
          <w:p w:rsidR="00842050" w:rsidRDefault="00842050" w:rsidP="00805748">
            <w:pPr>
              <w:spacing w:before="0" w:after="0"/>
              <w:jc w:val="center"/>
              <w:rPr>
                <w:color w:val="000000"/>
                <w:lang w:eastAsia="en-AU"/>
              </w:rPr>
            </w:pPr>
            <w:r>
              <w:rPr>
                <w:color w:val="000000"/>
                <w:szCs w:val="22"/>
                <w:lang w:eastAsia="en-AU"/>
              </w:rPr>
              <w:t>0</w:t>
            </w:r>
          </w:p>
        </w:tc>
        <w:tc>
          <w:tcPr>
            <w:tcW w:w="1620" w:type="dxa"/>
            <w:tcBorders>
              <w:top w:val="nil"/>
              <w:left w:val="nil"/>
              <w:bottom w:val="single" w:sz="4" w:space="0" w:color="auto"/>
              <w:right w:val="nil"/>
            </w:tcBorders>
            <w:shd w:val="clear" w:color="auto" w:fill="FF0000"/>
            <w:noWrap/>
            <w:vAlign w:val="bottom"/>
            <w:hideMark/>
          </w:tcPr>
          <w:p w:rsidR="00842050" w:rsidRDefault="00842050" w:rsidP="00796FE8">
            <w:pPr>
              <w:spacing w:before="0" w:after="0"/>
              <w:jc w:val="center"/>
              <w:rPr>
                <w:color w:val="000000"/>
                <w:lang w:eastAsia="en-AU"/>
              </w:rPr>
            </w:pPr>
            <w:r>
              <w:rPr>
                <w:color w:val="000000"/>
                <w:szCs w:val="22"/>
                <w:lang w:eastAsia="en-AU"/>
              </w:rPr>
              <w:t>0 - 20</w:t>
            </w:r>
          </w:p>
        </w:tc>
      </w:tr>
    </w:tbl>
    <w:p w:rsidR="00842050" w:rsidRDefault="00842050" w:rsidP="00842050">
      <w:pPr>
        <w:ind w:left="540" w:hanging="540"/>
        <w:rPr>
          <w:color w:val="000000"/>
        </w:rPr>
      </w:pPr>
      <w:bookmarkStart w:id="965" w:name="_Toc431493751"/>
    </w:p>
    <w:p w:rsidR="00842050" w:rsidRDefault="00842050" w:rsidP="00842050">
      <w:pPr>
        <w:jc w:val="center"/>
        <w:rPr>
          <w:i/>
          <w:vanish/>
          <w:specVanish/>
        </w:rPr>
      </w:pPr>
      <w:bookmarkStart w:id="966" w:name="_Toc462685104"/>
      <w:r>
        <w:t xml:space="preserve">Table </w:t>
      </w:r>
      <w:fldSimple w:instr=" SEQ Table \* ARABIC ">
        <w:r w:rsidR="009C068F">
          <w:rPr>
            <w:noProof/>
          </w:rPr>
          <w:t>35</w:t>
        </w:r>
      </w:fldSimple>
      <w:r>
        <w:t xml:space="preserve">. </w:t>
      </w:r>
      <w:r>
        <w:rPr>
          <w:i/>
        </w:rPr>
        <w:t xml:space="preserve">Mean and median seagrass % cover and report score for each long-term monitoring site within each Cape York NRM region habitat over the 2014-15 </w:t>
      </w:r>
      <w:proofErr w:type="spellStart"/>
      <w:r>
        <w:rPr>
          <w:i/>
        </w:rPr>
        <w:t>period.</w:t>
      </w:r>
      <w:bookmarkEnd w:id="966"/>
    </w:p>
    <w:p w:rsidR="00842050" w:rsidRDefault="00842050" w:rsidP="00842050">
      <w:pPr>
        <w:jc w:val="center"/>
      </w:pPr>
      <w:r>
        <w:rPr>
          <w:i/>
        </w:rPr>
        <w:t>Scores</w:t>
      </w:r>
      <w:proofErr w:type="spellEnd"/>
      <w:r>
        <w:rPr>
          <w:i/>
        </w:rPr>
        <w:t xml:space="preserve"> calculated as per </w:t>
      </w:r>
      <w:r w:rsidR="00FB280D" w:rsidRPr="00FB280D">
        <w:fldChar w:fldCharType="begin"/>
      </w:r>
      <w:r w:rsidR="00FB280D" w:rsidRPr="00FB280D">
        <w:instrText xml:space="preserve"> REF _Ref340344284 \h </w:instrText>
      </w:r>
      <w:r w:rsidR="00FB280D">
        <w:instrText xml:space="preserve"> \* MERGEFORMAT </w:instrText>
      </w:r>
      <w:r w:rsidR="00FB280D" w:rsidRPr="00FB280D">
        <w:fldChar w:fldCharType="separate"/>
      </w:r>
      <w:r w:rsidR="009C068F">
        <w:rPr>
          <w:color w:val="000000"/>
        </w:rPr>
        <w:t xml:space="preserve">Table </w:t>
      </w:r>
      <w:r w:rsidR="009C068F">
        <w:rPr>
          <w:noProof/>
          <w:color w:val="000000"/>
        </w:rPr>
        <w:t>33</w:t>
      </w:r>
      <w:r w:rsidR="00FB280D" w:rsidRPr="00FB280D">
        <w:fldChar w:fldCharType="end"/>
      </w:r>
      <w:r>
        <w:rPr>
          <w:i/>
        </w:rPr>
        <w:t xml:space="preserve">. </w:t>
      </w:r>
      <w:r w:rsidR="00364140" w:rsidRPr="00BA2BCE">
        <w:rPr>
          <w:i/>
          <w:color w:val="000000"/>
        </w:rPr>
        <w:t>^</w:t>
      </w:r>
      <w:r w:rsidR="00364140">
        <w:rPr>
          <w:i/>
          <w:color w:val="000000"/>
        </w:rPr>
        <w:t>denotes Seagrass-Watch site.</w:t>
      </w:r>
      <w:r w:rsidR="00364140">
        <w:rPr>
          <w:i/>
        </w:rPr>
        <w:t xml:space="preserve"> </w:t>
      </w:r>
      <w:r>
        <w:rPr>
          <w:i/>
        </w:rPr>
        <w:t>NB: scores do not have units.</w:t>
      </w:r>
      <w:r w:rsidR="00BA2BCE">
        <w:rPr>
          <w:i/>
        </w:rPr>
        <w:t xml:space="preserve"> </w:t>
      </w:r>
    </w:p>
    <w:tbl>
      <w:tblPr>
        <w:tblW w:w="9318" w:type="dxa"/>
        <w:jc w:val="center"/>
        <w:tblLook w:val="04A0" w:firstRow="1" w:lastRow="0" w:firstColumn="1" w:lastColumn="0" w:noHBand="0" w:noVBand="1"/>
      </w:tblPr>
      <w:tblGrid>
        <w:gridCol w:w="1388"/>
        <w:gridCol w:w="1230"/>
        <w:gridCol w:w="560"/>
        <w:gridCol w:w="951"/>
        <w:gridCol w:w="815"/>
        <w:gridCol w:w="823"/>
        <w:gridCol w:w="967"/>
        <w:gridCol w:w="967"/>
        <w:gridCol w:w="967"/>
        <w:gridCol w:w="650"/>
      </w:tblGrid>
      <w:tr w:rsidR="00842050" w:rsidTr="00805748">
        <w:trPr>
          <w:trHeight w:val="276"/>
          <w:jc w:val="center"/>
        </w:trPr>
        <w:tc>
          <w:tcPr>
            <w:tcW w:w="13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Habitat</w:t>
            </w:r>
          </w:p>
        </w:tc>
        <w:tc>
          <w:tcPr>
            <w:tcW w:w="1230"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Location</w:t>
            </w:r>
          </w:p>
        </w:tc>
        <w:tc>
          <w:tcPr>
            <w:tcW w:w="560"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Seasonal</w:t>
            </w:r>
          </w:p>
          <w:p w:rsidR="00842050" w:rsidRDefault="00842050" w:rsidP="00805748">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mean</w:t>
            </w:r>
          </w:p>
          <w:p w:rsidR="00842050" w:rsidRDefault="00842050" w:rsidP="00805748">
            <w:pPr>
              <w:spacing w:before="0" w:after="0"/>
              <w:jc w:val="center"/>
              <w:rPr>
                <w:b/>
                <w:color w:val="000000"/>
                <w:sz w:val="16"/>
                <w:szCs w:val="16"/>
              </w:rPr>
            </w:pPr>
            <w:r>
              <w:rPr>
                <w:b/>
                <w:color w:val="000000"/>
                <w:sz w:val="16"/>
                <w:szCs w:val="16"/>
              </w:rPr>
              <w:t>% cover</w:t>
            </w:r>
          </w:p>
        </w:tc>
        <w:tc>
          <w:tcPr>
            <w:tcW w:w="823"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median</w:t>
            </w:r>
          </w:p>
          <w:p w:rsidR="00842050" w:rsidRDefault="00842050" w:rsidP="00805748">
            <w:pPr>
              <w:spacing w:before="0" w:after="0"/>
              <w:jc w:val="center"/>
              <w:rPr>
                <w:b/>
                <w:color w:val="000000"/>
                <w:sz w:val="16"/>
                <w:szCs w:val="16"/>
              </w:rPr>
            </w:pPr>
            <w:r>
              <w:rPr>
                <w:b/>
                <w:color w:val="000000"/>
                <w:sz w:val="16"/>
                <w:szCs w:val="16"/>
              </w:rPr>
              <w:t>% cover</w:t>
            </w:r>
          </w:p>
        </w:tc>
        <w:tc>
          <w:tcPr>
            <w:tcW w:w="967"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Low</w:t>
            </w:r>
          </w:p>
          <w:p w:rsidR="00842050" w:rsidRDefault="00842050" w:rsidP="00805748">
            <w:pPr>
              <w:spacing w:before="0" w:after="0"/>
              <w:jc w:val="center"/>
              <w:rPr>
                <w:b/>
                <w:color w:val="000000"/>
                <w:sz w:val="16"/>
                <w:szCs w:val="16"/>
              </w:rPr>
            </w:pPr>
            <w:r>
              <w:rPr>
                <w:b/>
                <w:color w:val="000000"/>
                <w:sz w:val="16"/>
                <w:szCs w:val="16"/>
              </w:rPr>
              <w:t>percentile</w:t>
            </w:r>
          </w:p>
        </w:tc>
        <w:tc>
          <w:tcPr>
            <w:tcW w:w="967"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50</w:t>
            </w:r>
            <w:r>
              <w:rPr>
                <w:b/>
                <w:color w:val="000000"/>
                <w:sz w:val="16"/>
                <w:szCs w:val="16"/>
                <w:vertAlign w:val="superscript"/>
              </w:rPr>
              <w:t>th</w:t>
            </w:r>
          </w:p>
          <w:p w:rsidR="00842050" w:rsidRDefault="00842050" w:rsidP="00805748">
            <w:pPr>
              <w:spacing w:before="0" w:after="0"/>
              <w:jc w:val="center"/>
              <w:rPr>
                <w:b/>
                <w:color w:val="000000"/>
                <w:sz w:val="16"/>
                <w:szCs w:val="16"/>
              </w:rPr>
            </w:pPr>
            <w:r>
              <w:rPr>
                <w:b/>
                <w:color w:val="000000"/>
                <w:sz w:val="16"/>
                <w:szCs w:val="16"/>
              </w:rPr>
              <w:t>percentile</w:t>
            </w:r>
          </w:p>
        </w:tc>
        <w:tc>
          <w:tcPr>
            <w:tcW w:w="967"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75</w:t>
            </w:r>
            <w:r>
              <w:rPr>
                <w:b/>
                <w:color w:val="000000"/>
                <w:sz w:val="16"/>
                <w:szCs w:val="16"/>
                <w:vertAlign w:val="superscript"/>
              </w:rPr>
              <w:t>th</w:t>
            </w:r>
          </w:p>
          <w:p w:rsidR="00842050" w:rsidRDefault="00842050" w:rsidP="00805748">
            <w:pPr>
              <w:spacing w:before="0" w:after="0"/>
              <w:jc w:val="center"/>
              <w:rPr>
                <w:b/>
                <w:color w:val="000000"/>
                <w:sz w:val="16"/>
                <w:szCs w:val="16"/>
              </w:rPr>
            </w:pPr>
            <w:r>
              <w:rPr>
                <w:b/>
                <w:color w:val="000000"/>
                <w:sz w:val="16"/>
                <w:szCs w:val="16"/>
              </w:rPr>
              <w:t>percentile</w:t>
            </w:r>
          </w:p>
        </w:tc>
        <w:tc>
          <w:tcPr>
            <w:tcW w:w="650"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color w:val="000000"/>
                <w:sz w:val="16"/>
                <w:szCs w:val="16"/>
              </w:rPr>
            </w:pPr>
            <w:r>
              <w:rPr>
                <w:b/>
                <w:color w:val="000000"/>
                <w:sz w:val="16"/>
                <w:szCs w:val="16"/>
              </w:rPr>
              <w:t>score</w:t>
            </w:r>
          </w:p>
        </w:tc>
      </w:tr>
      <w:tr w:rsidR="00842050" w:rsidTr="00805748">
        <w:trPr>
          <w:jc w:val="center"/>
        </w:trPr>
        <w:tc>
          <w:tcPr>
            <w:tcW w:w="1388" w:type="dxa"/>
            <w:tcBorders>
              <w:top w:val="single" w:sz="4" w:space="0" w:color="auto"/>
              <w:left w:val="nil"/>
              <w:bottom w:val="nil"/>
              <w:right w:val="nil"/>
            </w:tcBorders>
            <w:noWrap/>
            <w:vAlign w:val="bottom"/>
            <w:hideMark/>
          </w:tcPr>
          <w:p w:rsidR="00842050" w:rsidRDefault="00842050" w:rsidP="00805748">
            <w:pPr>
              <w:spacing w:before="0" w:after="0"/>
              <w:jc w:val="center"/>
              <w:rPr>
                <w:color w:val="000000"/>
                <w:sz w:val="16"/>
                <w:szCs w:val="16"/>
              </w:rPr>
            </w:pPr>
            <w:r>
              <w:rPr>
                <w:color w:val="000000"/>
                <w:sz w:val="16"/>
                <w:szCs w:val="16"/>
              </w:rPr>
              <w:t>coastal intertidal</w:t>
            </w:r>
          </w:p>
        </w:tc>
        <w:tc>
          <w:tcPr>
            <w:tcW w:w="123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Bathurst</w:t>
                </w:r>
              </w:smartTag>
              <w:r>
                <w:rPr>
                  <w:color w:val="000000"/>
                  <w:sz w:val="16"/>
                  <w:szCs w:val="16"/>
                </w:rPr>
                <w:t xml:space="preserve"> </w:t>
              </w:r>
              <w:smartTag w:uri="urn:schemas-microsoft-com:office:smarttags" w:element="PlaceType">
                <w:r>
                  <w:rPr>
                    <w:color w:val="000000"/>
                    <w:sz w:val="16"/>
                    <w:szCs w:val="16"/>
                  </w:rPr>
                  <w:t>Bay</w:t>
                </w:r>
              </w:smartTag>
            </w:smartTag>
          </w:p>
        </w:tc>
        <w:tc>
          <w:tcPr>
            <w:tcW w:w="5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BY1</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29.2</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30</w:t>
            </w:r>
          </w:p>
        </w:tc>
        <w:tc>
          <w:tcPr>
            <w:tcW w:w="9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9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9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388" w:type="dxa"/>
            <w:noWrap/>
            <w:vAlign w:val="bottom"/>
          </w:tcPr>
          <w:p w:rsidR="00842050" w:rsidRDefault="00842050" w:rsidP="00805748">
            <w:pPr>
              <w:spacing w:before="0" w:after="0"/>
              <w:jc w:val="center"/>
              <w:rPr>
                <w:color w:val="000000"/>
                <w:sz w:val="16"/>
                <w:szCs w:val="16"/>
              </w:rPr>
            </w:pPr>
          </w:p>
        </w:tc>
        <w:tc>
          <w:tcPr>
            <w:tcW w:w="1230"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BY2</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23.6</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23</w:t>
            </w:r>
          </w:p>
        </w:tc>
        <w:tc>
          <w:tcPr>
            <w:tcW w:w="96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96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96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388" w:type="dxa"/>
            <w:noWrap/>
            <w:vAlign w:val="bottom"/>
          </w:tcPr>
          <w:p w:rsidR="00842050" w:rsidRDefault="00842050" w:rsidP="00805748">
            <w:pPr>
              <w:spacing w:before="0" w:after="0"/>
              <w:jc w:val="center"/>
              <w:rPr>
                <w:color w:val="000000"/>
                <w:sz w:val="16"/>
                <w:szCs w:val="16"/>
              </w:rPr>
            </w:pPr>
          </w:p>
        </w:tc>
        <w:tc>
          <w:tcPr>
            <w:tcW w:w="123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Shelburne</w:t>
                </w:r>
              </w:smartTag>
              <w:r>
                <w:rPr>
                  <w:color w:val="000000"/>
                  <w:sz w:val="16"/>
                  <w:szCs w:val="16"/>
                </w:rPr>
                <w:t xml:space="preserve"> </w:t>
              </w:r>
              <w:smartTag w:uri="urn:schemas-microsoft-com:office:smarttags" w:element="PlaceType">
                <w:r>
                  <w:rPr>
                    <w:color w:val="000000"/>
                    <w:sz w:val="16"/>
                    <w:szCs w:val="16"/>
                  </w:rPr>
                  <w:t>Bay</w:t>
                </w:r>
              </w:smartTag>
            </w:smartTag>
          </w:p>
        </w:tc>
        <w:tc>
          <w:tcPr>
            <w:tcW w:w="5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SR1</w:t>
            </w:r>
          </w:p>
        </w:tc>
        <w:tc>
          <w:tcPr>
            <w:tcW w:w="95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12.0</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w:t>
            </w:r>
          </w:p>
        </w:tc>
        <w:tc>
          <w:tcPr>
            <w:tcW w:w="9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9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9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tcBorders>
              <w:top w:val="nil"/>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1230"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SR2</w:t>
            </w:r>
          </w:p>
        </w:tc>
        <w:tc>
          <w:tcPr>
            <w:tcW w:w="95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9.3</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w:t>
            </w:r>
          </w:p>
        </w:tc>
        <w:tc>
          <w:tcPr>
            <w:tcW w:w="967"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967"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967"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tcBorders>
              <w:top w:val="single" w:sz="4" w:space="0" w:color="auto"/>
              <w:left w:val="nil"/>
              <w:bottom w:val="nil"/>
              <w:right w:val="nil"/>
            </w:tcBorders>
            <w:noWrap/>
            <w:vAlign w:val="bottom"/>
            <w:hideMark/>
          </w:tcPr>
          <w:p w:rsidR="00842050" w:rsidRDefault="00842050" w:rsidP="00805748">
            <w:pPr>
              <w:spacing w:before="0" w:after="0"/>
              <w:jc w:val="center"/>
              <w:rPr>
                <w:color w:val="000000"/>
                <w:sz w:val="16"/>
                <w:szCs w:val="16"/>
              </w:rPr>
            </w:pPr>
            <w:r>
              <w:rPr>
                <w:color w:val="000000"/>
                <w:sz w:val="16"/>
                <w:szCs w:val="16"/>
              </w:rPr>
              <w:t>reef intertidal</w:t>
            </w:r>
          </w:p>
        </w:tc>
        <w:tc>
          <w:tcPr>
            <w:tcW w:w="123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Archer</w:t>
                </w:r>
              </w:smartTag>
              <w:r>
                <w:rPr>
                  <w:color w:val="000000"/>
                  <w:sz w:val="16"/>
                  <w:szCs w:val="16"/>
                </w:rPr>
                <w:t xml:space="preserve"> </w:t>
              </w:r>
              <w:smartTag w:uri="urn:schemas-microsoft-com:office:smarttags" w:element="PlaceName">
                <w:r>
                  <w:rPr>
                    <w:color w:val="000000"/>
                    <w:sz w:val="16"/>
                    <w:szCs w:val="16"/>
                  </w:rPr>
                  <w:t>Point</w:t>
                </w:r>
              </w:smartTag>
            </w:smartTag>
          </w:p>
        </w:tc>
        <w:tc>
          <w:tcPr>
            <w:tcW w:w="5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AP1</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10.3</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w:t>
            </w:r>
          </w:p>
        </w:tc>
        <w:tc>
          <w:tcPr>
            <w:tcW w:w="9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11</w:t>
            </w:r>
          </w:p>
        </w:tc>
        <w:tc>
          <w:tcPr>
            <w:tcW w:w="9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18.9</w:t>
            </w:r>
          </w:p>
        </w:tc>
        <w:tc>
          <w:tcPr>
            <w:tcW w:w="9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23.7</w:t>
            </w:r>
          </w:p>
        </w:tc>
        <w:tc>
          <w:tcPr>
            <w:tcW w:w="65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jc w:val="center"/>
              <w:rPr>
                <w:color w:val="000000"/>
                <w:sz w:val="16"/>
                <w:szCs w:val="16"/>
              </w:rPr>
            </w:pPr>
          </w:p>
        </w:tc>
        <w:tc>
          <w:tcPr>
            <w:tcW w:w="1230"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AP1</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6.9</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w:t>
            </w:r>
          </w:p>
        </w:tc>
        <w:tc>
          <w:tcPr>
            <w:tcW w:w="967"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11</w:t>
            </w:r>
          </w:p>
        </w:tc>
        <w:tc>
          <w:tcPr>
            <w:tcW w:w="967"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18.9</w:t>
            </w:r>
          </w:p>
        </w:tc>
        <w:tc>
          <w:tcPr>
            <w:tcW w:w="967"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23.7</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jc w:val="center"/>
              <w:rPr>
                <w:color w:val="000000"/>
                <w:sz w:val="16"/>
                <w:szCs w:val="16"/>
              </w:rPr>
            </w:pPr>
          </w:p>
        </w:tc>
        <w:tc>
          <w:tcPr>
            <w:tcW w:w="1230"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AP2</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12.6</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w:t>
            </w:r>
          </w:p>
        </w:tc>
        <w:tc>
          <w:tcPr>
            <w:tcW w:w="96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11</w:t>
            </w:r>
          </w:p>
        </w:tc>
        <w:tc>
          <w:tcPr>
            <w:tcW w:w="96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18.9</w:t>
            </w:r>
          </w:p>
        </w:tc>
        <w:tc>
          <w:tcPr>
            <w:tcW w:w="96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23.7</w:t>
            </w:r>
          </w:p>
        </w:tc>
        <w:tc>
          <w:tcPr>
            <w:tcW w:w="65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jc w:val="center"/>
              <w:rPr>
                <w:color w:val="000000"/>
                <w:sz w:val="16"/>
                <w:szCs w:val="16"/>
              </w:rPr>
            </w:pPr>
          </w:p>
        </w:tc>
        <w:tc>
          <w:tcPr>
            <w:tcW w:w="123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Piper Reef</w:t>
            </w:r>
          </w:p>
        </w:tc>
        <w:tc>
          <w:tcPr>
            <w:tcW w:w="5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FR1</w:t>
            </w:r>
          </w:p>
        </w:tc>
        <w:tc>
          <w:tcPr>
            <w:tcW w:w="95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7.2</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6</w:t>
            </w:r>
          </w:p>
        </w:tc>
        <w:tc>
          <w:tcPr>
            <w:tcW w:w="9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9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18.9</w:t>
            </w:r>
          </w:p>
        </w:tc>
        <w:tc>
          <w:tcPr>
            <w:tcW w:w="9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23.7</w:t>
            </w:r>
          </w:p>
        </w:tc>
        <w:tc>
          <w:tcPr>
            <w:tcW w:w="65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jc w:val="center"/>
              <w:rPr>
                <w:color w:val="000000"/>
                <w:sz w:val="16"/>
                <w:szCs w:val="16"/>
              </w:rPr>
            </w:pPr>
          </w:p>
        </w:tc>
        <w:tc>
          <w:tcPr>
            <w:tcW w:w="1230"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FR2</w:t>
            </w:r>
          </w:p>
        </w:tc>
        <w:tc>
          <w:tcPr>
            <w:tcW w:w="95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11.9</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w:t>
            </w:r>
          </w:p>
        </w:tc>
        <w:tc>
          <w:tcPr>
            <w:tcW w:w="967"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967"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18.9</w:t>
            </w:r>
          </w:p>
        </w:tc>
        <w:tc>
          <w:tcPr>
            <w:tcW w:w="967"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23.7</w:t>
            </w:r>
          </w:p>
        </w:tc>
        <w:tc>
          <w:tcPr>
            <w:tcW w:w="65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jc w:val="center"/>
              <w:rPr>
                <w:color w:val="000000"/>
                <w:sz w:val="16"/>
                <w:szCs w:val="16"/>
              </w:rPr>
            </w:pPr>
          </w:p>
        </w:tc>
        <w:tc>
          <w:tcPr>
            <w:tcW w:w="123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Stanley</w:t>
                </w:r>
              </w:smartTag>
              <w:r>
                <w:rPr>
                  <w:color w:val="000000"/>
                  <w:sz w:val="16"/>
                  <w:szCs w:val="16"/>
                </w:rPr>
                <w:t xml:space="preserve"> </w:t>
              </w:r>
              <w:smartTag w:uri="urn:schemas-microsoft-com:office:smarttags" w:element="PlaceType">
                <w:r>
                  <w:rPr>
                    <w:color w:val="000000"/>
                    <w:sz w:val="16"/>
                    <w:szCs w:val="16"/>
                  </w:rPr>
                  <w:t>Island</w:t>
                </w:r>
              </w:smartTag>
            </w:smartTag>
          </w:p>
        </w:tc>
        <w:tc>
          <w:tcPr>
            <w:tcW w:w="5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ST1</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10.8</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10</w:t>
            </w:r>
          </w:p>
        </w:tc>
        <w:tc>
          <w:tcPr>
            <w:tcW w:w="9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9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18.9</w:t>
            </w:r>
          </w:p>
        </w:tc>
        <w:tc>
          <w:tcPr>
            <w:tcW w:w="9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23.7</w:t>
            </w:r>
          </w:p>
        </w:tc>
        <w:tc>
          <w:tcPr>
            <w:tcW w:w="65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jc w:val="center"/>
              <w:rPr>
                <w:color w:val="000000"/>
                <w:sz w:val="16"/>
                <w:szCs w:val="16"/>
              </w:rPr>
            </w:pPr>
          </w:p>
        </w:tc>
        <w:tc>
          <w:tcPr>
            <w:tcW w:w="1230"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ST2</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7.6</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8</w:t>
            </w:r>
          </w:p>
        </w:tc>
        <w:tc>
          <w:tcPr>
            <w:tcW w:w="96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96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18.9</w:t>
            </w:r>
          </w:p>
        </w:tc>
        <w:tc>
          <w:tcPr>
            <w:tcW w:w="96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23.7</w:t>
            </w:r>
          </w:p>
        </w:tc>
        <w:tc>
          <w:tcPr>
            <w:tcW w:w="65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jc w:val="center"/>
              <w:rPr>
                <w:color w:val="000000"/>
                <w:sz w:val="16"/>
                <w:szCs w:val="16"/>
              </w:rPr>
            </w:pPr>
          </w:p>
        </w:tc>
        <w:tc>
          <w:tcPr>
            <w:tcW w:w="123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 xml:space="preserve">Yum </w:t>
            </w:r>
            <w:proofErr w:type="spellStart"/>
            <w:r>
              <w:rPr>
                <w:color w:val="000000"/>
                <w:sz w:val="16"/>
                <w:szCs w:val="16"/>
              </w:rPr>
              <w:t>Yum</w:t>
            </w:r>
            <w:proofErr w:type="spellEnd"/>
            <w:r>
              <w:rPr>
                <w:color w:val="000000"/>
                <w:sz w:val="16"/>
                <w:szCs w:val="16"/>
              </w:rPr>
              <w:t xml:space="preserve"> Bch</w:t>
            </w:r>
          </w:p>
        </w:tc>
        <w:tc>
          <w:tcPr>
            <w:tcW w:w="5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YY1</w:t>
            </w:r>
            <w:r w:rsidR="00BA2BCE">
              <w:rPr>
                <w:color w:val="000000"/>
                <w:sz w:val="16"/>
                <w:szCs w:val="16"/>
              </w:rPr>
              <w:t>^</w:t>
            </w:r>
          </w:p>
        </w:tc>
        <w:tc>
          <w:tcPr>
            <w:tcW w:w="95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01-Oct-14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22.3</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22</w:t>
            </w:r>
          </w:p>
        </w:tc>
        <w:tc>
          <w:tcPr>
            <w:tcW w:w="9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16.8</w:t>
            </w:r>
          </w:p>
        </w:tc>
        <w:tc>
          <w:tcPr>
            <w:tcW w:w="9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18.9</w:t>
            </w:r>
          </w:p>
        </w:tc>
        <w:tc>
          <w:tcPr>
            <w:tcW w:w="9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23.7</w:t>
            </w:r>
          </w:p>
        </w:tc>
        <w:tc>
          <w:tcPr>
            <w:tcW w:w="65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75</w:t>
            </w:r>
          </w:p>
        </w:tc>
      </w:tr>
      <w:tr w:rsidR="00842050" w:rsidTr="00805748">
        <w:trPr>
          <w:jc w:val="center"/>
        </w:trPr>
        <w:tc>
          <w:tcPr>
            <w:tcW w:w="1388"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sz w:val="16"/>
                <w:szCs w:val="16"/>
              </w:rPr>
            </w:pPr>
            <w:r>
              <w:rPr>
                <w:b/>
                <w:color w:val="000000"/>
                <w:sz w:val="16"/>
                <w:szCs w:val="16"/>
              </w:rPr>
              <w:t>NRM region</w:t>
            </w:r>
          </w:p>
        </w:tc>
        <w:tc>
          <w:tcPr>
            <w:tcW w:w="1230"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560"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51"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15"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23"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67"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67"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67"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650"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sz w:val="16"/>
                <w:szCs w:val="16"/>
              </w:rPr>
            </w:pPr>
            <w:r>
              <w:rPr>
                <w:b/>
                <w:color w:val="000000"/>
                <w:sz w:val="16"/>
                <w:szCs w:val="16"/>
              </w:rPr>
              <w:t>43</w:t>
            </w:r>
          </w:p>
        </w:tc>
      </w:tr>
    </w:tbl>
    <w:p w:rsidR="00842050" w:rsidRDefault="00842050" w:rsidP="00842050">
      <w:pPr>
        <w:ind w:left="540" w:hanging="540"/>
        <w:rPr>
          <w:color w:val="000000"/>
        </w:rPr>
      </w:pPr>
    </w:p>
    <w:p w:rsidR="00842050" w:rsidRDefault="00842050" w:rsidP="00842050">
      <w:pPr>
        <w:spacing w:before="0" w:after="0"/>
        <w:rPr>
          <w:color w:val="000000"/>
          <w:szCs w:val="22"/>
        </w:rPr>
      </w:pPr>
      <w:r>
        <w:rPr>
          <w:color w:val="000000"/>
        </w:rPr>
        <w:br w:type="page"/>
      </w:r>
    </w:p>
    <w:p w:rsidR="00842050" w:rsidRDefault="00842050" w:rsidP="00842050">
      <w:pPr>
        <w:ind w:left="540" w:hanging="540"/>
        <w:rPr>
          <w:color w:val="000000"/>
        </w:rPr>
      </w:pPr>
    </w:p>
    <w:p w:rsidR="007B1E97" w:rsidRPr="00517276" w:rsidRDefault="00842050" w:rsidP="007B1E97">
      <w:pPr>
        <w:jc w:val="center"/>
        <w:rPr>
          <w:i/>
          <w:vanish/>
          <w:color w:val="000000"/>
          <w:szCs w:val="22"/>
          <w:specVanish/>
        </w:rPr>
      </w:pPr>
      <w:bookmarkStart w:id="967" w:name="_Toc462685105"/>
      <w:r>
        <w:t xml:space="preserve">Table </w:t>
      </w:r>
      <w:fldSimple w:instr=" SEQ Table \* ARABIC ">
        <w:r w:rsidR="009C068F">
          <w:rPr>
            <w:noProof/>
          </w:rPr>
          <w:t>36</w:t>
        </w:r>
      </w:fldSimple>
      <w:r>
        <w:t xml:space="preserve">. </w:t>
      </w:r>
      <w:r>
        <w:rPr>
          <w:i/>
        </w:rPr>
        <w:t>Mean and median seagrass % cover and report score for each long-term monitoring site within each Wet Tropics NRM region habitat over the 2014-15 period.</w:t>
      </w:r>
      <w:bookmarkEnd w:id="967"/>
      <w:r w:rsidR="007B1E97" w:rsidRPr="007B1E97">
        <w:rPr>
          <w:i/>
          <w:vanish/>
          <w:color w:val="000000"/>
          <w:szCs w:val="22"/>
          <w:specVanish/>
        </w:rPr>
        <w:t xml:space="preserve"> </w:t>
      </w:r>
    </w:p>
    <w:p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9C068F" w:rsidRPr="009C068F">
        <w:rPr>
          <w:i/>
          <w:color w:val="000000"/>
        </w:rPr>
        <w:t xml:space="preserve">Table </w:t>
      </w:r>
      <w:r w:rsidR="009C068F" w:rsidRPr="009C068F">
        <w:rPr>
          <w:i/>
          <w:noProof/>
          <w:color w:val="000000"/>
        </w:rPr>
        <w:t>33</w:t>
      </w:r>
      <w:r w:rsidR="00FB280D" w:rsidRPr="00FB280D">
        <w:rPr>
          <w:i/>
        </w:rPr>
        <w:fldChar w:fldCharType="end"/>
      </w:r>
      <w:r>
        <w:rPr>
          <w:i/>
        </w:rPr>
        <w:t>. NB: scores do not have units.</w:t>
      </w:r>
    </w:p>
    <w:tbl>
      <w:tblPr>
        <w:tblW w:w="8968" w:type="dxa"/>
        <w:jc w:val="center"/>
        <w:tblLook w:val="04A0" w:firstRow="1" w:lastRow="0" w:firstColumn="1" w:lastColumn="0" w:noHBand="0" w:noVBand="1"/>
      </w:tblPr>
      <w:tblGrid>
        <w:gridCol w:w="1388"/>
        <w:gridCol w:w="1117"/>
        <w:gridCol w:w="560"/>
        <w:gridCol w:w="951"/>
        <w:gridCol w:w="815"/>
        <w:gridCol w:w="823"/>
        <w:gridCol w:w="888"/>
        <w:gridCol w:w="888"/>
        <w:gridCol w:w="888"/>
        <w:gridCol w:w="650"/>
      </w:tblGrid>
      <w:tr w:rsidR="00842050" w:rsidTr="00805748">
        <w:trPr>
          <w:jc w:val="center"/>
        </w:trPr>
        <w:tc>
          <w:tcPr>
            <w:tcW w:w="13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Habitat</w:t>
            </w:r>
          </w:p>
        </w:tc>
        <w:tc>
          <w:tcPr>
            <w:tcW w:w="1117"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Location</w:t>
            </w:r>
          </w:p>
        </w:tc>
        <w:tc>
          <w:tcPr>
            <w:tcW w:w="560"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Seasonal</w:t>
            </w:r>
          </w:p>
          <w:p w:rsidR="00842050" w:rsidRDefault="00842050" w:rsidP="00805748">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Mean</w:t>
            </w:r>
          </w:p>
          <w:p w:rsidR="00842050" w:rsidRDefault="00842050" w:rsidP="00805748">
            <w:pPr>
              <w:spacing w:before="0" w:after="0"/>
              <w:jc w:val="center"/>
              <w:rPr>
                <w:b/>
                <w:color w:val="000000"/>
                <w:sz w:val="16"/>
                <w:szCs w:val="16"/>
              </w:rPr>
            </w:pPr>
            <w:r>
              <w:rPr>
                <w:b/>
                <w:color w:val="000000"/>
                <w:sz w:val="16"/>
                <w:szCs w:val="16"/>
              </w:rPr>
              <w:t>% cover</w:t>
            </w:r>
          </w:p>
        </w:tc>
        <w:tc>
          <w:tcPr>
            <w:tcW w:w="823"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Median</w:t>
            </w:r>
          </w:p>
          <w:p w:rsidR="00842050" w:rsidRDefault="00842050" w:rsidP="00805748">
            <w:pPr>
              <w:spacing w:before="0" w:after="0"/>
              <w:jc w:val="center"/>
              <w:rPr>
                <w:b/>
                <w:color w:val="000000"/>
                <w:sz w:val="16"/>
                <w:szCs w:val="16"/>
              </w:rPr>
            </w:pPr>
            <w:r>
              <w:rPr>
                <w:b/>
                <w:color w:val="000000"/>
                <w:sz w:val="16"/>
                <w:szCs w:val="16"/>
              </w:rPr>
              <w:t>% cover</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Low</w:t>
            </w:r>
          </w:p>
          <w:p w:rsidR="00842050" w:rsidRDefault="00842050" w:rsidP="00805748">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50th</w:t>
            </w:r>
          </w:p>
          <w:p w:rsidR="00842050" w:rsidRDefault="00842050" w:rsidP="00805748">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75th</w:t>
            </w:r>
          </w:p>
          <w:p w:rsidR="00842050" w:rsidRDefault="00842050" w:rsidP="00805748">
            <w:pPr>
              <w:spacing w:before="0" w:after="0"/>
              <w:jc w:val="center"/>
              <w:rPr>
                <w:b/>
                <w:color w:val="000000"/>
                <w:sz w:val="16"/>
                <w:szCs w:val="16"/>
              </w:rPr>
            </w:pPr>
            <w:r>
              <w:rPr>
                <w:b/>
                <w:color w:val="000000"/>
                <w:sz w:val="16"/>
                <w:szCs w:val="16"/>
              </w:rPr>
              <w:t>percentile</w:t>
            </w:r>
          </w:p>
        </w:tc>
        <w:tc>
          <w:tcPr>
            <w:tcW w:w="650"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color w:val="000000"/>
                <w:sz w:val="16"/>
                <w:szCs w:val="16"/>
              </w:rPr>
            </w:pPr>
            <w:r>
              <w:rPr>
                <w:b/>
                <w:color w:val="000000"/>
                <w:sz w:val="16"/>
                <w:szCs w:val="16"/>
              </w:rPr>
              <w:t>score</w:t>
            </w:r>
          </w:p>
        </w:tc>
      </w:tr>
      <w:tr w:rsidR="00842050" w:rsidTr="00805748">
        <w:trPr>
          <w:jc w:val="center"/>
        </w:trPr>
        <w:tc>
          <w:tcPr>
            <w:tcW w:w="1388"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coastal intertidal</w:t>
            </w:r>
          </w:p>
        </w:tc>
        <w:tc>
          <w:tcPr>
            <w:tcW w:w="111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Lugger</w:t>
                </w:r>
              </w:smartTag>
              <w:r>
                <w:rPr>
                  <w:color w:val="000000"/>
                  <w:sz w:val="16"/>
                  <w:szCs w:val="16"/>
                </w:rPr>
                <w:t xml:space="preserve"> </w:t>
              </w:r>
              <w:smartTag w:uri="urn:schemas-microsoft-com:office:smarttags" w:element="PlaceType">
                <w:r>
                  <w:rPr>
                    <w:color w:val="000000"/>
                    <w:sz w:val="16"/>
                    <w:szCs w:val="16"/>
                  </w:rPr>
                  <w:t>Bay</w:t>
                </w:r>
              </w:smartTag>
            </w:smartTag>
          </w:p>
        </w:tc>
        <w:tc>
          <w:tcPr>
            <w:tcW w:w="5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LB1</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0.0</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LB1</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0.0</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LB1</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0.0</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LB2</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0.0</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LB2</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0.0</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LB2</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0.0</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6.6</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12.9</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14.8</w:t>
            </w:r>
          </w:p>
        </w:tc>
        <w:tc>
          <w:tcPr>
            <w:tcW w:w="65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Yule Point</w:t>
            </w:r>
          </w:p>
        </w:tc>
        <w:tc>
          <w:tcPr>
            <w:tcW w:w="5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YP1</w:t>
            </w:r>
          </w:p>
        </w:tc>
        <w:tc>
          <w:tcPr>
            <w:tcW w:w="95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4.3</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15.4</w:t>
            </w:r>
          </w:p>
        </w:tc>
        <w:tc>
          <w:tcPr>
            <w:tcW w:w="65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YP1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15.4</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YP1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14.6</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13</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15.4</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YP1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16.2</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15.4</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YP2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3.9</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2.3</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6.2</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11.8</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YP2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4.6</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6</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6.2</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11.8</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YP2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14.1</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6.2</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11.8</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388"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117"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YP2</w:t>
            </w:r>
          </w:p>
        </w:tc>
        <w:tc>
          <w:tcPr>
            <w:tcW w:w="95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11.1</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9</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6.2</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11.8</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14.2</w:t>
            </w:r>
          </w:p>
        </w:tc>
        <w:tc>
          <w:tcPr>
            <w:tcW w:w="65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reef intertidal</w:t>
            </w:r>
          </w:p>
        </w:tc>
        <w:tc>
          <w:tcPr>
            <w:tcW w:w="111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Dunk</w:t>
                </w:r>
              </w:smartTag>
              <w:r>
                <w:rPr>
                  <w:color w:val="000000"/>
                  <w:sz w:val="16"/>
                  <w:szCs w:val="16"/>
                </w:rPr>
                <w:t xml:space="preserve"> </w:t>
              </w:r>
              <w:smartTag w:uri="urn:schemas-microsoft-com:office:smarttags" w:element="PlaceType">
                <w:r>
                  <w:rPr>
                    <w:color w:val="000000"/>
                    <w:sz w:val="16"/>
                    <w:szCs w:val="16"/>
                  </w:rPr>
                  <w:t>Island</w:t>
                </w:r>
              </w:smartTag>
            </w:smartTag>
          </w:p>
        </w:tc>
        <w:tc>
          <w:tcPr>
            <w:tcW w:w="5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DI1</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0.6</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27.5</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37.7</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DI1</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0.7</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27.5</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37.7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DI1</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1.7</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27.5</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37.7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DI2</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1.9</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27.5</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37.7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DI2</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2.1</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27.5</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37.7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DI2</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2.1</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27.5</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37.7</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Green</w:t>
                </w:r>
              </w:smartTag>
              <w:r>
                <w:rPr>
                  <w:color w:val="000000"/>
                  <w:sz w:val="16"/>
                  <w:szCs w:val="16"/>
                </w:rPr>
                <w:t xml:space="preserve"> </w:t>
              </w:r>
              <w:smartTag w:uri="urn:schemas-microsoft-com:office:smarttags" w:element="PlaceType">
                <w:r>
                  <w:rPr>
                    <w:color w:val="000000"/>
                    <w:sz w:val="16"/>
                    <w:szCs w:val="16"/>
                  </w:rPr>
                  <w:t>Island</w:t>
                </w:r>
              </w:smartTag>
            </w:smartTag>
          </w:p>
        </w:tc>
        <w:tc>
          <w:tcPr>
            <w:tcW w:w="5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GI1</w:t>
            </w:r>
          </w:p>
        </w:tc>
        <w:tc>
          <w:tcPr>
            <w:tcW w:w="95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34.6</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36</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32.5</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42.7</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45.5</w:t>
            </w:r>
          </w:p>
        </w:tc>
        <w:tc>
          <w:tcPr>
            <w:tcW w:w="65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GI1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33.2</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42.7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45.5</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GI1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36.9</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38</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42.7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45.5</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GI1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31.2</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42.7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45.5</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GI2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20.9</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20</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GI2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25.7</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GI2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26.2</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GI2</w:t>
            </w:r>
          </w:p>
        </w:tc>
        <w:tc>
          <w:tcPr>
            <w:tcW w:w="95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27.2</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27</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Low Isles</w:t>
            </w:r>
          </w:p>
        </w:tc>
        <w:tc>
          <w:tcPr>
            <w:tcW w:w="5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LI1</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5.2</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LI1</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4.4</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117"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LI1</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1.6</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0.8</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reef subtidal</w:t>
            </w:r>
          </w:p>
        </w:tc>
        <w:tc>
          <w:tcPr>
            <w:tcW w:w="111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Dunk</w:t>
                </w:r>
              </w:smartTag>
              <w:r>
                <w:rPr>
                  <w:color w:val="000000"/>
                  <w:sz w:val="16"/>
                  <w:szCs w:val="16"/>
                </w:rPr>
                <w:t xml:space="preserve"> </w:t>
              </w:r>
              <w:smartTag w:uri="urn:schemas-microsoft-com:office:smarttags" w:element="PlaceType">
                <w:r>
                  <w:rPr>
                    <w:color w:val="000000"/>
                    <w:sz w:val="16"/>
                    <w:szCs w:val="16"/>
                  </w:rPr>
                  <w:t>Island</w:t>
                </w:r>
              </w:smartTag>
            </w:smartTag>
          </w:p>
        </w:tc>
        <w:tc>
          <w:tcPr>
            <w:tcW w:w="5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DI3</w:t>
            </w:r>
          </w:p>
        </w:tc>
        <w:tc>
          <w:tcPr>
            <w:tcW w:w="95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0.8</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39.2</w:t>
            </w:r>
          </w:p>
        </w:tc>
        <w:tc>
          <w:tcPr>
            <w:tcW w:w="65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DI3</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3.1</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39.2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DI3</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5.1</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39.2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DI3</w:t>
            </w:r>
          </w:p>
        </w:tc>
        <w:tc>
          <w:tcPr>
            <w:tcW w:w="95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39.2</w:t>
            </w:r>
          </w:p>
        </w:tc>
        <w:tc>
          <w:tcPr>
            <w:tcW w:w="65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Green</w:t>
                </w:r>
              </w:smartTag>
              <w:r>
                <w:rPr>
                  <w:color w:val="000000"/>
                  <w:sz w:val="16"/>
                  <w:szCs w:val="16"/>
                </w:rPr>
                <w:t xml:space="preserve"> </w:t>
              </w:r>
              <w:smartTag w:uri="urn:schemas-microsoft-com:office:smarttags" w:element="PlaceType">
                <w:r>
                  <w:rPr>
                    <w:color w:val="000000"/>
                    <w:sz w:val="16"/>
                    <w:szCs w:val="16"/>
                  </w:rPr>
                  <w:t>Island</w:t>
                </w:r>
              </w:smartTag>
            </w:smartTag>
          </w:p>
        </w:tc>
        <w:tc>
          <w:tcPr>
            <w:tcW w:w="5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GI3</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16.9</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15</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39.2</w:t>
            </w:r>
          </w:p>
        </w:tc>
        <w:tc>
          <w:tcPr>
            <w:tcW w:w="65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GI3</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22.9</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39.2</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E7F3F4"/>
            <w:noWrap/>
            <w:vAlign w:val="bottom"/>
          </w:tcPr>
          <w:p w:rsidR="00842050" w:rsidRDefault="00842050" w:rsidP="00805748">
            <w:pPr>
              <w:spacing w:before="0" w:after="0"/>
              <w:jc w:val="center"/>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GI3</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37.9</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39.2</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GI3</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18.1</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15</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39.2</w:t>
            </w:r>
          </w:p>
        </w:tc>
        <w:tc>
          <w:tcPr>
            <w:tcW w:w="65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Low Isles</w:t>
            </w:r>
          </w:p>
        </w:tc>
        <w:tc>
          <w:tcPr>
            <w:tcW w:w="5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LI2</w:t>
            </w:r>
          </w:p>
        </w:tc>
        <w:tc>
          <w:tcPr>
            <w:tcW w:w="95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1.5</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0.6</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117" w:type="dxa"/>
            <w:shd w:val="clear" w:color="auto" w:fill="F3F9FA"/>
            <w:noWrap/>
            <w:vAlign w:val="bottom"/>
          </w:tcPr>
          <w:p w:rsidR="00842050" w:rsidRDefault="00842050" w:rsidP="00805748">
            <w:pPr>
              <w:spacing w:before="0" w:after="0"/>
              <w:jc w:val="center"/>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LI2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0.0</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117"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5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LI2</w:t>
            </w:r>
          </w:p>
        </w:tc>
        <w:tc>
          <w:tcPr>
            <w:tcW w:w="95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0.3</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tcBorders>
              <w:top w:val="single" w:sz="4" w:space="0" w:color="auto"/>
              <w:left w:val="nil"/>
              <w:bottom w:val="single" w:sz="4" w:space="0" w:color="auto"/>
              <w:right w:val="nil"/>
            </w:tcBorders>
            <w:noWrap/>
            <w:vAlign w:val="bottom"/>
            <w:hideMark/>
          </w:tcPr>
          <w:p w:rsidR="00842050" w:rsidRDefault="00842050" w:rsidP="00805748">
            <w:pPr>
              <w:spacing w:before="0" w:after="0"/>
              <w:rPr>
                <w:b/>
                <w:color w:val="000000"/>
                <w:sz w:val="16"/>
                <w:szCs w:val="16"/>
              </w:rPr>
            </w:pPr>
            <w:r>
              <w:rPr>
                <w:b/>
                <w:color w:val="000000"/>
                <w:sz w:val="16"/>
                <w:szCs w:val="16"/>
              </w:rPr>
              <w:t>NRM region</w:t>
            </w:r>
          </w:p>
        </w:tc>
        <w:tc>
          <w:tcPr>
            <w:tcW w:w="1117"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560"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51"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15"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23"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650"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sz w:val="16"/>
                <w:szCs w:val="16"/>
              </w:rPr>
            </w:pPr>
            <w:r>
              <w:rPr>
                <w:b/>
                <w:color w:val="000000"/>
                <w:sz w:val="16"/>
                <w:szCs w:val="16"/>
              </w:rPr>
              <w:t>18</w:t>
            </w:r>
          </w:p>
        </w:tc>
      </w:tr>
    </w:tbl>
    <w:p w:rsidR="00842050" w:rsidRDefault="00842050" w:rsidP="00842050">
      <w:pPr>
        <w:jc w:val="center"/>
      </w:pPr>
    </w:p>
    <w:p w:rsidR="00842050" w:rsidRDefault="00842050" w:rsidP="00842050">
      <w:pPr>
        <w:spacing w:before="0" w:after="0"/>
        <w:rPr>
          <w:lang w:val="en-GB"/>
        </w:rPr>
      </w:pPr>
      <w:r>
        <w:rPr>
          <w:lang w:val="en-GB"/>
        </w:rPr>
        <w:br w:type="page"/>
      </w:r>
    </w:p>
    <w:p w:rsidR="00842050" w:rsidRDefault="00842050" w:rsidP="00842050">
      <w:pPr>
        <w:rPr>
          <w:lang w:val="en-GB"/>
        </w:rPr>
      </w:pPr>
    </w:p>
    <w:p w:rsidR="007B1E97" w:rsidRPr="00517276" w:rsidRDefault="00842050" w:rsidP="007B1E97">
      <w:pPr>
        <w:jc w:val="center"/>
        <w:rPr>
          <w:i/>
          <w:vanish/>
          <w:color w:val="000000"/>
          <w:szCs w:val="22"/>
          <w:specVanish/>
        </w:rPr>
      </w:pPr>
      <w:bookmarkStart w:id="968" w:name="_Toc462685106"/>
      <w:r>
        <w:t xml:space="preserve">Table </w:t>
      </w:r>
      <w:fldSimple w:instr=" SEQ Table \* ARABIC ">
        <w:r w:rsidR="009C068F">
          <w:rPr>
            <w:noProof/>
          </w:rPr>
          <w:t>37</w:t>
        </w:r>
      </w:fldSimple>
      <w:r>
        <w:t xml:space="preserve">. </w:t>
      </w:r>
      <w:r>
        <w:rPr>
          <w:i/>
        </w:rPr>
        <w:t>Mean and median seagrass % cover and report score for each long-term monitoring site within each Burdekin NRM region habitat over the 2014-15 period.</w:t>
      </w:r>
      <w:bookmarkEnd w:id="968"/>
      <w:r w:rsidR="007B1E97" w:rsidRPr="007B1E97">
        <w:rPr>
          <w:i/>
          <w:vanish/>
          <w:color w:val="000000"/>
          <w:szCs w:val="22"/>
          <w:specVanish/>
        </w:rPr>
        <w:t xml:space="preserve"> </w:t>
      </w:r>
    </w:p>
    <w:p w:rsidR="00842050" w:rsidRDefault="00842050" w:rsidP="00842050">
      <w:pPr>
        <w:jc w:val="center"/>
        <w:rPr>
          <w:color w:val="000000"/>
        </w:rPr>
      </w:pPr>
      <w:r>
        <w:rPr>
          <w:i/>
        </w:rPr>
        <w:t xml:space="preserve"> Scores calculated </w:t>
      </w:r>
      <w:r w:rsidRPr="00FB280D">
        <w:rPr>
          <w:i/>
        </w:rPr>
        <w:t xml:space="preserve">as per </w:t>
      </w:r>
      <w:r w:rsidR="00FB280D" w:rsidRPr="00FB280D">
        <w:rPr>
          <w:i/>
        </w:rPr>
        <w:fldChar w:fldCharType="begin"/>
      </w:r>
      <w:r w:rsidR="00FB280D" w:rsidRPr="00FB280D">
        <w:rPr>
          <w:i/>
        </w:rPr>
        <w:instrText xml:space="preserve"> REF _Ref340344284 \h  \* MERGEFORMAT </w:instrText>
      </w:r>
      <w:r w:rsidR="00FB280D" w:rsidRPr="00FB280D">
        <w:rPr>
          <w:i/>
        </w:rPr>
      </w:r>
      <w:r w:rsidR="00FB280D" w:rsidRPr="00FB280D">
        <w:rPr>
          <w:i/>
        </w:rPr>
        <w:fldChar w:fldCharType="separate"/>
      </w:r>
      <w:r w:rsidR="009C068F" w:rsidRPr="009C068F">
        <w:rPr>
          <w:i/>
          <w:color w:val="000000"/>
        </w:rPr>
        <w:t xml:space="preserve">Table </w:t>
      </w:r>
      <w:r w:rsidR="009C068F" w:rsidRPr="009C068F">
        <w:rPr>
          <w:i/>
          <w:noProof/>
          <w:color w:val="000000"/>
        </w:rPr>
        <w:t>33</w:t>
      </w:r>
      <w:r w:rsidR="00FB280D" w:rsidRPr="00FB280D">
        <w:rPr>
          <w:i/>
        </w:rPr>
        <w:fldChar w:fldCharType="end"/>
      </w:r>
      <w:r w:rsidRPr="00FB280D">
        <w:rPr>
          <w:i/>
        </w:rPr>
        <w:t>.</w:t>
      </w:r>
      <w:r>
        <w:rPr>
          <w:i/>
        </w:rPr>
        <w:t xml:space="preserve"> </w:t>
      </w:r>
      <w:r w:rsidR="00364140" w:rsidRPr="00BA2BCE">
        <w:rPr>
          <w:i/>
          <w:color w:val="000000"/>
        </w:rPr>
        <w:t>^</w:t>
      </w:r>
      <w:r w:rsidR="00364140">
        <w:rPr>
          <w:i/>
          <w:color w:val="000000"/>
        </w:rPr>
        <w:t>denotes Seagrass-Watch site.</w:t>
      </w:r>
      <w:r w:rsidR="00364140">
        <w:rPr>
          <w:i/>
        </w:rPr>
        <w:t xml:space="preserve"> </w:t>
      </w:r>
      <w:r>
        <w:rPr>
          <w:i/>
        </w:rPr>
        <w:t>NB: scores do not have units.</w:t>
      </w:r>
      <w:r w:rsidR="00BA2BCE">
        <w:rPr>
          <w:i/>
        </w:rPr>
        <w:t xml:space="preserve"> </w:t>
      </w:r>
    </w:p>
    <w:tbl>
      <w:tblPr>
        <w:tblW w:w="9542" w:type="dxa"/>
        <w:jc w:val="center"/>
        <w:tblLook w:val="04A0" w:firstRow="1" w:lastRow="0" w:firstColumn="1" w:lastColumn="0" w:noHBand="0" w:noVBand="1"/>
      </w:tblPr>
      <w:tblGrid>
        <w:gridCol w:w="1388"/>
        <w:gridCol w:w="1523"/>
        <w:gridCol w:w="554"/>
        <w:gridCol w:w="951"/>
        <w:gridCol w:w="806"/>
        <w:gridCol w:w="808"/>
        <w:gridCol w:w="954"/>
        <w:gridCol w:w="954"/>
        <w:gridCol w:w="954"/>
        <w:gridCol w:w="650"/>
      </w:tblGrid>
      <w:tr w:rsidR="00842050" w:rsidTr="00805748">
        <w:trPr>
          <w:trHeight w:val="276"/>
          <w:jc w:val="center"/>
        </w:trPr>
        <w:tc>
          <w:tcPr>
            <w:tcW w:w="13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Habitat</w:t>
            </w:r>
          </w:p>
        </w:tc>
        <w:tc>
          <w:tcPr>
            <w:tcW w:w="1523"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Location</w:t>
            </w:r>
          </w:p>
        </w:tc>
        <w:tc>
          <w:tcPr>
            <w:tcW w:w="554"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Seasonal</w:t>
            </w:r>
          </w:p>
          <w:p w:rsidR="00842050" w:rsidRDefault="00842050" w:rsidP="00805748">
            <w:pPr>
              <w:spacing w:before="0" w:after="0"/>
              <w:jc w:val="center"/>
              <w:rPr>
                <w:b/>
                <w:color w:val="000000"/>
                <w:sz w:val="16"/>
                <w:szCs w:val="16"/>
              </w:rPr>
            </w:pPr>
            <w:r>
              <w:rPr>
                <w:b/>
                <w:color w:val="000000"/>
                <w:sz w:val="16"/>
                <w:szCs w:val="16"/>
              </w:rPr>
              <w:t>date</w:t>
            </w:r>
          </w:p>
        </w:tc>
        <w:tc>
          <w:tcPr>
            <w:tcW w:w="806"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Mean</w:t>
            </w:r>
          </w:p>
          <w:p w:rsidR="00842050" w:rsidRDefault="00842050" w:rsidP="00805748">
            <w:pPr>
              <w:spacing w:before="0" w:after="0"/>
              <w:jc w:val="center"/>
              <w:rPr>
                <w:b/>
                <w:color w:val="000000"/>
                <w:sz w:val="16"/>
                <w:szCs w:val="16"/>
              </w:rPr>
            </w:pPr>
            <w:r>
              <w:rPr>
                <w:b/>
                <w:color w:val="000000"/>
                <w:sz w:val="16"/>
                <w:szCs w:val="16"/>
              </w:rPr>
              <w:t>% cover</w:t>
            </w:r>
          </w:p>
        </w:tc>
        <w:tc>
          <w:tcPr>
            <w:tcW w:w="80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Median</w:t>
            </w:r>
          </w:p>
          <w:p w:rsidR="00842050" w:rsidRDefault="00842050" w:rsidP="00805748">
            <w:pPr>
              <w:spacing w:before="0" w:after="0"/>
              <w:jc w:val="center"/>
              <w:rPr>
                <w:b/>
                <w:color w:val="000000"/>
                <w:sz w:val="16"/>
                <w:szCs w:val="16"/>
              </w:rPr>
            </w:pPr>
            <w:r>
              <w:rPr>
                <w:b/>
                <w:color w:val="000000"/>
                <w:sz w:val="16"/>
                <w:szCs w:val="16"/>
              </w:rPr>
              <w:t>% cover</w:t>
            </w:r>
          </w:p>
        </w:tc>
        <w:tc>
          <w:tcPr>
            <w:tcW w:w="954"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Low</w:t>
            </w:r>
          </w:p>
          <w:p w:rsidR="00842050" w:rsidRDefault="00842050" w:rsidP="00805748">
            <w:pPr>
              <w:spacing w:before="0" w:after="0"/>
              <w:jc w:val="center"/>
              <w:rPr>
                <w:b/>
                <w:color w:val="000000"/>
                <w:sz w:val="16"/>
                <w:szCs w:val="16"/>
              </w:rPr>
            </w:pPr>
            <w:r>
              <w:rPr>
                <w:b/>
                <w:color w:val="000000"/>
                <w:sz w:val="16"/>
                <w:szCs w:val="16"/>
              </w:rPr>
              <w:t>percentile</w:t>
            </w:r>
          </w:p>
        </w:tc>
        <w:tc>
          <w:tcPr>
            <w:tcW w:w="954"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50th</w:t>
            </w:r>
          </w:p>
          <w:p w:rsidR="00842050" w:rsidRDefault="00842050" w:rsidP="00805748">
            <w:pPr>
              <w:spacing w:before="0" w:after="0"/>
              <w:jc w:val="center"/>
              <w:rPr>
                <w:b/>
                <w:color w:val="000000"/>
                <w:sz w:val="16"/>
                <w:szCs w:val="16"/>
              </w:rPr>
            </w:pPr>
            <w:r>
              <w:rPr>
                <w:b/>
                <w:color w:val="000000"/>
                <w:sz w:val="16"/>
                <w:szCs w:val="16"/>
              </w:rPr>
              <w:t>percentile</w:t>
            </w:r>
          </w:p>
        </w:tc>
        <w:tc>
          <w:tcPr>
            <w:tcW w:w="954"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75th</w:t>
            </w:r>
          </w:p>
          <w:p w:rsidR="00842050" w:rsidRDefault="00842050" w:rsidP="00805748">
            <w:pPr>
              <w:spacing w:before="0" w:after="0"/>
              <w:jc w:val="center"/>
              <w:rPr>
                <w:b/>
                <w:color w:val="000000"/>
                <w:sz w:val="16"/>
                <w:szCs w:val="16"/>
              </w:rPr>
            </w:pPr>
            <w:r>
              <w:rPr>
                <w:b/>
                <w:color w:val="000000"/>
                <w:sz w:val="16"/>
                <w:szCs w:val="16"/>
              </w:rPr>
              <w:t>percentile</w:t>
            </w:r>
          </w:p>
        </w:tc>
        <w:tc>
          <w:tcPr>
            <w:tcW w:w="650"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score</w:t>
            </w:r>
          </w:p>
        </w:tc>
      </w:tr>
      <w:tr w:rsidR="00842050" w:rsidTr="00805748">
        <w:trPr>
          <w:jc w:val="center"/>
        </w:trPr>
        <w:tc>
          <w:tcPr>
            <w:tcW w:w="1388" w:type="dxa"/>
            <w:noWrap/>
            <w:vAlign w:val="bottom"/>
            <w:hideMark/>
          </w:tcPr>
          <w:p w:rsidR="00842050" w:rsidRDefault="00842050" w:rsidP="00805748">
            <w:pPr>
              <w:spacing w:before="0" w:after="0"/>
              <w:rPr>
                <w:color w:val="000000"/>
                <w:sz w:val="16"/>
                <w:szCs w:val="16"/>
              </w:rPr>
            </w:pPr>
            <w:r>
              <w:rPr>
                <w:color w:val="000000"/>
                <w:sz w:val="16"/>
                <w:szCs w:val="16"/>
              </w:rPr>
              <w:t>coastal intertidal</w:t>
            </w:r>
          </w:p>
        </w:tc>
        <w:tc>
          <w:tcPr>
            <w:tcW w:w="15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Townsville</w:t>
            </w: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BB1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12.7</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8</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BB1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13.6</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BB1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27.2</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BB1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30.3</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SB1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12.8</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SB1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10.8</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SB1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17.6</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SB1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8.9</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SB2</w:t>
            </w:r>
            <w:r w:rsidR="00364140">
              <w:rPr>
                <w:color w:val="000000"/>
                <w:sz w:val="16"/>
                <w:szCs w:val="16"/>
              </w:rPr>
              <w:t>^</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01-Jul-14</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7.6</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5</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16.8</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22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SB2</w:t>
            </w:r>
            <w:r w:rsidR="00364140">
              <w:rPr>
                <w:color w:val="000000"/>
                <w:sz w:val="16"/>
                <w:szCs w:val="16"/>
              </w:rPr>
              <w:t>^</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01-Oct-14</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2</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16.8</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22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SB2</w:t>
            </w:r>
            <w:r w:rsidR="00364140">
              <w:rPr>
                <w:color w:val="000000"/>
                <w:sz w:val="16"/>
                <w:szCs w:val="16"/>
              </w:rPr>
              <w:t>^</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01-Jan-15</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12.0</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8</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16.8</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22</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554"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SB2</w:t>
            </w:r>
            <w:r w:rsidR="00364140">
              <w:rPr>
                <w:color w:val="000000"/>
                <w:sz w:val="16"/>
                <w:szCs w:val="16"/>
              </w:rPr>
              <w:t>^</w:t>
            </w:r>
          </w:p>
        </w:tc>
        <w:tc>
          <w:tcPr>
            <w:tcW w:w="95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01-Apr-15</w:t>
            </w:r>
          </w:p>
        </w:tc>
        <w:tc>
          <w:tcPr>
            <w:tcW w:w="806"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10.7</w:t>
            </w:r>
          </w:p>
        </w:tc>
        <w:tc>
          <w:tcPr>
            <w:tcW w:w="80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8</w:t>
            </w:r>
          </w:p>
        </w:tc>
        <w:tc>
          <w:tcPr>
            <w:tcW w:w="954"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10</w:t>
            </w:r>
          </w:p>
        </w:tc>
        <w:tc>
          <w:tcPr>
            <w:tcW w:w="954"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16.8</w:t>
            </w:r>
          </w:p>
        </w:tc>
        <w:tc>
          <w:tcPr>
            <w:tcW w:w="954"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22</w:t>
            </w:r>
          </w:p>
        </w:tc>
        <w:tc>
          <w:tcPr>
            <w:tcW w:w="65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25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Bowling Green</w:t>
                </w:r>
              </w:smartTag>
              <w:r>
                <w:rPr>
                  <w:color w:val="000000"/>
                  <w:sz w:val="16"/>
                  <w:szCs w:val="16"/>
                </w:rPr>
                <w:t xml:space="preserve"> </w:t>
              </w:r>
              <w:smartTag w:uri="urn:schemas-microsoft-com:office:smarttags" w:element="PlaceType">
                <w:r>
                  <w:rPr>
                    <w:color w:val="000000"/>
                    <w:sz w:val="16"/>
                    <w:szCs w:val="16"/>
                  </w:rPr>
                  <w:t>Bay</w:t>
                </w:r>
              </w:smartTag>
            </w:smartTag>
          </w:p>
        </w:tc>
        <w:tc>
          <w:tcPr>
            <w:tcW w:w="554"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JR1</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06"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25.8</w:t>
            </w:r>
          </w:p>
        </w:tc>
        <w:tc>
          <w:tcPr>
            <w:tcW w:w="80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c>
          <w:tcPr>
            <w:tcW w:w="954"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15.7</w:t>
            </w:r>
          </w:p>
        </w:tc>
        <w:tc>
          <w:tcPr>
            <w:tcW w:w="954"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21.1</w:t>
            </w:r>
          </w:p>
        </w:tc>
        <w:tc>
          <w:tcPr>
            <w:tcW w:w="954"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28.6</w:t>
            </w:r>
          </w:p>
        </w:tc>
        <w:tc>
          <w:tcPr>
            <w:tcW w:w="65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E7F3F4"/>
            <w:noWrap/>
            <w:vAlign w:val="bottom"/>
          </w:tcPr>
          <w:p w:rsidR="00842050" w:rsidRDefault="00842050" w:rsidP="00805748">
            <w:pPr>
              <w:spacing w:before="0" w:after="0"/>
              <w:jc w:val="center"/>
              <w:rPr>
                <w:color w:val="000000"/>
                <w:sz w:val="16"/>
                <w:szCs w:val="16"/>
              </w:rPr>
            </w:pPr>
          </w:p>
        </w:tc>
        <w:tc>
          <w:tcPr>
            <w:tcW w:w="5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JR1</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06"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19.8</w:t>
            </w:r>
          </w:p>
        </w:tc>
        <w:tc>
          <w:tcPr>
            <w:tcW w:w="80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20</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15.7</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21.1</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28.6</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E7F3F4"/>
            <w:noWrap/>
            <w:vAlign w:val="bottom"/>
          </w:tcPr>
          <w:p w:rsidR="00842050" w:rsidRDefault="00842050" w:rsidP="00805748">
            <w:pPr>
              <w:spacing w:before="0" w:after="0"/>
              <w:jc w:val="center"/>
              <w:rPr>
                <w:color w:val="000000"/>
                <w:sz w:val="16"/>
                <w:szCs w:val="16"/>
              </w:rPr>
            </w:pPr>
          </w:p>
        </w:tc>
        <w:tc>
          <w:tcPr>
            <w:tcW w:w="5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JR2</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06"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23.4</w:t>
            </w:r>
          </w:p>
        </w:tc>
        <w:tc>
          <w:tcPr>
            <w:tcW w:w="80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15.7</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21.1</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28.6</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75</w:t>
            </w:r>
          </w:p>
        </w:tc>
      </w:tr>
      <w:tr w:rsidR="00842050" w:rsidTr="00805748">
        <w:trPr>
          <w:jc w:val="center"/>
        </w:trPr>
        <w:tc>
          <w:tcPr>
            <w:tcW w:w="1388"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523"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54"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JR2</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06"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20.7</w:t>
            </w:r>
          </w:p>
        </w:tc>
        <w:tc>
          <w:tcPr>
            <w:tcW w:w="80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21</w:t>
            </w:r>
          </w:p>
        </w:tc>
        <w:tc>
          <w:tcPr>
            <w:tcW w:w="954"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15.7</w:t>
            </w:r>
          </w:p>
        </w:tc>
        <w:tc>
          <w:tcPr>
            <w:tcW w:w="954"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21.1</w:t>
            </w:r>
          </w:p>
        </w:tc>
        <w:tc>
          <w:tcPr>
            <w:tcW w:w="954"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28.6</w:t>
            </w:r>
          </w:p>
        </w:tc>
        <w:tc>
          <w:tcPr>
            <w:tcW w:w="65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reef intertidal</w:t>
            </w:r>
          </w:p>
        </w:tc>
        <w:tc>
          <w:tcPr>
            <w:tcW w:w="15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 xml:space="preserve">Magnetic </w:t>
            </w:r>
            <w:smartTag w:uri="urn:schemas-microsoft-com:office:smarttags" w:element="place">
              <w:r>
                <w:rPr>
                  <w:color w:val="000000"/>
                  <w:sz w:val="16"/>
                  <w:szCs w:val="16"/>
                </w:rPr>
                <w:t>Island</w:t>
              </w:r>
            </w:smartTag>
          </w:p>
        </w:tc>
        <w:tc>
          <w:tcPr>
            <w:tcW w:w="554"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MI1</w:t>
            </w:r>
          </w:p>
        </w:tc>
        <w:tc>
          <w:tcPr>
            <w:tcW w:w="95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06"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19.5</w:t>
            </w:r>
          </w:p>
        </w:tc>
        <w:tc>
          <w:tcPr>
            <w:tcW w:w="80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954"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954"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33.4</w:t>
            </w:r>
          </w:p>
        </w:tc>
        <w:tc>
          <w:tcPr>
            <w:tcW w:w="954"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37</w:t>
            </w:r>
          </w:p>
        </w:tc>
        <w:tc>
          <w:tcPr>
            <w:tcW w:w="65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MI1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14.9</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17</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37</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MI1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27.5</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37</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MI1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29.3</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33.4</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37</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MI2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34.7</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21.3</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35.6</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MI2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42.1</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40</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21.3</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35.6</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75</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F3F9FA"/>
            <w:noWrap/>
            <w:vAlign w:val="bottom"/>
          </w:tcPr>
          <w:p w:rsidR="00842050" w:rsidRDefault="00842050" w:rsidP="00805748">
            <w:pPr>
              <w:spacing w:before="0" w:after="0"/>
              <w:jc w:val="center"/>
              <w:rPr>
                <w:color w:val="000000"/>
                <w:sz w:val="16"/>
                <w:szCs w:val="16"/>
              </w:rPr>
            </w:pPr>
          </w:p>
        </w:tc>
        <w:tc>
          <w:tcPr>
            <w:tcW w:w="5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MI2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01-Jan-15</w:t>
            </w:r>
          </w:p>
        </w:tc>
        <w:tc>
          <w:tcPr>
            <w:tcW w:w="806"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38.0</w:t>
            </w:r>
          </w:p>
        </w:tc>
        <w:tc>
          <w:tcPr>
            <w:tcW w:w="80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21.3</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35.6</w:t>
            </w:r>
          </w:p>
        </w:tc>
        <w:tc>
          <w:tcPr>
            <w:tcW w:w="954"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388"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523"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554"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MI2</w:t>
            </w:r>
          </w:p>
        </w:tc>
        <w:tc>
          <w:tcPr>
            <w:tcW w:w="95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06"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47.3</w:t>
            </w:r>
          </w:p>
        </w:tc>
        <w:tc>
          <w:tcPr>
            <w:tcW w:w="80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42</w:t>
            </w:r>
          </w:p>
        </w:tc>
        <w:tc>
          <w:tcPr>
            <w:tcW w:w="954"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21.3</w:t>
            </w:r>
          </w:p>
        </w:tc>
        <w:tc>
          <w:tcPr>
            <w:tcW w:w="954"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35.6</w:t>
            </w:r>
          </w:p>
        </w:tc>
        <w:tc>
          <w:tcPr>
            <w:tcW w:w="954"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41</w:t>
            </w:r>
          </w:p>
        </w:tc>
        <w:tc>
          <w:tcPr>
            <w:tcW w:w="65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388"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reef subtidal</w:t>
            </w:r>
          </w:p>
        </w:tc>
        <w:tc>
          <w:tcPr>
            <w:tcW w:w="15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 xml:space="preserve">Magnetic </w:t>
            </w:r>
            <w:smartTag w:uri="urn:schemas-microsoft-com:office:smarttags" w:element="place">
              <w:r>
                <w:rPr>
                  <w:color w:val="000000"/>
                  <w:sz w:val="16"/>
                  <w:szCs w:val="16"/>
                </w:rPr>
                <w:t>Island</w:t>
              </w:r>
            </w:smartTag>
          </w:p>
        </w:tc>
        <w:tc>
          <w:tcPr>
            <w:tcW w:w="554"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MI3</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06"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62.8</w:t>
            </w:r>
          </w:p>
        </w:tc>
        <w:tc>
          <w:tcPr>
            <w:tcW w:w="80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75</w:t>
            </w:r>
          </w:p>
        </w:tc>
        <w:tc>
          <w:tcPr>
            <w:tcW w:w="954"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954"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954"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E7F3F4"/>
            <w:noWrap/>
            <w:vAlign w:val="bottom"/>
          </w:tcPr>
          <w:p w:rsidR="00842050" w:rsidRDefault="00842050" w:rsidP="00805748">
            <w:pPr>
              <w:spacing w:before="0" w:after="0"/>
              <w:jc w:val="center"/>
              <w:rPr>
                <w:color w:val="000000"/>
                <w:sz w:val="16"/>
                <w:szCs w:val="16"/>
              </w:rPr>
            </w:pPr>
          </w:p>
        </w:tc>
        <w:tc>
          <w:tcPr>
            <w:tcW w:w="5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MI3</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06"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61.7</w:t>
            </w:r>
          </w:p>
        </w:tc>
        <w:tc>
          <w:tcPr>
            <w:tcW w:w="80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60</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388" w:type="dxa"/>
            <w:noWrap/>
            <w:vAlign w:val="bottom"/>
          </w:tcPr>
          <w:p w:rsidR="00842050" w:rsidRDefault="00842050" w:rsidP="00805748">
            <w:pPr>
              <w:spacing w:before="0" w:after="0"/>
              <w:rPr>
                <w:color w:val="000000"/>
                <w:sz w:val="16"/>
                <w:szCs w:val="16"/>
              </w:rPr>
            </w:pPr>
          </w:p>
        </w:tc>
        <w:tc>
          <w:tcPr>
            <w:tcW w:w="1523" w:type="dxa"/>
            <w:shd w:val="clear" w:color="auto" w:fill="E7F3F4"/>
            <w:noWrap/>
            <w:vAlign w:val="bottom"/>
          </w:tcPr>
          <w:p w:rsidR="00842050" w:rsidRDefault="00842050" w:rsidP="00805748">
            <w:pPr>
              <w:spacing w:before="0" w:after="0"/>
              <w:jc w:val="center"/>
              <w:rPr>
                <w:color w:val="000000"/>
                <w:sz w:val="16"/>
                <w:szCs w:val="16"/>
              </w:rPr>
            </w:pPr>
          </w:p>
        </w:tc>
        <w:tc>
          <w:tcPr>
            <w:tcW w:w="5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MI3</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06"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61.2</w:t>
            </w:r>
          </w:p>
        </w:tc>
        <w:tc>
          <w:tcPr>
            <w:tcW w:w="80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70</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22.5</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32.7</w:t>
            </w:r>
          </w:p>
        </w:tc>
        <w:tc>
          <w:tcPr>
            <w:tcW w:w="954"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36.7</w:t>
            </w:r>
          </w:p>
        </w:tc>
        <w:tc>
          <w:tcPr>
            <w:tcW w:w="65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388" w:type="dxa"/>
            <w:tcBorders>
              <w:top w:val="single" w:sz="4" w:space="0" w:color="auto"/>
              <w:left w:val="nil"/>
              <w:bottom w:val="single" w:sz="4" w:space="0" w:color="auto"/>
              <w:right w:val="nil"/>
            </w:tcBorders>
            <w:noWrap/>
            <w:vAlign w:val="bottom"/>
            <w:hideMark/>
          </w:tcPr>
          <w:p w:rsidR="00842050" w:rsidRDefault="00842050" w:rsidP="00805748">
            <w:pPr>
              <w:spacing w:before="0" w:after="0"/>
              <w:rPr>
                <w:b/>
                <w:color w:val="000000"/>
                <w:sz w:val="16"/>
                <w:szCs w:val="16"/>
              </w:rPr>
            </w:pPr>
            <w:r>
              <w:rPr>
                <w:b/>
                <w:color w:val="000000"/>
                <w:sz w:val="16"/>
                <w:szCs w:val="16"/>
              </w:rPr>
              <w:t>NRM region</w:t>
            </w:r>
          </w:p>
        </w:tc>
        <w:tc>
          <w:tcPr>
            <w:tcW w:w="1523"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554"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51"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06"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0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54"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54"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54"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650"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sz w:val="16"/>
                <w:szCs w:val="16"/>
              </w:rPr>
            </w:pPr>
            <w:r>
              <w:rPr>
                <w:b/>
                <w:color w:val="000000"/>
                <w:sz w:val="16"/>
                <w:szCs w:val="16"/>
              </w:rPr>
              <w:t>57</w:t>
            </w:r>
          </w:p>
        </w:tc>
      </w:tr>
    </w:tbl>
    <w:p w:rsidR="00842050" w:rsidRDefault="00842050" w:rsidP="00842050">
      <w:pPr>
        <w:ind w:left="540" w:hanging="540"/>
        <w:rPr>
          <w:color w:val="000000"/>
        </w:rPr>
      </w:pPr>
    </w:p>
    <w:p w:rsidR="007B1E97" w:rsidRPr="00517276" w:rsidRDefault="00842050" w:rsidP="007B1E97">
      <w:pPr>
        <w:jc w:val="center"/>
        <w:rPr>
          <w:i/>
          <w:vanish/>
          <w:color w:val="000000"/>
          <w:szCs w:val="22"/>
          <w:specVanish/>
        </w:rPr>
      </w:pPr>
      <w:bookmarkStart w:id="969" w:name="_Toc462685107"/>
      <w:r>
        <w:t xml:space="preserve">Table </w:t>
      </w:r>
      <w:fldSimple w:instr=" SEQ Table \* ARABIC ">
        <w:r w:rsidR="009C068F">
          <w:rPr>
            <w:noProof/>
          </w:rPr>
          <w:t>38</w:t>
        </w:r>
      </w:fldSimple>
      <w:r>
        <w:t xml:space="preserve">. </w:t>
      </w:r>
      <w:r>
        <w:rPr>
          <w:i/>
        </w:rPr>
        <w:t>Mean and median seagrass % cover and report score for each long-term monitoring site within each Mackay Whitsunday NRM region habitat over the 2014-15 period.</w:t>
      </w:r>
      <w:bookmarkEnd w:id="969"/>
      <w:r w:rsidR="007B1E97" w:rsidRPr="007B1E97">
        <w:rPr>
          <w:i/>
          <w:vanish/>
          <w:color w:val="000000"/>
          <w:szCs w:val="22"/>
          <w:specVanish/>
        </w:rPr>
        <w:t xml:space="preserve"> </w:t>
      </w:r>
    </w:p>
    <w:p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9C068F" w:rsidRPr="009C068F">
        <w:rPr>
          <w:i/>
          <w:color w:val="000000"/>
        </w:rPr>
        <w:t xml:space="preserve">Table </w:t>
      </w:r>
      <w:r w:rsidR="009C068F" w:rsidRPr="009C068F">
        <w:rPr>
          <w:i/>
          <w:noProof/>
          <w:color w:val="000000"/>
        </w:rPr>
        <w:t>33</w:t>
      </w:r>
      <w:r w:rsidR="00FB280D" w:rsidRPr="00FB280D">
        <w:rPr>
          <w:i/>
        </w:rPr>
        <w:fldChar w:fldCharType="end"/>
      </w:r>
      <w:r>
        <w:rPr>
          <w:i/>
        </w:rPr>
        <w:t xml:space="preserve">. </w:t>
      </w:r>
      <w:r w:rsidR="00364140" w:rsidRPr="00BA2BCE">
        <w:rPr>
          <w:i/>
          <w:color w:val="000000"/>
        </w:rPr>
        <w:t>^</w:t>
      </w:r>
      <w:r w:rsidR="00364140">
        <w:rPr>
          <w:i/>
          <w:color w:val="000000"/>
        </w:rPr>
        <w:t>denotes Seagrass-Watch site.</w:t>
      </w:r>
      <w:r w:rsidR="00364140">
        <w:rPr>
          <w:i/>
        </w:rPr>
        <w:t xml:space="preserve"> </w:t>
      </w:r>
      <w:r>
        <w:rPr>
          <w:i/>
        </w:rPr>
        <w:t>NB: scores do not have units.</w:t>
      </w:r>
      <w:r w:rsidR="00BA2BCE">
        <w:rPr>
          <w:i/>
        </w:rPr>
        <w:t xml:space="preserve"> </w:t>
      </w:r>
    </w:p>
    <w:tbl>
      <w:tblPr>
        <w:tblW w:w="9515" w:type="dxa"/>
        <w:jc w:val="center"/>
        <w:tblLook w:val="04A0" w:firstRow="1" w:lastRow="0" w:firstColumn="1" w:lastColumn="0" w:noHBand="0" w:noVBand="1"/>
      </w:tblPr>
      <w:tblGrid>
        <w:gridCol w:w="1508"/>
        <w:gridCol w:w="1286"/>
        <w:gridCol w:w="603"/>
        <w:gridCol w:w="931"/>
        <w:gridCol w:w="815"/>
        <w:gridCol w:w="823"/>
        <w:gridCol w:w="888"/>
        <w:gridCol w:w="888"/>
        <w:gridCol w:w="888"/>
        <w:gridCol w:w="885"/>
      </w:tblGrid>
      <w:tr w:rsidR="00842050" w:rsidTr="00805748">
        <w:trPr>
          <w:jc w:val="center"/>
        </w:trPr>
        <w:tc>
          <w:tcPr>
            <w:tcW w:w="150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Habitat</w:t>
            </w:r>
          </w:p>
        </w:tc>
        <w:tc>
          <w:tcPr>
            <w:tcW w:w="1286"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Location</w:t>
            </w:r>
          </w:p>
        </w:tc>
        <w:tc>
          <w:tcPr>
            <w:tcW w:w="603"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Site</w:t>
            </w:r>
          </w:p>
        </w:tc>
        <w:tc>
          <w:tcPr>
            <w:tcW w:w="931"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Seasonal</w:t>
            </w:r>
          </w:p>
          <w:p w:rsidR="00842050" w:rsidRDefault="00842050" w:rsidP="00805748">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Mean</w:t>
            </w:r>
          </w:p>
          <w:p w:rsidR="00842050" w:rsidRDefault="00842050" w:rsidP="00805748">
            <w:pPr>
              <w:spacing w:before="0" w:after="0"/>
              <w:jc w:val="center"/>
              <w:rPr>
                <w:b/>
                <w:color w:val="000000"/>
                <w:sz w:val="16"/>
                <w:szCs w:val="16"/>
              </w:rPr>
            </w:pPr>
            <w:r>
              <w:rPr>
                <w:b/>
                <w:color w:val="000000"/>
                <w:sz w:val="16"/>
                <w:szCs w:val="16"/>
              </w:rPr>
              <w:t>% cover</w:t>
            </w:r>
          </w:p>
        </w:tc>
        <w:tc>
          <w:tcPr>
            <w:tcW w:w="823"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Median</w:t>
            </w:r>
          </w:p>
          <w:p w:rsidR="00842050" w:rsidRDefault="00842050" w:rsidP="00805748">
            <w:pPr>
              <w:spacing w:before="0" w:after="0"/>
              <w:jc w:val="center"/>
              <w:rPr>
                <w:b/>
                <w:color w:val="000000"/>
                <w:sz w:val="16"/>
                <w:szCs w:val="16"/>
              </w:rPr>
            </w:pPr>
            <w:r>
              <w:rPr>
                <w:b/>
                <w:color w:val="000000"/>
                <w:sz w:val="16"/>
                <w:szCs w:val="16"/>
              </w:rPr>
              <w:t>% cover</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Low</w:t>
            </w:r>
          </w:p>
          <w:p w:rsidR="00842050" w:rsidRDefault="00842050" w:rsidP="00805748">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50th</w:t>
            </w:r>
          </w:p>
          <w:p w:rsidR="00842050" w:rsidRDefault="00842050" w:rsidP="00805748">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75th</w:t>
            </w:r>
          </w:p>
          <w:p w:rsidR="00842050" w:rsidRDefault="00842050" w:rsidP="00805748">
            <w:pPr>
              <w:spacing w:before="0" w:after="0"/>
              <w:jc w:val="center"/>
              <w:rPr>
                <w:b/>
                <w:color w:val="000000"/>
                <w:sz w:val="16"/>
                <w:szCs w:val="16"/>
              </w:rPr>
            </w:pPr>
            <w:r>
              <w:rPr>
                <w:b/>
                <w:color w:val="000000"/>
                <w:sz w:val="16"/>
                <w:szCs w:val="16"/>
              </w:rPr>
              <w:t>percentile</w:t>
            </w:r>
          </w:p>
        </w:tc>
        <w:tc>
          <w:tcPr>
            <w:tcW w:w="885"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score</w:t>
            </w:r>
          </w:p>
        </w:tc>
      </w:tr>
      <w:tr w:rsidR="00842050" w:rsidTr="00805748">
        <w:trPr>
          <w:jc w:val="center"/>
        </w:trPr>
        <w:tc>
          <w:tcPr>
            <w:tcW w:w="1508"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estuarine intertidal</w:t>
            </w:r>
          </w:p>
        </w:tc>
        <w:tc>
          <w:tcPr>
            <w:tcW w:w="1286"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Sarina Inlet</w:t>
            </w:r>
          </w:p>
        </w:tc>
        <w:tc>
          <w:tcPr>
            <w:tcW w:w="60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SI1</w:t>
            </w:r>
          </w:p>
        </w:tc>
        <w:tc>
          <w:tcPr>
            <w:tcW w:w="93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13.1</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11</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88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E7F3F4"/>
            <w:noWrap/>
            <w:vAlign w:val="bottom"/>
          </w:tcPr>
          <w:p w:rsidR="00842050" w:rsidRDefault="00842050" w:rsidP="00805748">
            <w:pPr>
              <w:spacing w:before="0" w:after="0"/>
              <w:jc w:val="center"/>
              <w:rPr>
                <w:color w:val="000000"/>
                <w:sz w:val="16"/>
                <w:szCs w:val="16"/>
              </w:rPr>
            </w:pPr>
          </w:p>
        </w:tc>
        <w:tc>
          <w:tcPr>
            <w:tcW w:w="60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SI1</w:t>
            </w:r>
          </w:p>
        </w:tc>
        <w:tc>
          <w:tcPr>
            <w:tcW w:w="93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9.0</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88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E7F3F4"/>
            <w:noWrap/>
            <w:vAlign w:val="bottom"/>
          </w:tcPr>
          <w:p w:rsidR="00842050" w:rsidRDefault="00842050" w:rsidP="00805748">
            <w:pPr>
              <w:spacing w:before="0" w:after="0"/>
              <w:jc w:val="center"/>
              <w:rPr>
                <w:color w:val="000000"/>
                <w:sz w:val="16"/>
                <w:szCs w:val="16"/>
              </w:rPr>
            </w:pPr>
          </w:p>
        </w:tc>
        <w:tc>
          <w:tcPr>
            <w:tcW w:w="60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SI2</w:t>
            </w:r>
          </w:p>
        </w:tc>
        <w:tc>
          <w:tcPr>
            <w:tcW w:w="93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7.0</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88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508"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286"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60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SI2</w:t>
            </w:r>
          </w:p>
        </w:tc>
        <w:tc>
          <w:tcPr>
            <w:tcW w:w="93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4.7</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1.3</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88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08"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coastal intertidal</w:t>
            </w:r>
          </w:p>
        </w:tc>
        <w:tc>
          <w:tcPr>
            <w:tcW w:w="1286"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Midge Point</w:t>
            </w:r>
          </w:p>
        </w:tc>
        <w:tc>
          <w:tcPr>
            <w:tcW w:w="60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MP2</w:t>
            </w:r>
            <w:r w:rsidR="00364140">
              <w:rPr>
                <w:color w:val="000000"/>
                <w:sz w:val="16"/>
                <w:szCs w:val="16"/>
              </w:rPr>
              <w:t>^</w:t>
            </w:r>
          </w:p>
        </w:tc>
        <w:tc>
          <w:tcPr>
            <w:tcW w:w="93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32.6</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18.9</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22.8</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25.4</w:t>
            </w:r>
          </w:p>
        </w:tc>
        <w:tc>
          <w:tcPr>
            <w:tcW w:w="88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F3F9FA"/>
            <w:noWrap/>
            <w:vAlign w:val="bottom"/>
          </w:tcPr>
          <w:p w:rsidR="00842050" w:rsidRDefault="00842050" w:rsidP="00805748">
            <w:pPr>
              <w:spacing w:before="0" w:after="0"/>
              <w:jc w:val="center"/>
              <w:rPr>
                <w:color w:val="000000"/>
                <w:sz w:val="16"/>
                <w:szCs w:val="16"/>
              </w:rPr>
            </w:pPr>
          </w:p>
        </w:tc>
        <w:tc>
          <w:tcPr>
            <w:tcW w:w="60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MP2</w:t>
            </w:r>
            <w:r w:rsidR="00364140">
              <w:rPr>
                <w:color w:val="000000"/>
                <w:sz w:val="16"/>
                <w:szCs w:val="16"/>
              </w:rPr>
              <w:t>^</w:t>
            </w:r>
          </w:p>
        </w:tc>
        <w:tc>
          <w:tcPr>
            <w:tcW w:w="93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29.4</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31</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18.9</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22.8</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25.4</w:t>
            </w:r>
          </w:p>
        </w:tc>
        <w:tc>
          <w:tcPr>
            <w:tcW w:w="88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F3F9FA"/>
            <w:noWrap/>
            <w:vAlign w:val="bottom"/>
          </w:tcPr>
          <w:p w:rsidR="00842050" w:rsidRDefault="00842050" w:rsidP="00805748">
            <w:pPr>
              <w:spacing w:before="0" w:after="0"/>
              <w:jc w:val="center"/>
              <w:rPr>
                <w:color w:val="000000"/>
                <w:sz w:val="16"/>
                <w:szCs w:val="16"/>
              </w:rPr>
            </w:pPr>
          </w:p>
        </w:tc>
        <w:tc>
          <w:tcPr>
            <w:tcW w:w="60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MP3</w:t>
            </w:r>
            <w:r w:rsidR="00364140">
              <w:rPr>
                <w:color w:val="000000"/>
                <w:sz w:val="16"/>
                <w:szCs w:val="16"/>
              </w:rPr>
              <w:t>^</w:t>
            </w:r>
          </w:p>
        </w:tc>
        <w:tc>
          <w:tcPr>
            <w:tcW w:w="93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22.8</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23</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17.9</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20</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22.3</w:t>
            </w:r>
          </w:p>
        </w:tc>
        <w:tc>
          <w:tcPr>
            <w:tcW w:w="88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60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MP3</w:t>
            </w:r>
            <w:r w:rsidR="00364140">
              <w:rPr>
                <w:color w:val="000000"/>
                <w:sz w:val="16"/>
                <w:szCs w:val="16"/>
              </w:rPr>
              <w:t>^</w:t>
            </w:r>
          </w:p>
        </w:tc>
        <w:tc>
          <w:tcPr>
            <w:tcW w:w="93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26.2</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30</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17.9</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20</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22.3</w:t>
            </w:r>
          </w:p>
        </w:tc>
        <w:tc>
          <w:tcPr>
            <w:tcW w:w="88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Pioneer</w:t>
                </w:r>
              </w:smartTag>
              <w:r>
                <w:rPr>
                  <w:color w:val="000000"/>
                  <w:sz w:val="16"/>
                  <w:szCs w:val="16"/>
                </w:rPr>
                <w:t xml:space="preserve"> </w:t>
              </w:r>
              <w:smartTag w:uri="urn:schemas-microsoft-com:office:smarttags" w:element="PlaceType">
                <w:r>
                  <w:rPr>
                    <w:color w:val="000000"/>
                    <w:sz w:val="16"/>
                    <w:szCs w:val="16"/>
                  </w:rPr>
                  <w:t>Bay</w:t>
                </w:r>
              </w:smartTag>
            </w:smartTag>
          </w:p>
        </w:tc>
        <w:tc>
          <w:tcPr>
            <w:tcW w:w="60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PI2</w:t>
            </w:r>
          </w:p>
        </w:tc>
        <w:tc>
          <w:tcPr>
            <w:tcW w:w="93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8.2</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18.7</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25.1</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27.6</w:t>
            </w:r>
          </w:p>
        </w:tc>
        <w:tc>
          <w:tcPr>
            <w:tcW w:w="88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E7F3F4"/>
            <w:noWrap/>
            <w:vAlign w:val="bottom"/>
          </w:tcPr>
          <w:p w:rsidR="00842050" w:rsidRDefault="00842050" w:rsidP="00805748">
            <w:pPr>
              <w:spacing w:before="0" w:after="0"/>
              <w:jc w:val="center"/>
              <w:rPr>
                <w:color w:val="000000"/>
                <w:sz w:val="16"/>
                <w:szCs w:val="16"/>
              </w:rPr>
            </w:pPr>
          </w:p>
        </w:tc>
        <w:tc>
          <w:tcPr>
            <w:tcW w:w="60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PI2</w:t>
            </w:r>
          </w:p>
        </w:tc>
        <w:tc>
          <w:tcPr>
            <w:tcW w:w="93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19.6</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19</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27.6</w:t>
            </w:r>
          </w:p>
        </w:tc>
        <w:tc>
          <w:tcPr>
            <w:tcW w:w="88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E7F3F4"/>
            <w:noWrap/>
            <w:vAlign w:val="bottom"/>
          </w:tcPr>
          <w:p w:rsidR="00842050" w:rsidRDefault="00842050" w:rsidP="00805748">
            <w:pPr>
              <w:spacing w:before="0" w:after="0"/>
              <w:jc w:val="center"/>
              <w:rPr>
                <w:color w:val="000000"/>
                <w:sz w:val="16"/>
                <w:szCs w:val="16"/>
              </w:rPr>
            </w:pPr>
          </w:p>
        </w:tc>
        <w:tc>
          <w:tcPr>
            <w:tcW w:w="60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PI2</w:t>
            </w:r>
          </w:p>
        </w:tc>
        <w:tc>
          <w:tcPr>
            <w:tcW w:w="93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13.5</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15</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27.6</w:t>
            </w:r>
          </w:p>
        </w:tc>
        <w:tc>
          <w:tcPr>
            <w:tcW w:w="88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E7F3F4"/>
            <w:noWrap/>
            <w:vAlign w:val="bottom"/>
          </w:tcPr>
          <w:p w:rsidR="00842050" w:rsidRDefault="00842050" w:rsidP="00805748">
            <w:pPr>
              <w:spacing w:before="0" w:after="0"/>
              <w:jc w:val="center"/>
              <w:rPr>
                <w:color w:val="000000"/>
                <w:sz w:val="16"/>
                <w:szCs w:val="16"/>
              </w:rPr>
            </w:pPr>
          </w:p>
        </w:tc>
        <w:tc>
          <w:tcPr>
            <w:tcW w:w="60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PI2</w:t>
            </w:r>
          </w:p>
        </w:tc>
        <w:tc>
          <w:tcPr>
            <w:tcW w:w="93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7.2</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13.1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88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E7F3F4"/>
            <w:noWrap/>
            <w:vAlign w:val="bottom"/>
          </w:tcPr>
          <w:p w:rsidR="00842050" w:rsidRDefault="00842050" w:rsidP="00805748">
            <w:pPr>
              <w:spacing w:before="0" w:after="0"/>
              <w:jc w:val="center"/>
              <w:rPr>
                <w:color w:val="000000"/>
                <w:sz w:val="16"/>
                <w:szCs w:val="16"/>
              </w:rPr>
            </w:pPr>
          </w:p>
        </w:tc>
        <w:tc>
          <w:tcPr>
            <w:tcW w:w="60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PI3</w:t>
            </w:r>
          </w:p>
        </w:tc>
        <w:tc>
          <w:tcPr>
            <w:tcW w:w="93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16.3</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15</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13.1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88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75</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E7F3F4"/>
            <w:noWrap/>
            <w:vAlign w:val="bottom"/>
          </w:tcPr>
          <w:p w:rsidR="00842050" w:rsidRDefault="00842050" w:rsidP="00805748">
            <w:pPr>
              <w:spacing w:before="0" w:after="0"/>
              <w:jc w:val="center"/>
              <w:rPr>
                <w:color w:val="000000"/>
                <w:sz w:val="16"/>
                <w:szCs w:val="16"/>
              </w:rPr>
            </w:pPr>
          </w:p>
        </w:tc>
        <w:tc>
          <w:tcPr>
            <w:tcW w:w="60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PI3</w:t>
            </w:r>
          </w:p>
        </w:tc>
        <w:tc>
          <w:tcPr>
            <w:tcW w:w="93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12.1</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15</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7.6</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13.1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16.8</w:t>
            </w:r>
          </w:p>
        </w:tc>
        <w:tc>
          <w:tcPr>
            <w:tcW w:w="88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75</w:t>
            </w:r>
          </w:p>
        </w:tc>
      </w:tr>
      <w:tr w:rsidR="00842050" w:rsidTr="00805748">
        <w:trPr>
          <w:jc w:val="center"/>
        </w:trPr>
        <w:tc>
          <w:tcPr>
            <w:tcW w:w="1508"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286"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60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PI3</w:t>
            </w:r>
          </w:p>
        </w:tc>
        <w:tc>
          <w:tcPr>
            <w:tcW w:w="93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8.2</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7</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18.7</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25.1</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27.6</w:t>
            </w:r>
          </w:p>
        </w:tc>
        <w:tc>
          <w:tcPr>
            <w:tcW w:w="88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08"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reef intertidal</w:t>
            </w:r>
          </w:p>
        </w:tc>
        <w:tc>
          <w:tcPr>
            <w:tcW w:w="1286"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Hamilton</w:t>
                </w:r>
              </w:smartTag>
              <w:r>
                <w:rPr>
                  <w:color w:val="000000"/>
                  <w:sz w:val="16"/>
                  <w:szCs w:val="16"/>
                </w:rPr>
                <w:t xml:space="preserve"> </w:t>
              </w:r>
              <w:smartTag w:uri="urn:schemas-microsoft-com:office:smarttags" w:element="PlaceType">
                <w:r>
                  <w:rPr>
                    <w:color w:val="000000"/>
                    <w:sz w:val="16"/>
                    <w:szCs w:val="16"/>
                  </w:rPr>
                  <w:t>Island</w:t>
                </w:r>
              </w:smartTag>
            </w:smartTag>
          </w:p>
        </w:tc>
        <w:tc>
          <w:tcPr>
            <w:tcW w:w="60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HB1</w:t>
            </w:r>
            <w:r w:rsidR="00364140">
              <w:rPr>
                <w:sz w:val="16"/>
                <w:szCs w:val="16"/>
              </w:rPr>
              <w:t>^</w:t>
            </w:r>
          </w:p>
        </w:tc>
        <w:tc>
          <w:tcPr>
            <w:tcW w:w="93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01-Oct-14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4.2</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10.53</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12.9</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14.2</w:t>
            </w:r>
          </w:p>
        </w:tc>
        <w:tc>
          <w:tcPr>
            <w:tcW w:w="88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F3F9FA"/>
            <w:noWrap/>
            <w:vAlign w:val="bottom"/>
          </w:tcPr>
          <w:p w:rsidR="00842050" w:rsidRDefault="00842050" w:rsidP="00805748">
            <w:pPr>
              <w:spacing w:before="0" w:after="0"/>
              <w:jc w:val="center"/>
              <w:rPr>
                <w:color w:val="000000"/>
                <w:sz w:val="16"/>
                <w:szCs w:val="16"/>
              </w:rPr>
            </w:pPr>
          </w:p>
        </w:tc>
        <w:tc>
          <w:tcPr>
            <w:tcW w:w="603"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HB2</w:t>
            </w:r>
            <w:r w:rsidR="00364140">
              <w:rPr>
                <w:sz w:val="16"/>
                <w:szCs w:val="16"/>
              </w:rPr>
              <w:t>^</w:t>
            </w:r>
          </w:p>
        </w:tc>
        <w:tc>
          <w:tcPr>
            <w:tcW w:w="931"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2.4</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7.95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11.59</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13.4</w:t>
            </w:r>
          </w:p>
        </w:tc>
        <w:tc>
          <w:tcPr>
            <w:tcW w:w="885" w:type="dxa"/>
            <w:shd w:val="clear" w:color="auto" w:fill="F3F9FA"/>
            <w:noWrap/>
            <w:vAlign w:val="bottom"/>
            <w:hideMark/>
          </w:tcPr>
          <w:p w:rsidR="00842050" w:rsidRDefault="00842050" w:rsidP="00805748">
            <w:pPr>
              <w:spacing w:before="0" w:after="0"/>
              <w:jc w:val="center"/>
              <w:rPr>
                <w:color w:val="000000"/>
                <w:sz w:val="16"/>
                <w:szCs w:val="16"/>
              </w:rPr>
            </w:pPr>
            <w:r>
              <w:rPr>
                <w:sz w:val="16"/>
                <w:szCs w:val="16"/>
              </w:rPr>
              <w:t>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F3F9FA"/>
            <w:noWrap/>
            <w:vAlign w:val="bottom"/>
          </w:tcPr>
          <w:p w:rsidR="00842050" w:rsidRDefault="00842050" w:rsidP="00805748">
            <w:pPr>
              <w:spacing w:before="0" w:after="0"/>
              <w:jc w:val="center"/>
              <w:rPr>
                <w:color w:val="000000"/>
                <w:sz w:val="16"/>
                <w:szCs w:val="16"/>
              </w:rPr>
            </w:pPr>
          </w:p>
        </w:tc>
        <w:tc>
          <w:tcPr>
            <w:tcW w:w="60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HM1</w:t>
            </w:r>
          </w:p>
        </w:tc>
        <w:tc>
          <w:tcPr>
            <w:tcW w:w="93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22.15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39</w:t>
            </w:r>
          </w:p>
        </w:tc>
        <w:tc>
          <w:tcPr>
            <w:tcW w:w="88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F3F9FA"/>
            <w:noWrap/>
            <w:vAlign w:val="bottom"/>
          </w:tcPr>
          <w:p w:rsidR="00842050" w:rsidRDefault="00842050" w:rsidP="00805748">
            <w:pPr>
              <w:spacing w:before="0" w:after="0"/>
              <w:jc w:val="center"/>
              <w:rPr>
                <w:color w:val="000000"/>
                <w:sz w:val="16"/>
                <w:szCs w:val="16"/>
              </w:rPr>
            </w:pPr>
          </w:p>
        </w:tc>
        <w:tc>
          <w:tcPr>
            <w:tcW w:w="60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HM1</w:t>
            </w:r>
          </w:p>
        </w:tc>
        <w:tc>
          <w:tcPr>
            <w:tcW w:w="93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22.15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39</w:t>
            </w:r>
          </w:p>
        </w:tc>
        <w:tc>
          <w:tcPr>
            <w:tcW w:w="88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08" w:type="dxa"/>
            <w:noWrap/>
            <w:vAlign w:val="bottom"/>
          </w:tcPr>
          <w:p w:rsidR="00842050" w:rsidRDefault="00842050" w:rsidP="00805748">
            <w:pPr>
              <w:spacing w:before="0" w:after="0"/>
              <w:rPr>
                <w:color w:val="000000"/>
                <w:sz w:val="16"/>
                <w:szCs w:val="16"/>
              </w:rPr>
            </w:pPr>
          </w:p>
        </w:tc>
        <w:tc>
          <w:tcPr>
            <w:tcW w:w="1286" w:type="dxa"/>
            <w:shd w:val="clear" w:color="auto" w:fill="F3F9FA"/>
            <w:noWrap/>
            <w:vAlign w:val="bottom"/>
          </w:tcPr>
          <w:p w:rsidR="00842050" w:rsidRDefault="00842050" w:rsidP="00805748">
            <w:pPr>
              <w:spacing w:before="0" w:after="0"/>
              <w:jc w:val="center"/>
              <w:rPr>
                <w:color w:val="000000"/>
                <w:sz w:val="16"/>
                <w:szCs w:val="16"/>
              </w:rPr>
            </w:pPr>
          </w:p>
        </w:tc>
        <w:tc>
          <w:tcPr>
            <w:tcW w:w="60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HM2</w:t>
            </w:r>
          </w:p>
        </w:tc>
        <w:tc>
          <w:tcPr>
            <w:tcW w:w="93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6.7</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22.15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34.5</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39</w:t>
            </w:r>
          </w:p>
        </w:tc>
        <w:tc>
          <w:tcPr>
            <w:tcW w:w="88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508"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286"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60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HM2</w:t>
            </w:r>
          </w:p>
        </w:tc>
        <w:tc>
          <w:tcPr>
            <w:tcW w:w="93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2.7</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22.15</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34.5</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39</w:t>
            </w:r>
          </w:p>
        </w:tc>
        <w:tc>
          <w:tcPr>
            <w:tcW w:w="88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08" w:type="dxa"/>
            <w:tcBorders>
              <w:top w:val="single" w:sz="4" w:space="0" w:color="auto"/>
              <w:left w:val="nil"/>
              <w:bottom w:val="single" w:sz="4" w:space="0" w:color="auto"/>
              <w:right w:val="nil"/>
            </w:tcBorders>
            <w:noWrap/>
            <w:vAlign w:val="bottom"/>
            <w:hideMark/>
          </w:tcPr>
          <w:p w:rsidR="00842050" w:rsidRDefault="00842050" w:rsidP="00805748">
            <w:pPr>
              <w:spacing w:before="0" w:after="0"/>
              <w:rPr>
                <w:b/>
                <w:color w:val="000000"/>
                <w:sz w:val="16"/>
                <w:szCs w:val="16"/>
              </w:rPr>
            </w:pPr>
            <w:r>
              <w:rPr>
                <w:b/>
                <w:color w:val="000000"/>
                <w:sz w:val="16"/>
                <w:szCs w:val="16"/>
              </w:rPr>
              <w:t>NRM region</w:t>
            </w:r>
          </w:p>
        </w:tc>
        <w:tc>
          <w:tcPr>
            <w:tcW w:w="1286"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603"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931"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15"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23"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b/>
                <w:color w:val="000000"/>
                <w:sz w:val="16"/>
                <w:szCs w:val="16"/>
              </w:rPr>
            </w:pPr>
          </w:p>
        </w:tc>
        <w:tc>
          <w:tcPr>
            <w:tcW w:w="885"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sz w:val="16"/>
                <w:szCs w:val="16"/>
              </w:rPr>
            </w:pPr>
            <w:r>
              <w:rPr>
                <w:b/>
                <w:color w:val="000000"/>
                <w:sz w:val="16"/>
                <w:szCs w:val="16"/>
              </w:rPr>
              <w:t>30</w:t>
            </w:r>
          </w:p>
        </w:tc>
      </w:tr>
    </w:tbl>
    <w:p w:rsidR="00842050" w:rsidRDefault="00842050" w:rsidP="00842050">
      <w:pPr>
        <w:ind w:left="540" w:hanging="540"/>
        <w:rPr>
          <w:color w:val="000000"/>
        </w:rPr>
      </w:pPr>
    </w:p>
    <w:p w:rsidR="007B1E97" w:rsidRPr="00517276" w:rsidRDefault="00842050" w:rsidP="007B1E97">
      <w:pPr>
        <w:jc w:val="center"/>
        <w:rPr>
          <w:i/>
          <w:vanish/>
          <w:color w:val="000000"/>
          <w:szCs w:val="22"/>
          <w:specVanish/>
        </w:rPr>
      </w:pPr>
      <w:bookmarkStart w:id="970" w:name="_Toc462685108"/>
      <w:r>
        <w:lastRenderedPageBreak/>
        <w:t xml:space="preserve">Table </w:t>
      </w:r>
      <w:fldSimple w:instr=" SEQ Table \* ARABIC ">
        <w:r w:rsidR="009C068F">
          <w:rPr>
            <w:noProof/>
          </w:rPr>
          <w:t>39</w:t>
        </w:r>
      </w:fldSimple>
      <w:r>
        <w:t xml:space="preserve">. </w:t>
      </w:r>
      <w:r>
        <w:rPr>
          <w:i/>
        </w:rPr>
        <w:t>Mean and median seagrass % cover and report score for each long-term monitoring site within each Fitzroy NRM region habitat over the 2014-15 period.</w:t>
      </w:r>
      <w:bookmarkEnd w:id="970"/>
      <w:r w:rsidR="007B1E97" w:rsidRPr="007B1E97">
        <w:rPr>
          <w:i/>
          <w:vanish/>
          <w:color w:val="000000"/>
          <w:szCs w:val="22"/>
          <w:specVanish/>
        </w:rPr>
        <w:t xml:space="preserve"> </w:t>
      </w:r>
    </w:p>
    <w:p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9C068F" w:rsidRPr="009C068F">
        <w:rPr>
          <w:i/>
          <w:color w:val="000000"/>
        </w:rPr>
        <w:t xml:space="preserve">Table </w:t>
      </w:r>
      <w:r w:rsidR="009C068F" w:rsidRPr="009C068F">
        <w:rPr>
          <w:i/>
          <w:noProof/>
          <w:color w:val="000000"/>
        </w:rPr>
        <w:t>33</w:t>
      </w:r>
      <w:r w:rsidR="00FB280D" w:rsidRPr="00FB280D">
        <w:rPr>
          <w:i/>
        </w:rPr>
        <w:fldChar w:fldCharType="end"/>
      </w:r>
      <w:r>
        <w:rPr>
          <w:i/>
        </w:rPr>
        <w:t>. NB: scores do not have units.</w:t>
      </w:r>
    </w:p>
    <w:tbl>
      <w:tblPr>
        <w:tblW w:w="9697" w:type="dxa"/>
        <w:jc w:val="center"/>
        <w:tblLook w:val="04A0" w:firstRow="1" w:lastRow="0" w:firstColumn="1" w:lastColumn="0" w:noHBand="0" w:noVBand="1"/>
      </w:tblPr>
      <w:tblGrid>
        <w:gridCol w:w="1464"/>
        <w:gridCol w:w="1567"/>
        <w:gridCol w:w="595"/>
        <w:gridCol w:w="907"/>
        <w:gridCol w:w="815"/>
        <w:gridCol w:w="823"/>
        <w:gridCol w:w="888"/>
        <w:gridCol w:w="888"/>
        <w:gridCol w:w="888"/>
        <w:gridCol w:w="862"/>
      </w:tblGrid>
      <w:tr w:rsidR="00842050" w:rsidTr="00805748">
        <w:trPr>
          <w:jc w:val="center"/>
        </w:trPr>
        <w:tc>
          <w:tcPr>
            <w:tcW w:w="1464"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Habitat</w:t>
            </w:r>
          </w:p>
        </w:tc>
        <w:tc>
          <w:tcPr>
            <w:tcW w:w="1567"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Location</w:t>
            </w:r>
          </w:p>
        </w:tc>
        <w:tc>
          <w:tcPr>
            <w:tcW w:w="595"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Site</w:t>
            </w:r>
          </w:p>
        </w:tc>
        <w:tc>
          <w:tcPr>
            <w:tcW w:w="907"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Seasonal</w:t>
            </w:r>
          </w:p>
          <w:p w:rsidR="00842050" w:rsidRDefault="00842050" w:rsidP="00805748">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Mean</w:t>
            </w:r>
          </w:p>
          <w:p w:rsidR="00842050" w:rsidRDefault="00842050" w:rsidP="00805748">
            <w:pPr>
              <w:spacing w:before="0" w:after="0"/>
              <w:jc w:val="center"/>
              <w:rPr>
                <w:b/>
                <w:color w:val="000000"/>
                <w:sz w:val="16"/>
                <w:szCs w:val="16"/>
              </w:rPr>
            </w:pPr>
            <w:r>
              <w:rPr>
                <w:b/>
                <w:color w:val="000000"/>
                <w:sz w:val="16"/>
                <w:szCs w:val="16"/>
              </w:rPr>
              <w:t>% cover</w:t>
            </w:r>
          </w:p>
        </w:tc>
        <w:tc>
          <w:tcPr>
            <w:tcW w:w="823"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Median</w:t>
            </w:r>
          </w:p>
          <w:p w:rsidR="00842050" w:rsidRDefault="00842050" w:rsidP="00805748">
            <w:pPr>
              <w:spacing w:before="0" w:after="0"/>
              <w:jc w:val="center"/>
              <w:rPr>
                <w:b/>
                <w:color w:val="000000"/>
                <w:sz w:val="16"/>
                <w:szCs w:val="16"/>
              </w:rPr>
            </w:pPr>
            <w:r>
              <w:rPr>
                <w:b/>
                <w:color w:val="000000"/>
                <w:sz w:val="16"/>
                <w:szCs w:val="16"/>
              </w:rPr>
              <w:t>% cover</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Low</w:t>
            </w:r>
          </w:p>
          <w:p w:rsidR="00842050" w:rsidRDefault="00842050" w:rsidP="00805748">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50th</w:t>
            </w:r>
          </w:p>
          <w:p w:rsidR="00842050" w:rsidRDefault="00842050" w:rsidP="00805748">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75th</w:t>
            </w:r>
          </w:p>
          <w:p w:rsidR="00842050" w:rsidRDefault="00842050" w:rsidP="00805748">
            <w:pPr>
              <w:spacing w:before="0" w:after="0"/>
              <w:jc w:val="center"/>
              <w:rPr>
                <w:b/>
                <w:color w:val="000000"/>
                <w:sz w:val="16"/>
                <w:szCs w:val="16"/>
              </w:rPr>
            </w:pPr>
            <w:r>
              <w:rPr>
                <w:b/>
                <w:color w:val="000000"/>
                <w:sz w:val="16"/>
                <w:szCs w:val="16"/>
              </w:rPr>
              <w:t>percentile</w:t>
            </w:r>
          </w:p>
        </w:tc>
        <w:tc>
          <w:tcPr>
            <w:tcW w:w="862"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score</w:t>
            </w:r>
          </w:p>
        </w:tc>
      </w:tr>
      <w:tr w:rsidR="00842050" w:rsidTr="00805748">
        <w:trPr>
          <w:jc w:val="center"/>
        </w:trPr>
        <w:tc>
          <w:tcPr>
            <w:tcW w:w="1464"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estuarine intertidal</w:t>
            </w:r>
          </w:p>
        </w:tc>
        <w:tc>
          <w:tcPr>
            <w:tcW w:w="15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Gladstone</w:t>
                </w:r>
              </w:smartTag>
              <w:r>
                <w:rPr>
                  <w:color w:val="000000"/>
                  <w:sz w:val="16"/>
                  <w:szCs w:val="16"/>
                </w:rPr>
                <w:t xml:space="preserve"> </w:t>
              </w:r>
              <w:smartTag w:uri="urn:schemas-microsoft-com:office:smarttags" w:element="PlaceType">
                <w:r>
                  <w:rPr>
                    <w:color w:val="000000"/>
                    <w:sz w:val="16"/>
                    <w:szCs w:val="16"/>
                  </w:rPr>
                  <w:t>Harbour</w:t>
                </w:r>
              </w:smartTag>
            </w:smartTag>
          </w:p>
        </w:tc>
        <w:tc>
          <w:tcPr>
            <w:tcW w:w="59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GH1</w:t>
            </w:r>
          </w:p>
        </w:tc>
        <w:tc>
          <w:tcPr>
            <w:tcW w:w="90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4.8</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862"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464"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567"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9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GH2</w:t>
            </w:r>
          </w:p>
        </w:tc>
        <w:tc>
          <w:tcPr>
            <w:tcW w:w="90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28.3</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28</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862"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464"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coastal intertidal</w:t>
            </w:r>
          </w:p>
        </w:tc>
        <w:tc>
          <w:tcPr>
            <w:tcW w:w="156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Shoalwater</w:t>
                </w:r>
              </w:smartTag>
              <w:r>
                <w:rPr>
                  <w:color w:val="000000"/>
                  <w:sz w:val="16"/>
                  <w:szCs w:val="16"/>
                </w:rPr>
                <w:t xml:space="preserve"> </w:t>
              </w:r>
              <w:smartTag w:uri="urn:schemas-microsoft-com:office:smarttags" w:element="PlaceType">
                <w:r>
                  <w:rPr>
                    <w:color w:val="000000"/>
                    <w:sz w:val="16"/>
                    <w:szCs w:val="16"/>
                  </w:rPr>
                  <w:t>Bay</w:t>
                </w:r>
              </w:smartTag>
            </w:smartTag>
          </w:p>
        </w:tc>
        <w:tc>
          <w:tcPr>
            <w:tcW w:w="59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RC1</w:t>
            </w:r>
          </w:p>
        </w:tc>
        <w:tc>
          <w:tcPr>
            <w:tcW w:w="907"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10.7</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17.3</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21.8</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34.5</w:t>
            </w:r>
          </w:p>
        </w:tc>
        <w:tc>
          <w:tcPr>
            <w:tcW w:w="862"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464"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567" w:type="dxa"/>
            <w:tcBorders>
              <w:top w:val="nil"/>
              <w:left w:val="nil"/>
              <w:bottom w:val="single" w:sz="4" w:space="0" w:color="auto"/>
              <w:right w:val="nil"/>
            </w:tcBorders>
            <w:shd w:val="clear" w:color="auto" w:fill="F3F9FA"/>
            <w:noWrap/>
            <w:vAlign w:val="bottom"/>
          </w:tcPr>
          <w:p w:rsidR="00842050" w:rsidRDefault="00842050" w:rsidP="00805748">
            <w:pPr>
              <w:spacing w:before="0" w:after="0"/>
              <w:jc w:val="center"/>
              <w:rPr>
                <w:color w:val="000000"/>
                <w:sz w:val="16"/>
                <w:szCs w:val="16"/>
              </w:rPr>
            </w:pPr>
          </w:p>
        </w:tc>
        <w:tc>
          <w:tcPr>
            <w:tcW w:w="59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WH1</w:t>
            </w:r>
          </w:p>
        </w:tc>
        <w:tc>
          <w:tcPr>
            <w:tcW w:w="907"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7.2</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14.4</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18.8</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22.3</w:t>
            </w:r>
          </w:p>
        </w:tc>
        <w:tc>
          <w:tcPr>
            <w:tcW w:w="862"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464"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reef intertidal</w:t>
            </w:r>
          </w:p>
        </w:tc>
        <w:tc>
          <w:tcPr>
            <w:tcW w:w="156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smartTag w:uri="urn:schemas-microsoft-com:office:smarttags" w:element="place">
              <w:smartTag w:uri="urn:schemas-microsoft-com:office:smarttags" w:element="PlaceName">
                <w:r>
                  <w:rPr>
                    <w:color w:val="000000"/>
                    <w:sz w:val="16"/>
                    <w:szCs w:val="16"/>
                  </w:rPr>
                  <w:t>Great</w:t>
                </w:r>
              </w:smartTag>
              <w:r>
                <w:rPr>
                  <w:color w:val="000000"/>
                  <w:sz w:val="16"/>
                  <w:szCs w:val="16"/>
                </w:rPr>
                <w:t xml:space="preserve"> </w:t>
              </w:r>
              <w:smartTag w:uri="urn:schemas-microsoft-com:office:smarttags" w:element="PlaceName">
                <w:r>
                  <w:rPr>
                    <w:color w:val="000000"/>
                    <w:sz w:val="16"/>
                    <w:szCs w:val="16"/>
                  </w:rPr>
                  <w:t>Keppel</w:t>
                </w:r>
              </w:smartTag>
              <w:r>
                <w:rPr>
                  <w:color w:val="000000"/>
                  <w:sz w:val="16"/>
                  <w:szCs w:val="16"/>
                </w:rPr>
                <w:t xml:space="preserve"> </w:t>
              </w:r>
              <w:smartTag w:uri="urn:schemas-microsoft-com:office:smarttags" w:element="PlaceType">
                <w:r>
                  <w:rPr>
                    <w:color w:val="000000"/>
                    <w:sz w:val="16"/>
                    <w:szCs w:val="16"/>
                  </w:rPr>
                  <w:t>Island</w:t>
                </w:r>
              </w:smartTag>
            </w:smartTag>
          </w:p>
        </w:tc>
        <w:tc>
          <w:tcPr>
            <w:tcW w:w="59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GK1</w:t>
            </w:r>
          </w:p>
        </w:tc>
        <w:tc>
          <w:tcPr>
            <w:tcW w:w="907"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3.9</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22.15</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34.5</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39</w:t>
            </w:r>
          </w:p>
        </w:tc>
        <w:tc>
          <w:tcPr>
            <w:tcW w:w="862"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464"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1567" w:type="dxa"/>
            <w:tcBorders>
              <w:top w:val="nil"/>
              <w:left w:val="nil"/>
              <w:bottom w:val="single" w:sz="4" w:space="0" w:color="auto"/>
              <w:right w:val="nil"/>
            </w:tcBorders>
            <w:shd w:val="clear" w:color="auto" w:fill="E7F3F4"/>
            <w:noWrap/>
            <w:vAlign w:val="bottom"/>
          </w:tcPr>
          <w:p w:rsidR="00842050" w:rsidRDefault="00842050" w:rsidP="00805748">
            <w:pPr>
              <w:spacing w:before="0" w:after="0"/>
              <w:jc w:val="center"/>
              <w:rPr>
                <w:color w:val="000000"/>
                <w:sz w:val="16"/>
                <w:szCs w:val="16"/>
              </w:rPr>
            </w:pPr>
          </w:p>
        </w:tc>
        <w:tc>
          <w:tcPr>
            <w:tcW w:w="59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GK2</w:t>
            </w:r>
          </w:p>
        </w:tc>
        <w:tc>
          <w:tcPr>
            <w:tcW w:w="907"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2.4</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0.2</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22.15</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34.5</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39</w:t>
            </w:r>
          </w:p>
        </w:tc>
        <w:tc>
          <w:tcPr>
            <w:tcW w:w="862"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464" w:type="dxa"/>
            <w:tcBorders>
              <w:top w:val="single" w:sz="4" w:space="0" w:color="auto"/>
              <w:left w:val="nil"/>
              <w:bottom w:val="single" w:sz="4" w:space="0" w:color="auto"/>
              <w:right w:val="nil"/>
            </w:tcBorders>
            <w:noWrap/>
            <w:vAlign w:val="bottom"/>
            <w:hideMark/>
          </w:tcPr>
          <w:p w:rsidR="00842050" w:rsidRDefault="00842050" w:rsidP="00805748">
            <w:pPr>
              <w:spacing w:before="0" w:after="0"/>
              <w:rPr>
                <w:color w:val="000000"/>
                <w:sz w:val="16"/>
                <w:szCs w:val="16"/>
              </w:rPr>
            </w:pPr>
            <w:r>
              <w:rPr>
                <w:color w:val="000000"/>
                <w:sz w:val="16"/>
                <w:szCs w:val="16"/>
              </w:rPr>
              <w:t>NRM region</w:t>
            </w:r>
          </w:p>
        </w:tc>
        <w:tc>
          <w:tcPr>
            <w:tcW w:w="1567"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595"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907"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15"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23"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62"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sz w:val="16"/>
                <w:szCs w:val="16"/>
              </w:rPr>
            </w:pPr>
            <w:r>
              <w:rPr>
                <w:b/>
                <w:color w:val="000000"/>
                <w:sz w:val="16"/>
                <w:szCs w:val="16"/>
              </w:rPr>
              <w:t>25</w:t>
            </w:r>
          </w:p>
        </w:tc>
      </w:tr>
    </w:tbl>
    <w:p w:rsidR="00842050" w:rsidRDefault="00842050" w:rsidP="00842050">
      <w:pPr>
        <w:ind w:left="540" w:hanging="540"/>
        <w:rPr>
          <w:color w:val="000000"/>
        </w:rPr>
      </w:pPr>
    </w:p>
    <w:p w:rsidR="007B1E97" w:rsidRPr="00517276" w:rsidRDefault="00842050" w:rsidP="007B1E97">
      <w:pPr>
        <w:jc w:val="center"/>
        <w:rPr>
          <w:i/>
          <w:vanish/>
          <w:color w:val="000000"/>
          <w:szCs w:val="22"/>
          <w:specVanish/>
        </w:rPr>
      </w:pPr>
      <w:bookmarkStart w:id="971" w:name="_Toc462685109"/>
      <w:r>
        <w:t xml:space="preserve">Table </w:t>
      </w:r>
      <w:fldSimple w:instr=" SEQ Table \* ARABIC ">
        <w:r w:rsidR="009C068F">
          <w:rPr>
            <w:noProof/>
          </w:rPr>
          <w:t>40</w:t>
        </w:r>
      </w:fldSimple>
      <w:r>
        <w:t xml:space="preserve">. </w:t>
      </w:r>
      <w:r>
        <w:rPr>
          <w:i/>
        </w:rPr>
        <w:t>Mean and median seagrass % cover and report score for each long-term monitoring site within each Burnett Mary NRM region habitat over the 2014-15 period.</w:t>
      </w:r>
      <w:bookmarkEnd w:id="971"/>
      <w:r w:rsidR="007B1E97" w:rsidRPr="007B1E97">
        <w:rPr>
          <w:i/>
          <w:vanish/>
          <w:color w:val="000000"/>
          <w:szCs w:val="22"/>
          <w:specVanish/>
        </w:rPr>
        <w:t xml:space="preserve"> </w:t>
      </w:r>
    </w:p>
    <w:p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9C068F" w:rsidRPr="009C068F">
        <w:rPr>
          <w:i/>
          <w:color w:val="000000"/>
        </w:rPr>
        <w:t xml:space="preserve">Table </w:t>
      </w:r>
      <w:r w:rsidR="009C068F" w:rsidRPr="009C068F">
        <w:rPr>
          <w:i/>
          <w:noProof/>
          <w:color w:val="000000"/>
        </w:rPr>
        <w:t>33</w:t>
      </w:r>
      <w:r w:rsidR="00FB280D" w:rsidRPr="00FB280D">
        <w:rPr>
          <w:i/>
        </w:rPr>
        <w:fldChar w:fldCharType="end"/>
      </w:r>
      <w:r>
        <w:rPr>
          <w:i/>
        </w:rPr>
        <w:t xml:space="preserve">. </w:t>
      </w:r>
      <w:r w:rsidR="00364140" w:rsidRPr="00BA2BCE">
        <w:rPr>
          <w:i/>
          <w:color w:val="000000"/>
        </w:rPr>
        <w:t>^</w:t>
      </w:r>
      <w:r w:rsidR="00364140">
        <w:rPr>
          <w:i/>
          <w:color w:val="000000"/>
        </w:rPr>
        <w:t>denotes Seagrass-Watch site.</w:t>
      </w:r>
      <w:r w:rsidR="00364140">
        <w:rPr>
          <w:i/>
        </w:rPr>
        <w:t xml:space="preserve"> </w:t>
      </w:r>
      <w:r>
        <w:rPr>
          <w:i/>
        </w:rPr>
        <w:t>NB: scores do not have units.</w:t>
      </w:r>
    </w:p>
    <w:tbl>
      <w:tblPr>
        <w:tblW w:w="9156" w:type="dxa"/>
        <w:jc w:val="center"/>
        <w:tblLook w:val="04A0" w:firstRow="1" w:lastRow="0" w:firstColumn="1" w:lastColumn="0" w:noHBand="0" w:noVBand="1"/>
      </w:tblPr>
      <w:tblGrid>
        <w:gridCol w:w="1543"/>
        <w:gridCol w:w="1229"/>
        <w:gridCol w:w="560"/>
        <w:gridCol w:w="951"/>
        <w:gridCol w:w="815"/>
        <w:gridCol w:w="823"/>
        <w:gridCol w:w="888"/>
        <w:gridCol w:w="888"/>
        <w:gridCol w:w="888"/>
        <w:gridCol w:w="571"/>
      </w:tblGrid>
      <w:tr w:rsidR="00842050" w:rsidTr="00805748">
        <w:trPr>
          <w:jc w:val="center"/>
        </w:trPr>
        <w:tc>
          <w:tcPr>
            <w:tcW w:w="1543" w:type="dxa"/>
            <w:tcBorders>
              <w:top w:val="single" w:sz="4" w:space="0" w:color="auto"/>
              <w:left w:val="nil"/>
              <w:bottom w:val="single" w:sz="4" w:space="0" w:color="auto"/>
              <w:right w:val="nil"/>
            </w:tcBorders>
            <w:shd w:val="clear" w:color="auto" w:fill="BBE0E3"/>
            <w:hideMark/>
          </w:tcPr>
          <w:p w:rsidR="00842050" w:rsidRDefault="00842050" w:rsidP="00805748">
            <w:pPr>
              <w:spacing w:before="0" w:after="0"/>
              <w:jc w:val="center"/>
              <w:rPr>
                <w:b/>
                <w:color w:val="000000"/>
                <w:sz w:val="16"/>
                <w:szCs w:val="16"/>
              </w:rPr>
            </w:pPr>
            <w:r>
              <w:rPr>
                <w:b/>
                <w:color w:val="000000"/>
                <w:sz w:val="16"/>
                <w:szCs w:val="16"/>
              </w:rPr>
              <w:t>Habitat</w:t>
            </w:r>
          </w:p>
        </w:tc>
        <w:tc>
          <w:tcPr>
            <w:tcW w:w="1229"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Location</w:t>
            </w:r>
          </w:p>
        </w:tc>
        <w:tc>
          <w:tcPr>
            <w:tcW w:w="560"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Seasonal</w:t>
            </w:r>
          </w:p>
          <w:p w:rsidR="00842050" w:rsidRDefault="00842050" w:rsidP="00805748">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Mean</w:t>
            </w:r>
          </w:p>
          <w:p w:rsidR="00842050" w:rsidRDefault="00842050" w:rsidP="00805748">
            <w:pPr>
              <w:spacing w:before="0" w:after="0"/>
              <w:jc w:val="center"/>
              <w:rPr>
                <w:b/>
                <w:color w:val="000000"/>
                <w:sz w:val="16"/>
                <w:szCs w:val="16"/>
              </w:rPr>
            </w:pPr>
            <w:r>
              <w:rPr>
                <w:b/>
                <w:color w:val="000000"/>
                <w:sz w:val="16"/>
                <w:szCs w:val="16"/>
              </w:rPr>
              <w:t>% cover</w:t>
            </w:r>
          </w:p>
        </w:tc>
        <w:tc>
          <w:tcPr>
            <w:tcW w:w="823"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Median</w:t>
            </w:r>
          </w:p>
          <w:p w:rsidR="00842050" w:rsidRDefault="00842050" w:rsidP="00805748">
            <w:pPr>
              <w:spacing w:before="0" w:after="0"/>
              <w:jc w:val="center"/>
              <w:rPr>
                <w:b/>
                <w:color w:val="000000"/>
                <w:sz w:val="16"/>
                <w:szCs w:val="16"/>
              </w:rPr>
            </w:pPr>
            <w:r>
              <w:rPr>
                <w:b/>
                <w:color w:val="000000"/>
                <w:sz w:val="16"/>
                <w:szCs w:val="16"/>
              </w:rPr>
              <w:t>% cover</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Low</w:t>
            </w:r>
          </w:p>
          <w:p w:rsidR="00842050" w:rsidRDefault="00842050" w:rsidP="00805748">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50th</w:t>
            </w:r>
          </w:p>
          <w:p w:rsidR="00842050" w:rsidRDefault="00842050" w:rsidP="00805748">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75th</w:t>
            </w:r>
          </w:p>
          <w:p w:rsidR="00842050" w:rsidRDefault="00842050" w:rsidP="00805748">
            <w:pPr>
              <w:spacing w:before="0" w:after="0"/>
              <w:jc w:val="center"/>
              <w:rPr>
                <w:b/>
                <w:color w:val="000000"/>
                <w:sz w:val="16"/>
                <w:szCs w:val="16"/>
              </w:rPr>
            </w:pPr>
            <w:r>
              <w:rPr>
                <w:b/>
                <w:color w:val="000000"/>
                <w:sz w:val="16"/>
                <w:szCs w:val="16"/>
              </w:rPr>
              <w:t>percentile</w:t>
            </w:r>
          </w:p>
        </w:tc>
        <w:tc>
          <w:tcPr>
            <w:tcW w:w="571"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jc w:val="center"/>
              <w:rPr>
                <w:b/>
                <w:color w:val="000000"/>
                <w:sz w:val="16"/>
                <w:szCs w:val="16"/>
              </w:rPr>
            </w:pPr>
            <w:r>
              <w:rPr>
                <w:b/>
                <w:color w:val="000000"/>
                <w:sz w:val="16"/>
                <w:szCs w:val="16"/>
              </w:rPr>
              <w:t>score</w:t>
            </w:r>
          </w:p>
        </w:tc>
      </w:tr>
      <w:tr w:rsidR="00842050" w:rsidTr="00805748">
        <w:trPr>
          <w:jc w:val="center"/>
        </w:trPr>
        <w:tc>
          <w:tcPr>
            <w:tcW w:w="1543" w:type="dxa"/>
            <w:tcBorders>
              <w:top w:val="single" w:sz="4" w:space="0" w:color="auto"/>
              <w:left w:val="nil"/>
              <w:bottom w:val="nil"/>
              <w:right w:val="nil"/>
            </w:tcBorders>
            <w:hideMark/>
          </w:tcPr>
          <w:p w:rsidR="00842050" w:rsidRDefault="00842050" w:rsidP="00805748">
            <w:pPr>
              <w:spacing w:before="0" w:after="0"/>
              <w:rPr>
                <w:color w:val="000000"/>
                <w:sz w:val="16"/>
                <w:szCs w:val="16"/>
              </w:rPr>
            </w:pPr>
            <w:r>
              <w:rPr>
                <w:color w:val="000000"/>
                <w:sz w:val="16"/>
                <w:szCs w:val="16"/>
              </w:rPr>
              <w:t>estuarine intertidal</w:t>
            </w:r>
          </w:p>
        </w:tc>
        <w:tc>
          <w:tcPr>
            <w:tcW w:w="1229"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proofErr w:type="spellStart"/>
            <w:r>
              <w:rPr>
                <w:color w:val="000000"/>
                <w:sz w:val="16"/>
                <w:szCs w:val="16"/>
              </w:rPr>
              <w:t>Rodds</w:t>
            </w:r>
            <w:proofErr w:type="spellEnd"/>
            <w:r>
              <w:rPr>
                <w:color w:val="000000"/>
                <w:sz w:val="16"/>
                <w:szCs w:val="16"/>
              </w:rPr>
              <w:t xml:space="preserve"> </w:t>
            </w:r>
            <w:smartTag w:uri="urn:schemas-microsoft-com:office:smarttags" w:element="PlaceType">
              <w:r>
                <w:rPr>
                  <w:color w:val="000000"/>
                  <w:sz w:val="16"/>
                  <w:szCs w:val="16"/>
                </w:rPr>
                <w:t>Bay</w:t>
              </w:r>
            </w:smartTag>
          </w:p>
        </w:tc>
        <w:tc>
          <w:tcPr>
            <w:tcW w:w="5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RD1</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13.0</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12.5</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543" w:type="dxa"/>
          </w:tcPr>
          <w:p w:rsidR="00842050" w:rsidRDefault="00842050" w:rsidP="00805748">
            <w:pPr>
              <w:spacing w:before="0" w:after="0"/>
              <w:rPr>
                <w:color w:val="000000"/>
                <w:sz w:val="16"/>
                <w:szCs w:val="16"/>
              </w:rPr>
            </w:pPr>
          </w:p>
        </w:tc>
        <w:tc>
          <w:tcPr>
            <w:tcW w:w="1229" w:type="dxa"/>
            <w:noWrap/>
            <w:vAlign w:val="bottom"/>
          </w:tcPr>
          <w:p w:rsidR="00842050" w:rsidRDefault="00842050" w:rsidP="00805748">
            <w:pPr>
              <w:spacing w:before="0" w:after="0"/>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RD1</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0.0</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43" w:type="dxa"/>
          </w:tcPr>
          <w:p w:rsidR="00842050" w:rsidRDefault="00842050" w:rsidP="00805748">
            <w:pPr>
              <w:spacing w:before="0" w:after="0"/>
              <w:rPr>
                <w:color w:val="000000"/>
                <w:sz w:val="16"/>
                <w:szCs w:val="16"/>
              </w:rPr>
            </w:pPr>
          </w:p>
        </w:tc>
        <w:tc>
          <w:tcPr>
            <w:tcW w:w="1229" w:type="dxa"/>
            <w:noWrap/>
            <w:vAlign w:val="bottom"/>
          </w:tcPr>
          <w:p w:rsidR="00842050" w:rsidRDefault="00842050" w:rsidP="00805748">
            <w:pPr>
              <w:spacing w:before="0" w:after="0"/>
              <w:rPr>
                <w:color w:val="000000"/>
                <w:sz w:val="16"/>
                <w:szCs w:val="16"/>
              </w:rPr>
            </w:pPr>
          </w:p>
        </w:tc>
        <w:tc>
          <w:tcPr>
            <w:tcW w:w="560"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RD2</w:t>
            </w:r>
          </w:p>
        </w:tc>
        <w:tc>
          <w:tcPr>
            <w:tcW w:w="95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4.5</w:t>
            </w:r>
          </w:p>
        </w:tc>
        <w:tc>
          <w:tcPr>
            <w:tcW w:w="823"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543" w:type="dxa"/>
          </w:tcPr>
          <w:p w:rsidR="00842050" w:rsidRDefault="00842050" w:rsidP="00805748">
            <w:pPr>
              <w:spacing w:before="0" w:after="0"/>
              <w:rPr>
                <w:color w:val="000000"/>
                <w:sz w:val="16"/>
                <w:szCs w:val="16"/>
              </w:rPr>
            </w:pPr>
          </w:p>
        </w:tc>
        <w:tc>
          <w:tcPr>
            <w:tcW w:w="1229"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5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RD2</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0.0</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25</w:t>
            </w:r>
          </w:p>
        </w:tc>
      </w:tr>
      <w:tr w:rsidR="00842050" w:rsidTr="00805748">
        <w:trPr>
          <w:jc w:val="center"/>
        </w:trPr>
        <w:tc>
          <w:tcPr>
            <w:tcW w:w="1543" w:type="dxa"/>
          </w:tcPr>
          <w:p w:rsidR="00842050" w:rsidRDefault="00842050" w:rsidP="00805748">
            <w:pPr>
              <w:spacing w:before="0" w:after="0"/>
              <w:rPr>
                <w:color w:val="000000"/>
                <w:sz w:val="16"/>
                <w:szCs w:val="16"/>
              </w:rPr>
            </w:pPr>
          </w:p>
        </w:tc>
        <w:tc>
          <w:tcPr>
            <w:tcW w:w="1229"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r>
              <w:rPr>
                <w:color w:val="000000"/>
                <w:sz w:val="16"/>
                <w:szCs w:val="16"/>
              </w:rPr>
              <w:t>Urangan</w:t>
            </w:r>
          </w:p>
        </w:tc>
        <w:tc>
          <w:tcPr>
            <w:tcW w:w="5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UG1</w:t>
            </w:r>
          </w:p>
        </w:tc>
        <w:tc>
          <w:tcPr>
            <w:tcW w:w="95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7.0</w:t>
            </w:r>
          </w:p>
        </w:tc>
        <w:tc>
          <w:tcPr>
            <w:tcW w:w="82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43" w:type="dxa"/>
          </w:tcPr>
          <w:p w:rsidR="00842050" w:rsidRDefault="00842050" w:rsidP="00805748">
            <w:pPr>
              <w:spacing w:before="0" w:after="0"/>
              <w:rPr>
                <w:color w:val="000000"/>
                <w:sz w:val="16"/>
                <w:szCs w:val="16"/>
              </w:rPr>
            </w:pPr>
          </w:p>
        </w:tc>
        <w:tc>
          <w:tcPr>
            <w:tcW w:w="1229" w:type="dxa"/>
            <w:noWrap/>
            <w:vAlign w:val="bottom"/>
          </w:tcPr>
          <w:p w:rsidR="00842050" w:rsidRDefault="00842050" w:rsidP="00805748">
            <w:pPr>
              <w:spacing w:before="0" w:after="0"/>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UG1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37.0</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543" w:type="dxa"/>
          </w:tcPr>
          <w:p w:rsidR="00842050" w:rsidRDefault="00842050" w:rsidP="00805748">
            <w:pPr>
              <w:spacing w:before="0" w:after="0"/>
              <w:rPr>
                <w:color w:val="000000"/>
                <w:sz w:val="16"/>
                <w:szCs w:val="16"/>
              </w:rPr>
            </w:pPr>
          </w:p>
        </w:tc>
        <w:tc>
          <w:tcPr>
            <w:tcW w:w="1229" w:type="dxa"/>
            <w:noWrap/>
            <w:vAlign w:val="bottom"/>
          </w:tcPr>
          <w:p w:rsidR="00842050" w:rsidRDefault="00842050" w:rsidP="00805748">
            <w:pPr>
              <w:spacing w:before="0" w:after="0"/>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UG1</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10.1</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12</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w:t>
            </w:r>
          </w:p>
        </w:tc>
      </w:tr>
      <w:tr w:rsidR="00842050" w:rsidTr="00805748">
        <w:trPr>
          <w:jc w:val="center"/>
        </w:trPr>
        <w:tc>
          <w:tcPr>
            <w:tcW w:w="1543" w:type="dxa"/>
          </w:tcPr>
          <w:p w:rsidR="00842050" w:rsidRDefault="00842050" w:rsidP="00805748">
            <w:pPr>
              <w:spacing w:before="0" w:after="0"/>
              <w:rPr>
                <w:color w:val="000000"/>
                <w:sz w:val="16"/>
                <w:szCs w:val="16"/>
              </w:rPr>
            </w:pPr>
          </w:p>
        </w:tc>
        <w:tc>
          <w:tcPr>
            <w:tcW w:w="1229" w:type="dxa"/>
            <w:noWrap/>
            <w:vAlign w:val="bottom"/>
          </w:tcPr>
          <w:p w:rsidR="00842050" w:rsidRDefault="00842050" w:rsidP="00805748">
            <w:pPr>
              <w:spacing w:before="0" w:after="0"/>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UG2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01-Jul-14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24.1</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23</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543" w:type="dxa"/>
          </w:tcPr>
          <w:p w:rsidR="00842050" w:rsidRDefault="00842050" w:rsidP="00805748">
            <w:pPr>
              <w:spacing w:before="0" w:after="0"/>
              <w:rPr>
                <w:color w:val="000000"/>
                <w:sz w:val="16"/>
                <w:szCs w:val="16"/>
              </w:rPr>
            </w:pPr>
          </w:p>
        </w:tc>
        <w:tc>
          <w:tcPr>
            <w:tcW w:w="1229" w:type="dxa"/>
            <w:noWrap/>
            <w:vAlign w:val="bottom"/>
          </w:tcPr>
          <w:p w:rsidR="00842050" w:rsidRDefault="00842050" w:rsidP="00805748">
            <w:pPr>
              <w:spacing w:before="0" w:after="0"/>
              <w:rPr>
                <w:color w:val="000000"/>
                <w:sz w:val="16"/>
                <w:szCs w:val="16"/>
              </w:rPr>
            </w:pPr>
          </w:p>
        </w:tc>
        <w:tc>
          <w:tcPr>
            <w:tcW w:w="560"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UG2</w:t>
            </w:r>
          </w:p>
        </w:tc>
        <w:tc>
          <w:tcPr>
            <w:tcW w:w="95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01-Oct-14</w:t>
            </w:r>
          </w:p>
        </w:tc>
        <w:tc>
          <w:tcPr>
            <w:tcW w:w="815"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33.0</w:t>
            </w:r>
          </w:p>
        </w:tc>
        <w:tc>
          <w:tcPr>
            <w:tcW w:w="823"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33</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543" w:type="dxa"/>
            <w:tcBorders>
              <w:top w:val="nil"/>
              <w:left w:val="nil"/>
              <w:bottom w:val="single" w:sz="4" w:space="0" w:color="auto"/>
              <w:right w:val="nil"/>
            </w:tcBorders>
          </w:tcPr>
          <w:p w:rsidR="00842050" w:rsidRDefault="00842050" w:rsidP="00805748">
            <w:pPr>
              <w:spacing w:before="0" w:after="0"/>
              <w:rPr>
                <w:color w:val="000000"/>
                <w:sz w:val="16"/>
                <w:szCs w:val="16"/>
              </w:rPr>
            </w:pPr>
          </w:p>
        </w:tc>
        <w:tc>
          <w:tcPr>
            <w:tcW w:w="1229"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5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UG2</w:t>
            </w:r>
          </w:p>
        </w:tc>
        <w:tc>
          <w:tcPr>
            <w:tcW w:w="95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01-Apr-15</w:t>
            </w:r>
          </w:p>
        </w:tc>
        <w:tc>
          <w:tcPr>
            <w:tcW w:w="815"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17.5</w:t>
            </w:r>
          </w:p>
        </w:tc>
        <w:tc>
          <w:tcPr>
            <w:tcW w:w="823"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18</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34.1</w:t>
            </w:r>
          </w:p>
        </w:tc>
        <w:tc>
          <w:tcPr>
            <w:tcW w:w="888"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54</w:t>
            </w:r>
          </w:p>
        </w:tc>
        <w:tc>
          <w:tcPr>
            <w:tcW w:w="571"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sz w:val="16"/>
                <w:szCs w:val="16"/>
              </w:rPr>
            </w:pPr>
            <w:r>
              <w:rPr>
                <w:color w:val="000000"/>
                <w:sz w:val="16"/>
                <w:szCs w:val="16"/>
              </w:rPr>
              <w:t>50</w:t>
            </w:r>
          </w:p>
        </w:tc>
      </w:tr>
      <w:tr w:rsidR="00842050" w:rsidTr="00805748">
        <w:trPr>
          <w:jc w:val="center"/>
        </w:trPr>
        <w:tc>
          <w:tcPr>
            <w:tcW w:w="1543" w:type="dxa"/>
            <w:tcBorders>
              <w:top w:val="single" w:sz="4" w:space="0" w:color="auto"/>
              <w:left w:val="nil"/>
              <w:bottom w:val="nil"/>
              <w:right w:val="nil"/>
            </w:tcBorders>
            <w:hideMark/>
          </w:tcPr>
          <w:p w:rsidR="00842050" w:rsidRDefault="00842050" w:rsidP="00805748">
            <w:pPr>
              <w:spacing w:before="0" w:after="0"/>
              <w:rPr>
                <w:color w:val="000000"/>
                <w:sz w:val="16"/>
                <w:szCs w:val="16"/>
              </w:rPr>
            </w:pPr>
            <w:r>
              <w:rPr>
                <w:color w:val="000000"/>
                <w:sz w:val="16"/>
                <w:szCs w:val="16"/>
              </w:rPr>
              <w:t>coastal intertidal</w:t>
            </w:r>
          </w:p>
        </w:tc>
        <w:tc>
          <w:tcPr>
            <w:tcW w:w="1229" w:type="dxa"/>
            <w:tcBorders>
              <w:top w:val="single" w:sz="4" w:space="0" w:color="auto"/>
              <w:left w:val="nil"/>
              <w:bottom w:val="nil"/>
              <w:right w:val="nil"/>
            </w:tcBorders>
            <w:noWrap/>
            <w:vAlign w:val="bottom"/>
            <w:hideMark/>
          </w:tcPr>
          <w:p w:rsidR="00842050" w:rsidRDefault="00842050" w:rsidP="00805748">
            <w:pPr>
              <w:spacing w:before="0" w:after="0"/>
              <w:rPr>
                <w:color w:val="000000"/>
                <w:sz w:val="16"/>
                <w:szCs w:val="16"/>
              </w:rPr>
            </w:pPr>
            <w:proofErr w:type="spellStart"/>
            <w:r>
              <w:rPr>
                <w:color w:val="000000"/>
                <w:sz w:val="16"/>
                <w:szCs w:val="16"/>
              </w:rPr>
              <w:t>Burrum</w:t>
            </w:r>
            <w:proofErr w:type="spellEnd"/>
            <w:r>
              <w:rPr>
                <w:color w:val="000000"/>
                <w:sz w:val="16"/>
                <w:szCs w:val="16"/>
              </w:rPr>
              <w:t xml:space="preserve"> Heads</w:t>
            </w:r>
          </w:p>
        </w:tc>
        <w:tc>
          <w:tcPr>
            <w:tcW w:w="5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BH1</w:t>
            </w:r>
          </w:p>
        </w:tc>
        <w:tc>
          <w:tcPr>
            <w:tcW w:w="95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sz w:val="16"/>
                <w:szCs w:val="16"/>
              </w:rPr>
              <w:t>01-Apr-15</w:t>
            </w:r>
          </w:p>
        </w:tc>
        <w:tc>
          <w:tcPr>
            <w:tcW w:w="815"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sz w:val="16"/>
                <w:szCs w:val="16"/>
              </w:rPr>
              <w:t>11.5</w:t>
            </w:r>
          </w:p>
        </w:tc>
        <w:tc>
          <w:tcPr>
            <w:tcW w:w="82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sz w:val="16"/>
                <w:szCs w:val="16"/>
              </w:rPr>
              <w:t>12</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iCs/>
                <w:sz w:val="16"/>
                <w:szCs w:val="16"/>
              </w:rPr>
              <w:t>7.8</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iCs/>
                <w:sz w:val="16"/>
                <w:szCs w:val="16"/>
              </w:rPr>
              <w:t>11.9</w:t>
            </w:r>
          </w:p>
        </w:tc>
        <w:tc>
          <w:tcPr>
            <w:tcW w:w="888"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iCs/>
                <w:sz w:val="16"/>
                <w:szCs w:val="16"/>
              </w:rPr>
              <w:t>21.6</w:t>
            </w:r>
          </w:p>
        </w:tc>
        <w:tc>
          <w:tcPr>
            <w:tcW w:w="571"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jc w:val="center"/>
              <w:rPr>
                <w:color w:val="000000"/>
                <w:sz w:val="16"/>
                <w:szCs w:val="16"/>
              </w:rPr>
            </w:pPr>
            <w:r>
              <w:rPr>
                <w:sz w:val="16"/>
                <w:szCs w:val="16"/>
              </w:rPr>
              <w:t>75</w:t>
            </w:r>
          </w:p>
        </w:tc>
      </w:tr>
      <w:tr w:rsidR="00842050" w:rsidTr="00805748">
        <w:trPr>
          <w:jc w:val="center"/>
        </w:trPr>
        <w:tc>
          <w:tcPr>
            <w:tcW w:w="1543" w:type="dxa"/>
            <w:tcBorders>
              <w:top w:val="nil"/>
              <w:left w:val="nil"/>
              <w:bottom w:val="single" w:sz="4" w:space="0" w:color="auto"/>
              <w:right w:val="nil"/>
            </w:tcBorders>
          </w:tcPr>
          <w:p w:rsidR="00842050" w:rsidRDefault="00842050" w:rsidP="00805748">
            <w:pPr>
              <w:spacing w:before="0" w:after="0"/>
              <w:rPr>
                <w:color w:val="000000"/>
                <w:sz w:val="16"/>
                <w:szCs w:val="16"/>
              </w:rPr>
            </w:pPr>
          </w:p>
        </w:tc>
        <w:tc>
          <w:tcPr>
            <w:tcW w:w="1229" w:type="dxa"/>
            <w:tcBorders>
              <w:top w:val="nil"/>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5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color w:val="000000"/>
                <w:sz w:val="16"/>
                <w:szCs w:val="16"/>
              </w:rPr>
              <w:t>BH3</w:t>
            </w:r>
          </w:p>
        </w:tc>
        <w:tc>
          <w:tcPr>
            <w:tcW w:w="95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sz w:val="16"/>
                <w:szCs w:val="16"/>
              </w:rPr>
              <w:t>01-Apr-15</w:t>
            </w:r>
          </w:p>
        </w:tc>
        <w:tc>
          <w:tcPr>
            <w:tcW w:w="815"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sz w:val="16"/>
                <w:szCs w:val="16"/>
              </w:rPr>
              <w:t>6.8</w:t>
            </w:r>
          </w:p>
        </w:tc>
        <w:tc>
          <w:tcPr>
            <w:tcW w:w="823"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sz w:val="16"/>
                <w:szCs w:val="16"/>
              </w:rPr>
              <w:t>6</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iCs/>
                <w:sz w:val="16"/>
                <w:szCs w:val="16"/>
              </w:rPr>
              <w:t>7.8</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iCs/>
                <w:sz w:val="16"/>
                <w:szCs w:val="16"/>
              </w:rPr>
              <w:t>11.9</w:t>
            </w:r>
          </w:p>
        </w:tc>
        <w:tc>
          <w:tcPr>
            <w:tcW w:w="888"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iCs/>
                <w:sz w:val="16"/>
                <w:szCs w:val="16"/>
              </w:rPr>
              <w:t>21.6</w:t>
            </w:r>
          </w:p>
        </w:tc>
        <w:tc>
          <w:tcPr>
            <w:tcW w:w="571"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jc w:val="center"/>
              <w:rPr>
                <w:color w:val="000000"/>
                <w:sz w:val="16"/>
                <w:szCs w:val="16"/>
              </w:rPr>
            </w:pPr>
            <w:r>
              <w:rPr>
                <w:sz w:val="16"/>
                <w:szCs w:val="16"/>
              </w:rPr>
              <w:t>0</w:t>
            </w:r>
          </w:p>
        </w:tc>
      </w:tr>
      <w:tr w:rsidR="00842050" w:rsidTr="00805748">
        <w:trPr>
          <w:jc w:val="center"/>
        </w:trPr>
        <w:tc>
          <w:tcPr>
            <w:tcW w:w="1543" w:type="dxa"/>
            <w:tcBorders>
              <w:top w:val="single" w:sz="4" w:space="0" w:color="auto"/>
              <w:left w:val="nil"/>
              <w:bottom w:val="single" w:sz="4" w:space="0" w:color="auto"/>
              <w:right w:val="nil"/>
            </w:tcBorders>
            <w:hideMark/>
          </w:tcPr>
          <w:p w:rsidR="00842050" w:rsidRDefault="00842050" w:rsidP="00805748">
            <w:pPr>
              <w:spacing w:before="0" w:after="0"/>
              <w:rPr>
                <w:color w:val="000000"/>
                <w:sz w:val="16"/>
                <w:szCs w:val="16"/>
              </w:rPr>
            </w:pPr>
            <w:r>
              <w:rPr>
                <w:color w:val="000000"/>
                <w:sz w:val="16"/>
                <w:szCs w:val="16"/>
              </w:rPr>
              <w:t>NRM region</w:t>
            </w:r>
          </w:p>
        </w:tc>
        <w:tc>
          <w:tcPr>
            <w:tcW w:w="1789" w:type="dxa"/>
            <w:gridSpan w:val="2"/>
            <w:tcBorders>
              <w:top w:val="single" w:sz="4" w:space="0" w:color="auto"/>
              <w:left w:val="nil"/>
              <w:bottom w:val="single" w:sz="4" w:space="0" w:color="auto"/>
              <w:right w:val="nil"/>
            </w:tcBorders>
            <w:noWrap/>
            <w:vAlign w:val="bottom"/>
          </w:tcPr>
          <w:p w:rsidR="00842050" w:rsidRDefault="00842050" w:rsidP="00805748">
            <w:pPr>
              <w:spacing w:before="0" w:after="0"/>
              <w:rPr>
                <w:color w:val="000000"/>
                <w:sz w:val="16"/>
                <w:szCs w:val="16"/>
              </w:rPr>
            </w:pPr>
          </w:p>
        </w:tc>
        <w:tc>
          <w:tcPr>
            <w:tcW w:w="951"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15"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23"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888" w:type="dxa"/>
            <w:tcBorders>
              <w:top w:val="single" w:sz="4" w:space="0" w:color="auto"/>
              <w:left w:val="nil"/>
              <w:bottom w:val="single" w:sz="4" w:space="0" w:color="auto"/>
              <w:right w:val="nil"/>
            </w:tcBorders>
            <w:noWrap/>
            <w:vAlign w:val="bottom"/>
          </w:tcPr>
          <w:p w:rsidR="00842050" w:rsidRDefault="00842050" w:rsidP="00805748">
            <w:pPr>
              <w:spacing w:before="0" w:after="0"/>
              <w:jc w:val="center"/>
              <w:rPr>
                <w:color w:val="000000"/>
                <w:sz w:val="16"/>
                <w:szCs w:val="16"/>
              </w:rPr>
            </w:pPr>
          </w:p>
        </w:tc>
        <w:tc>
          <w:tcPr>
            <w:tcW w:w="571" w:type="dxa"/>
            <w:tcBorders>
              <w:top w:val="single" w:sz="4" w:space="0" w:color="auto"/>
              <w:left w:val="nil"/>
              <w:bottom w:val="single" w:sz="4" w:space="0" w:color="auto"/>
              <w:right w:val="nil"/>
            </w:tcBorders>
            <w:noWrap/>
            <w:vAlign w:val="bottom"/>
            <w:hideMark/>
          </w:tcPr>
          <w:p w:rsidR="00842050" w:rsidRDefault="00842050" w:rsidP="00805748">
            <w:pPr>
              <w:spacing w:before="0" w:after="0"/>
              <w:jc w:val="center"/>
              <w:rPr>
                <w:b/>
                <w:color w:val="000000"/>
                <w:sz w:val="16"/>
                <w:szCs w:val="16"/>
              </w:rPr>
            </w:pPr>
            <w:r>
              <w:rPr>
                <w:b/>
                <w:color w:val="000000"/>
                <w:sz w:val="16"/>
                <w:szCs w:val="16"/>
              </w:rPr>
              <w:t>30</w:t>
            </w:r>
          </w:p>
        </w:tc>
      </w:tr>
    </w:tbl>
    <w:p w:rsidR="00842050" w:rsidRDefault="00842050" w:rsidP="00842050">
      <w:pPr>
        <w:ind w:left="540" w:hanging="540"/>
        <w:rPr>
          <w:color w:val="000000"/>
        </w:rPr>
      </w:pPr>
    </w:p>
    <w:p w:rsidR="00842050" w:rsidRDefault="00842050" w:rsidP="00842050">
      <w:pPr>
        <w:spacing w:before="0" w:after="0"/>
        <w:rPr>
          <w:color w:val="000000"/>
          <w:szCs w:val="22"/>
        </w:rPr>
      </w:pPr>
      <w:r>
        <w:rPr>
          <w:color w:val="000000"/>
        </w:rPr>
        <w:br w:type="page"/>
      </w:r>
    </w:p>
    <w:p w:rsidR="00842050" w:rsidRPr="00F12624" w:rsidRDefault="00842050" w:rsidP="00F12624">
      <w:pPr>
        <w:pStyle w:val="Heading2"/>
      </w:pPr>
      <w:bookmarkStart w:id="972" w:name="_Toc462047396"/>
      <w:r w:rsidRPr="00F12624">
        <w:lastRenderedPageBreak/>
        <w:t>Seagrass reproductive effort</w:t>
      </w:r>
      <w:bookmarkEnd w:id="972"/>
    </w:p>
    <w:bookmarkEnd w:id="965"/>
    <w:p w:rsidR="00842050" w:rsidRDefault="00842050" w:rsidP="00842050">
      <w:pPr>
        <w:rPr>
          <w:color w:val="000000"/>
          <w:szCs w:val="22"/>
        </w:rPr>
      </w:pPr>
      <w:r>
        <w:rPr>
          <w:color w:val="000000"/>
          <w:szCs w:val="22"/>
        </w:rPr>
        <w:t xml:space="preserve">The reproductive effort of seagrasses provides an indication of the capacity of seagrasses to recover from the loss of an area of seagrass through the recruitment of new plants, i.e. the resilience of the population </w:t>
      </w:r>
      <w:r>
        <w:rPr>
          <w:noProof/>
          <w:color w:val="000000"/>
          <w:szCs w:val="22"/>
        </w:rPr>
        <w:t>(</w:t>
      </w:r>
      <w:hyperlink w:anchor="_ENREF_61" w:tooltip="Collier, 2009 #9285" w:history="1">
        <w:r w:rsidR="00E6043D">
          <w:fldChar w:fldCharType="begin"/>
        </w:r>
        <w:r w:rsidR="00E6043D">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E6043D">
          <w:fldChar w:fldCharType="separate"/>
        </w:r>
        <w:r w:rsidR="00E6043D">
          <w:rPr>
            <w:noProof/>
          </w:rPr>
          <w:t>Collier and Waycott 2009</w:t>
        </w:r>
        <w:r w:rsidR="00E6043D">
          <w:fldChar w:fldCharType="end"/>
        </w:r>
      </w:hyperlink>
      <w:r>
        <w:rPr>
          <w:noProof/>
          <w:color w:val="000000"/>
          <w:szCs w:val="22"/>
        </w:rPr>
        <w:t>)</w:t>
      </w:r>
      <w:r>
        <w:rPr>
          <w:color w:val="000000"/>
          <w:szCs w:val="22"/>
        </w:rPr>
        <w:t xml:space="preserve">. Given the high diversity of seagrass species that occur in the GBR coastal zone </w:t>
      </w:r>
      <w:r>
        <w:rPr>
          <w:noProof/>
          <w:color w:val="000000"/>
          <w:szCs w:val="22"/>
        </w:rPr>
        <w:t>(</w:t>
      </w:r>
      <w:hyperlink w:anchor="_ENREF_238" w:tooltip="Waycott, 2007 #9133" w:history="1">
        <w:r w:rsidR="00E6043D">
          <w:fldChar w:fldCharType="begin"/>
        </w:r>
        <w:r w:rsidR="00E6043D">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E6043D">
          <w:fldChar w:fldCharType="separate"/>
        </w:r>
        <w:r w:rsidR="00E6043D">
          <w:rPr>
            <w:noProof/>
          </w:rPr>
          <w:t>Waycott</w:t>
        </w:r>
        <w:r w:rsidR="00E6043D" w:rsidRPr="00644A84">
          <w:rPr>
            <w:i/>
            <w:noProof/>
          </w:rPr>
          <w:t>, et al.</w:t>
        </w:r>
        <w:r w:rsidR="00E6043D">
          <w:rPr>
            <w:noProof/>
          </w:rPr>
          <w:t xml:space="preserve"> 2007</w:t>
        </w:r>
        <w:r w:rsidR="00E6043D">
          <w:fldChar w:fldCharType="end"/>
        </w:r>
      </w:hyperlink>
      <w:r>
        <w:rPr>
          <w:noProof/>
          <w:color w:val="000000"/>
          <w:szCs w:val="22"/>
        </w:rPr>
        <w:t>)</w:t>
      </w:r>
      <w:r>
        <w:rPr>
          <w:color w:val="000000"/>
          <w:szCs w:val="22"/>
        </w:rPr>
        <w:t xml:space="preserve">, their variability in production of reproductive structures </w:t>
      </w:r>
      <w:r>
        <w:rPr>
          <w:noProof/>
          <w:color w:val="000000"/>
          <w:szCs w:val="22"/>
        </w:rPr>
        <w:t xml:space="preserve">(e.g. </w:t>
      </w:r>
      <w:hyperlink w:anchor="_ENREF_192" w:tooltip="Orth, 2006 #7350" w:history="1">
        <w:r w:rsidR="00E6043D">
          <w:fldChar w:fldCharType="begin"/>
        </w:r>
        <w:r w:rsidR="00E6043D">
          <w:instrText xml:space="preserve"> ADDIN EN.CITE &lt;EndNote&gt;&lt;Cite&gt;&lt;Author&gt;Orth&lt;/Author&gt;&lt;Year&gt;2006&lt;/Year&gt;&lt;RecNum&gt;7350&lt;/RecNum&gt;&lt;DisplayText&gt;Orth&lt;style face="italic"&gt;, et al.&lt;/style&gt; 2006&lt;/DisplayText&gt;&lt;record&gt;&lt;rec-number&gt;7350&lt;/rec-number&gt;&lt;foreign-keys&gt;&lt;key app="EN" db-id="0eve55x9y5vfd6e9dacxtew4eatve2dzds9a"&gt;7350&lt;/key&gt;&lt;/foreign-keys&gt;&lt;ref-type name="Book Section"&gt;5&lt;/ref-type&gt;&lt;contributors&gt;&lt;authors&gt;&lt;author&gt;Orth, Robert J.&lt;/author&gt;&lt;author&gt;Harwell, Matthew C.&lt;/author&gt;&lt;author&gt;Inglis, Graeme J.&lt;/author&gt;&lt;/authors&gt;&lt;secondary-authors&gt;&lt;author&gt;Larkum, Anthony W. D.&lt;/author&gt;&lt;author&gt;Orth, Robert J.&lt;/author&gt;&lt;author&gt;Duarte, Carlos M.&lt;/author&gt;&lt;/secondary-authors&gt;&lt;/contributors&gt;&lt;titles&gt;&lt;title&gt;Ecology of seagrass seeds and dispersal strategies&lt;/title&gt;&lt;secondary-title&gt;Seagrasses: biology, ecology and conservation&lt;/secondary-title&gt;&lt;/titles&gt;&lt;periodical&gt;&lt;full-title&gt;Seagrasses: Biology, Ecology and Conservation&lt;/full-title&gt;&lt;/periodical&gt;&lt;pages&gt;113-133&lt;/pages&gt;&lt;section&gt;5&lt;/section&gt;&lt;dates&gt;&lt;year&gt;2006&lt;/year&gt;&lt;/dates&gt;&lt;pub-location&gt;Dordrecht&lt;/pub-location&gt;&lt;publisher&gt;Springer&lt;/publisher&gt;&lt;isbn&gt;10 1-4020-2942-X&lt;/isbn&gt;&lt;urls&gt;&lt;/urls&gt;&lt;/record&gt;&lt;/Cite&gt;&lt;/EndNote&gt;</w:instrText>
        </w:r>
        <w:r w:rsidR="00E6043D">
          <w:fldChar w:fldCharType="separate"/>
        </w:r>
        <w:r w:rsidR="00E6043D">
          <w:rPr>
            <w:noProof/>
          </w:rPr>
          <w:t>Orth</w:t>
        </w:r>
        <w:r w:rsidR="00E6043D" w:rsidRPr="00644A84">
          <w:rPr>
            <w:i/>
            <w:noProof/>
          </w:rPr>
          <w:t>, et al.</w:t>
        </w:r>
        <w:r w:rsidR="00E6043D">
          <w:rPr>
            <w:noProof/>
          </w:rPr>
          <w:t xml:space="preserve"> 2006</w:t>
        </w:r>
        <w:r w:rsidR="00E6043D">
          <w:fldChar w:fldCharType="end"/>
        </w:r>
      </w:hyperlink>
      <w:r>
        <w:rPr>
          <w:noProof/>
          <w:color w:val="000000"/>
          <w:szCs w:val="22"/>
        </w:rPr>
        <w:t>)</w:t>
      </w:r>
      <w:r>
        <w:rPr>
          <w:color w:val="000000"/>
          <w:szCs w:val="22"/>
        </w:rPr>
        <w:t xml:space="preserve">, a metric that incorporates all available information on the production of flowers and fruits per unit area is the most useful. </w:t>
      </w:r>
    </w:p>
    <w:p w:rsidR="00842050" w:rsidRDefault="00842050" w:rsidP="00842050">
      <w:pPr>
        <w:rPr>
          <w:color w:val="000000"/>
          <w:szCs w:val="22"/>
        </w:rPr>
      </w:pPr>
      <w:r>
        <w:rPr>
          <w:color w:val="000000"/>
          <w:szCs w:val="22"/>
        </w:rPr>
        <w:t xml:space="preserve">The production of seeds also reflects a simple measure of the capacity of a seagrass meadow to recover following large scale impacts </w:t>
      </w:r>
      <w:r>
        <w:rPr>
          <w:noProof/>
          <w:color w:val="000000"/>
          <w:szCs w:val="22"/>
        </w:rPr>
        <w:t>(</w:t>
      </w:r>
      <w:hyperlink w:anchor="_ENREF_61" w:tooltip="Collier, 2009 #9285" w:history="1">
        <w:r w:rsidR="00E6043D">
          <w:fldChar w:fldCharType="begin"/>
        </w:r>
        <w:r w:rsidR="00E6043D">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E6043D">
          <w:fldChar w:fldCharType="separate"/>
        </w:r>
        <w:r w:rsidR="00E6043D">
          <w:rPr>
            <w:noProof/>
          </w:rPr>
          <w:t>Collier and Waycott 2009</w:t>
        </w:r>
        <w:r w:rsidR="00E6043D">
          <w:fldChar w:fldCharType="end"/>
        </w:r>
      </w:hyperlink>
      <w:r>
        <w:rPr>
          <w:noProof/>
          <w:color w:val="000000"/>
          <w:szCs w:val="22"/>
        </w:rPr>
        <w:t>)</w:t>
      </w:r>
      <w:r>
        <w:rPr>
          <w:color w:val="000000"/>
          <w:szCs w:val="22"/>
        </w:rPr>
        <w:t xml:space="preserve">. As it is well recognized that coastal seagrasses are prone to small scale disturbances that cause local losses </w:t>
      </w:r>
      <w:r>
        <w:rPr>
          <w:noProof/>
          <w:color w:val="000000"/>
          <w:szCs w:val="22"/>
        </w:rPr>
        <w:t>(</w:t>
      </w:r>
      <w:hyperlink w:anchor="_ENREF_61" w:tooltip="Collier, 2009 #9285" w:history="1">
        <w:r w:rsidR="00E6043D">
          <w:fldChar w:fldCharType="begin"/>
        </w:r>
        <w:r w:rsidR="00E6043D">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E6043D">
          <w:fldChar w:fldCharType="separate"/>
        </w:r>
        <w:r w:rsidR="00E6043D">
          <w:rPr>
            <w:noProof/>
          </w:rPr>
          <w:t>Collier and Waycott 2009</w:t>
        </w:r>
        <w:r w:rsidR="00E6043D">
          <w:fldChar w:fldCharType="end"/>
        </w:r>
      </w:hyperlink>
      <w:r>
        <w:rPr>
          <w:noProof/>
          <w:color w:val="000000"/>
          <w:szCs w:val="22"/>
        </w:rPr>
        <w:t>)</w:t>
      </w:r>
      <w:r>
        <w:rPr>
          <w:color w:val="000000"/>
          <w:szCs w:val="22"/>
        </w:rPr>
        <w:t xml:space="preserve"> and then recover in relatively short periods of time, the need for a local seed source is considerable. In the GBR, the production of seeds comes in numerous forms and seed banks examined at MMP sites are limited to foundational seagrass species (seeds &gt;0.5mm diameter). At this time, seed banks have not been included in the metric for reproductive effort, but methods for future incorporation are currently being explored.</w:t>
      </w:r>
    </w:p>
    <w:p w:rsidR="00842050" w:rsidRDefault="00842050" w:rsidP="00842050">
      <w:pPr>
        <w:spacing w:before="240"/>
        <w:rPr>
          <w:color w:val="000000"/>
          <w:szCs w:val="22"/>
        </w:rPr>
      </w:pPr>
      <w:r>
        <w:rPr>
          <w:color w:val="000000"/>
          <w:szCs w:val="22"/>
        </w:rPr>
        <w:t>Using the annual mean of all species pooled in the late dry and comparing with the long-term (2005-2010) average for GBR habitat (coastal intertidal = 8.22±0.71, estuarine intertidal = 5.07±0.41, reef intertidal = 1.32±0.14), the reproductive effort was scored as the number of reproductive structures per core and the overall status determined (</w:t>
      </w:r>
      <w:r>
        <w:fldChar w:fldCharType="begin"/>
      </w:r>
      <w:r>
        <w:rPr>
          <w:color w:val="000000"/>
        </w:rPr>
        <w:instrText xml:space="preserve"> REF _Ref271192830 \h  \* MERGEFORMAT </w:instrText>
      </w:r>
      <w:r>
        <w:fldChar w:fldCharType="separate"/>
      </w:r>
      <w:r w:rsidR="009C068F" w:rsidRPr="00015190">
        <w:rPr>
          <w:color w:val="000000"/>
          <w:szCs w:val="22"/>
        </w:rPr>
        <w:t xml:space="preserve">Table </w:t>
      </w:r>
      <w:r w:rsidR="009C068F">
        <w:rPr>
          <w:noProof/>
          <w:color w:val="000000"/>
          <w:szCs w:val="22"/>
        </w:rPr>
        <w:t>6</w:t>
      </w:r>
      <w:r>
        <w:fldChar w:fldCharType="end"/>
      </w:r>
      <w:r>
        <w:rPr>
          <w:color w:val="000000"/>
          <w:szCs w:val="22"/>
        </w:rPr>
        <w:t>) as the ratio of the average number observed divided by the long term average.</w:t>
      </w:r>
    </w:p>
    <w:p w:rsidR="00842050" w:rsidRDefault="00842050" w:rsidP="00842050">
      <w:pPr>
        <w:spacing w:before="240"/>
        <w:rPr>
          <w:color w:val="000000"/>
          <w:szCs w:val="22"/>
        </w:rPr>
      </w:pPr>
    </w:p>
    <w:p w:rsidR="00842050" w:rsidRDefault="00842050" w:rsidP="00842050">
      <w:pPr>
        <w:keepNext/>
        <w:jc w:val="center"/>
        <w:rPr>
          <w:color w:val="000000"/>
          <w:szCs w:val="22"/>
        </w:rPr>
      </w:pPr>
      <w:bookmarkStart w:id="973" w:name="_Toc431494022"/>
      <w:bookmarkStart w:id="974" w:name="_Toc462685110"/>
      <w:r>
        <w:rPr>
          <w:color w:val="000000"/>
          <w:szCs w:val="22"/>
        </w:rPr>
        <w:t xml:space="preserve">Table </w:t>
      </w:r>
      <w:r>
        <w:fldChar w:fldCharType="begin"/>
      </w:r>
      <w:r>
        <w:rPr>
          <w:color w:val="000000"/>
          <w:szCs w:val="22"/>
        </w:rPr>
        <w:instrText xml:space="preserve"> SEQ Table \* ARABIC </w:instrText>
      </w:r>
      <w:r>
        <w:fldChar w:fldCharType="separate"/>
      </w:r>
      <w:r w:rsidR="009C068F">
        <w:rPr>
          <w:noProof/>
          <w:color w:val="000000"/>
          <w:szCs w:val="22"/>
        </w:rPr>
        <w:t>41</w:t>
      </w:r>
      <w:r>
        <w:fldChar w:fldCharType="end"/>
      </w:r>
      <w:r>
        <w:rPr>
          <w:color w:val="000000"/>
          <w:szCs w:val="22"/>
        </w:rPr>
        <w:t xml:space="preserve">. </w:t>
      </w:r>
      <w:r>
        <w:rPr>
          <w:rFonts w:cs="Arial"/>
          <w:i/>
          <w:color w:val="000000"/>
          <w:szCs w:val="22"/>
        </w:rPr>
        <w:t xml:space="preserve">Scores for </w:t>
      </w:r>
      <w:r>
        <w:rPr>
          <w:i/>
          <w:iCs/>
          <w:color w:val="000000"/>
          <w:szCs w:val="22"/>
          <w:lang w:eastAsia="en-AU"/>
        </w:rPr>
        <w:t xml:space="preserve">late dry </w:t>
      </w:r>
      <w:r>
        <w:rPr>
          <w:rFonts w:cs="Arial"/>
          <w:i/>
          <w:color w:val="000000"/>
          <w:szCs w:val="22"/>
        </w:rPr>
        <w:t xml:space="preserve">monitoring period reproductive effort average against long-term (2005-2010) GBR habitat average. </w:t>
      </w:r>
      <w:r>
        <w:rPr>
          <w:i/>
          <w:color w:val="000000"/>
        </w:rPr>
        <w:t xml:space="preserve">NB: scores are </w:t>
      </w:r>
      <w:proofErr w:type="spellStart"/>
      <w:r>
        <w:rPr>
          <w:i/>
          <w:color w:val="000000"/>
        </w:rPr>
        <w:t>unitless</w:t>
      </w:r>
      <w:proofErr w:type="spellEnd"/>
      <w:r>
        <w:rPr>
          <w:i/>
          <w:color w:val="000000"/>
        </w:rPr>
        <w:t>.</w:t>
      </w:r>
      <w:bookmarkEnd w:id="973"/>
      <w:bookmarkEnd w:id="974"/>
    </w:p>
    <w:tbl>
      <w:tblPr>
        <w:tblW w:w="8279" w:type="dxa"/>
        <w:jc w:val="center"/>
        <w:tblLook w:val="04A0" w:firstRow="1" w:lastRow="0" w:firstColumn="1" w:lastColumn="0" w:noHBand="0" w:noVBand="1"/>
      </w:tblPr>
      <w:tblGrid>
        <w:gridCol w:w="1337"/>
        <w:gridCol w:w="2953"/>
        <w:gridCol w:w="766"/>
        <w:gridCol w:w="805"/>
        <w:gridCol w:w="1368"/>
        <w:gridCol w:w="1050"/>
      </w:tblGrid>
      <w:tr w:rsidR="00842050" w:rsidTr="00805748">
        <w:trPr>
          <w:trHeight w:val="290"/>
          <w:jc w:val="center"/>
        </w:trPr>
        <w:tc>
          <w:tcPr>
            <w:tcW w:w="1337" w:type="dxa"/>
            <w:tcBorders>
              <w:top w:val="single" w:sz="4" w:space="0" w:color="auto"/>
              <w:left w:val="nil"/>
              <w:bottom w:val="single" w:sz="4" w:space="0" w:color="auto"/>
              <w:right w:val="nil"/>
            </w:tcBorders>
            <w:vAlign w:val="center"/>
            <w:hideMark/>
          </w:tcPr>
          <w:p w:rsidR="00842050" w:rsidRDefault="00842050" w:rsidP="00805748">
            <w:pPr>
              <w:keepNext/>
              <w:spacing w:before="0" w:after="0"/>
              <w:jc w:val="center"/>
              <w:rPr>
                <w:b/>
                <w:i/>
                <w:iCs/>
                <w:color w:val="000000"/>
                <w:lang w:val="en-US"/>
              </w:rPr>
            </w:pPr>
            <w:r>
              <w:rPr>
                <w:b/>
                <w:i/>
                <w:iCs/>
                <w:color w:val="000000"/>
                <w:szCs w:val="22"/>
                <w:lang w:val="en-US"/>
              </w:rPr>
              <w:t>description</w:t>
            </w:r>
          </w:p>
        </w:tc>
        <w:tc>
          <w:tcPr>
            <w:tcW w:w="2953" w:type="dxa"/>
            <w:tcBorders>
              <w:top w:val="single" w:sz="4" w:space="0" w:color="auto"/>
              <w:left w:val="nil"/>
              <w:bottom w:val="single" w:sz="4" w:space="0" w:color="auto"/>
              <w:right w:val="nil"/>
            </w:tcBorders>
            <w:noWrap/>
            <w:vAlign w:val="center"/>
            <w:hideMark/>
          </w:tcPr>
          <w:p w:rsidR="00842050" w:rsidRDefault="00842050" w:rsidP="00805748">
            <w:pPr>
              <w:keepNext/>
              <w:spacing w:before="0" w:after="0"/>
              <w:jc w:val="center"/>
              <w:rPr>
                <w:b/>
                <w:i/>
                <w:iCs/>
                <w:color w:val="000000"/>
                <w:lang w:val="en-US"/>
              </w:rPr>
            </w:pPr>
            <w:r>
              <w:rPr>
                <w:b/>
                <w:i/>
                <w:iCs/>
                <w:color w:val="000000"/>
                <w:szCs w:val="22"/>
                <w:lang w:val="en-US"/>
              </w:rPr>
              <w:t>Reproductive Effort</w:t>
            </w:r>
          </w:p>
          <w:p w:rsidR="00842050" w:rsidRDefault="00842050" w:rsidP="00805748">
            <w:pPr>
              <w:keepNext/>
              <w:spacing w:before="0" w:after="0"/>
              <w:jc w:val="center"/>
              <w:rPr>
                <w:b/>
                <w:i/>
                <w:iCs/>
                <w:color w:val="000000"/>
                <w:lang w:val="en-US"/>
              </w:rPr>
            </w:pPr>
            <w:r>
              <w:rPr>
                <w:b/>
                <w:i/>
                <w:iCs/>
                <w:color w:val="000000"/>
                <w:szCs w:val="22"/>
                <w:lang w:val="en-US"/>
              </w:rPr>
              <w:t>monitoring period / long-term</w:t>
            </w:r>
          </w:p>
        </w:tc>
        <w:tc>
          <w:tcPr>
            <w:tcW w:w="766" w:type="dxa"/>
            <w:tcBorders>
              <w:top w:val="single" w:sz="4" w:space="0" w:color="auto"/>
              <w:left w:val="nil"/>
              <w:bottom w:val="single" w:sz="4" w:space="0" w:color="auto"/>
              <w:right w:val="nil"/>
            </w:tcBorders>
            <w:vAlign w:val="center"/>
            <w:hideMark/>
          </w:tcPr>
          <w:p w:rsidR="00842050" w:rsidRDefault="00842050" w:rsidP="00805748">
            <w:pPr>
              <w:keepNext/>
              <w:spacing w:before="0" w:after="0"/>
              <w:jc w:val="center"/>
              <w:rPr>
                <w:b/>
                <w:i/>
                <w:iCs/>
                <w:color w:val="000000"/>
                <w:lang w:val="en-US"/>
              </w:rPr>
            </w:pPr>
            <w:r>
              <w:rPr>
                <w:b/>
                <w:i/>
                <w:iCs/>
                <w:color w:val="000000"/>
                <w:szCs w:val="22"/>
                <w:lang w:val="en-US"/>
              </w:rPr>
              <w:t>ratio</w:t>
            </w:r>
          </w:p>
        </w:tc>
        <w:tc>
          <w:tcPr>
            <w:tcW w:w="805" w:type="dxa"/>
            <w:tcBorders>
              <w:top w:val="single" w:sz="4" w:space="0" w:color="auto"/>
              <w:left w:val="nil"/>
              <w:bottom w:val="single" w:sz="4" w:space="0" w:color="auto"/>
              <w:right w:val="nil"/>
            </w:tcBorders>
            <w:noWrap/>
            <w:vAlign w:val="center"/>
            <w:hideMark/>
          </w:tcPr>
          <w:p w:rsidR="00842050" w:rsidRDefault="00842050" w:rsidP="00805748">
            <w:pPr>
              <w:keepNext/>
              <w:spacing w:before="0" w:after="0"/>
              <w:jc w:val="center"/>
              <w:rPr>
                <w:b/>
                <w:i/>
                <w:iCs/>
                <w:color w:val="000000"/>
                <w:lang w:val="en-US"/>
              </w:rPr>
            </w:pPr>
            <w:r>
              <w:rPr>
                <w:b/>
                <w:i/>
                <w:iCs/>
                <w:color w:val="000000"/>
                <w:szCs w:val="22"/>
                <w:lang w:val="en-US"/>
              </w:rPr>
              <w:t>score</w:t>
            </w:r>
          </w:p>
        </w:tc>
        <w:tc>
          <w:tcPr>
            <w:tcW w:w="1368" w:type="dxa"/>
            <w:tcBorders>
              <w:top w:val="single" w:sz="4" w:space="0" w:color="auto"/>
              <w:left w:val="nil"/>
              <w:bottom w:val="single" w:sz="4" w:space="0" w:color="auto"/>
              <w:right w:val="nil"/>
            </w:tcBorders>
            <w:noWrap/>
            <w:vAlign w:val="center"/>
            <w:hideMark/>
          </w:tcPr>
          <w:p w:rsidR="00842050" w:rsidRDefault="00842050" w:rsidP="00805748">
            <w:pPr>
              <w:keepNext/>
              <w:spacing w:before="0" w:after="0"/>
              <w:jc w:val="center"/>
              <w:rPr>
                <w:b/>
                <w:i/>
                <w:iCs/>
                <w:color w:val="000000"/>
                <w:lang w:val="en-US"/>
              </w:rPr>
            </w:pPr>
            <w:r>
              <w:rPr>
                <w:b/>
                <w:i/>
                <w:iCs/>
                <w:color w:val="000000"/>
                <w:szCs w:val="22"/>
                <w:lang w:val="en-US"/>
              </w:rPr>
              <w:t>0-100 score</w:t>
            </w:r>
          </w:p>
        </w:tc>
        <w:tc>
          <w:tcPr>
            <w:tcW w:w="1050" w:type="dxa"/>
            <w:tcBorders>
              <w:top w:val="single" w:sz="4" w:space="0" w:color="auto"/>
              <w:left w:val="nil"/>
              <w:bottom w:val="single" w:sz="4" w:space="0" w:color="auto"/>
              <w:right w:val="nil"/>
            </w:tcBorders>
            <w:noWrap/>
            <w:vAlign w:val="center"/>
            <w:hideMark/>
          </w:tcPr>
          <w:p w:rsidR="00842050" w:rsidRDefault="00842050" w:rsidP="00805748">
            <w:pPr>
              <w:keepNext/>
              <w:spacing w:before="0" w:after="0"/>
              <w:jc w:val="center"/>
              <w:rPr>
                <w:b/>
                <w:i/>
                <w:iCs/>
                <w:color w:val="000000"/>
                <w:lang w:val="en-US"/>
              </w:rPr>
            </w:pPr>
            <w:r>
              <w:rPr>
                <w:b/>
                <w:i/>
                <w:iCs/>
                <w:color w:val="000000"/>
                <w:szCs w:val="22"/>
                <w:lang w:val="en-US"/>
              </w:rPr>
              <w:t>status</w:t>
            </w:r>
          </w:p>
        </w:tc>
      </w:tr>
      <w:tr w:rsidR="00842050" w:rsidTr="00805748">
        <w:trPr>
          <w:trHeight w:val="290"/>
          <w:jc w:val="center"/>
        </w:trPr>
        <w:tc>
          <w:tcPr>
            <w:tcW w:w="1337" w:type="dxa"/>
            <w:vAlign w:val="bottom"/>
            <w:hideMark/>
          </w:tcPr>
          <w:p w:rsidR="00842050" w:rsidRDefault="00842050" w:rsidP="00805748">
            <w:pPr>
              <w:spacing w:before="0" w:after="0"/>
              <w:rPr>
                <w:i/>
                <w:iCs/>
                <w:color w:val="000000"/>
                <w:lang w:eastAsia="en-AU"/>
              </w:rPr>
            </w:pPr>
            <w:r>
              <w:rPr>
                <w:i/>
                <w:iCs/>
                <w:color w:val="000000"/>
                <w:szCs w:val="22"/>
                <w:lang w:eastAsia="en-AU"/>
              </w:rPr>
              <w:t>very good</w:t>
            </w:r>
          </w:p>
        </w:tc>
        <w:tc>
          <w:tcPr>
            <w:tcW w:w="2953" w:type="dxa"/>
            <w:noWrap/>
            <w:vAlign w:val="bottom"/>
            <w:hideMark/>
          </w:tcPr>
          <w:p w:rsidR="00842050" w:rsidRDefault="00842050" w:rsidP="00805748">
            <w:pPr>
              <w:spacing w:before="0" w:after="0"/>
              <w:jc w:val="center"/>
              <w:rPr>
                <w:color w:val="000000"/>
                <w:lang w:eastAsia="en-AU"/>
              </w:rPr>
            </w:pPr>
            <w:r>
              <w:rPr>
                <w:color w:val="000000"/>
                <w:szCs w:val="22"/>
                <w:lang w:eastAsia="en-AU"/>
              </w:rPr>
              <w:t>≥4</w:t>
            </w:r>
          </w:p>
        </w:tc>
        <w:tc>
          <w:tcPr>
            <w:tcW w:w="766" w:type="dxa"/>
            <w:vAlign w:val="bottom"/>
            <w:hideMark/>
          </w:tcPr>
          <w:p w:rsidR="00842050" w:rsidRDefault="00842050" w:rsidP="00805748">
            <w:pPr>
              <w:spacing w:before="0" w:after="0"/>
              <w:jc w:val="center"/>
              <w:rPr>
                <w:color w:val="000000"/>
                <w:lang w:eastAsia="en-AU"/>
              </w:rPr>
            </w:pPr>
            <w:r>
              <w:rPr>
                <w:color w:val="000000"/>
                <w:szCs w:val="22"/>
                <w:lang w:eastAsia="en-AU"/>
              </w:rPr>
              <w:t>4.0</w:t>
            </w:r>
          </w:p>
        </w:tc>
        <w:tc>
          <w:tcPr>
            <w:tcW w:w="805" w:type="dxa"/>
            <w:noWrap/>
            <w:vAlign w:val="bottom"/>
            <w:hideMark/>
          </w:tcPr>
          <w:p w:rsidR="00842050" w:rsidRDefault="00842050" w:rsidP="00805748">
            <w:pPr>
              <w:spacing w:before="0" w:after="0"/>
              <w:jc w:val="center"/>
              <w:rPr>
                <w:color w:val="000000"/>
                <w:lang w:eastAsia="en-AU"/>
              </w:rPr>
            </w:pPr>
            <w:r>
              <w:rPr>
                <w:color w:val="000000"/>
                <w:szCs w:val="22"/>
                <w:lang w:eastAsia="en-AU"/>
              </w:rPr>
              <w:t>4</w:t>
            </w:r>
          </w:p>
        </w:tc>
        <w:tc>
          <w:tcPr>
            <w:tcW w:w="1368" w:type="dxa"/>
            <w:noWrap/>
            <w:vAlign w:val="bottom"/>
            <w:hideMark/>
          </w:tcPr>
          <w:p w:rsidR="00842050" w:rsidRDefault="00842050" w:rsidP="00805748">
            <w:pPr>
              <w:spacing w:before="0" w:after="0"/>
              <w:jc w:val="center"/>
              <w:rPr>
                <w:color w:val="000000"/>
                <w:lang w:eastAsia="en-AU"/>
              </w:rPr>
            </w:pPr>
            <w:r>
              <w:rPr>
                <w:color w:val="000000"/>
                <w:szCs w:val="22"/>
                <w:lang w:eastAsia="en-AU"/>
              </w:rPr>
              <w:t>100</w:t>
            </w:r>
          </w:p>
        </w:tc>
        <w:tc>
          <w:tcPr>
            <w:tcW w:w="1050" w:type="dxa"/>
            <w:shd w:val="clear" w:color="auto" w:fill="008000"/>
            <w:noWrap/>
            <w:vAlign w:val="bottom"/>
            <w:hideMark/>
          </w:tcPr>
          <w:p w:rsidR="00842050" w:rsidRDefault="00842050" w:rsidP="00796FE8">
            <w:pPr>
              <w:spacing w:before="0" w:after="0"/>
              <w:jc w:val="center"/>
              <w:rPr>
                <w:color w:val="000000"/>
                <w:lang w:eastAsia="en-AU"/>
              </w:rPr>
            </w:pPr>
            <w:r>
              <w:rPr>
                <w:color w:val="000000"/>
                <w:szCs w:val="22"/>
                <w:lang w:eastAsia="en-AU"/>
              </w:rPr>
              <w:t>8</w:t>
            </w:r>
            <w:r w:rsidR="00796FE8">
              <w:rPr>
                <w:color w:val="000000"/>
                <w:szCs w:val="22"/>
                <w:lang w:eastAsia="en-AU"/>
              </w:rPr>
              <w:t>1</w:t>
            </w:r>
            <w:r>
              <w:rPr>
                <w:color w:val="000000"/>
                <w:szCs w:val="22"/>
                <w:lang w:eastAsia="en-AU"/>
              </w:rPr>
              <w:t xml:space="preserve"> - 100</w:t>
            </w:r>
          </w:p>
        </w:tc>
      </w:tr>
      <w:tr w:rsidR="00842050" w:rsidTr="00805748">
        <w:trPr>
          <w:trHeight w:val="290"/>
          <w:jc w:val="center"/>
        </w:trPr>
        <w:tc>
          <w:tcPr>
            <w:tcW w:w="1337" w:type="dxa"/>
            <w:vAlign w:val="bottom"/>
            <w:hideMark/>
          </w:tcPr>
          <w:p w:rsidR="00842050" w:rsidRDefault="00842050" w:rsidP="00805748">
            <w:pPr>
              <w:spacing w:before="0" w:after="0"/>
              <w:rPr>
                <w:i/>
                <w:iCs/>
                <w:color w:val="000000"/>
                <w:lang w:eastAsia="en-AU"/>
              </w:rPr>
            </w:pPr>
            <w:r>
              <w:rPr>
                <w:i/>
                <w:iCs/>
                <w:color w:val="000000"/>
                <w:szCs w:val="22"/>
                <w:lang w:eastAsia="en-AU"/>
              </w:rPr>
              <w:t>good</w:t>
            </w:r>
          </w:p>
        </w:tc>
        <w:tc>
          <w:tcPr>
            <w:tcW w:w="2953" w:type="dxa"/>
            <w:noWrap/>
            <w:vAlign w:val="bottom"/>
            <w:hideMark/>
          </w:tcPr>
          <w:p w:rsidR="00842050" w:rsidRDefault="00842050" w:rsidP="00805748">
            <w:pPr>
              <w:spacing w:before="0" w:after="0"/>
              <w:jc w:val="center"/>
              <w:rPr>
                <w:color w:val="000000"/>
                <w:lang w:eastAsia="en-AU"/>
              </w:rPr>
            </w:pPr>
            <w:r>
              <w:rPr>
                <w:color w:val="000000"/>
                <w:szCs w:val="22"/>
                <w:lang w:eastAsia="en-AU"/>
              </w:rPr>
              <w:t>2 to &lt;4</w:t>
            </w:r>
          </w:p>
        </w:tc>
        <w:tc>
          <w:tcPr>
            <w:tcW w:w="766" w:type="dxa"/>
            <w:vAlign w:val="bottom"/>
            <w:hideMark/>
          </w:tcPr>
          <w:p w:rsidR="00842050" w:rsidRDefault="00842050" w:rsidP="00805748">
            <w:pPr>
              <w:spacing w:before="0" w:after="0"/>
              <w:jc w:val="center"/>
              <w:rPr>
                <w:color w:val="000000"/>
                <w:lang w:eastAsia="en-AU"/>
              </w:rPr>
            </w:pPr>
            <w:r>
              <w:rPr>
                <w:color w:val="000000"/>
                <w:szCs w:val="22"/>
                <w:lang w:eastAsia="en-AU"/>
              </w:rPr>
              <w:t>2.0</w:t>
            </w:r>
          </w:p>
        </w:tc>
        <w:tc>
          <w:tcPr>
            <w:tcW w:w="805" w:type="dxa"/>
            <w:noWrap/>
            <w:vAlign w:val="bottom"/>
            <w:hideMark/>
          </w:tcPr>
          <w:p w:rsidR="00842050" w:rsidRDefault="00842050" w:rsidP="00805748">
            <w:pPr>
              <w:spacing w:before="0" w:after="0"/>
              <w:jc w:val="center"/>
              <w:rPr>
                <w:color w:val="000000"/>
                <w:lang w:eastAsia="en-AU"/>
              </w:rPr>
            </w:pPr>
            <w:r>
              <w:rPr>
                <w:color w:val="000000"/>
                <w:szCs w:val="22"/>
                <w:lang w:eastAsia="en-AU"/>
              </w:rPr>
              <w:t>3</w:t>
            </w:r>
          </w:p>
        </w:tc>
        <w:tc>
          <w:tcPr>
            <w:tcW w:w="1368" w:type="dxa"/>
            <w:noWrap/>
            <w:vAlign w:val="bottom"/>
            <w:hideMark/>
          </w:tcPr>
          <w:p w:rsidR="00842050" w:rsidRDefault="00842050" w:rsidP="00805748">
            <w:pPr>
              <w:spacing w:before="0" w:after="0"/>
              <w:jc w:val="center"/>
              <w:rPr>
                <w:color w:val="000000"/>
                <w:lang w:eastAsia="en-AU"/>
              </w:rPr>
            </w:pPr>
            <w:r>
              <w:rPr>
                <w:color w:val="000000"/>
                <w:szCs w:val="22"/>
                <w:lang w:eastAsia="en-AU"/>
              </w:rPr>
              <w:t>75</w:t>
            </w:r>
          </w:p>
        </w:tc>
        <w:tc>
          <w:tcPr>
            <w:tcW w:w="1050" w:type="dxa"/>
            <w:shd w:val="clear" w:color="auto" w:fill="92D050"/>
            <w:noWrap/>
            <w:vAlign w:val="bottom"/>
            <w:hideMark/>
          </w:tcPr>
          <w:p w:rsidR="00842050" w:rsidRDefault="00796FE8" w:rsidP="00805748">
            <w:pPr>
              <w:spacing w:before="0" w:after="0"/>
              <w:jc w:val="center"/>
              <w:rPr>
                <w:color w:val="000000"/>
                <w:lang w:eastAsia="en-AU"/>
              </w:rPr>
            </w:pPr>
            <w:r>
              <w:rPr>
                <w:color w:val="000000"/>
                <w:szCs w:val="22"/>
                <w:lang w:eastAsia="en-AU"/>
              </w:rPr>
              <w:t xml:space="preserve">61 - </w:t>
            </w:r>
            <w:r w:rsidR="00842050">
              <w:rPr>
                <w:color w:val="000000"/>
                <w:szCs w:val="22"/>
                <w:lang w:eastAsia="en-AU"/>
              </w:rPr>
              <w:t>80</w:t>
            </w:r>
          </w:p>
        </w:tc>
      </w:tr>
      <w:tr w:rsidR="00842050" w:rsidTr="00805748">
        <w:trPr>
          <w:trHeight w:val="290"/>
          <w:jc w:val="center"/>
        </w:trPr>
        <w:tc>
          <w:tcPr>
            <w:tcW w:w="1337" w:type="dxa"/>
            <w:vAlign w:val="bottom"/>
            <w:hideMark/>
          </w:tcPr>
          <w:p w:rsidR="00842050" w:rsidRDefault="00842050" w:rsidP="00805748">
            <w:pPr>
              <w:spacing w:before="0" w:after="0"/>
              <w:rPr>
                <w:i/>
                <w:iCs/>
                <w:color w:val="000000"/>
                <w:lang w:eastAsia="en-AU"/>
              </w:rPr>
            </w:pPr>
            <w:r>
              <w:rPr>
                <w:i/>
                <w:iCs/>
                <w:color w:val="000000"/>
                <w:szCs w:val="22"/>
                <w:lang w:eastAsia="en-AU"/>
              </w:rPr>
              <w:t>moderate</w:t>
            </w:r>
          </w:p>
        </w:tc>
        <w:tc>
          <w:tcPr>
            <w:tcW w:w="2953" w:type="dxa"/>
            <w:noWrap/>
            <w:vAlign w:val="bottom"/>
            <w:hideMark/>
          </w:tcPr>
          <w:p w:rsidR="00842050" w:rsidRDefault="00842050" w:rsidP="00805748">
            <w:pPr>
              <w:spacing w:before="0" w:after="0"/>
              <w:jc w:val="center"/>
              <w:rPr>
                <w:color w:val="000000"/>
                <w:lang w:eastAsia="en-AU"/>
              </w:rPr>
            </w:pPr>
            <w:r>
              <w:rPr>
                <w:color w:val="000000"/>
                <w:szCs w:val="22"/>
                <w:lang w:eastAsia="en-AU"/>
              </w:rPr>
              <w:t>1 to &lt;2</w:t>
            </w:r>
          </w:p>
        </w:tc>
        <w:tc>
          <w:tcPr>
            <w:tcW w:w="766" w:type="dxa"/>
            <w:vAlign w:val="bottom"/>
            <w:hideMark/>
          </w:tcPr>
          <w:p w:rsidR="00842050" w:rsidRDefault="00842050" w:rsidP="00805748">
            <w:pPr>
              <w:spacing w:before="0" w:after="0"/>
              <w:jc w:val="center"/>
              <w:rPr>
                <w:color w:val="000000"/>
                <w:lang w:eastAsia="en-AU"/>
              </w:rPr>
            </w:pPr>
            <w:r>
              <w:rPr>
                <w:color w:val="000000"/>
                <w:szCs w:val="22"/>
                <w:lang w:eastAsia="en-AU"/>
              </w:rPr>
              <w:t>1.0</w:t>
            </w:r>
          </w:p>
        </w:tc>
        <w:tc>
          <w:tcPr>
            <w:tcW w:w="805" w:type="dxa"/>
            <w:noWrap/>
            <w:vAlign w:val="bottom"/>
            <w:hideMark/>
          </w:tcPr>
          <w:p w:rsidR="00842050" w:rsidRDefault="00842050" w:rsidP="00805748">
            <w:pPr>
              <w:spacing w:before="0" w:after="0"/>
              <w:jc w:val="center"/>
              <w:rPr>
                <w:color w:val="000000"/>
                <w:lang w:eastAsia="en-AU"/>
              </w:rPr>
            </w:pPr>
            <w:r>
              <w:rPr>
                <w:color w:val="000000"/>
                <w:szCs w:val="22"/>
                <w:lang w:eastAsia="en-AU"/>
              </w:rPr>
              <w:t>2</w:t>
            </w:r>
          </w:p>
        </w:tc>
        <w:tc>
          <w:tcPr>
            <w:tcW w:w="1368" w:type="dxa"/>
            <w:noWrap/>
            <w:vAlign w:val="bottom"/>
            <w:hideMark/>
          </w:tcPr>
          <w:p w:rsidR="00842050" w:rsidRDefault="00842050" w:rsidP="00805748">
            <w:pPr>
              <w:spacing w:before="0" w:after="0"/>
              <w:jc w:val="center"/>
              <w:rPr>
                <w:color w:val="000000"/>
                <w:lang w:eastAsia="en-AU"/>
              </w:rPr>
            </w:pPr>
            <w:r>
              <w:rPr>
                <w:color w:val="000000"/>
                <w:szCs w:val="22"/>
                <w:lang w:eastAsia="en-AU"/>
              </w:rPr>
              <w:t>50</w:t>
            </w:r>
          </w:p>
        </w:tc>
        <w:tc>
          <w:tcPr>
            <w:tcW w:w="1050" w:type="dxa"/>
            <w:shd w:val="clear" w:color="auto" w:fill="FFFF00"/>
            <w:noWrap/>
            <w:vAlign w:val="bottom"/>
            <w:hideMark/>
          </w:tcPr>
          <w:p w:rsidR="00842050" w:rsidRDefault="00796FE8" w:rsidP="00805748">
            <w:pPr>
              <w:spacing w:before="0" w:after="0"/>
              <w:jc w:val="center"/>
              <w:rPr>
                <w:color w:val="000000"/>
                <w:lang w:eastAsia="en-AU"/>
              </w:rPr>
            </w:pPr>
            <w:r>
              <w:rPr>
                <w:color w:val="000000"/>
                <w:szCs w:val="22"/>
                <w:lang w:eastAsia="en-AU"/>
              </w:rPr>
              <w:t xml:space="preserve">41 - </w:t>
            </w:r>
            <w:r w:rsidR="00842050">
              <w:rPr>
                <w:color w:val="000000"/>
                <w:szCs w:val="22"/>
                <w:lang w:eastAsia="en-AU"/>
              </w:rPr>
              <w:t>60</w:t>
            </w:r>
          </w:p>
        </w:tc>
      </w:tr>
      <w:tr w:rsidR="00842050" w:rsidTr="00805748">
        <w:trPr>
          <w:trHeight w:val="290"/>
          <w:jc w:val="center"/>
        </w:trPr>
        <w:tc>
          <w:tcPr>
            <w:tcW w:w="1337" w:type="dxa"/>
            <w:vAlign w:val="bottom"/>
            <w:hideMark/>
          </w:tcPr>
          <w:p w:rsidR="00842050" w:rsidRDefault="00842050" w:rsidP="00805748">
            <w:pPr>
              <w:spacing w:before="0" w:after="0"/>
              <w:rPr>
                <w:i/>
                <w:iCs/>
                <w:color w:val="000000"/>
                <w:lang w:eastAsia="en-AU"/>
              </w:rPr>
            </w:pPr>
            <w:r>
              <w:rPr>
                <w:i/>
                <w:iCs/>
                <w:color w:val="000000"/>
                <w:szCs w:val="22"/>
                <w:lang w:eastAsia="en-AU"/>
              </w:rPr>
              <w:t>poor</w:t>
            </w:r>
          </w:p>
        </w:tc>
        <w:tc>
          <w:tcPr>
            <w:tcW w:w="2953" w:type="dxa"/>
            <w:noWrap/>
            <w:vAlign w:val="bottom"/>
            <w:hideMark/>
          </w:tcPr>
          <w:p w:rsidR="00842050" w:rsidRDefault="00842050" w:rsidP="00805748">
            <w:pPr>
              <w:spacing w:before="0" w:after="0"/>
              <w:jc w:val="center"/>
              <w:rPr>
                <w:color w:val="000000"/>
                <w:lang w:eastAsia="en-AU"/>
              </w:rPr>
            </w:pPr>
            <w:r>
              <w:rPr>
                <w:color w:val="000000"/>
                <w:szCs w:val="22"/>
                <w:lang w:eastAsia="en-AU"/>
              </w:rPr>
              <w:t>0.5 to &lt;1</w:t>
            </w:r>
          </w:p>
        </w:tc>
        <w:tc>
          <w:tcPr>
            <w:tcW w:w="766" w:type="dxa"/>
            <w:vAlign w:val="bottom"/>
            <w:hideMark/>
          </w:tcPr>
          <w:p w:rsidR="00842050" w:rsidRDefault="00842050" w:rsidP="00805748">
            <w:pPr>
              <w:spacing w:before="0" w:after="0"/>
              <w:jc w:val="center"/>
              <w:rPr>
                <w:color w:val="000000"/>
                <w:lang w:eastAsia="en-AU"/>
              </w:rPr>
            </w:pPr>
            <w:r>
              <w:rPr>
                <w:color w:val="000000"/>
                <w:szCs w:val="22"/>
                <w:lang w:eastAsia="en-AU"/>
              </w:rPr>
              <w:t>0.5</w:t>
            </w:r>
          </w:p>
        </w:tc>
        <w:tc>
          <w:tcPr>
            <w:tcW w:w="805" w:type="dxa"/>
            <w:noWrap/>
            <w:vAlign w:val="bottom"/>
            <w:hideMark/>
          </w:tcPr>
          <w:p w:rsidR="00842050" w:rsidRDefault="00842050" w:rsidP="00805748">
            <w:pPr>
              <w:spacing w:before="0" w:after="0"/>
              <w:jc w:val="center"/>
              <w:rPr>
                <w:color w:val="000000"/>
                <w:lang w:eastAsia="en-AU"/>
              </w:rPr>
            </w:pPr>
            <w:r>
              <w:rPr>
                <w:color w:val="000000"/>
                <w:szCs w:val="22"/>
                <w:lang w:eastAsia="en-AU"/>
              </w:rPr>
              <w:t>1</w:t>
            </w:r>
          </w:p>
        </w:tc>
        <w:tc>
          <w:tcPr>
            <w:tcW w:w="1368" w:type="dxa"/>
            <w:noWrap/>
            <w:vAlign w:val="bottom"/>
            <w:hideMark/>
          </w:tcPr>
          <w:p w:rsidR="00842050" w:rsidRDefault="00842050" w:rsidP="00805748">
            <w:pPr>
              <w:spacing w:before="0" w:after="0"/>
              <w:jc w:val="center"/>
              <w:rPr>
                <w:color w:val="000000"/>
                <w:lang w:eastAsia="en-AU"/>
              </w:rPr>
            </w:pPr>
            <w:r>
              <w:rPr>
                <w:color w:val="000000"/>
                <w:szCs w:val="22"/>
                <w:lang w:eastAsia="en-AU"/>
              </w:rPr>
              <w:t>25</w:t>
            </w:r>
          </w:p>
        </w:tc>
        <w:tc>
          <w:tcPr>
            <w:tcW w:w="1050" w:type="dxa"/>
            <w:shd w:val="clear" w:color="auto" w:fill="FFC000"/>
            <w:noWrap/>
            <w:vAlign w:val="bottom"/>
            <w:hideMark/>
          </w:tcPr>
          <w:p w:rsidR="00842050" w:rsidRDefault="00796FE8" w:rsidP="00796FE8">
            <w:pPr>
              <w:spacing w:before="0" w:after="0"/>
              <w:jc w:val="center"/>
              <w:rPr>
                <w:color w:val="000000"/>
                <w:lang w:eastAsia="en-AU"/>
              </w:rPr>
            </w:pPr>
            <w:r>
              <w:rPr>
                <w:color w:val="000000"/>
                <w:szCs w:val="22"/>
                <w:lang w:eastAsia="en-AU"/>
              </w:rPr>
              <w:t>21</w:t>
            </w:r>
            <w:r w:rsidR="00842050">
              <w:rPr>
                <w:color w:val="000000"/>
                <w:szCs w:val="22"/>
                <w:lang w:eastAsia="en-AU"/>
              </w:rPr>
              <w:t xml:space="preserve"> - 40</w:t>
            </w:r>
          </w:p>
        </w:tc>
      </w:tr>
      <w:tr w:rsidR="00842050" w:rsidTr="00805748">
        <w:trPr>
          <w:trHeight w:val="290"/>
          <w:jc w:val="center"/>
        </w:trPr>
        <w:tc>
          <w:tcPr>
            <w:tcW w:w="1337" w:type="dxa"/>
            <w:tcBorders>
              <w:top w:val="nil"/>
              <w:left w:val="nil"/>
              <w:bottom w:val="single" w:sz="4" w:space="0" w:color="auto"/>
              <w:right w:val="nil"/>
            </w:tcBorders>
            <w:vAlign w:val="bottom"/>
            <w:hideMark/>
          </w:tcPr>
          <w:p w:rsidR="00842050" w:rsidRDefault="00842050" w:rsidP="00805748">
            <w:pPr>
              <w:spacing w:before="0" w:after="0"/>
              <w:rPr>
                <w:i/>
                <w:iCs/>
                <w:color w:val="000000"/>
                <w:lang w:eastAsia="en-AU"/>
              </w:rPr>
            </w:pPr>
            <w:r>
              <w:rPr>
                <w:i/>
                <w:iCs/>
                <w:color w:val="000000"/>
                <w:szCs w:val="22"/>
                <w:lang w:eastAsia="en-AU"/>
              </w:rPr>
              <w:t>very poor</w:t>
            </w:r>
          </w:p>
        </w:tc>
        <w:tc>
          <w:tcPr>
            <w:tcW w:w="2953" w:type="dxa"/>
            <w:tcBorders>
              <w:top w:val="nil"/>
              <w:left w:val="nil"/>
              <w:bottom w:val="single" w:sz="4" w:space="0" w:color="auto"/>
              <w:right w:val="nil"/>
            </w:tcBorders>
            <w:noWrap/>
            <w:vAlign w:val="bottom"/>
            <w:hideMark/>
          </w:tcPr>
          <w:p w:rsidR="00842050" w:rsidRDefault="00842050" w:rsidP="00805748">
            <w:pPr>
              <w:spacing w:before="0" w:after="0"/>
              <w:jc w:val="center"/>
              <w:rPr>
                <w:color w:val="000000"/>
                <w:lang w:eastAsia="en-AU"/>
              </w:rPr>
            </w:pPr>
            <w:r>
              <w:rPr>
                <w:color w:val="000000"/>
                <w:szCs w:val="22"/>
                <w:lang w:eastAsia="en-AU"/>
              </w:rPr>
              <w:t>&lt;0.5</w:t>
            </w:r>
          </w:p>
        </w:tc>
        <w:tc>
          <w:tcPr>
            <w:tcW w:w="766" w:type="dxa"/>
            <w:tcBorders>
              <w:top w:val="nil"/>
              <w:left w:val="nil"/>
              <w:bottom w:val="single" w:sz="4" w:space="0" w:color="auto"/>
              <w:right w:val="nil"/>
            </w:tcBorders>
            <w:vAlign w:val="bottom"/>
            <w:hideMark/>
          </w:tcPr>
          <w:p w:rsidR="00842050" w:rsidRDefault="00842050" w:rsidP="00805748">
            <w:pPr>
              <w:spacing w:before="0" w:after="0"/>
              <w:jc w:val="center"/>
              <w:rPr>
                <w:color w:val="000000"/>
                <w:lang w:eastAsia="en-AU"/>
              </w:rPr>
            </w:pPr>
            <w:r>
              <w:rPr>
                <w:color w:val="000000"/>
                <w:szCs w:val="22"/>
                <w:lang w:eastAsia="en-AU"/>
              </w:rPr>
              <w:t>0.0</w:t>
            </w:r>
          </w:p>
        </w:tc>
        <w:tc>
          <w:tcPr>
            <w:tcW w:w="805" w:type="dxa"/>
            <w:tcBorders>
              <w:top w:val="nil"/>
              <w:left w:val="nil"/>
              <w:bottom w:val="single" w:sz="4" w:space="0" w:color="auto"/>
              <w:right w:val="nil"/>
            </w:tcBorders>
            <w:noWrap/>
            <w:vAlign w:val="bottom"/>
            <w:hideMark/>
          </w:tcPr>
          <w:p w:rsidR="00842050" w:rsidRDefault="00842050" w:rsidP="00805748">
            <w:pPr>
              <w:spacing w:before="0" w:after="0"/>
              <w:jc w:val="center"/>
              <w:rPr>
                <w:color w:val="000000"/>
                <w:lang w:eastAsia="en-AU"/>
              </w:rPr>
            </w:pPr>
            <w:r>
              <w:rPr>
                <w:color w:val="000000"/>
                <w:szCs w:val="22"/>
                <w:lang w:eastAsia="en-AU"/>
              </w:rPr>
              <w:t>0</w:t>
            </w:r>
          </w:p>
        </w:tc>
        <w:tc>
          <w:tcPr>
            <w:tcW w:w="1368" w:type="dxa"/>
            <w:tcBorders>
              <w:top w:val="nil"/>
              <w:left w:val="nil"/>
              <w:bottom w:val="single" w:sz="4" w:space="0" w:color="auto"/>
              <w:right w:val="nil"/>
            </w:tcBorders>
            <w:noWrap/>
            <w:vAlign w:val="bottom"/>
            <w:hideMark/>
          </w:tcPr>
          <w:p w:rsidR="00842050" w:rsidRDefault="00842050" w:rsidP="00805748">
            <w:pPr>
              <w:spacing w:before="0" w:after="0"/>
              <w:jc w:val="center"/>
              <w:rPr>
                <w:color w:val="000000"/>
                <w:lang w:eastAsia="en-AU"/>
              </w:rPr>
            </w:pPr>
            <w:r>
              <w:rPr>
                <w:color w:val="000000"/>
                <w:szCs w:val="22"/>
                <w:lang w:eastAsia="en-AU"/>
              </w:rPr>
              <w:t>0</w:t>
            </w:r>
          </w:p>
        </w:tc>
        <w:tc>
          <w:tcPr>
            <w:tcW w:w="1050" w:type="dxa"/>
            <w:tcBorders>
              <w:top w:val="nil"/>
              <w:left w:val="nil"/>
              <w:bottom w:val="single" w:sz="4" w:space="0" w:color="auto"/>
              <w:right w:val="nil"/>
            </w:tcBorders>
            <w:shd w:val="clear" w:color="auto" w:fill="FF0000"/>
            <w:noWrap/>
            <w:vAlign w:val="bottom"/>
            <w:hideMark/>
          </w:tcPr>
          <w:p w:rsidR="00842050" w:rsidRDefault="00842050" w:rsidP="00796FE8">
            <w:pPr>
              <w:spacing w:before="0" w:after="0"/>
              <w:jc w:val="center"/>
              <w:rPr>
                <w:color w:val="000000"/>
                <w:lang w:eastAsia="en-AU"/>
              </w:rPr>
            </w:pPr>
            <w:r>
              <w:rPr>
                <w:color w:val="000000"/>
                <w:szCs w:val="22"/>
                <w:lang w:eastAsia="en-AU"/>
              </w:rPr>
              <w:t>0 - 20</w:t>
            </w:r>
          </w:p>
        </w:tc>
      </w:tr>
    </w:tbl>
    <w:p w:rsidR="00842050" w:rsidRDefault="00842050" w:rsidP="00842050">
      <w:pPr>
        <w:jc w:val="center"/>
      </w:pPr>
      <w:bookmarkStart w:id="975" w:name="_Toc431493752"/>
    </w:p>
    <w:p w:rsidR="00842050" w:rsidRDefault="00842050" w:rsidP="00842050">
      <w:pPr>
        <w:spacing w:before="0" w:after="0"/>
        <w:rPr>
          <w:lang w:val="en-GB"/>
        </w:rPr>
      </w:pPr>
      <w:r>
        <w:rPr>
          <w:lang w:val="en-GB"/>
        </w:rPr>
        <w:br w:type="page"/>
      </w:r>
    </w:p>
    <w:p w:rsidR="00842050" w:rsidRPr="00ED0EDA" w:rsidRDefault="00842050" w:rsidP="00842050">
      <w:pPr>
        <w:rPr>
          <w:lang w:val="en-GB"/>
        </w:rPr>
      </w:pPr>
    </w:p>
    <w:p w:rsidR="007B1E97" w:rsidRPr="00517276" w:rsidRDefault="00842050" w:rsidP="007B1E97">
      <w:pPr>
        <w:jc w:val="center"/>
        <w:rPr>
          <w:i/>
          <w:vanish/>
          <w:color w:val="000000"/>
          <w:szCs w:val="22"/>
          <w:specVanish/>
        </w:rPr>
      </w:pPr>
      <w:bookmarkStart w:id="976" w:name="_Toc462685111"/>
      <w:r>
        <w:t xml:space="preserve">Table </w:t>
      </w:r>
      <w:fldSimple w:instr=" SEQ Table \* ARABIC ">
        <w:r w:rsidR="009C068F">
          <w:rPr>
            <w:noProof/>
          </w:rPr>
          <w:t>42</w:t>
        </w:r>
      </w:fldSimple>
      <w:r>
        <w:t xml:space="preserve">. </w:t>
      </w:r>
      <w:r>
        <w:rPr>
          <w:i/>
        </w:rPr>
        <w:t>Late dry season average seagrass reproductive effort (RE ±Standard Error) and report card scores for each monitoring site (species pooled) within each NRM region habitat.</w:t>
      </w:r>
      <w:bookmarkEnd w:id="976"/>
      <w:r w:rsidR="007B1E97" w:rsidRPr="007B1E97">
        <w:rPr>
          <w:i/>
          <w:vanish/>
          <w:color w:val="000000"/>
          <w:szCs w:val="22"/>
          <w:specVanish/>
        </w:rPr>
        <w:t xml:space="preserve"> </w:t>
      </w:r>
    </w:p>
    <w:p w:rsidR="00842050" w:rsidRDefault="00842050" w:rsidP="00842050">
      <w:pPr>
        <w:jc w:val="center"/>
      </w:pPr>
      <w:r>
        <w:rPr>
          <w:i/>
        </w:rPr>
        <w:t xml:space="preserve"> Scores calculated as per </w:t>
      </w:r>
      <w:r>
        <w:fldChar w:fldCharType="begin"/>
      </w:r>
      <w:r>
        <w:rPr>
          <w:i/>
        </w:rPr>
        <w:instrText xml:space="preserve"> REF _Ref271192830 \h  \* MERGEFORMAT </w:instrText>
      </w:r>
      <w:r>
        <w:fldChar w:fldCharType="separate"/>
      </w:r>
      <w:r w:rsidR="009C068F" w:rsidRPr="009C068F">
        <w:rPr>
          <w:b/>
          <w:bCs/>
          <w:i/>
          <w:lang w:val="en-US"/>
        </w:rPr>
        <w:t>Table 6</w:t>
      </w:r>
      <w:r>
        <w:fldChar w:fldCharType="end"/>
      </w:r>
      <w:r>
        <w:rPr>
          <w:i/>
        </w:rPr>
        <w:t>. NB: scores do not have units.</w:t>
      </w:r>
    </w:p>
    <w:tbl>
      <w:tblPr>
        <w:tblW w:w="8658" w:type="dxa"/>
        <w:jc w:val="center"/>
        <w:tblLook w:val="04A0" w:firstRow="1" w:lastRow="0" w:firstColumn="1" w:lastColumn="0" w:noHBand="0" w:noVBand="1"/>
      </w:tblPr>
      <w:tblGrid>
        <w:gridCol w:w="1616"/>
        <w:gridCol w:w="1543"/>
        <w:gridCol w:w="960"/>
        <w:gridCol w:w="1300"/>
        <w:gridCol w:w="1454"/>
        <w:gridCol w:w="825"/>
        <w:gridCol w:w="960"/>
      </w:tblGrid>
      <w:tr w:rsidR="00842050" w:rsidTr="00805748">
        <w:trPr>
          <w:jc w:val="center"/>
        </w:trPr>
        <w:tc>
          <w:tcPr>
            <w:tcW w:w="1616"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contextualSpacing/>
              <w:jc w:val="center"/>
              <w:rPr>
                <w:b/>
                <w:color w:val="000000"/>
                <w:sz w:val="16"/>
                <w:szCs w:val="16"/>
              </w:rPr>
            </w:pPr>
            <w:r>
              <w:rPr>
                <w:b/>
                <w:color w:val="000000"/>
                <w:sz w:val="16"/>
                <w:szCs w:val="16"/>
              </w:rPr>
              <w:t>NRM region</w:t>
            </w:r>
          </w:p>
        </w:tc>
        <w:tc>
          <w:tcPr>
            <w:tcW w:w="1543"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contextualSpacing/>
              <w:jc w:val="center"/>
              <w:rPr>
                <w:b/>
                <w:color w:val="000000"/>
                <w:sz w:val="16"/>
                <w:szCs w:val="16"/>
              </w:rPr>
            </w:pPr>
            <w:r>
              <w:rPr>
                <w:b/>
                <w:color w:val="000000"/>
                <w:sz w:val="16"/>
                <w:szCs w:val="16"/>
              </w:rPr>
              <w:t>habitat</w:t>
            </w:r>
          </w:p>
        </w:tc>
        <w:tc>
          <w:tcPr>
            <w:tcW w:w="960"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contextualSpacing/>
              <w:jc w:val="center"/>
              <w:rPr>
                <w:b/>
                <w:color w:val="000000"/>
                <w:sz w:val="16"/>
                <w:szCs w:val="16"/>
              </w:rPr>
            </w:pPr>
            <w:r>
              <w:rPr>
                <w:b/>
                <w:color w:val="000000"/>
                <w:sz w:val="16"/>
                <w:szCs w:val="16"/>
              </w:rPr>
              <w:t>site</w:t>
            </w:r>
          </w:p>
        </w:tc>
        <w:tc>
          <w:tcPr>
            <w:tcW w:w="1300"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contextualSpacing/>
              <w:jc w:val="center"/>
              <w:rPr>
                <w:b/>
                <w:color w:val="000000"/>
                <w:sz w:val="16"/>
                <w:szCs w:val="16"/>
              </w:rPr>
            </w:pPr>
            <w:r>
              <w:rPr>
                <w:b/>
                <w:color w:val="000000"/>
                <w:sz w:val="16"/>
                <w:szCs w:val="16"/>
              </w:rPr>
              <w:t>RE ±SE</w:t>
            </w:r>
          </w:p>
        </w:tc>
        <w:tc>
          <w:tcPr>
            <w:tcW w:w="1454" w:type="dxa"/>
            <w:tcBorders>
              <w:top w:val="single" w:sz="4" w:space="0" w:color="auto"/>
              <w:left w:val="nil"/>
              <w:bottom w:val="single" w:sz="4" w:space="0" w:color="auto"/>
              <w:right w:val="nil"/>
            </w:tcBorders>
            <w:shd w:val="clear" w:color="auto" w:fill="BBE0E3"/>
            <w:vAlign w:val="center"/>
            <w:hideMark/>
          </w:tcPr>
          <w:p w:rsidR="00842050" w:rsidRDefault="00842050" w:rsidP="00805748">
            <w:pPr>
              <w:spacing w:before="0" w:after="0"/>
              <w:contextualSpacing/>
              <w:jc w:val="center"/>
              <w:rPr>
                <w:b/>
                <w:color w:val="000000"/>
                <w:sz w:val="16"/>
                <w:szCs w:val="16"/>
              </w:rPr>
            </w:pPr>
            <w:r>
              <w:rPr>
                <w:b/>
                <w:color w:val="000000"/>
                <w:sz w:val="16"/>
                <w:szCs w:val="16"/>
              </w:rPr>
              <w:t>GBR RE (2005-10)</w:t>
            </w:r>
          </w:p>
        </w:tc>
        <w:tc>
          <w:tcPr>
            <w:tcW w:w="825" w:type="dxa"/>
            <w:tcBorders>
              <w:top w:val="single" w:sz="4" w:space="0" w:color="auto"/>
              <w:left w:val="nil"/>
              <w:bottom w:val="single" w:sz="4" w:space="0" w:color="auto"/>
              <w:right w:val="nil"/>
            </w:tcBorders>
            <w:shd w:val="clear" w:color="auto" w:fill="BBE0E3"/>
            <w:vAlign w:val="center"/>
            <w:hideMark/>
          </w:tcPr>
          <w:p w:rsidR="00842050" w:rsidRDefault="00842050" w:rsidP="00805748">
            <w:pPr>
              <w:spacing w:before="0" w:after="0"/>
              <w:contextualSpacing/>
              <w:jc w:val="center"/>
              <w:rPr>
                <w:b/>
                <w:color w:val="000000"/>
                <w:sz w:val="16"/>
                <w:szCs w:val="16"/>
              </w:rPr>
            </w:pPr>
            <w:r>
              <w:rPr>
                <w:b/>
                <w:color w:val="000000"/>
                <w:sz w:val="16"/>
                <w:szCs w:val="16"/>
              </w:rPr>
              <w:t>ratio</w:t>
            </w:r>
          </w:p>
        </w:tc>
        <w:tc>
          <w:tcPr>
            <w:tcW w:w="960" w:type="dxa"/>
            <w:tcBorders>
              <w:top w:val="single" w:sz="4" w:space="0" w:color="auto"/>
              <w:left w:val="nil"/>
              <w:bottom w:val="single" w:sz="4" w:space="0" w:color="auto"/>
              <w:right w:val="nil"/>
            </w:tcBorders>
            <w:shd w:val="clear" w:color="auto" w:fill="BBE0E3"/>
            <w:noWrap/>
            <w:vAlign w:val="center"/>
            <w:hideMark/>
          </w:tcPr>
          <w:p w:rsidR="00842050" w:rsidRDefault="00842050" w:rsidP="00805748">
            <w:pPr>
              <w:spacing w:before="0" w:after="0"/>
              <w:contextualSpacing/>
              <w:jc w:val="center"/>
              <w:rPr>
                <w:b/>
                <w:color w:val="000000"/>
                <w:sz w:val="16"/>
                <w:szCs w:val="16"/>
              </w:rPr>
            </w:pPr>
            <w:r>
              <w:rPr>
                <w:b/>
                <w:color w:val="000000"/>
                <w:sz w:val="16"/>
                <w:szCs w:val="16"/>
              </w:rPr>
              <w:t>score</w:t>
            </w:r>
          </w:p>
        </w:tc>
      </w:tr>
      <w:tr w:rsidR="00842050" w:rsidTr="00805748">
        <w:trPr>
          <w:jc w:val="center"/>
        </w:trPr>
        <w:tc>
          <w:tcPr>
            <w:tcW w:w="1616"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Cape York</w:t>
            </w:r>
          </w:p>
        </w:tc>
        <w:tc>
          <w:tcPr>
            <w:tcW w:w="154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BY1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2.20</w:t>
            </w:r>
            <w:r>
              <w:rPr>
                <w:color w:val="000000"/>
                <w:sz w:val="16"/>
                <w:szCs w:val="16"/>
              </w:rPr>
              <w:t xml:space="preserve"> ±</w:t>
            </w:r>
            <w:r>
              <w:rPr>
                <w:sz w:val="16"/>
                <w:szCs w:val="16"/>
              </w:rPr>
              <w:t>0.82</w:t>
            </w:r>
          </w:p>
        </w:tc>
        <w:tc>
          <w:tcPr>
            <w:tcW w:w="1454"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0.27</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BY2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0.27</w:t>
            </w:r>
            <w:r>
              <w:rPr>
                <w:color w:val="000000"/>
                <w:sz w:val="16"/>
                <w:szCs w:val="16"/>
              </w:rPr>
              <w:t xml:space="preserve"> ±</w:t>
            </w:r>
            <w:r>
              <w:rPr>
                <w:sz w:val="16"/>
                <w:szCs w:val="16"/>
              </w:rPr>
              <w:t>0.18</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0.03</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color w:val="000000"/>
                <w:sz w:val="16"/>
                <w:szCs w:val="16"/>
              </w:rPr>
              <w:t>SR1</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0.40</w:t>
            </w:r>
            <w:r>
              <w:rPr>
                <w:color w:val="000000"/>
                <w:sz w:val="16"/>
                <w:szCs w:val="16"/>
              </w:rPr>
              <w:t xml:space="preserve"> ±</w:t>
            </w:r>
            <w:r>
              <w:rPr>
                <w:sz w:val="16"/>
                <w:szCs w:val="16"/>
              </w:rPr>
              <w:t>0.34</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0.05</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color w:val="000000"/>
                <w:sz w:val="16"/>
                <w:szCs w:val="16"/>
              </w:rPr>
              <w:t>SR2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trHeight w:val="63"/>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E7F3F4"/>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E7F3F4"/>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color w:val="000000"/>
                <w:sz w:val="16"/>
                <w:szCs w:val="16"/>
              </w:rPr>
            </w:pPr>
            <w:r>
              <w:rPr>
                <w:b/>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AP1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0.73</w:t>
            </w:r>
            <w:r>
              <w:rPr>
                <w:color w:val="000000"/>
                <w:sz w:val="16"/>
                <w:szCs w:val="16"/>
              </w:rPr>
              <w:t xml:space="preserve"> ±</w:t>
            </w:r>
            <w:r>
              <w:rPr>
                <w:sz w:val="16"/>
                <w:szCs w:val="16"/>
              </w:rPr>
              <w:t>0.41</w:t>
            </w:r>
          </w:p>
        </w:tc>
        <w:tc>
          <w:tcPr>
            <w:tcW w:w="1454"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0.56</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25</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AP2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2.40</w:t>
            </w:r>
            <w:r>
              <w:rPr>
                <w:color w:val="000000"/>
                <w:sz w:val="16"/>
                <w:szCs w:val="16"/>
              </w:rPr>
              <w:t xml:space="preserve"> ±</w:t>
            </w:r>
            <w:r>
              <w:rPr>
                <w:sz w:val="16"/>
                <w:szCs w:val="16"/>
              </w:rPr>
              <w:t>0.80</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1.82</w:t>
            </w:r>
          </w:p>
        </w:tc>
        <w:tc>
          <w:tcPr>
            <w:tcW w:w="96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50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FR1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w:t>
            </w:r>
          </w:p>
        </w:tc>
        <w:tc>
          <w:tcPr>
            <w:tcW w:w="96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FR2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w:t>
            </w:r>
          </w:p>
        </w:tc>
        <w:tc>
          <w:tcPr>
            <w:tcW w:w="96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ST1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0.27</w:t>
            </w:r>
            <w:r>
              <w:rPr>
                <w:color w:val="000000"/>
                <w:sz w:val="16"/>
                <w:szCs w:val="16"/>
              </w:rPr>
              <w:t xml:space="preserve"> ±</w:t>
            </w:r>
            <w:r>
              <w:rPr>
                <w:sz w:val="16"/>
                <w:szCs w:val="16"/>
              </w:rPr>
              <w:t>0.15</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0.2</w:t>
            </w:r>
          </w:p>
        </w:tc>
        <w:tc>
          <w:tcPr>
            <w:tcW w:w="96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ST2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2.60</w:t>
            </w:r>
            <w:r>
              <w:rPr>
                <w:color w:val="000000"/>
                <w:sz w:val="16"/>
                <w:szCs w:val="16"/>
              </w:rPr>
              <w:t xml:space="preserve"> ±</w:t>
            </w:r>
            <w:r>
              <w:rPr>
                <w:sz w:val="16"/>
                <w:szCs w:val="16"/>
              </w:rPr>
              <w:t>0.90</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1.97</w:t>
            </w:r>
          </w:p>
        </w:tc>
        <w:tc>
          <w:tcPr>
            <w:tcW w:w="96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50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color w:val="000000"/>
                <w:sz w:val="16"/>
                <w:szCs w:val="16"/>
              </w:rPr>
            </w:pPr>
            <w:r>
              <w:rPr>
                <w:b/>
                <w:sz w:val="16"/>
                <w:szCs w:val="16"/>
              </w:rPr>
              <w:t>21</w:t>
            </w:r>
          </w:p>
        </w:tc>
      </w:tr>
      <w:tr w:rsidR="00842050" w:rsidTr="00805748">
        <w:trPr>
          <w:jc w:val="center"/>
        </w:trPr>
        <w:tc>
          <w:tcPr>
            <w:tcW w:w="1616"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454"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825"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color w:val="000000"/>
                <w:sz w:val="16"/>
                <w:szCs w:val="16"/>
              </w:rPr>
            </w:pPr>
            <w:r>
              <w:rPr>
                <w:b/>
                <w:sz w:val="16"/>
                <w:szCs w:val="16"/>
              </w:rPr>
              <w:t>10</w:t>
            </w:r>
          </w:p>
        </w:tc>
      </w:tr>
      <w:tr w:rsidR="00842050" w:rsidTr="00805748">
        <w:trPr>
          <w:jc w:val="center"/>
        </w:trPr>
        <w:tc>
          <w:tcPr>
            <w:tcW w:w="1616"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Wet Tropics</w:t>
            </w:r>
          </w:p>
        </w:tc>
        <w:tc>
          <w:tcPr>
            <w:tcW w:w="154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LB1</w:t>
            </w:r>
          </w:p>
        </w:tc>
        <w:tc>
          <w:tcPr>
            <w:tcW w:w="130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1454"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color w:val="000000"/>
                <w:sz w:val="16"/>
                <w:szCs w:val="16"/>
              </w:rPr>
              <w:t>8.22</w:t>
            </w:r>
          </w:p>
        </w:tc>
        <w:tc>
          <w:tcPr>
            <w:tcW w:w="825"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LB2</w:t>
            </w:r>
          </w:p>
        </w:tc>
        <w:tc>
          <w:tcPr>
            <w:tcW w:w="130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color w:val="000000"/>
                <w:sz w:val="16"/>
                <w:szCs w:val="16"/>
              </w:rPr>
              <w:t>8.22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YP1</w:t>
            </w:r>
          </w:p>
        </w:tc>
        <w:tc>
          <w:tcPr>
            <w:tcW w:w="130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color w:val="000000"/>
                <w:sz w:val="16"/>
                <w:szCs w:val="16"/>
              </w:rPr>
              <w:t>8.22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YP2</w:t>
            </w:r>
          </w:p>
        </w:tc>
        <w:tc>
          <w:tcPr>
            <w:tcW w:w="130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color w:val="000000"/>
                <w:sz w:val="16"/>
                <w:szCs w:val="16"/>
              </w:rPr>
              <w:t>8.22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E7F3F4"/>
          </w:tcPr>
          <w:p w:rsidR="00842050" w:rsidRDefault="00842050" w:rsidP="00805748">
            <w:pPr>
              <w:spacing w:before="0" w:after="0" w:line="180" w:lineRule="exact"/>
              <w:jc w:val="center"/>
              <w:rPr>
                <w:b/>
                <w:color w:val="000000"/>
                <w:sz w:val="16"/>
                <w:szCs w:val="16"/>
              </w:rPr>
            </w:pPr>
          </w:p>
        </w:tc>
        <w:tc>
          <w:tcPr>
            <w:tcW w:w="825" w:type="dxa"/>
            <w:tcBorders>
              <w:top w:val="nil"/>
              <w:left w:val="nil"/>
              <w:bottom w:val="single" w:sz="4" w:space="0" w:color="auto"/>
              <w:right w:val="nil"/>
            </w:tcBorders>
            <w:shd w:val="clear" w:color="auto" w:fill="E7F3F4"/>
          </w:tcPr>
          <w:p w:rsidR="00842050" w:rsidRDefault="00842050" w:rsidP="00805748">
            <w:pPr>
              <w:spacing w:before="0" w:after="0" w:line="180" w:lineRule="exact"/>
              <w:jc w:val="center"/>
              <w:rPr>
                <w:b/>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color w:val="000000"/>
                <w:sz w:val="16"/>
                <w:szCs w:val="16"/>
              </w:rPr>
            </w:pPr>
            <w:r>
              <w:rPr>
                <w:b/>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DI1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0.73</w:t>
            </w:r>
            <w:r>
              <w:rPr>
                <w:color w:val="000000"/>
                <w:sz w:val="16"/>
                <w:szCs w:val="16"/>
              </w:rPr>
              <w:t xml:space="preserve"> ±</w:t>
            </w:r>
            <w:r>
              <w:rPr>
                <w:sz w:val="16"/>
                <w:szCs w:val="16"/>
              </w:rPr>
              <w:t>0.52</w:t>
            </w:r>
          </w:p>
        </w:tc>
        <w:tc>
          <w:tcPr>
            <w:tcW w:w="1454"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0.56</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sz w:val="16"/>
                <w:szCs w:val="16"/>
              </w:rPr>
            </w:pPr>
            <w:r>
              <w:rPr>
                <w:sz w:val="16"/>
                <w:szCs w:val="16"/>
              </w:rPr>
              <w:t>25</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DI2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1.00</w:t>
            </w:r>
            <w:r>
              <w:rPr>
                <w:color w:val="000000"/>
                <w:sz w:val="16"/>
                <w:szCs w:val="16"/>
              </w:rPr>
              <w:t xml:space="preserve"> ±</w:t>
            </w:r>
            <w:r>
              <w:rPr>
                <w:sz w:val="16"/>
                <w:szCs w:val="16"/>
              </w:rPr>
              <w:t>0.66</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0.76</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25</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GI1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0.07</w:t>
            </w:r>
            <w:r>
              <w:rPr>
                <w:color w:val="000000"/>
                <w:sz w:val="16"/>
                <w:szCs w:val="16"/>
              </w:rPr>
              <w:t xml:space="preserve"> ±</w:t>
            </w:r>
            <w:r>
              <w:rPr>
                <w:sz w:val="16"/>
                <w:szCs w:val="16"/>
              </w:rPr>
              <w:t>0.07</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0.05</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GI2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0.07</w:t>
            </w:r>
            <w:r>
              <w:rPr>
                <w:color w:val="000000"/>
                <w:sz w:val="16"/>
                <w:szCs w:val="16"/>
              </w:rPr>
              <w:t xml:space="preserve"> ±</w:t>
            </w:r>
            <w:r>
              <w:rPr>
                <w:sz w:val="16"/>
                <w:szCs w:val="16"/>
              </w:rPr>
              <w:t>0.07</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0.05</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LI1</w:t>
            </w:r>
          </w:p>
        </w:tc>
        <w:tc>
          <w:tcPr>
            <w:tcW w:w="130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1454" w:type="dxa"/>
            <w:shd w:val="clear" w:color="auto" w:fill="F3F9FA"/>
            <w:vAlign w:val="bottom"/>
            <w:hideMark/>
          </w:tcPr>
          <w:p w:rsidR="00842050" w:rsidRDefault="00842050" w:rsidP="00805748">
            <w:pPr>
              <w:spacing w:before="0" w:after="0" w:line="180" w:lineRule="exact"/>
              <w:jc w:val="center"/>
              <w:rPr>
                <w:color w:val="000000"/>
                <w:sz w:val="16"/>
                <w:szCs w:val="16"/>
              </w:rPr>
            </w:pPr>
            <w:r>
              <w:rPr>
                <w:color w:val="000000"/>
                <w:sz w:val="16"/>
                <w:szCs w:val="16"/>
              </w:rPr>
              <w:t>1.32</w:t>
            </w:r>
          </w:p>
        </w:tc>
        <w:tc>
          <w:tcPr>
            <w:tcW w:w="825" w:type="dxa"/>
            <w:shd w:val="clear" w:color="auto" w:fill="F3F9FA"/>
            <w:vAlign w:val="bottom"/>
            <w:hideMark/>
          </w:tcPr>
          <w:p w:rsidR="00842050" w:rsidRDefault="00842050" w:rsidP="00805748">
            <w:pPr>
              <w:spacing w:before="0" w:after="0" w:line="180" w:lineRule="exact"/>
              <w:jc w:val="center"/>
              <w:rPr>
                <w:color w:val="000000"/>
                <w:sz w:val="16"/>
                <w:szCs w:val="16"/>
              </w:rPr>
            </w:pPr>
            <w:r>
              <w:rPr>
                <w:color w:val="000000"/>
                <w:sz w:val="16"/>
                <w:szCs w:val="16"/>
              </w:rPr>
              <w:t>0</w:t>
            </w:r>
          </w:p>
        </w:tc>
        <w:tc>
          <w:tcPr>
            <w:tcW w:w="960" w:type="dxa"/>
            <w:shd w:val="clear" w:color="auto" w:fill="F3F9FA"/>
            <w:noWrap/>
            <w:vAlign w:val="bottom"/>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8</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subtidal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DI3</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2.13</w:t>
            </w:r>
            <w:r>
              <w:rPr>
                <w:color w:val="000000"/>
                <w:sz w:val="16"/>
                <w:szCs w:val="16"/>
              </w:rPr>
              <w:t xml:space="preserve"> ±</w:t>
            </w:r>
            <w:r>
              <w:rPr>
                <w:sz w:val="16"/>
                <w:szCs w:val="16"/>
              </w:rPr>
              <w:t>1.86</w:t>
            </w:r>
          </w:p>
        </w:tc>
        <w:tc>
          <w:tcPr>
            <w:tcW w:w="1454"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0.24</w:t>
            </w:r>
          </w:p>
        </w:tc>
        <w:tc>
          <w:tcPr>
            <w:tcW w:w="825"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8.85</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sz w:val="16"/>
                <w:szCs w:val="16"/>
              </w:rPr>
            </w:pPr>
            <w:r>
              <w:rPr>
                <w:sz w:val="16"/>
                <w:szCs w:val="16"/>
              </w:rPr>
              <w:t>100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GI3</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0.40</w:t>
            </w:r>
            <w:r>
              <w:rPr>
                <w:color w:val="000000"/>
                <w:sz w:val="16"/>
                <w:szCs w:val="16"/>
              </w:rPr>
              <w:t xml:space="preserve"> ±</w:t>
            </w:r>
            <w:r>
              <w:rPr>
                <w:sz w:val="16"/>
                <w:szCs w:val="16"/>
              </w:rPr>
              <w:t>0.27</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0.24</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1.67</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50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LI2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4.82</w:t>
            </w:r>
            <w:r>
              <w:rPr>
                <w:color w:val="000000"/>
                <w:sz w:val="16"/>
                <w:szCs w:val="16"/>
              </w:rPr>
              <w:t xml:space="preserve"> ±</w:t>
            </w:r>
            <w:r>
              <w:rPr>
                <w:sz w:val="16"/>
                <w:szCs w:val="16"/>
              </w:rPr>
              <w:t>1.33</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0.24</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20.08</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100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83</w:t>
            </w:r>
          </w:p>
        </w:tc>
      </w:tr>
      <w:tr w:rsidR="00842050" w:rsidTr="00805748">
        <w:trPr>
          <w:jc w:val="center"/>
        </w:trPr>
        <w:tc>
          <w:tcPr>
            <w:tcW w:w="1616"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454"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825"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31</w:t>
            </w:r>
          </w:p>
        </w:tc>
      </w:tr>
      <w:tr w:rsidR="00842050" w:rsidTr="00805748">
        <w:trPr>
          <w:jc w:val="center"/>
        </w:trPr>
        <w:tc>
          <w:tcPr>
            <w:tcW w:w="1616"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Burdekin</w:t>
            </w:r>
          </w:p>
        </w:tc>
        <w:tc>
          <w:tcPr>
            <w:tcW w:w="154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BB1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6.20</w:t>
            </w:r>
            <w:r>
              <w:rPr>
                <w:color w:val="000000"/>
                <w:sz w:val="16"/>
                <w:szCs w:val="16"/>
              </w:rPr>
              <w:t xml:space="preserve"> ±</w:t>
            </w:r>
            <w:r>
              <w:rPr>
                <w:sz w:val="16"/>
                <w:szCs w:val="16"/>
              </w:rPr>
              <w:t>1.93</w:t>
            </w:r>
          </w:p>
        </w:tc>
        <w:tc>
          <w:tcPr>
            <w:tcW w:w="1454"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0.75</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sz w:val="16"/>
                <w:szCs w:val="16"/>
              </w:rPr>
            </w:pPr>
            <w:r>
              <w:rPr>
                <w:sz w:val="16"/>
                <w:szCs w:val="16"/>
              </w:rPr>
              <w:t>25</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SB1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0.67</w:t>
            </w:r>
            <w:r>
              <w:rPr>
                <w:color w:val="000000"/>
                <w:sz w:val="16"/>
                <w:szCs w:val="16"/>
              </w:rPr>
              <w:t xml:space="preserve"> ±</w:t>
            </w:r>
            <w:r>
              <w:rPr>
                <w:sz w:val="16"/>
                <w:szCs w:val="16"/>
              </w:rPr>
              <w:t>0.39</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0.08</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JR1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1.93</w:t>
            </w:r>
            <w:r>
              <w:rPr>
                <w:color w:val="000000"/>
                <w:sz w:val="16"/>
                <w:szCs w:val="16"/>
              </w:rPr>
              <w:t xml:space="preserve"> ±</w:t>
            </w:r>
            <w:r>
              <w:rPr>
                <w:sz w:val="16"/>
                <w:szCs w:val="16"/>
              </w:rPr>
              <w:t>0.69</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0.24</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JR2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0.80</w:t>
            </w:r>
            <w:r>
              <w:rPr>
                <w:color w:val="000000"/>
                <w:sz w:val="16"/>
                <w:szCs w:val="16"/>
              </w:rPr>
              <w:t xml:space="preserve"> ±</w:t>
            </w:r>
            <w:r>
              <w:rPr>
                <w:sz w:val="16"/>
                <w:szCs w:val="16"/>
              </w:rPr>
              <w:t>0.34</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0.1</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6</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MI1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1.27</w:t>
            </w:r>
            <w:r>
              <w:rPr>
                <w:color w:val="000000"/>
                <w:sz w:val="16"/>
                <w:szCs w:val="16"/>
              </w:rPr>
              <w:t xml:space="preserve"> ±</w:t>
            </w:r>
            <w:r>
              <w:rPr>
                <w:sz w:val="16"/>
                <w:szCs w:val="16"/>
              </w:rPr>
              <w:t>0.69</w:t>
            </w:r>
          </w:p>
        </w:tc>
        <w:tc>
          <w:tcPr>
            <w:tcW w:w="1454"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0.96</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sz w:val="16"/>
                <w:szCs w:val="16"/>
              </w:rPr>
            </w:pPr>
            <w:r>
              <w:rPr>
                <w:sz w:val="16"/>
                <w:szCs w:val="16"/>
              </w:rPr>
              <w:t>25</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MI2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0.13</w:t>
            </w:r>
            <w:r>
              <w:rPr>
                <w:color w:val="000000"/>
                <w:sz w:val="16"/>
                <w:szCs w:val="16"/>
              </w:rPr>
              <w:t xml:space="preserve"> ±</w:t>
            </w:r>
            <w:r>
              <w:rPr>
                <w:sz w:val="16"/>
                <w:szCs w:val="16"/>
              </w:rPr>
              <w:t>0.13</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0.10</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13</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subtidal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MI3</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2.47</w:t>
            </w:r>
            <w:r>
              <w:rPr>
                <w:color w:val="000000"/>
                <w:sz w:val="16"/>
                <w:szCs w:val="16"/>
              </w:rPr>
              <w:t xml:space="preserve"> ±</w:t>
            </w:r>
            <w:r>
              <w:rPr>
                <w:sz w:val="16"/>
                <w:szCs w:val="16"/>
              </w:rPr>
              <w:t>1.29</w:t>
            </w:r>
          </w:p>
        </w:tc>
        <w:tc>
          <w:tcPr>
            <w:tcW w:w="1454"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0.24</w:t>
            </w:r>
          </w:p>
        </w:tc>
        <w:tc>
          <w:tcPr>
            <w:tcW w:w="825"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10.28</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sz w:val="16"/>
                <w:szCs w:val="16"/>
              </w:rPr>
            </w:pPr>
            <w:r>
              <w:rPr>
                <w:sz w:val="16"/>
                <w:szCs w:val="16"/>
              </w:rPr>
              <w:t>100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100</w:t>
            </w:r>
          </w:p>
        </w:tc>
      </w:tr>
      <w:tr w:rsidR="00842050" w:rsidTr="00805748">
        <w:trPr>
          <w:jc w:val="center"/>
        </w:trPr>
        <w:tc>
          <w:tcPr>
            <w:tcW w:w="1616"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454"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825"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40</w:t>
            </w:r>
          </w:p>
        </w:tc>
      </w:tr>
      <w:tr w:rsidR="00842050" w:rsidTr="00805748">
        <w:trPr>
          <w:jc w:val="center"/>
        </w:trPr>
        <w:tc>
          <w:tcPr>
            <w:tcW w:w="1616" w:type="dx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Mackay Whitsunday</w:t>
            </w:r>
          </w:p>
        </w:tc>
        <w:tc>
          <w:tcPr>
            <w:tcW w:w="154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SI1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8.27</w:t>
            </w:r>
            <w:r>
              <w:rPr>
                <w:color w:val="000000"/>
                <w:sz w:val="16"/>
                <w:szCs w:val="16"/>
              </w:rPr>
              <w:t xml:space="preserve"> ±</w:t>
            </w:r>
            <w:r>
              <w:rPr>
                <w:sz w:val="16"/>
                <w:szCs w:val="16"/>
              </w:rPr>
              <w:t>2.34</w:t>
            </w:r>
          </w:p>
        </w:tc>
        <w:tc>
          <w:tcPr>
            <w:tcW w:w="1454"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5.07</w:t>
            </w:r>
          </w:p>
        </w:tc>
        <w:tc>
          <w:tcPr>
            <w:tcW w:w="825"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1.63</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50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SI2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5.33</w:t>
            </w:r>
            <w:r>
              <w:rPr>
                <w:color w:val="000000"/>
                <w:sz w:val="16"/>
                <w:szCs w:val="16"/>
              </w:rPr>
              <w:t xml:space="preserve"> ±</w:t>
            </w:r>
            <w:r>
              <w:rPr>
                <w:sz w:val="16"/>
                <w:szCs w:val="16"/>
              </w:rPr>
              <w:t>2.25</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5.07</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1.05</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50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50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PI2</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6.07</w:t>
            </w:r>
            <w:r>
              <w:rPr>
                <w:color w:val="000000"/>
                <w:sz w:val="16"/>
                <w:szCs w:val="16"/>
              </w:rPr>
              <w:t xml:space="preserve"> ±</w:t>
            </w:r>
            <w:r>
              <w:rPr>
                <w:sz w:val="16"/>
                <w:szCs w:val="16"/>
              </w:rPr>
              <w:t>2.17</w:t>
            </w:r>
          </w:p>
        </w:tc>
        <w:tc>
          <w:tcPr>
            <w:tcW w:w="1454"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0.74</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sz w:val="16"/>
                <w:szCs w:val="16"/>
              </w:rPr>
            </w:pPr>
            <w:r>
              <w:rPr>
                <w:sz w:val="16"/>
                <w:szCs w:val="16"/>
              </w:rPr>
              <w:t>25</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PI3</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7.40</w:t>
            </w:r>
            <w:r>
              <w:rPr>
                <w:color w:val="000000"/>
                <w:sz w:val="16"/>
                <w:szCs w:val="16"/>
              </w:rPr>
              <w:t xml:space="preserve"> ±</w:t>
            </w:r>
            <w:r>
              <w:rPr>
                <w:sz w:val="16"/>
                <w:szCs w:val="16"/>
              </w:rPr>
              <w:t>1.88</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0.90</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25</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25</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HM1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c>
          <w:tcPr>
            <w:tcW w:w="1454"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0</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HM2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1.60</w:t>
            </w:r>
            <w:r>
              <w:rPr>
                <w:color w:val="000000"/>
                <w:sz w:val="16"/>
                <w:szCs w:val="16"/>
              </w:rPr>
              <w:t xml:space="preserve"> ±</w:t>
            </w:r>
            <w:r>
              <w:rPr>
                <w:sz w:val="16"/>
                <w:szCs w:val="16"/>
              </w:rPr>
              <w:t>0.58</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1.21</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50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25</w:t>
            </w:r>
          </w:p>
        </w:tc>
      </w:tr>
      <w:tr w:rsidR="00842050" w:rsidTr="00805748">
        <w:trPr>
          <w:jc w:val="center"/>
        </w:trPr>
        <w:tc>
          <w:tcPr>
            <w:tcW w:w="1616"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454"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825"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33</w:t>
            </w:r>
          </w:p>
        </w:tc>
      </w:tr>
      <w:tr w:rsidR="00842050" w:rsidTr="00805748">
        <w:trPr>
          <w:jc w:val="center"/>
        </w:trPr>
        <w:tc>
          <w:tcPr>
            <w:tcW w:w="1616" w:type="dx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Fitzroy</w:t>
            </w:r>
          </w:p>
        </w:tc>
        <w:tc>
          <w:tcPr>
            <w:tcW w:w="154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GH1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w:t>
            </w:r>
          </w:p>
        </w:tc>
        <w:tc>
          <w:tcPr>
            <w:tcW w:w="1454"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5.07</w:t>
            </w:r>
          </w:p>
        </w:tc>
        <w:tc>
          <w:tcPr>
            <w:tcW w:w="825"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0</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GH2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1.80</w:t>
            </w:r>
            <w:r>
              <w:rPr>
                <w:color w:val="000000"/>
                <w:sz w:val="16"/>
                <w:szCs w:val="16"/>
              </w:rPr>
              <w:t xml:space="preserve"> ±</w:t>
            </w:r>
            <w:r>
              <w:rPr>
                <w:sz w:val="16"/>
                <w:szCs w:val="16"/>
              </w:rPr>
              <w:t>0.44</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5.07</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0.36</w:t>
            </w:r>
          </w:p>
        </w:tc>
        <w:tc>
          <w:tcPr>
            <w:tcW w:w="96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RC1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c>
          <w:tcPr>
            <w:tcW w:w="1454"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0</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WH1</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0.13</w:t>
            </w:r>
            <w:r>
              <w:rPr>
                <w:color w:val="000000"/>
                <w:sz w:val="16"/>
                <w:szCs w:val="16"/>
              </w:rPr>
              <w:t xml:space="preserve"> ±</w:t>
            </w:r>
            <w:r>
              <w:rPr>
                <w:sz w:val="16"/>
                <w:szCs w:val="16"/>
              </w:rPr>
              <w:t>0.09</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8.22</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0.02</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GK1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0.07</w:t>
            </w:r>
            <w:r>
              <w:rPr>
                <w:color w:val="000000"/>
                <w:sz w:val="16"/>
                <w:szCs w:val="16"/>
              </w:rPr>
              <w:t xml:space="preserve"> ±</w:t>
            </w:r>
            <w:r>
              <w:rPr>
                <w:sz w:val="16"/>
                <w:szCs w:val="16"/>
              </w:rPr>
              <w:t>0.07</w:t>
            </w:r>
          </w:p>
        </w:tc>
        <w:tc>
          <w:tcPr>
            <w:tcW w:w="1454"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tcBorders>
              <w:top w:val="single" w:sz="4" w:space="0" w:color="auto"/>
              <w:left w:val="nil"/>
              <w:bottom w:val="nil"/>
              <w:right w:val="nil"/>
            </w:tcBorders>
            <w:shd w:val="clear" w:color="auto" w:fill="F3F9FA"/>
            <w:hideMark/>
          </w:tcPr>
          <w:p w:rsidR="00842050" w:rsidRDefault="00842050" w:rsidP="00805748">
            <w:pPr>
              <w:spacing w:before="0" w:after="0" w:line="180" w:lineRule="exact"/>
              <w:jc w:val="center"/>
              <w:rPr>
                <w:color w:val="000000"/>
                <w:sz w:val="16"/>
                <w:szCs w:val="16"/>
              </w:rPr>
            </w:pPr>
            <w:r>
              <w:rPr>
                <w:sz w:val="16"/>
                <w:szCs w:val="16"/>
              </w:rPr>
              <w:t>0.05</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GK2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0</w:t>
            </w:r>
          </w:p>
        </w:tc>
        <w:tc>
          <w:tcPr>
            <w:tcW w:w="1454"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1.32</w:t>
            </w:r>
          </w:p>
        </w:tc>
        <w:tc>
          <w:tcPr>
            <w:tcW w:w="825" w:type="dxa"/>
            <w:shd w:val="clear" w:color="auto" w:fill="F3F9FA"/>
            <w:hideMark/>
          </w:tcPr>
          <w:p w:rsidR="00842050" w:rsidRDefault="00842050" w:rsidP="00805748">
            <w:pPr>
              <w:spacing w:before="0" w:after="0" w:line="180" w:lineRule="exact"/>
              <w:jc w:val="center"/>
              <w:rPr>
                <w:color w:val="000000"/>
                <w:sz w:val="16"/>
                <w:szCs w:val="16"/>
              </w:rPr>
            </w:pPr>
            <w:r>
              <w:rPr>
                <w:sz w:val="16"/>
                <w:szCs w:val="16"/>
              </w:rPr>
              <w:t>0</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F3F9FA"/>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0</w:t>
            </w:r>
          </w:p>
        </w:tc>
      </w:tr>
      <w:tr w:rsidR="00842050" w:rsidTr="00805748">
        <w:trPr>
          <w:jc w:val="center"/>
        </w:trPr>
        <w:tc>
          <w:tcPr>
            <w:tcW w:w="1616"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454"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825" w:type="dxa"/>
            <w:tcBorders>
              <w:top w:val="single" w:sz="4" w:space="0" w:color="auto"/>
              <w:left w:val="nil"/>
              <w:bottom w:val="single" w:sz="4" w:space="0" w:color="auto"/>
              <w:right w:val="nil"/>
            </w:tcBorders>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0</w:t>
            </w:r>
          </w:p>
        </w:tc>
      </w:tr>
      <w:tr w:rsidR="00842050" w:rsidTr="00805748">
        <w:trPr>
          <w:jc w:val="center"/>
        </w:trPr>
        <w:tc>
          <w:tcPr>
            <w:tcW w:w="1616"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Burnett Mary</w:t>
            </w:r>
          </w:p>
        </w:tc>
        <w:tc>
          <w:tcPr>
            <w:tcW w:w="1543"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RD1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c>
          <w:tcPr>
            <w:tcW w:w="1454"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5.07</w:t>
            </w:r>
          </w:p>
        </w:tc>
        <w:tc>
          <w:tcPr>
            <w:tcW w:w="825" w:type="dxa"/>
            <w:tcBorders>
              <w:top w:val="single" w:sz="4" w:space="0" w:color="auto"/>
              <w:left w:val="nil"/>
              <w:bottom w:val="nil"/>
              <w:right w:val="nil"/>
            </w:tcBorders>
            <w:shd w:val="clear" w:color="auto" w:fill="E7F3F4"/>
            <w:hideMark/>
          </w:tcPr>
          <w:p w:rsidR="00842050" w:rsidRDefault="00842050" w:rsidP="00805748">
            <w:pPr>
              <w:spacing w:before="0" w:after="0" w:line="180" w:lineRule="exact"/>
              <w:jc w:val="center"/>
              <w:rPr>
                <w:color w:val="000000"/>
                <w:sz w:val="16"/>
                <w:szCs w:val="16"/>
              </w:rPr>
            </w:pPr>
            <w:r>
              <w:rPr>
                <w:sz w:val="16"/>
                <w:szCs w:val="16"/>
              </w:rPr>
              <w:t>0</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RD2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5.07</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trHeight w:val="54"/>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UG1</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3.40</w:t>
            </w:r>
            <w:r>
              <w:rPr>
                <w:color w:val="000000"/>
                <w:sz w:val="16"/>
                <w:szCs w:val="16"/>
              </w:rPr>
              <w:t xml:space="preserve"> ±</w:t>
            </w:r>
            <w:r>
              <w:rPr>
                <w:sz w:val="16"/>
                <w:szCs w:val="16"/>
              </w:rPr>
              <w:t>1.36</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5.07</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0.67</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25</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UG2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2.20</w:t>
            </w:r>
            <w:r>
              <w:rPr>
                <w:color w:val="000000"/>
                <w:sz w:val="16"/>
                <w:szCs w:val="16"/>
              </w:rPr>
              <w:t xml:space="preserve"> ±</w:t>
            </w:r>
            <w:r>
              <w:rPr>
                <w:sz w:val="16"/>
                <w:szCs w:val="16"/>
              </w:rPr>
              <w:t>1.05</w:t>
            </w:r>
          </w:p>
        </w:tc>
        <w:tc>
          <w:tcPr>
            <w:tcW w:w="1454"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5.07</w:t>
            </w:r>
          </w:p>
        </w:tc>
        <w:tc>
          <w:tcPr>
            <w:tcW w:w="825" w:type="dxa"/>
            <w:shd w:val="clear" w:color="auto" w:fill="E7F3F4"/>
            <w:hideMark/>
          </w:tcPr>
          <w:p w:rsidR="00842050" w:rsidRDefault="00842050" w:rsidP="00805748">
            <w:pPr>
              <w:spacing w:before="0" w:after="0" w:line="180" w:lineRule="exact"/>
              <w:jc w:val="center"/>
              <w:rPr>
                <w:color w:val="000000"/>
                <w:sz w:val="16"/>
                <w:szCs w:val="16"/>
              </w:rPr>
            </w:pPr>
            <w:r>
              <w:rPr>
                <w:sz w:val="16"/>
                <w:szCs w:val="16"/>
              </w:rPr>
              <w:t>0.43</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0</w:t>
            </w:r>
          </w:p>
        </w:tc>
      </w:tr>
      <w:tr w:rsidR="00842050" w:rsidTr="00805748">
        <w:trPr>
          <w:jc w:val="center"/>
        </w:trPr>
        <w:tc>
          <w:tcPr>
            <w:tcW w:w="1616" w:type="dxa"/>
            <w:noWrap/>
            <w:vAlign w:val="bottom"/>
          </w:tcPr>
          <w:p w:rsidR="00842050" w:rsidRDefault="00842050" w:rsidP="00805748">
            <w:pPr>
              <w:spacing w:before="0" w:after="0" w:line="180" w:lineRule="exact"/>
              <w:jc w:val="center"/>
              <w:rPr>
                <w:color w:val="000000"/>
                <w:sz w:val="16"/>
                <w:szCs w:val="16"/>
              </w:rPr>
            </w:pPr>
          </w:p>
        </w:tc>
        <w:tc>
          <w:tcPr>
            <w:tcW w:w="1543"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454"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825" w:type="dxa"/>
            <w:tcBorders>
              <w:top w:val="nil"/>
              <w:left w:val="nil"/>
              <w:bottom w:val="single" w:sz="4" w:space="0" w:color="auto"/>
              <w:right w:val="nil"/>
            </w:tcBorders>
            <w:shd w:val="clear" w:color="auto" w:fill="E7F3F4"/>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sz w:val="16"/>
                <w:szCs w:val="16"/>
              </w:rPr>
            </w:pPr>
            <w:r>
              <w:rPr>
                <w:sz w:val="16"/>
                <w:szCs w:val="16"/>
              </w:rPr>
              <w:t>6</w:t>
            </w:r>
          </w:p>
        </w:tc>
      </w:tr>
      <w:tr w:rsidR="00842050" w:rsidTr="00805748">
        <w:trPr>
          <w:jc w:val="center"/>
        </w:trPr>
        <w:tc>
          <w:tcPr>
            <w:tcW w:w="1616"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543"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454" w:type="dxa"/>
            <w:tcBorders>
              <w:top w:val="single" w:sz="4" w:space="0" w:color="auto"/>
              <w:left w:val="nil"/>
              <w:bottom w:val="single" w:sz="4" w:space="0" w:color="auto"/>
              <w:right w:val="nil"/>
            </w:tcBorders>
          </w:tcPr>
          <w:p w:rsidR="00842050" w:rsidRDefault="00842050" w:rsidP="00805748">
            <w:pPr>
              <w:spacing w:before="0" w:after="0" w:line="180" w:lineRule="exact"/>
              <w:jc w:val="center"/>
              <w:rPr>
                <w:b/>
                <w:color w:val="000000"/>
                <w:sz w:val="16"/>
                <w:szCs w:val="16"/>
              </w:rPr>
            </w:pPr>
          </w:p>
        </w:tc>
        <w:tc>
          <w:tcPr>
            <w:tcW w:w="825" w:type="dxa"/>
            <w:tcBorders>
              <w:top w:val="single" w:sz="4" w:space="0" w:color="auto"/>
              <w:left w:val="nil"/>
              <w:bottom w:val="single" w:sz="4" w:space="0" w:color="auto"/>
              <w:right w:val="nil"/>
            </w:tcBorders>
          </w:tcPr>
          <w:p w:rsidR="00842050" w:rsidRDefault="00842050" w:rsidP="00805748">
            <w:pPr>
              <w:spacing w:before="0" w:after="0" w:line="180" w:lineRule="exact"/>
              <w:jc w:val="center"/>
              <w:rPr>
                <w:b/>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6</w:t>
            </w:r>
          </w:p>
        </w:tc>
      </w:tr>
    </w:tbl>
    <w:p w:rsidR="00842050" w:rsidRPr="00F12624" w:rsidRDefault="00842050" w:rsidP="00F12624">
      <w:pPr>
        <w:pStyle w:val="Heading2"/>
      </w:pPr>
      <w:bookmarkStart w:id="977" w:name="_Toc462047397"/>
      <w:r w:rsidRPr="00F12624">
        <w:lastRenderedPageBreak/>
        <w:t>Seagrass nutrient status.</w:t>
      </w:r>
      <w:bookmarkEnd w:id="975"/>
      <w:bookmarkEnd w:id="977"/>
    </w:p>
    <w:p w:rsidR="00842050" w:rsidRDefault="00842050" w:rsidP="00842050">
      <w:pPr>
        <w:rPr>
          <w:color w:val="000000"/>
          <w:szCs w:val="22"/>
        </w:rPr>
      </w:pPr>
      <w:r>
        <w:rPr>
          <w:color w:val="000000"/>
          <w:szCs w:val="22"/>
        </w:rPr>
        <w:t xml:space="preserve">The molar ratios of seagrass tissue carbon relative to nitrogen (C:N) were chosen as the indicator for seagrass nutrient status as an atomic C:N ratio of less than 20, may suggest either reduced light availability or nitrogen enrichment. Both of these deviations may indicate reduced water quality. Examination of the molar ratios of seagrass tissue carbon relative to nitrogen (C:N) between 2005 and 2008 explained 58% of the variance of the inter-site seagrass cover/abundance (McKenzie and </w:t>
      </w:r>
      <w:proofErr w:type="spellStart"/>
      <w:r>
        <w:rPr>
          <w:color w:val="000000"/>
          <w:szCs w:val="22"/>
        </w:rPr>
        <w:t>Unsworth</w:t>
      </w:r>
      <w:proofErr w:type="spellEnd"/>
      <w:r>
        <w:rPr>
          <w:color w:val="000000"/>
          <w:szCs w:val="22"/>
        </w:rPr>
        <w:t xml:space="preserve"> 2009). </w:t>
      </w:r>
    </w:p>
    <w:p w:rsidR="00842050" w:rsidRDefault="00842050" w:rsidP="00842050">
      <w:r>
        <w:t>As changing leaf C:N ratios have been found in a number of experiments and field surveys to be related to available nutrient and light levels (</w:t>
      </w:r>
      <w:r w:rsidR="00644A84">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Iml0YWxpYyI+LCBldCBhbC48L3N0eWxlPiAyMDA5PC9EaXNwbGF5VGV4dD48cmVjb3JkPjxyZWMt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</w:fldData>
        </w:fldChar>
      </w:r>
      <w:r w:rsidR="009E5562">
        <w:instrText xml:space="preserve"> ADDIN EN.CITE </w:instrText>
      </w:r>
      <w:r w:rsidR="009E5562">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Iml0YWxpYyI+LCBldCBhbC48L3N0eWxlPiAyMDA5PC9EaXNwbGF5VGV4dD48cmVjb3JkPjxyZWMt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</w:fldData>
        </w:fldChar>
      </w:r>
      <w:r w:rsidR="009E5562">
        <w:instrText xml:space="preserve"> ADDIN EN.CITE.DATA </w:instrText>
      </w:r>
      <w:r w:rsidR="009E5562">
        <w:fldChar w:fldCharType="end"/>
      </w:r>
      <w:r w:rsidR="00644A84">
        <w:fldChar w:fldCharType="separate"/>
      </w:r>
      <w:hyperlink w:anchor="_ENREF_2" w:tooltip="Abal, 1994 #7405" w:history="1">
        <w:r w:rsidR="00E6043D">
          <w:rPr>
            <w:noProof/>
          </w:rPr>
          <w:t>Abal</w:t>
        </w:r>
        <w:r w:rsidR="00E6043D" w:rsidRPr="00644A84">
          <w:rPr>
            <w:i/>
            <w:noProof/>
          </w:rPr>
          <w:t>, et al.</w:t>
        </w:r>
        <w:r w:rsidR="00E6043D">
          <w:rPr>
            <w:noProof/>
          </w:rPr>
          <w:t xml:space="preserve"> 1994</w:t>
        </w:r>
      </w:hyperlink>
      <w:r w:rsidR="00644A84">
        <w:rPr>
          <w:noProof/>
        </w:rPr>
        <w:t xml:space="preserve">; </w:t>
      </w:r>
      <w:hyperlink w:anchor="_ENREF_118" w:tooltip="Grice, 1996 #1346" w:history="1">
        <w:r w:rsidR="00E6043D">
          <w:rPr>
            <w:noProof/>
          </w:rPr>
          <w:t>Grice</w:t>
        </w:r>
        <w:r w:rsidR="00E6043D" w:rsidRPr="00644A84">
          <w:rPr>
            <w:i/>
            <w:noProof/>
          </w:rPr>
          <w:t>, et al.</w:t>
        </w:r>
        <w:r w:rsidR="00E6043D">
          <w:rPr>
            <w:noProof/>
          </w:rPr>
          <w:t xml:space="preserve"> 1996</w:t>
        </w:r>
      </w:hyperlink>
      <w:r w:rsidR="00644A84">
        <w:rPr>
          <w:noProof/>
        </w:rPr>
        <w:t xml:space="preserve">; </w:t>
      </w:r>
      <w:hyperlink w:anchor="_ENREF_29" w:tooltip="Cabaço, 2007 #9489" w:history="1">
        <w:r w:rsidR="00E6043D">
          <w:rPr>
            <w:noProof/>
          </w:rPr>
          <w:t>Cabaço and Santos 2007</w:t>
        </w:r>
      </w:hyperlink>
      <w:r w:rsidR="00644A84">
        <w:rPr>
          <w:noProof/>
        </w:rPr>
        <w:t xml:space="preserve">; </w:t>
      </w:r>
      <w:hyperlink w:anchor="_ENREF_64" w:tooltip="Collier, 2009 #9490" w:history="1">
        <w:r w:rsidR="00E6043D">
          <w:rPr>
            <w:noProof/>
          </w:rPr>
          <w:t>Collier</w:t>
        </w:r>
        <w:r w:rsidR="00E6043D" w:rsidRPr="00644A84">
          <w:rPr>
            <w:i/>
            <w:noProof/>
          </w:rPr>
          <w:t>, et al.</w:t>
        </w:r>
        <w:r w:rsidR="00E6043D">
          <w:rPr>
            <w:noProof/>
          </w:rPr>
          <w:t xml:space="preserve"> 2009</w:t>
        </w:r>
      </w:hyperlink>
      <w:r w:rsidR="00644A84">
        <w:fldChar w:fldCharType="end"/>
      </w:r>
      <w:r>
        <w:t>) they can be used as an indicator of the light that the plant is receiving relative to nitrogen availability or N surplus to light. With light limitation, seagrass plants are unable to build structure, hence the proportion of carbon in the leaves decreases relative to nitrogen. Experiments on seagrasses in Queensland have reported that at an atomic C:N ratio of less than 20, may suggest reduced light availability relative to nitrogen availability (</w:t>
      </w:r>
      <w:hyperlink w:anchor="_ENREF_2" w:tooltip="Abal, 1994 #7405" w:history="1">
        <w:r w:rsidR="00E6043D">
          <w:fldChar w:fldCharType="begin"/>
        </w:r>
        <w:r w:rsidR="00E6043D">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E6043D">
          <w:fldChar w:fldCharType="separate"/>
        </w:r>
        <w:r w:rsidR="00E6043D">
          <w:rPr>
            <w:noProof/>
          </w:rPr>
          <w:t>Abal</w:t>
        </w:r>
        <w:r w:rsidR="00E6043D" w:rsidRPr="00644A84">
          <w:rPr>
            <w:i/>
            <w:noProof/>
          </w:rPr>
          <w:t>, et al.</w:t>
        </w:r>
        <w:r w:rsidR="00E6043D">
          <w:rPr>
            <w:noProof/>
          </w:rPr>
          <w:t xml:space="preserve"> 1994</w:t>
        </w:r>
        <w:r w:rsidR="00E6043D">
          <w:fldChar w:fldCharType="end"/>
        </w:r>
      </w:hyperlink>
      <w:r>
        <w:t xml:space="preserve">; </w:t>
      </w:r>
      <w:hyperlink r:id="rId225" w:anchor="_ENREF_101" w:tooltip="Grice, 1996 #1346" w:history="1">
        <w:r>
          <w:rPr>
            <w:noProof/>
          </w:rPr>
          <w:t>AM Grice</w:t>
        </w:r>
        <w:r>
          <w:rPr>
            <w:i/>
            <w:noProof/>
          </w:rPr>
          <w:t>, et al.</w:t>
        </w:r>
        <w:r>
          <w:rPr>
            <w:noProof/>
          </w:rPr>
          <w:t>, 1996</w:t>
        </w:r>
      </w:hyperlink>
      <w:r>
        <w:rPr>
          <w:noProof/>
        </w:rPr>
        <w:t>;</w:t>
      </w:r>
      <w:r>
        <w:t>). The light availability to seagrass is not necessarily an indicator of light in the water column, but an indicator of the light that the plant is receiving as available light can be highly impacted by epiphytic growth or sediment smothering photosynthetic leaf tissue. However, C:N must be interpreted with caution as the level of N can also influence the ratio in oligotrophic environments (</w:t>
      </w:r>
      <w:r w:rsidR="00644A84">
        <w:fldChar w:fldCharType="begin"/>
      </w:r>
      <w:r w:rsidR="00644A84">
        <w:instrText xml:space="preserve"> ADDIN EN.CITE &lt;EndNote&gt;&lt;Cite&gt;&lt;Author&gt;Fourqurean&lt;/Author&gt;&lt;Year&gt;1992&lt;/Year&gt;&lt;RecNum&gt;9493&lt;/RecNum&gt;&lt;DisplayText&gt;Atkinson and Smith 1983; Fourqurean&lt;style face="italic"&gt;, et al.&lt;/style&gt; 1992b&lt;/DisplayText&gt;&lt;record&gt;&lt;rec-number&gt;9493&lt;/rec-number&gt;&lt;foreign-keys&gt;&lt;key app="EN" db-id="0eve55x9y5vfd6e9dacxtew4eatve2dzds9a"&gt;9493&lt;/key&gt;&lt;/foreign-keys&gt;&lt;ref-type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644A84">
        <w:fldChar w:fldCharType="separate"/>
      </w:r>
      <w:hyperlink w:anchor="_ENREF_9" w:tooltip="Atkinson, 1983 #6292" w:history="1">
        <w:r w:rsidR="00E6043D">
          <w:rPr>
            <w:noProof/>
          </w:rPr>
          <w:t>Atkinson and Smith 1983</w:t>
        </w:r>
      </w:hyperlink>
      <w:r w:rsidR="00644A84">
        <w:rPr>
          <w:noProof/>
        </w:rPr>
        <w:t xml:space="preserve">; </w:t>
      </w:r>
      <w:hyperlink w:anchor="_ENREF_112" w:tooltip="Fourqurean, 1992 #9493" w:history="1">
        <w:r w:rsidR="00E6043D">
          <w:rPr>
            <w:noProof/>
          </w:rPr>
          <w:t>Fourqurean</w:t>
        </w:r>
        <w:r w:rsidR="00E6043D" w:rsidRPr="00644A84">
          <w:rPr>
            <w:i/>
            <w:noProof/>
          </w:rPr>
          <w:t>, et al.</w:t>
        </w:r>
        <w:r w:rsidR="00E6043D">
          <w:rPr>
            <w:noProof/>
          </w:rPr>
          <w:t xml:space="preserve"> 1992b</w:t>
        </w:r>
      </w:hyperlink>
      <w:r w:rsidR="00644A84">
        <w:fldChar w:fldCharType="end"/>
      </w:r>
      <w:r>
        <w:t xml:space="preserve">). </w:t>
      </w:r>
      <w:r>
        <w:rPr>
          <w:lang w:val="en-US"/>
        </w:rPr>
        <w:t>Support for choosing the elemental C:N ratio as the indicator also comes from preliminary analysis of MMP data in 2009 which found that the C:N ratio was the only nutrient ratio that showed a significant relationship (positive) with seagrass cover at coastal and estuarine sites. Seagrass tissue C:N ratios explained 58% of the variance of the inter-site seagrass cover data (</w:t>
      </w:r>
      <w:hyperlink w:anchor="_ENREF_176" w:tooltip="McKenzie, 2009 #9494" w:history="1">
        <w:r w:rsidR="00E6043D">
          <w:fldChar w:fldCharType="begin"/>
        </w:r>
        <w:r w:rsidR="00E6043D">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E6043D">
          <w:fldChar w:fldCharType="separate"/>
        </w:r>
        <w:r w:rsidR="00E6043D">
          <w:rPr>
            <w:noProof/>
          </w:rPr>
          <w:t>McKenzie and Unsworth 2009</w:t>
        </w:r>
        <w:r w:rsidR="00E6043D">
          <w:fldChar w:fldCharType="end"/>
        </w:r>
      </w:hyperlink>
      <w:r>
        <w:rPr>
          <w:lang w:val="en-US"/>
        </w:rPr>
        <w:t xml:space="preserve">). </w:t>
      </w:r>
      <w:r>
        <w:t>Using the guideline ratio of 20:1 for the foundation seagrass species, C:N ratios were categorised on their departure from the guideline and transformed to a 0 to 100 score using:</w:t>
      </w:r>
    </w:p>
    <w:p w:rsidR="00842050" w:rsidRDefault="00842050" w:rsidP="00842050">
      <w:pPr>
        <w:rPr>
          <w:color w:val="000000"/>
        </w:rPr>
      </w:pPr>
      <w:r>
        <w:tab/>
      </w:r>
      <w:bookmarkStart w:id="978" w:name="_Ref408853282"/>
      <w:r>
        <w:t xml:space="preserve">Equation </w:t>
      </w:r>
      <w:fldSimple w:instr=" SEQ Equation \* ARABIC ">
        <w:r w:rsidR="009C068F">
          <w:rPr>
            <w:noProof/>
          </w:rPr>
          <w:t>1</w:t>
        </w:r>
      </w:fldSimple>
      <w:bookmarkEnd w:id="978"/>
      <w:r>
        <w:rPr>
          <w:color w:val="000000"/>
        </w:rPr>
        <w:tab/>
      </w:r>
      <w:r w:rsidR="00F81258">
        <w:rPr>
          <w:color w:val="000000"/>
          <w:position w:val="-10"/>
        </w:rPr>
        <w:object w:dxaOrig="1725"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quation used to determine C:N ratio departure from the guideline and transformed to a 0 to 100 score" style="width:84.4pt;height:18.4pt" o:ole="">
            <v:imagedata r:id="rId226" o:title=""/>
          </v:shape>
          <o:OLEObject Type="Embed" ProgID="Equation.3" ShapeID="_x0000_i1025" DrawAspect="Content" ObjectID="_1536574369" r:id="rId227"/>
        </w:object>
      </w:r>
    </w:p>
    <w:p w:rsidR="00842050" w:rsidRDefault="00842050" w:rsidP="00842050">
      <w:pPr>
        <w:tabs>
          <w:tab w:val="left" w:pos="2835"/>
        </w:tabs>
        <w:spacing w:before="0" w:after="0"/>
        <w:rPr>
          <w:i/>
          <w:color w:val="000000"/>
          <w:sz w:val="18"/>
          <w:szCs w:val="18"/>
        </w:rPr>
      </w:pPr>
      <w:r>
        <w:rPr>
          <w:i/>
          <w:color w:val="000000"/>
          <w:sz w:val="18"/>
          <w:szCs w:val="18"/>
        </w:rPr>
        <w:tab/>
        <w:t>NB: C:N ratios &gt;35  scored as 100, C:N ratios &lt;10  scored as 0</w:t>
      </w:r>
    </w:p>
    <w:p w:rsidR="00842050" w:rsidRDefault="00842050" w:rsidP="00842050">
      <w:pPr>
        <w:spacing w:before="240"/>
        <w:rPr>
          <w:color w:val="000000"/>
          <w:szCs w:val="22"/>
        </w:rPr>
      </w:pPr>
      <w:r>
        <w:rPr>
          <w:color w:val="000000"/>
          <w:szCs w:val="22"/>
        </w:rPr>
        <w:t>The score was then used to represent the status to allow integration with other components of the report card (</w:t>
      </w:r>
      <w:r>
        <w:fldChar w:fldCharType="begin"/>
      </w:r>
      <w:r>
        <w:rPr>
          <w:color w:val="000000"/>
        </w:rPr>
        <w:instrText xml:space="preserve"> REF _Ref273446285 \h  \* MERGEFORMAT </w:instrText>
      </w:r>
      <w:r>
        <w:fldChar w:fldCharType="separate"/>
      </w:r>
      <w:r w:rsidR="009C068F" w:rsidRPr="00015190">
        <w:rPr>
          <w:color w:val="000000"/>
          <w:szCs w:val="22"/>
        </w:rPr>
        <w:t xml:space="preserve">Table </w:t>
      </w:r>
      <w:r w:rsidR="009C068F">
        <w:rPr>
          <w:noProof/>
          <w:color w:val="000000"/>
          <w:szCs w:val="22"/>
        </w:rPr>
        <w:t>7</w:t>
      </w:r>
      <w:r>
        <w:fldChar w:fldCharType="end"/>
      </w:r>
      <w:r>
        <w:rPr>
          <w:color w:val="000000"/>
          <w:szCs w:val="22"/>
        </w:rPr>
        <w:t>).</w:t>
      </w:r>
    </w:p>
    <w:p w:rsidR="00842050" w:rsidRDefault="00842050" w:rsidP="00842050">
      <w:pPr>
        <w:jc w:val="center"/>
        <w:rPr>
          <w:rFonts w:cs="Arial"/>
          <w:i/>
          <w:color w:val="000000"/>
          <w:szCs w:val="22"/>
        </w:rPr>
      </w:pPr>
      <w:bookmarkStart w:id="979" w:name="_Toc431494023"/>
      <w:bookmarkStart w:id="980" w:name="_Toc462685112"/>
      <w:r>
        <w:rPr>
          <w:color w:val="000000"/>
          <w:szCs w:val="22"/>
        </w:rPr>
        <w:t xml:space="preserve">Table </w:t>
      </w:r>
      <w:r>
        <w:fldChar w:fldCharType="begin"/>
      </w:r>
      <w:r>
        <w:rPr>
          <w:color w:val="000000"/>
          <w:szCs w:val="22"/>
        </w:rPr>
        <w:instrText xml:space="preserve"> SEQ Table \* ARABIC </w:instrText>
      </w:r>
      <w:r>
        <w:fldChar w:fldCharType="separate"/>
      </w:r>
      <w:r w:rsidR="009C068F">
        <w:rPr>
          <w:noProof/>
          <w:color w:val="000000"/>
          <w:szCs w:val="22"/>
        </w:rPr>
        <w:t>43</w:t>
      </w:r>
      <w:r>
        <w:fldChar w:fldCharType="end"/>
      </w:r>
      <w:r>
        <w:rPr>
          <w:color w:val="000000"/>
          <w:szCs w:val="22"/>
        </w:rPr>
        <w:t xml:space="preserve">. </w:t>
      </w:r>
      <w:r>
        <w:rPr>
          <w:rFonts w:cs="Arial"/>
          <w:i/>
          <w:color w:val="000000"/>
          <w:szCs w:val="22"/>
        </w:rPr>
        <w:t>Scores for leaf tissue C:N against guideline to determine light and nutrient availability.</w:t>
      </w:r>
      <w:r>
        <w:rPr>
          <w:i/>
          <w:color w:val="000000"/>
        </w:rPr>
        <w:t xml:space="preserve"> NB: scores are </w:t>
      </w:r>
      <w:proofErr w:type="spellStart"/>
      <w:r>
        <w:rPr>
          <w:i/>
          <w:color w:val="000000"/>
        </w:rPr>
        <w:t>unitless</w:t>
      </w:r>
      <w:proofErr w:type="spellEnd"/>
      <w:r>
        <w:rPr>
          <w:i/>
          <w:color w:val="000000"/>
        </w:rPr>
        <w:t>.</w:t>
      </w:r>
      <w:bookmarkEnd w:id="979"/>
      <w:bookmarkEnd w:id="980"/>
    </w:p>
    <w:tbl>
      <w:tblPr>
        <w:tblW w:w="7066" w:type="dxa"/>
        <w:jc w:val="center"/>
        <w:tblLook w:val="04A0" w:firstRow="1" w:lastRow="0" w:firstColumn="1" w:lastColumn="0" w:noHBand="0" w:noVBand="1"/>
      </w:tblPr>
      <w:tblGrid>
        <w:gridCol w:w="1543"/>
        <w:gridCol w:w="2127"/>
        <w:gridCol w:w="916"/>
        <w:gridCol w:w="1382"/>
        <w:gridCol w:w="1098"/>
      </w:tblGrid>
      <w:tr w:rsidR="00842050" w:rsidTr="00805748">
        <w:trPr>
          <w:trHeight w:val="290"/>
          <w:jc w:val="center"/>
        </w:trPr>
        <w:tc>
          <w:tcPr>
            <w:tcW w:w="1543" w:type="dxa"/>
            <w:tcBorders>
              <w:top w:val="single" w:sz="4" w:space="0" w:color="auto"/>
              <w:left w:val="nil"/>
              <w:bottom w:val="single" w:sz="4" w:space="0" w:color="auto"/>
              <w:right w:val="nil"/>
            </w:tcBorders>
            <w:vAlign w:val="center"/>
            <w:hideMark/>
          </w:tcPr>
          <w:p w:rsidR="00842050" w:rsidRDefault="00842050" w:rsidP="00805748">
            <w:pPr>
              <w:spacing w:before="0" w:after="0"/>
              <w:jc w:val="center"/>
              <w:rPr>
                <w:b/>
                <w:color w:val="000000"/>
                <w:lang w:val="en-US"/>
              </w:rPr>
            </w:pPr>
            <w:r>
              <w:rPr>
                <w:b/>
                <w:color w:val="000000"/>
                <w:szCs w:val="22"/>
                <w:lang w:val="en-US"/>
              </w:rPr>
              <w:t>description</w:t>
            </w:r>
          </w:p>
        </w:tc>
        <w:tc>
          <w:tcPr>
            <w:tcW w:w="2127" w:type="dxa"/>
            <w:tcBorders>
              <w:top w:val="single" w:sz="4" w:space="0" w:color="auto"/>
              <w:left w:val="nil"/>
              <w:bottom w:val="single" w:sz="4" w:space="0" w:color="auto"/>
              <w:right w:val="nil"/>
            </w:tcBorders>
            <w:noWrap/>
            <w:vAlign w:val="center"/>
            <w:hideMark/>
          </w:tcPr>
          <w:p w:rsidR="00842050" w:rsidRDefault="00842050" w:rsidP="00805748">
            <w:pPr>
              <w:spacing w:before="0" w:after="0"/>
              <w:jc w:val="center"/>
              <w:rPr>
                <w:b/>
                <w:color w:val="000000"/>
                <w:lang w:val="en-US"/>
              </w:rPr>
            </w:pPr>
            <w:r>
              <w:rPr>
                <w:b/>
                <w:color w:val="000000"/>
                <w:szCs w:val="22"/>
                <w:lang w:val="en-US"/>
              </w:rPr>
              <w:t>C:N ratio range</w:t>
            </w:r>
          </w:p>
        </w:tc>
        <w:tc>
          <w:tcPr>
            <w:tcW w:w="916" w:type="dxa"/>
            <w:tcBorders>
              <w:top w:val="single" w:sz="4" w:space="0" w:color="auto"/>
              <w:left w:val="nil"/>
              <w:bottom w:val="single" w:sz="4" w:space="0" w:color="auto"/>
              <w:right w:val="nil"/>
            </w:tcBorders>
            <w:noWrap/>
            <w:vAlign w:val="center"/>
            <w:hideMark/>
          </w:tcPr>
          <w:p w:rsidR="00842050" w:rsidRDefault="00842050" w:rsidP="00805748">
            <w:pPr>
              <w:spacing w:before="0" w:after="0"/>
              <w:jc w:val="center"/>
              <w:rPr>
                <w:b/>
                <w:color w:val="000000"/>
                <w:lang w:val="en-US"/>
              </w:rPr>
            </w:pPr>
            <w:r>
              <w:rPr>
                <w:b/>
                <w:color w:val="000000"/>
                <w:szCs w:val="22"/>
                <w:lang w:val="en-US"/>
              </w:rPr>
              <w:t>value</w:t>
            </w:r>
          </w:p>
        </w:tc>
        <w:tc>
          <w:tcPr>
            <w:tcW w:w="1382" w:type="dxa"/>
            <w:tcBorders>
              <w:top w:val="single" w:sz="4" w:space="0" w:color="auto"/>
              <w:left w:val="nil"/>
              <w:bottom w:val="single" w:sz="4" w:space="0" w:color="auto"/>
              <w:right w:val="nil"/>
            </w:tcBorders>
            <w:noWrap/>
            <w:vAlign w:val="center"/>
            <w:hideMark/>
          </w:tcPr>
          <w:p w:rsidR="00842050" w:rsidRDefault="00842050" w:rsidP="00F63BE7">
            <w:pPr>
              <w:spacing w:before="0" w:after="0"/>
              <w:jc w:val="center"/>
              <w:rPr>
                <w:b/>
                <w:color w:val="000000"/>
                <w:lang w:val="en-US"/>
              </w:rPr>
            </w:pPr>
            <w:r>
              <w:rPr>
                <w:b/>
                <w:color w:val="000000"/>
                <w:szCs w:val="22"/>
                <w:lang w:val="en-US"/>
              </w:rPr>
              <w:t xml:space="preserve">Score </w:t>
            </w:r>
            <w:r>
              <w:rPr>
                <w:color w:val="000000"/>
                <w:szCs w:val="22"/>
                <w:lang w:val="en-US"/>
              </w:rPr>
              <w:t>(</w:t>
            </w:r>
            <w:r w:rsidR="00F63BE7" w:rsidRPr="00F63BE7">
              <w:rPr>
                <w:noProof/>
                <w:color w:val="000000"/>
                <w:lang w:eastAsia="en-AU"/>
              </w:rPr>
              <w:drawing>
                <wp:inline distT="0" distB="0" distL="0" distR="0">
                  <wp:extent cx="95250" cy="119865"/>
                  <wp:effectExtent l="0" t="0" r="0" b="0"/>
                  <wp:docPr id="227" name="Picture 227" descr="Symbol used to represent score detemined from equati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28" cstate="print">
                            <a:extLst>
                              <a:ext uri="{28A0092B-C50C-407E-A947-70E740481C1C}">
                                <a14:useLocalDpi xmlns:a14="http://schemas.microsoft.com/office/drawing/2010/main" val="0"/>
                              </a:ext>
                            </a:extLst>
                          </a:blip>
                          <a:srcRect t="11412" r="19820" b="21320"/>
                          <a:stretch/>
                        </pic:blipFill>
                        <pic:spPr bwMode="auto">
                          <a:xfrm>
                            <a:off x="0" y="0"/>
                            <a:ext cx="95250" cy="119865"/>
                          </a:xfrm>
                          <a:prstGeom prst="rect">
                            <a:avLst/>
                          </a:prstGeom>
                          <a:noFill/>
                          <a:ln>
                            <a:noFill/>
                          </a:ln>
                          <a:extLst>
                            <a:ext uri="{53640926-AAD7-44D8-BBD7-CCE9431645EC}">
                              <a14:shadowObscured xmlns:a14="http://schemas.microsoft.com/office/drawing/2010/main"/>
                            </a:ext>
                          </a:extLst>
                        </pic:spPr>
                      </pic:pic>
                    </a:graphicData>
                  </a:graphic>
                </wp:inline>
              </w:drawing>
            </w:r>
            <w:r>
              <w:rPr>
                <w:color w:val="000000"/>
              </w:rPr>
              <w:t>)</w:t>
            </w:r>
          </w:p>
        </w:tc>
        <w:tc>
          <w:tcPr>
            <w:tcW w:w="1098" w:type="dxa"/>
            <w:tcBorders>
              <w:top w:val="single" w:sz="4" w:space="0" w:color="auto"/>
              <w:left w:val="nil"/>
              <w:bottom w:val="single" w:sz="4" w:space="0" w:color="auto"/>
              <w:right w:val="nil"/>
            </w:tcBorders>
            <w:noWrap/>
            <w:vAlign w:val="center"/>
            <w:hideMark/>
          </w:tcPr>
          <w:p w:rsidR="00842050" w:rsidRDefault="00842050" w:rsidP="00805748">
            <w:pPr>
              <w:spacing w:before="0" w:after="0"/>
              <w:jc w:val="center"/>
              <w:rPr>
                <w:b/>
                <w:color w:val="000000"/>
                <w:lang w:val="en-US"/>
              </w:rPr>
            </w:pPr>
            <w:r>
              <w:rPr>
                <w:b/>
                <w:color w:val="000000"/>
                <w:szCs w:val="22"/>
                <w:lang w:val="en-US"/>
              </w:rPr>
              <w:t>status</w:t>
            </w:r>
          </w:p>
        </w:tc>
      </w:tr>
      <w:tr w:rsidR="00842050" w:rsidTr="00805748">
        <w:trPr>
          <w:trHeight w:val="290"/>
          <w:jc w:val="center"/>
        </w:trPr>
        <w:tc>
          <w:tcPr>
            <w:tcW w:w="1543" w:type="dxa"/>
            <w:vAlign w:val="bottom"/>
            <w:hideMark/>
          </w:tcPr>
          <w:p w:rsidR="00842050" w:rsidRDefault="00842050" w:rsidP="00805748">
            <w:pPr>
              <w:spacing w:before="0" w:after="0"/>
              <w:rPr>
                <w:color w:val="000000"/>
                <w:lang w:eastAsia="en-AU"/>
              </w:rPr>
            </w:pPr>
            <w:r>
              <w:rPr>
                <w:color w:val="000000"/>
                <w:szCs w:val="22"/>
                <w:lang w:eastAsia="en-AU"/>
              </w:rPr>
              <w:t>very good</w:t>
            </w:r>
          </w:p>
        </w:tc>
        <w:tc>
          <w:tcPr>
            <w:tcW w:w="2127" w:type="dxa"/>
            <w:noWrap/>
            <w:vAlign w:val="bottom"/>
            <w:hideMark/>
          </w:tcPr>
          <w:p w:rsidR="00842050" w:rsidRDefault="00842050" w:rsidP="00805748">
            <w:pPr>
              <w:spacing w:before="0" w:after="0"/>
              <w:rPr>
                <w:color w:val="000000"/>
                <w:lang w:val="en-US"/>
              </w:rPr>
            </w:pPr>
            <w:r>
              <w:rPr>
                <w:color w:val="000000"/>
                <w:szCs w:val="22"/>
                <w:lang w:val="en-US"/>
              </w:rPr>
              <w:t>C:N ratio &gt;30*</w:t>
            </w:r>
          </w:p>
        </w:tc>
        <w:tc>
          <w:tcPr>
            <w:tcW w:w="916" w:type="dxa"/>
            <w:noWrap/>
            <w:vAlign w:val="bottom"/>
            <w:hideMark/>
          </w:tcPr>
          <w:p w:rsidR="00842050" w:rsidRDefault="00842050" w:rsidP="00805748">
            <w:pPr>
              <w:spacing w:before="0" w:after="0"/>
              <w:jc w:val="center"/>
              <w:rPr>
                <w:color w:val="000000"/>
                <w:lang w:val="en-US"/>
              </w:rPr>
            </w:pPr>
            <w:r>
              <w:rPr>
                <w:color w:val="000000"/>
                <w:szCs w:val="22"/>
                <w:lang w:val="en-US"/>
              </w:rPr>
              <w:t>30</w:t>
            </w:r>
          </w:p>
        </w:tc>
        <w:tc>
          <w:tcPr>
            <w:tcW w:w="1382" w:type="dxa"/>
            <w:noWrap/>
            <w:vAlign w:val="bottom"/>
            <w:hideMark/>
          </w:tcPr>
          <w:p w:rsidR="00842050" w:rsidRDefault="00842050" w:rsidP="00805748">
            <w:pPr>
              <w:spacing w:before="0" w:after="0"/>
              <w:jc w:val="center"/>
              <w:rPr>
                <w:color w:val="000000"/>
                <w:lang w:val="en-US"/>
              </w:rPr>
            </w:pPr>
            <w:r>
              <w:rPr>
                <w:color w:val="000000"/>
                <w:szCs w:val="22"/>
                <w:lang w:val="en-US"/>
              </w:rPr>
              <w:t>100</w:t>
            </w:r>
          </w:p>
        </w:tc>
        <w:tc>
          <w:tcPr>
            <w:tcW w:w="1098" w:type="dxa"/>
            <w:shd w:val="clear" w:color="auto" w:fill="008000"/>
            <w:noWrap/>
            <w:vAlign w:val="bottom"/>
            <w:hideMark/>
          </w:tcPr>
          <w:p w:rsidR="00842050" w:rsidRDefault="00842050" w:rsidP="00796FE8">
            <w:pPr>
              <w:spacing w:before="0" w:after="0"/>
              <w:jc w:val="center"/>
              <w:rPr>
                <w:color w:val="000000"/>
                <w:lang w:eastAsia="en-AU"/>
              </w:rPr>
            </w:pPr>
            <w:r>
              <w:rPr>
                <w:color w:val="000000"/>
                <w:szCs w:val="22"/>
                <w:lang w:eastAsia="en-AU"/>
              </w:rPr>
              <w:t>8</w:t>
            </w:r>
            <w:r w:rsidR="00796FE8">
              <w:rPr>
                <w:color w:val="000000"/>
                <w:szCs w:val="22"/>
                <w:lang w:eastAsia="en-AU"/>
              </w:rPr>
              <w:t>1</w:t>
            </w:r>
            <w:r>
              <w:rPr>
                <w:color w:val="000000"/>
                <w:szCs w:val="22"/>
                <w:lang w:eastAsia="en-AU"/>
              </w:rPr>
              <w:t xml:space="preserve"> - 100</w:t>
            </w:r>
          </w:p>
        </w:tc>
      </w:tr>
      <w:tr w:rsidR="00842050" w:rsidTr="00805748">
        <w:trPr>
          <w:trHeight w:val="290"/>
          <w:jc w:val="center"/>
        </w:trPr>
        <w:tc>
          <w:tcPr>
            <w:tcW w:w="1543" w:type="dxa"/>
            <w:vAlign w:val="bottom"/>
            <w:hideMark/>
          </w:tcPr>
          <w:p w:rsidR="00842050" w:rsidRDefault="00842050" w:rsidP="00805748">
            <w:pPr>
              <w:spacing w:before="0" w:after="0"/>
              <w:rPr>
                <w:color w:val="000000"/>
                <w:lang w:eastAsia="en-AU"/>
              </w:rPr>
            </w:pPr>
            <w:r>
              <w:rPr>
                <w:color w:val="000000"/>
                <w:szCs w:val="22"/>
                <w:lang w:eastAsia="en-AU"/>
              </w:rPr>
              <w:t>good</w:t>
            </w:r>
          </w:p>
        </w:tc>
        <w:tc>
          <w:tcPr>
            <w:tcW w:w="2127" w:type="dxa"/>
            <w:noWrap/>
            <w:vAlign w:val="bottom"/>
            <w:hideMark/>
          </w:tcPr>
          <w:p w:rsidR="00842050" w:rsidRDefault="00842050" w:rsidP="00805748">
            <w:pPr>
              <w:spacing w:before="0" w:after="0"/>
              <w:rPr>
                <w:color w:val="000000"/>
                <w:lang w:val="en-US"/>
              </w:rPr>
            </w:pPr>
            <w:r>
              <w:rPr>
                <w:color w:val="000000"/>
                <w:szCs w:val="22"/>
                <w:lang w:val="en-US"/>
              </w:rPr>
              <w:t>C:N ratio 25-30</w:t>
            </w:r>
          </w:p>
        </w:tc>
        <w:tc>
          <w:tcPr>
            <w:tcW w:w="916" w:type="dxa"/>
            <w:noWrap/>
            <w:vAlign w:val="bottom"/>
            <w:hideMark/>
          </w:tcPr>
          <w:p w:rsidR="00842050" w:rsidRDefault="00842050" w:rsidP="00805748">
            <w:pPr>
              <w:spacing w:before="0" w:after="0"/>
              <w:jc w:val="center"/>
              <w:rPr>
                <w:color w:val="000000"/>
                <w:lang w:val="en-US"/>
              </w:rPr>
            </w:pPr>
            <w:r>
              <w:rPr>
                <w:color w:val="000000"/>
                <w:szCs w:val="22"/>
                <w:lang w:val="en-US"/>
              </w:rPr>
              <w:t>25</w:t>
            </w:r>
          </w:p>
        </w:tc>
        <w:tc>
          <w:tcPr>
            <w:tcW w:w="1382" w:type="dxa"/>
            <w:noWrap/>
            <w:vAlign w:val="bottom"/>
            <w:hideMark/>
          </w:tcPr>
          <w:p w:rsidR="00842050" w:rsidRDefault="00842050" w:rsidP="00805748">
            <w:pPr>
              <w:spacing w:before="0" w:after="0"/>
              <w:jc w:val="center"/>
              <w:rPr>
                <w:color w:val="000000"/>
                <w:lang w:val="en-US"/>
              </w:rPr>
            </w:pPr>
            <w:r>
              <w:rPr>
                <w:color w:val="000000"/>
                <w:szCs w:val="22"/>
                <w:lang w:val="en-US"/>
              </w:rPr>
              <w:t>75</w:t>
            </w:r>
          </w:p>
        </w:tc>
        <w:tc>
          <w:tcPr>
            <w:tcW w:w="1098" w:type="dxa"/>
            <w:shd w:val="clear" w:color="auto" w:fill="92D050"/>
            <w:noWrap/>
            <w:vAlign w:val="bottom"/>
            <w:hideMark/>
          </w:tcPr>
          <w:p w:rsidR="00842050" w:rsidRDefault="00796FE8" w:rsidP="00805748">
            <w:pPr>
              <w:spacing w:before="0" w:after="0"/>
              <w:jc w:val="center"/>
              <w:rPr>
                <w:color w:val="000000"/>
                <w:lang w:eastAsia="en-AU"/>
              </w:rPr>
            </w:pPr>
            <w:r>
              <w:rPr>
                <w:color w:val="000000"/>
                <w:szCs w:val="22"/>
                <w:lang w:eastAsia="en-AU"/>
              </w:rPr>
              <w:t xml:space="preserve">61 - </w:t>
            </w:r>
            <w:r w:rsidR="00842050">
              <w:rPr>
                <w:color w:val="000000"/>
                <w:szCs w:val="22"/>
                <w:lang w:eastAsia="en-AU"/>
              </w:rPr>
              <w:t>80</w:t>
            </w:r>
          </w:p>
        </w:tc>
      </w:tr>
      <w:tr w:rsidR="00842050" w:rsidTr="00805748">
        <w:trPr>
          <w:trHeight w:val="300"/>
          <w:jc w:val="center"/>
        </w:trPr>
        <w:tc>
          <w:tcPr>
            <w:tcW w:w="1543" w:type="dxa"/>
            <w:vAlign w:val="bottom"/>
            <w:hideMark/>
          </w:tcPr>
          <w:p w:rsidR="00842050" w:rsidRDefault="00842050" w:rsidP="00805748">
            <w:pPr>
              <w:spacing w:before="0" w:after="0"/>
              <w:rPr>
                <w:color w:val="000000"/>
                <w:lang w:eastAsia="en-AU"/>
              </w:rPr>
            </w:pPr>
            <w:r>
              <w:rPr>
                <w:color w:val="000000"/>
                <w:szCs w:val="22"/>
                <w:lang w:eastAsia="en-AU"/>
              </w:rPr>
              <w:t>moderate</w:t>
            </w:r>
          </w:p>
        </w:tc>
        <w:tc>
          <w:tcPr>
            <w:tcW w:w="2127" w:type="dxa"/>
            <w:noWrap/>
            <w:vAlign w:val="bottom"/>
            <w:hideMark/>
          </w:tcPr>
          <w:p w:rsidR="00842050" w:rsidRDefault="00842050" w:rsidP="00805748">
            <w:pPr>
              <w:spacing w:before="0" w:after="0"/>
              <w:rPr>
                <w:color w:val="000000"/>
                <w:lang w:val="en-US"/>
              </w:rPr>
            </w:pPr>
            <w:r>
              <w:rPr>
                <w:color w:val="000000"/>
                <w:szCs w:val="22"/>
                <w:lang w:val="en-US"/>
              </w:rPr>
              <w:t xml:space="preserve">C:N ratio 20-25 </w:t>
            </w:r>
          </w:p>
        </w:tc>
        <w:tc>
          <w:tcPr>
            <w:tcW w:w="916" w:type="dxa"/>
            <w:noWrap/>
            <w:vAlign w:val="bottom"/>
            <w:hideMark/>
          </w:tcPr>
          <w:p w:rsidR="00842050" w:rsidRDefault="00842050" w:rsidP="00805748">
            <w:pPr>
              <w:spacing w:before="0" w:after="0"/>
              <w:jc w:val="center"/>
              <w:rPr>
                <w:color w:val="000000"/>
                <w:lang w:val="en-US"/>
              </w:rPr>
            </w:pPr>
            <w:r>
              <w:rPr>
                <w:color w:val="000000"/>
                <w:szCs w:val="22"/>
                <w:lang w:val="en-US"/>
              </w:rPr>
              <w:t>20</w:t>
            </w:r>
          </w:p>
        </w:tc>
        <w:tc>
          <w:tcPr>
            <w:tcW w:w="1382" w:type="dxa"/>
            <w:noWrap/>
            <w:vAlign w:val="bottom"/>
            <w:hideMark/>
          </w:tcPr>
          <w:p w:rsidR="00842050" w:rsidRDefault="00842050" w:rsidP="00805748">
            <w:pPr>
              <w:spacing w:before="0" w:after="0"/>
              <w:jc w:val="center"/>
              <w:rPr>
                <w:color w:val="000000"/>
                <w:lang w:val="en-US"/>
              </w:rPr>
            </w:pPr>
            <w:r>
              <w:rPr>
                <w:color w:val="000000"/>
                <w:szCs w:val="22"/>
                <w:lang w:val="en-US"/>
              </w:rPr>
              <w:t>50</w:t>
            </w:r>
          </w:p>
        </w:tc>
        <w:tc>
          <w:tcPr>
            <w:tcW w:w="1098" w:type="dxa"/>
            <w:shd w:val="clear" w:color="auto" w:fill="FFFF00"/>
            <w:noWrap/>
            <w:vAlign w:val="bottom"/>
            <w:hideMark/>
          </w:tcPr>
          <w:p w:rsidR="00842050" w:rsidRDefault="00796FE8" w:rsidP="00805748">
            <w:pPr>
              <w:spacing w:before="0" w:after="0"/>
              <w:jc w:val="center"/>
              <w:rPr>
                <w:color w:val="000000"/>
                <w:lang w:eastAsia="en-AU"/>
              </w:rPr>
            </w:pPr>
            <w:r>
              <w:rPr>
                <w:color w:val="000000"/>
                <w:szCs w:val="22"/>
                <w:lang w:eastAsia="en-AU"/>
              </w:rPr>
              <w:t xml:space="preserve">41 - </w:t>
            </w:r>
            <w:r w:rsidR="00842050">
              <w:rPr>
                <w:color w:val="000000"/>
                <w:szCs w:val="22"/>
                <w:lang w:eastAsia="en-AU"/>
              </w:rPr>
              <w:t>60</w:t>
            </w:r>
          </w:p>
        </w:tc>
      </w:tr>
      <w:tr w:rsidR="00842050" w:rsidTr="00805748">
        <w:trPr>
          <w:trHeight w:val="290"/>
          <w:jc w:val="center"/>
        </w:trPr>
        <w:tc>
          <w:tcPr>
            <w:tcW w:w="1543" w:type="dxa"/>
            <w:vAlign w:val="bottom"/>
            <w:hideMark/>
          </w:tcPr>
          <w:p w:rsidR="00842050" w:rsidRDefault="00842050" w:rsidP="00805748">
            <w:pPr>
              <w:spacing w:before="0" w:after="0"/>
              <w:rPr>
                <w:color w:val="000000"/>
                <w:lang w:eastAsia="en-AU"/>
              </w:rPr>
            </w:pPr>
            <w:r>
              <w:rPr>
                <w:color w:val="000000"/>
                <w:szCs w:val="22"/>
                <w:lang w:eastAsia="en-AU"/>
              </w:rPr>
              <w:t>poor</w:t>
            </w:r>
          </w:p>
        </w:tc>
        <w:tc>
          <w:tcPr>
            <w:tcW w:w="2127" w:type="dxa"/>
            <w:noWrap/>
            <w:vAlign w:val="bottom"/>
            <w:hideMark/>
          </w:tcPr>
          <w:p w:rsidR="00842050" w:rsidRDefault="00842050" w:rsidP="00805748">
            <w:pPr>
              <w:spacing w:before="0" w:after="0"/>
              <w:rPr>
                <w:color w:val="000000"/>
                <w:lang w:val="en-US"/>
              </w:rPr>
            </w:pPr>
            <w:r>
              <w:rPr>
                <w:color w:val="000000"/>
                <w:szCs w:val="22"/>
                <w:lang w:val="en-US"/>
              </w:rPr>
              <w:t>C:N ratio 15-20</w:t>
            </w:r>
          </w:p>
        </w:tc>
        <w:tc>
          <w:tcPr>
            <w:tcW w:w="916" w:type="dxa"/>
            <w:noWrap/>
            <w:vAlign w:val="bottom"/>
            <w:hideMark/>
          </w:tcPr>
          <w:p w:rsidR="00842050" w:rsidRDefault="00842050" w:rsidP="00805748">
            <w:pPr>
              <w:spacing w:before="0" w:after="0"/>
              <w:jc w:val="center"/>
              <w:rPr>
                <w:color w:val="000000"/>
                <w:lang w:val="en-US"/>
              </w:rPr>
            </w:pPr>
            <w:r>
              <w:rPr>
                <w:color w:val="000000"/>
                <w:szCs w:val="22"/>
                <w:lang w:val="en-US"/>
              </w:rPr>
              <w:t>15</w:t>
            </w:r>
          </w:p>
        </w:tc>
        <w:tc>
          <w:tcPr>
            <w:tcW w:w="1382" w:type="dxa"/>
            <w:noWrap/>
            <w:vAlign w:val="bottom"/>
            <w:hideMark/>
          </w:tcPr>
          <w:p w:rsidR="00842050" w:rsidRDefault="00842050" w:rsidP="00805748">
            <w:pPr>
              <w:spacing w:before="0" w:after="0"/>
              <w:jc w:val="center"/>
              <w:rPr>
                <w:color w:val="000000"/>
                <w:lang w:val="en-US"/>
              </w:rPr>
            </w:pPr>
            <w:r>
              <w:rPr>
                <w:color w:val="000000"/>
                <w:szCs w:val="22"/>
                <w:lang w:val="en-US"/>
              </w:rPr>
              <w:t>25</w:t>
            </w:r>
          </w:p>
        </w:tc>
        <w:tc>
          <w:tcPr>
            <w:tcW w:w="1098" w:type="dxa"/>
            <w:shd w:val="clear" w:color="auto" w:fill="FFC000"/>
            <w:noWrap/>
            <w:vAlign w:val="bottom"/>
            <w:hideMark/>
          </w:tcPr>
          <w:p w:rsidR="00842050" w:rsidRDefault="00796FE8" w:rsidP="00796FE8">
            <w:pPr>
              <w:spacing w:before="0" w:after="0"/>
              <w:jc w:val="center"/>
              <w:rPr>
                <w:color w:val="000000"/>
                <w:lang w:eastAsia="en-AU"/>
              </w:rPr>
            </w:pPr>
            <w:r>
              <w:rPr>
                <w:color w:val="000000"/>
                <w:szCs w:val="22"/>
                <w:lang w:eastAsia="en-AU"/>
              </w:rPr>
              <w:t>21</w:t>
            </w:r>
            <w:r w:rsidR="00842050">
              <w:rPr>
                <w:color w:val="000000"/>
                <w:szCs w:val="22"/>
                <w:lang w:eastAsia="en-AU"/>
              </w:rPr>
              <w:t xml:space="preserve"> - 40</w:t>
            </w:r>
          </w:p>
        </w:tc>
      </w:tr>
      <w:tr w:rsidR="00842050" w:rsidTr="00805748">
        <w:trPr>
          <w:trHeight w:val="290"/>
          <w:jc w:val="center"/>
        </w:trPr>
        <w:tc>
          <w:tcPr>
            <w:tcW w:w="1543" w:type="dxa"/>
            <w:tcBorders>
              <w:top w:val="nil"/>
              <w:left w:val="nil"/>
              <w:bottom w:val="single" w:sz="4" w:space="0" w:color="auto"/>
              <w:right w:val="nil"/>
            </w:tcBorders>
            <w:vAlign w:val="bottom"/>
            <w:hideMark/>
          </w:tcPr>
          <w:p w:rsidR="00842050" w:rsidRDefault="00842050" w:rsidP="00805748">
            <w:pPr>
              <w:spacing w:before="0" w:after="0"/>
              <w:rPr>
                <w:color w:val="000000"/>
                <w:lang w:eastAsia="en-AU"/>
              </w:rPr>
            </w:pPr>
            <w:r>
              <w:rPr>
                <w:color w:val="000000"/>
                <w:szCs w:val="22"/>
                <w:lang w:eastAsia="en-AU"/>
              </w:rPr>
              <w:t>very poor</w:t>
            </w:r>
          </w:p>
        </w:tc>
        <w:tc>
          <w:tcPr>
            <w:tcW w:w="2127" w:type="dxa"/>
            <w:tcBorders>
              <w:top w:val="nil"/>
              <w:left w:val="nil"/>
              <w:bottom w:val="single" w:sz="4" w:space="0" w:color="auto"/>
              <w:right w:val="nil"/>
            </w:tcBorders>
            <w:noWrap/>
            <w:vAlign w:val="bottom"/>
            <w:hideMark/>
          </w:tcPr>
          <w:p w:rsidR="00842050" w:rsidRDefault="00842050" w:rsidP="00805748">
            <w:pPr>
              <w:spacing w:before="0" w:after="0"/>
              <w:rPr>
                <w:color w:val="000000"/>
                <w:lang w:val="en-US"/>
              </w:rPr>
            </w:pPr>
            <w:r>
              <w:rPr>
                <w:color w:val="000000"/>
                <w:szCs w:val="22"/>
                <w:lang w:val="en-US"/>
              </w:rPr>
              <w:t>C:N ratio &lt;15*</w:t>
            </w:r>
          </w:p>
        </w:tc>
        <w:tc>
          <w:tcPr>
            <w:tcW w:w="916" w:type="dxa"/>
            <w:tcBorders>
              <w:top w:val="nil"/>
              <w:left w:val="nil"/>
              <w:bottom w:val="single" w:sz="4" w:space="0" w:color="auto"/>
              <w:right w:val="nil"/>
            </w:tcBorders>
            <w:noWrap/>
            <w:vAlign w:val="bottom"/>
          </w:tcPr>
          <w:p w:rsidR="00842050" w:rsidRDefault="00842050" w:rsidP="00805748">
            <w:pPr>
              <w:spacing w:before="0" w:after="0"/>
              <w:jc w:val="center"/>
              <w:rPr>
                <w:color w:val="000000"/>
                <w:lang w:val="en-US"/>
              </w:rPr>
            </w:pPr>
          </w:p>
        </w:tc>
        <w:tc>
          <w:tcPr>
            <w:tcW w:w="1382" w:type="dxa"/>
            <w:tcBorders>
              <w:top w:val="nil"/>
              <w:left w:val="nil"/>
              <w:bottom w:val="single" w:sz="4" w:space="0" w:color="auto"/>
              <w:right w:val="nil"/>
            </w:tcBorders>
            <w:noWrap/>
            <w:vAlign w:val="bottom"/>
            <w:hideMark/>
          </w:tcPr>
          <w:p w:rsidR="00842050" w:rsidRDefault="00842050" w:rsidP="00805748">
            <w:pPr>
              <w:spacing w:before="0" w:after="0"/>
              <w:jc w:val="center"/>
              <w:rPr>
                <w:color w:val="000000"/>
                <w:lang w:val="en-US"/>
              </w:rPr>
            </w:pPr>
            <w:r>
              <w:rPr>
                <w:color w:val="000000"/>
                <w:szCs w:val="22"/>
                <w:lang w:val="en-US"/>
              </w:rPr>
              <w:t>0</w:t>
            </w:r>
          </w:p>
        </w:tc>
        <w:tc>
          <w:tcPr>
            <w:tcW w:w="1098" w:type="dxa"/>
            <w:tcBorders>
              <w:top w:val="nil"/>
              <w:left w:val="nil"/>
              <w:bottom w:val="single" w:sz="4" w:space="0" w:color="auto"/>
              <w:right w:val="nil"/>
            </w:tcBorders>
            <w:shd w:val="clear" w:color="auto" w:fill="FF0000"/>
            <w:noWrap/>
            <w:vAlign w:val="bottom"/>
            <w:hideMark/>
          </w:tcPr>
          <w:p w:rsidR="00842050" w:rsidRDefault="00842050" w:rsidP="00796FE8">
            <w:pPr>
              <w:spacing w:before="0" w:after="0"/>
              <w:jc w:val="center"/>
              <w:rPr>
                <w:color w:val="000000"/>
                <w:lang w:eastAsia="en-AU"/>
              </w:rPr>
            </w:pPr>
            <w:r>
              <w:rPr>
                <w:color w:val="000000"/>
                <w:szCs w:val="22"/>
                <w:lang w:eastAsia="en-AU"/>
              </w:rPr>
              <w:t>0 - 20</w:t>
            </w:r>
          </w:p>
        </w:tc>
      </w:tr>
    </w:tbl>
    <w:p w:rsidR="00842050" w:rsidRDefault="00842050" w:rsidP="00842050">
      <w:pPr>
        <w:jc w:val="center"/>
      </w:pPr>
      <w:bookmarkStart w:id="981" w:name="_Toc431493753"/>
    </w:p>
    <w:p w:rsidR="00842050" w:rsidRDefault="00842050" w:rsidP="00842050">
      <w:pPr>
        <w:spacing w:before="0" w:after="0"/>
        <w:rPr>
          <w:lang w:val="en-GB"/>
        </w:rPr>
      </w:pPr>
      <w:r>
        <w:rPr>
          <w:lang w:val="en-GB"/>
        </w:rPr>
        <w:br w:type="page"/>
      </w:r>
    </w:p>
    <w:p w:rsidR="007B1E97" w:rsidRPr="00517276" w:rsidRDefault="00842050" w:rsidP="007B1E97">
      <w:pPr>
        <w:jc w:val="center"/>
        <w:rPr>
          <w:i/>
          <w:vanish/>
          <w:color w:val="000000"/>
          <w:szCs w:val="22"/>
          <w:specVanish/>
        </w:rPr>
      </w:pPr>
      <w:bookmarkStart w:id="982" w:name="_Toc462685113"/>
      <w:r>
        <w:lastRenderedPageBreak/>
        <w:t xml:space="preserve">Table </w:t>
      </w:r>
      <w:fldSimple w:instr=" SEQ Table \* ARABIC ">
        <w:r w:rsidR="009C068F">
          <w:rPr>
            <w:noProof/>
          </w:rPr>
          <w:t>44</w:t>
        </w:r>
      </w:fldSimple>
      <w:r>
        <w:t xml:space="preserve">. </w:t>
      </w:r>
      <w:r>
        <w:rPr>
          <w:i/>
        </w:rPr>
        <w:t>Average seagrass leaf tissue C:N ratios and report scores for each monitoring site (species pooled) within each NRM region habitat.</w:t>
      </w:r>
      <w:bookmarkEnd w:id="982"/>
      <w:r w:rsidR="007B1E97" w:rsidRPr="007B1E97">
        <w:rPr>
          <w:i/>
          <w:vanish/>
          <w:color w:val="000000"/>
          <w:szCs w:val="22"/>
          <w:specVanish/>
        </w:rPr>
        <w:t xml:space="preserve"> </w:t>
      </w:r>
    </w:p>
    <w:p w:rsidR="00842050" w:rsidRDefault="00842050" w:rsidP="00842050">
      <w:pPr>
        <w:jc w:val="center"/>
        <w:rPr>
          <w:i/>
        </w:rPr>
      </w:pPr>
      <w:r>
        <w:rPr>
          <w:i/>
        </w:rPr>
        <w:t xml:space="preserve"> C</w:t>
      </w:r>
      <w:proofErr w:type="gramStart"/>
      <w:r>
        <w:rPr>
          <w:i/>
        </w:rPr>
        <w:t>:N</w:t>
      </w:r>
      <w:proofErr w:type="gramEnd"/>
      <w:r>
        <w:rPr>
          <w:i/>
        </w:rPr>
        <w:t xml:space="preserve"> ratios transformed to a 0 to 100 score using </w:t>
      </w:r>
      <w:r w:rsidR="00FB280D">
        <w:fldChar w:fldCharType="begin"/>
      </w:r>
      <w:r w:rsidR="00FB280D">
        <w:rPr>
          <w:i/>
        </w:rPr>
        <w:instrText xml:space="preserve"> REF _Ref408853282 \h </w:instrText>
      </w:r>
      <w:r w:rsidR="00FB280D">
        <w:fldChar w:fldCharType="separate"/>
      </w:r>
      <w:r w:rsidR="009C068F">
        <w:t xml:space="preserve">Equation </w:t>
      </w:r>
      <w:r w:rsidR="009C068F">
        <w:rPr>
          <w:noProof/>
        </w:rPr>
        <w:t>1</w:t>
      </w:r>
      <w:r w:rsidR="00FB280D">
        <w:fldChar w:fldCharType="end"/>
      </w:r>
      <w:r>
        <w:rPr>
          <w:i/>
        </w:rPr>
        <w:t>. NB: scores do not have units. *insufficient sample</w:t>
      </w:r>
    </w:p>
    <w:tbl>
      <w:tblPr>
        <w:tblW w:w="6860" w:type="dxa"/>
        <w:jc w:val="center"/>
        <w:tblLook w:val="04A0" w:firstRow="1" w:lastRow="0" w:firstColumn="1" w:lastColumn="0" w:noHBand="0" w:noVBand="1"/>
      </w:tblPr>
      <w:tblGrid>
        <w:gridCol w:w="1920"/>
        <w:gridCol w:w="1720"/>
        <w:gridCol w:w="960"/>
        <w:gridCol w:w="1300"/>
        <w:gridCol w:w="960"/>
      </w:tblGrid>
      <w:tr w:rsidR="00842050" w:rsidTr="00805748">
        <w:trPr>
          <w:jc w:val="center"/>
        </w:trPr>
        <w:tc>
          <w:tcPr>
            <w:tcW w:w="1920"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b/>
                <w:color w:val="000000"/>
                <w:sz w:val="16"/>
                <w:szCs w:val="16"/>
              </w:rPr>
            </w:pPr>
            <w:r>
              <w:rPr>
                <w:b/>
                <w:color w:val="000000"/>
                <w:sz w:val="16"/>
                <w:szCs w:val="16"/>
              </w:rPr>
              <w:t>NRM region</w:t>
            </w:r>
          </w:p>
        </w:tc>
        <w:tc>
          <w:tcPr>
            <w:tcW w:w="1720"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b/>
                <w:color w:val="000000"/>
                <w:sz w:val="16"/>
                <w:szCs w:val="16"/>
              </w:rPr>
            </w:pPr>
            <w:r>
              <w:rPr>
                <w:b/>
                <w:color w:val="000000"/>
                <w:sz w:val="16"/>
                <w:szCs w:val="16"/>
              </w:rPr>
              <w:t>habitat</w:t>
            </w:r>
          </w:p>
        </w:tc>
        <w:tc>
          <w:tcPr>
            <w:tcW w:w="960"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b/>
                <w:color w:val="000000"/>
                <w:sz w:val="16"/>
                <w:szCs w:val="16"/>
              </w:rPr>
            </w:pPr>
            <w:r>
              <w:rPr>
                <w:b/>
                <w:color w:val="000000"/>
                <w:sz w:val="16"/>
                <w:szCs w:val="16"/>
              </w:rPr>
              <w:t>site</w:t>
            </w:r>
          </w:p>
        </w:tc>
        <w:tc>
          <w:tcPr>
            <w:tcW w:w="1300"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b/>
                <w:color w:val="000000"/>
                <w:sz w:val="16"/>
                <w:szCs w:val="16"/>
              </w:rPr>
            </w:pPr>
            <w:r>
              <w:rPr>
                <w:b/>
                <w:color w:val="000000"/>
                <w:sz w:val="16"/>
                <w:szCs w:val="16"/>
              </w:rPr>
              <w:t>C:N ±SE</w:t>
            </w:r>
          </w:p>
        </w:tc>
        <w:tc>
          <w:tcPr>
            <w:tcW w:w="960"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b/>
                <w:color w:val="000000"/>
                <w:sz w:val="16"/>
                <w:szCs w:val="16"/>
              </w:rPr>
            </w:pPr>
            <w:r>
              <w:rPr>
                <w:b/>
                <w:color w:val="000000"/>
                <w:sz w:val="16"/>
                <w:szCs w:val="16"/>
              </w:rPr>
              <w:t>score</w:t>
            </w:r>
          </w:p>
        </w:tc>
      </w:tr>
      <w:tr w:rsidR="00842050" w:rsidTr="00805748">
        <w:trPr>
          <w:jc w:val="center"/>
        </w:trPr>
        <w:tc>
          <w:tcPr>
            <w:tcW w:w="1920"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smartTag w:uri="urn:schemas-microsoft-com:office:smarttags" w:element="place">
              <w:r>
                <w:rPr>
                  <w:color w:val="000000"/>
                  <w:sz w:val="16"/>
                  <w:szCs w:val="16"/>
                </w:rPr>
                <w:t>Cape York</w:t>
              </w:r>
            </w:smartTag>
          </w:p>
        </w:tc>
        <w:tc>
          <w:tcPr>
            <w:tcW w:w="172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BY1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18.98</w:t>
            </w:r>
            <w:r>
              <w:rPr>
                <w:color w:val="000000"/>
                <w:sz w:val="16"/>
                <w:szCs w:val="16"/>
              </w:rPr>
              <w:t xml:space="preserve"> ±</w:t>
            </w:r>
            <w:r>
              <w:rPr>
                <w:sz w:val="16"/>
                <w:szCs w:val="16"/>
              </w:rPr>
              <w:t>0.77</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44.92</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BY2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20.01</w:t>
            </w:r>
            <w:r>
              <w:rPr>
                <w:color w:val="000000"/>
                <w:sz w:val="16"/>
                <w:szCs w:val="16"/>
              </w:rPr>
              <w:t xml:space="preserve"> ±</w:t>
            </w:r>
            <w:r>
              <w:rPr>
                <w:sz w:val="16"/>
                <w:szCs w:val="16"/>
              </w:rPr>
              <w:t>0.40</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50.06</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SR1</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14.96</w:t>
            </w:r>
            <w:r>
              <w:rPr>
                <w:color w:val="000000"/>
                <w:sz w:val="16"/>
                <w:szCs w:val="16"/>
              </w:rPr>
              <w:t xml:space="preserve"> ±</w:t>
            </w:r>
            <w:r>
              <w:rPr>
                <w:sz w:val="16"/>
                <w:szCs w:val="16"/>
              </w:rPr>
              <w:t>0.91</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24.82</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SR2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15.50</w:t>
            </w:r>
            <w:r>
              <w:rPr>
                <w:color w:val="000000"/>
                <w:sz w:val="16"/>
                <w:szCs w:val="16"/>
              </w:rPr>
              <w:t xml:space="preserve"> ±</w:t>
            </w:r>
            <w:r>
              <w:rPr>
                <w:sz w:val="16"/>
                <w:szCs w:val="16"/>
              </w:rPr>
              <w:t>0.20</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27.48</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37</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AP1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16.72</w:t>
            </w:r>
            <w:r>
              <w:rPr>
                <w:color w:val="000000"/>
                <w:sz w:val="16"/>
                <w:szCs w:val="16"/>
              </w:rPr>
              <w:t xml:space="preserve"> ±</w:t>
            </w:r>
            <w:r>
              <w:rPr>
                <w:sz w:val="16"/>
                <w:szCs w:val="16"/>
              </w:rPr>
              <w:t>0.14</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sz w:val="16"/>
                <w:szCs w:val="16"/>
              </w:rPr>
            </w:pPr>
            <w:r>
              <w:rPr>
                <w:sz w:val="16"/>
                <w:szCs w:val="16"/>
              </w:rPr>
              <w:t>33.58</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AP2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17.09</w:t>
            </w:r>
            <w:r>
              <w:rPr>
                <w:color w:val="000000"/>
                <w:sz w:val="16"/>
                <w:szCs w:val="16"/>
              </w:rPr>
              <w:t xml:space="preserve"> ±</w:t>
            </w:r>
            <w:r>
              <w:rPr>
                <w:sz w:val="16"/>
                <w:szCs w:val="16"/>
              </w:rPr>
              <w:t>2.43</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35.44</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FR1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15.53</w:t>
            </w:r>
            <w:r>
              <w:rPr>
                <w:color w:val="000000"/>
                <w:sz w:val="16"/>
                <w:szCs w:val="16"/>
              </w:rPr>
              <w:t xml:space="preserve"> ±</w:t>
            </w:r>
            <w:r>
              <w:rPr>
                <w:sz w:val="16"/>
                <w:szCs w:val="16"/>
              </w:rPr>
              <w:t>1.02</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27.64</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FR2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14.76</w:t>
            </w:r>
            <w:r>
              <w:rPr>
                <w:color w:val="000000"/>
                <w:sz w:val="16"/>
                <w:szCs w:val="16"/>
              </w:rPr>
              <w:t xml:space="preserve"> ±</w:t>
            </w:r>
            <w:r>
              <w:rPr>
                <w:sz w:val="16"/>
                <w:szCs w:val="16"/>
              </w:rPr>
              <w:t>0.39</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23.79</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ST1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19.28</w:t>
            </w:r>
            <w:r>
              <w:rPr>
                <w:color w:val="000000"/>
                <w:sz w:val="16"/>
                <w:szCs w:val="16"/>
              </w:rPr>
              <w:t xml:space="preserve"> ±</w:t>
            </w:r>
            <w:r>
              <w:rPr>
                <w:sz w:val="16"/>
                <w:szCs w:val="16"/>
              </w:rPr>
              <w:t>1.96</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46.42</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ST2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16.74</w:t>
            </w:r>
            <w:r>
              <w:rPr>
                <w:color w:val="000000"/>
                <w:sz w:val="16"/>
                <w:szCs w:val="16"/>
              </w:rPr>
              <w:t xml:space="preserve"> ±</w:t>
            </w:r>
            <w:r>
              <w:rPr>
                <w:sz w:val="16"/>
                <w:szCs w:val="16"/>
              </w:rPr>
              <w:t>0.40</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33.72</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33</w:t>
            </w:r>
          </w:p>
        </w:tc>
      </w:tr>
      <w:tr w:rsidR="00842050" w:rsidTr="00805748">
        <w:trPr>
          <w:jc w:val="center"/>
        </w:trPr>
        <w:tc>
          <w:tcPr>
            <w:tcW w:w="1920"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color w:val="000000"/>
                <w:sz w:val="16"/>
                <w:szCs w:val="16"/>
              </w:rPr>
            </w:pPr>
            <w:r>
              <w:rPr>
                <w:b/>
                <w:color w:val="000000"/>
                <w:sz w:val="16"/>
                <w:szCs w:val="16"/>
              </w:rPr>
              <w:t>35</w:t>
            </w:r>
          </w:p>
        </w:tc>
      </w:tr>
      <w:tr w:rsidR="00842050" w:rsidTr="00805748">
        <w:trPr>
          <w:jc w:val="center"/>
        </w:trPr>
        <w:tc>
          <w:tcPr>
            <w:tcW w:w="1920"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Wet Tropics</w:t>
            </w:r>
          </w:p>
        </w:tc>
        <w:tc>
          <w:tcPr>
            <w:tcW w:w="172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LB1</w:t>
            </w:r>
          </w:p>
        </w:tc>
        <w:tc>
          <w:tcPr>
            <w:tcW w:w="130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w:t>
            </w:r>
          </w:p>
        </w:tc>
        <w:tc>
          <w:tcPr>
            <w:tcW w:w="960" w:type="dxa"/>
            <w:tcBorders>
              <w:top w:val="single" w:sz="4" w:space="0" w:color="auto"/>
              <w:left w:val="nil"/>
              <w:bottom w:val="nil"/>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LB2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12.50</w:t>
            </w:r>
            <w:r>
              <w:rPr>
                <w:color w:val="000000"/>
                <w:sz w:val="16"/>
                <w:szCs w:val="16"/>
              </w:rPr>
              <w:t xml:space="preserve"> ±</w:t>
            </w:r>
            <w:r>
              <w:rPr>
                <w:sz w:val="16"/>
                <w:szCs w:val="16"/>
              </w:rPr>
              <w:t>0.48</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12.48</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YP1</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10.98</w:t>
            </w:r>
            <w:r>
              <w:rPr>
                <w:color w:val="000000"/>
                <w:sz w:val="16"/>
                <w:szCs w:val="16"/>
              </w:rPr>
              <w:t xml:space="preserve"> ±</w:t>
            </w:r>
            <w:r>
              <w:rPr>
                <w:sz w:val="16"/>
                <w:szCs w:val="16"/>
              </w:rPr>
              <w:t>0.15</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4.88</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YP2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11.60</w:t>
            </w:r>
            <w:r>
              <w:rPr>
                <w:color w:val="000000"/>
                <w:sz w:val="16"/>
                <w:szCs w:val="16"/>
              </w:rPr>
              <w:t xml:space="preserve"> ±</w:t>
            </w:r>
            <w:r>
              <w:rPr>
                <w:sz w:val="16"/>
                <w:szCs w:val="16"/>
              </w:rPr>
              <w:t>0.28</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8.01</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8</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DI1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15.50</w:t>
            </w:r>
            <w:r>
              <w:rPr>
                <w:color w:val="000000"/>
                <w:sz w:val="16"/>
                <w:szCs w:val="16"/>
              </w:rPr>
              <w:t xml:space="preserve"> ±</w:t>
            </w:r>
            <w:r>
              <w:rPr>
                <w:sz w:val="16"/>
                <w:szCs w:val="16"/>
              </w:rPr>
              <w:t>0.26</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sz w:val="16"/>
                <w:szCs w:val="16"/>
              </w:rPr>
            </w:pPr>
            <w:r>
              <w:rPr>
                <w:sz w:val="16"/>
                <w:szCs w:val="16"/>
              </w:rPr>
              <w:t>27.51</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DI2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15.47</w:t>
            </w:r>
            <w:r>
              <w:rPr>
                <w:color w:val="000000"/>
                <w:sz w:val="16"/>
                <w:szCs w:val="16"/>
              </w:rPr>
              <w:t xml:space="preserve"> ±</w:t>
            </w:r>
            <w:r>
              <w:rPr>
                <w:sz w:val="16"/>
                <w:szCs w:val="16"/>
              </w:rPr>
              <w:t>0.48</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27.35</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GI1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20.09</w:t>
            </w:r>
            <w:r>
              <w:rPr>
                <w:color w:val="000000"/>
                <w:sz w:val="16"/>
                <w:szCs w:val="16"/>
              </w:rPr>
              <w:t xml:space="preserve"> ±</w:t>
            </w:r>
            <w:r>
              <w:rPr>
                <w:sz w:val="16"/>
                <w:szCs w:val="16"/>
              </w:rPr>
              <w:t>0.37</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50.46</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GI2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17.77</w:t>
            </w:r>
            <w:r>
              <w:rPr>
                <w:color w:val="000000"/>
                <w:sz w:val="16"/>
                <w:szCs w:val="16"/>
              </w:rPr>
              <w:t xml:space="preserve"> ±</w:t>
            </w:r>
            <w:r>
              <w:rPr>
                <w:sz w:val="16"/>
                <w:szCs w:val="16"/>
              </w:rPr>
              <w:t>0.95</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38.86</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LI1</w:t>
            </w:r>
          </w:p>
        </w:tc>
        <w:tc>
          <w:tcPr>
            <w:tcW w:w="130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w:t>
            </w:r>
          </w:p>
        </w:tc>
        <w:tc>
          <w:tcPr>
            <w:tcW w:w="960" w:type="dxa"/>
            <w:shd w:val="clear" w:color="auto" w:fill="F3F9FA"/>
            <w:noWrap/>
            <w:vAlign w:val="bottom"/>
          </w:tcPr>
          <w:p w:rsidR="00842050" w:rsidRDefault="00842050" w:rsidP="00805748">
            <w:pPr>
              <w:spacing w:before="0" w:after="0" w:line="180" w:lineRule="exact"/>
              <w:jc w:val="center"/>
              <w:rPr>
                <w:sz w:val="16"/>
                <w:szCs w:val="16"/>
              </w:rPr>
            </w:pP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36</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subtidal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DI3</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20.07</w:t>
            </w:r>
            <w:r>
              <w:rPr>
                <w:color w:val="000000"/>
                <w:sz w:val="16"/>
                <w:szCs w:val="16"/>
              </w:rPr>
              <w:t xml:space="preserve"> ±</w:t>
            </w:r>
            <w:r>
              <w:rPr>
                <w:sz w:val="16"/>
                <w:szCs w:val="16"/>
              </w:rPr>
              <w:t>0.56</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sz w:val="16"/>
                <w:szCs w:val="16"/>
              </w:rPr>
            </w:pPr>
            <w:r>
              <w:rPr>
                <w:sz w:val="16"/>
                <w:szCs w:val="16"/>
              </w:rPr>
              <w:t>50.34</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GI3</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20.86</w:t>
            </w:r>
            <w:r>
              <w:rPr>
                <w:color w:val="000000"/>
                <w:sz w:val="16"/>
                <w:szCs w:val="16"/>
              </w:rPr>
              <w:t xml:space="preserve"> ±</w:t>
            </w:r>
            <w:r>
              <w:rPr>
                <w:sz w:val="16"/>
                <w:szCs w:val="16"/>
              </w:rPr>
              <w:t>0.82</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54.31</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LI2</w:t>
            </w:r>
          </w:p>
        </w:tc>
        <w:tc>
          <w:tcPr>
            <w:tcW w:w="130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w:t>
            </w:r>
          </w:p>
        </w:tc>
        <w:tc>
          <w:tcPr>
            <w:tcW w:w="960" w:type="dxa"/>
            <w:shd w:val="clear" w:color="auto" w:fill="E7F3F4"/>
            <w:noWrap/>
            <w:vAlign w:val="bottom"/>
          </w:tcPr>
          <w:p w:rsidR="00842050" w:rsidRDefault="00842050" w:rsidP="00805748">
            <w:pPr>
              <w:spacing w:before="0" w:after="0" w:line="180" w:lineRule="exact"/>
              <w:jc w:val="center"/>
              <w:rPr>
                <w:sz w:val="16"/>
                <w:szCs w:val="16"/>
              </w:rPr>
            </w:pP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52</w:t>
            </w:r>
          </w:p>
        </w:tc>
      </w:tr>
      <w:tr w:rsidR="00842050" w:rsidTr="00805748">
        <w:trPr>
          <w:jc w:val="center"/>
        </w:trPr>
        <w:tc>
          <w:tcPr>
            <w:tcW w:w="1920"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32</w:t>
            </w:r>
          </w:p>
        </w:tc>
      </w:tr>
      <w:tr w:rsidR="00842050" w:rsidTr="00805748">
        <w:trPr>
          <w:jc w:val="center"/>
        </w:trPr>
        <w:tc>
          <w:tcPr>
            <w:tcW w:w="1920"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Burdekin</w:t>
            </w:r>
          </w:p>
        </w:tc>
        <w:tc>
          <w:tcPr>
            <w:tcW w:w="172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BB1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12.53</w:t>
            </w:r>
            <w:r>
              <w:rPr>
                <w:color w:val="000000"/>
                <w:sz w:val="16"/>
                <w:szCs w:val="16"/>
              </w:rPr>
              <w:t xml:space="preserve"> ±</w:t>
            </w:r>
            <w:r>
              <w:rPr>
                <w:sz w:val="16"/>
                <w:szCs w:val="16"/>
              </w:rPr>
              <w:t>0.41</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12.64</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SB1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11.90</w:t>
            </w:r>
            <w:r>
              <w:rPr>
                <w:color w:val="000000"/>
                <w:sz w:val="16"/>
                <w:szCs w:val="16"/>
              </w:rPr>
              <w:t xml:space="preserve"> ±</w:t>
            </w:r>
            <w:r>
              <w:rPr>
                <w:sz w:val="16"/>
                <w:szCs w:val="16"/>
              </w:rPr>
              <w:t>0.32</w:t>
            </w:r>
          </w:p>
        </w:tc>
        <w:tc>
          <w:tcPr>
            <w:tcW w:w="96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9.49</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JR1</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19.20</w:t>
            </w:r>
            <w:r>
              <w:rPr>
                <w:color w:val="000000"/>
                <w:sz w:val="16"/>
                <w:szCs w:val="16"/>
              </w:rPr>
              <w:t xml:space="preserve"> ±</w:t>
            </w:r>
            <w:r>
              <w:rPr>
                <w:sz w:val="16"/>
                <w:szCs w:val="16"/>
              </w:rPr>
              <w:t>0.14</w:t>
            </w:r>
          </w:p>
        </w:tc>
        <w:tc>
          <w:tcPr>
            <w:tcW w:w="96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46.02</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JR2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18.68</w:t>
            </w:r>
            <w:r>
              <w:rPr>
                <w:color w:val="000000"/>
                <w:sz w:val="16"/>
                <w:szCs w:val="16"/>
              </w:rPr>
              <w:t xml:space="preserve"> ±</w:t>
            </w:r>
            <w:r>
              <w:rPr>
                <w:sz w:val="16"/>
                <w:szCs w:val="16"/>
              </w:rPr>
              <w:t>0.33</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43.42</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28</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MI1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20.90</w:t>
            </w:r>
            <w:r>
              <w:rPr>
                <w:color w:val="000000"/>
                <w:sz w:val="16"/>
                <w:szCs w:val="16"/>
              </w:rPr>
              <w:t xml:space="preserve"> ±</w:t>
            </w:r>
            <w:r>
              <w:rPr>
                <w:sz w:val="16"/>
                <w:szCs w:val="16"/>
              </w:rPr>
              <w:t>1.93</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sz w:val="16"/>
                <w:szCs w:val="16"/>
              </w:rPr>
            </w:pPr>
            <w:r>
              <w:rPr>
                <w:sz w:val="16"/>
                <w:szCs w:val="16"/>
              </w:rPr>
              <w:t>54.49</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MI2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21.79</w:t>
            </w:r>
            <w:r>
              <w:rPr>
                <w:color w:val="000000"/>
                <w:sz w:val="16"/>
                <w:szCs w:val="16"/>
              </w:rPr>
              <w:t xml:space="preserve"> ±</w:t>
            </w:r>
            <w:r>
              <w:rPr>
                <w:sz w:val="16"/>
                <w:szCs w:val="16"/>
              </w:rPr>
              <w:t>0.77</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58.95</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57</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subtidal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MI3</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28.78</w:t>
            </w:r>
            <w:r>
              <w:rPr>
                <w:color w:val="000000"/>
                <w:sz w:val="16"/>
                <w:szCs w:val="16"/>
              </w:rPr>
              <w:t xml:space="preserve"> ±</w:t>
            </w:r>
            <w:r>
              <w:rPr>
                <w:sz w:val="16"/>
                <w:szCs w:val="16"/>
              </w:rPr>
              <w:t>1.25</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sz w:val="16"/>
                <w:szCs w:val="16"/>
              </w:rPr>
            </w:pPr>
            <w:r>
              <w:rPr>
                <w:sz w:val="16"/>
                <w:szCs w:val="16"/>
              </w:rPr>
              <w:t>100</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100</w:t>
            </w:r>
          </w:p>
        </w:tc>
      </w:tr>
      <w:tr w:rsidR="00842050" w:rsidTr="00805748">
        <w:trPr>
          <w:jc w:val="center"/>
        </w:trPr>
        <w:tc>
          <w:tcPr>
            <w:tcW w:w="1920"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62</w:t>
            </w:r>
          </w:p>
        </w:tc>
      </w:tr>
      <w:tr w:rsidR="00842050" w:rsidTr="00805748">
        <w:trPr>
          <w:jc w:val="center"/>
        </w:trPr>
        <w:tc>
          <w:tcPr>
            <w:tcW w:w="1920"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Mackay Whitsunday</w:t>
            </w:r>
          </w:p>
        </w:tc>
        <w:tc>
          <w:tcPr>
            <w:tcW w:w="172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SI1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15.97</w:t>
            </w:r>
            <w:r>
              <w:rPr>
                <w:color w:val="000000"/>
                <w:sz w:val="16"/>
                <w:szCs w:val="16"/>
              </w:rPr>
              <w:t xml:space="preserve"> ±</w:t>
            </w:r>
            <w:r>
              <w:rPr>
                <w:sz w:val="16"/>
                <w:szCs w:val="16"/>
              </w:rPr>
              <w:t>0.71</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29.86</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SI2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16.18</w:t>
            </w:r>
            <w:r>
              <w:rPr>
                <w:color w:val="000000"/>
                <w:sz w:val="16"/>
                <w:szCs w:val="16"/>
              </w:rPr>
              <w:t xml:space="preserve"> ±</w:t>
            </w:r>
            <w:r>
              <w:rPr>
                <w:sz w:val="16"/>
                <w:szCs w:val="16"/>
              </w:rPr>
              <w:t>0.42</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30.89</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30</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PI2</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17.56</w:t>
            </w:r>
            <w:r>
              <w:rPr>
                <w:color w:val="000000"/>
                <w:sz w:val="16"/>
                <w:szCs w:val="16"/>
              </w:rPr>
              <w:t xml:space="preserve"> ±</w:t>
            </w:r>
            <w:r>
              <w:rPr>
                <w:sz w:val="16"/>
                <w:szCs w:val="16"/>
              </w:rPr>
              <w:t>0.98</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sz w:val="16"/>
                <w:szCs w:val="16"/>
              </w:rPr>
            </w:pPr>
            <w:r>
              <w:rPr>
                <w:sz w:val="16"/>
                <w:szCs w:val="16"/>
              </w:rPr>
              <w:t>37.78</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PI3</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12.55</w:t>
            </w:r>
            <w:r>
              <w:rPr>
                <w:color w:val="000000"/>
                <w:sz w:val="16"/>
                <w:szCs w:val="16"/>
              </w:rPr>
              <w:t xml:space="preserve"> ±</w:t>
            </w:r>
            <w:r>
              <w:rPr>
                <w:sz w:val="16"/>
                <w:szCs w:val="16"/>
              </w:rPr>
              <w:t>0.44</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12.74</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MP2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color w:val="000000"/>
                <w:sz w:val="16"/>
                <w:szCs w:val="16"/>
              </w:rPr>
              <w:t>*</w:t>
            </w:r>
          </w:p>
        </w:tc>
        <w:tc>
          <w:tcPr>
            <w:tcW w:w="960" w:type="dxa"/>
            <w:shd w:val="clear" w:color="auto" w:fill="F3F9FA"/>
            <w:noWrap/>
          </w:tcPr>
          <w:p w:rsidR="00842050" w:rsidRDefault="00842050" w:rsidP="00805748">
            <w:pPr>
              <w:spacing w:before="0" w:after="0" w:line="180" w:lineRule="exact"/>
              <w:jc w:val="center"/>
              <w:rPr>
                <w:sz w:val="16"/>
                <w:szCs w:val="16"/>
              </w:rPr>
            </w:pP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MP3</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22.28</w:t>
            </w:r>
            <w:r>
              <w:rPr>
                <w:color w:val="000000"/>
                <w:sz w:val="16"/>
                <w:szCs w:val="16"/>
              </w:rPr>
              <w:t xml:space="preserve"> ±</w:t>
            </w:r>
            <w:r>
              <w:rPr>
                <w:sz w:val="16"/>
                <w:szCs w:val="16"/>
              </w:rPr>
              <w:t>0.60</w:t>
            </w:r>
          </w:p>
        </w:tc>
        <w:tc>
          <w:tcPr>
            <w:tcW w:w="960" w:type="dxa"/>
            <w:shd w:val="clear" w:color="auto" w:fill="F3F9FA"/>
            <w:noWrap/>
            <w:hideMark/>
          </w:tcPr>
          <w:p w:rsidR="00842050" w:rsidRDefault="00842050" w:rsidP="00805748">
            <w:pPr>
              <w:spacing w:before="0" w:after="0" w:line="180" w:lineRule="exact"/>
              <w:jc w:val="center"/>
              <w:rPr>
                <w:sz w:val="16"/>
                <w:szCs w:val="16"/>
              </w:rPr>
            </w:pPr>
            <w:r>
              <w:rPr>
                <w:sz w:val="16"/>
                <w:szCs w:val="16"/>
              </w:rPr>
              <w:t>61.42</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37</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HM1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11.46</w:t>
            </w:r>
            <w:r>
              <w:rPr>
                <w:color w:val="000000"/>
                <w:sz w:val="16"/>
                <w:szCs w:val="16"/>
              </w:rPr>
              <w:t xml:space="preserve"> ±</w:t>
            </w:r>
            <w:r>
              <w:rPr>
                <w:sz w:val="16"/>
                <w:szCs w:val="16"/>
              </w:rPr>
              <w:t>0.25</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sz w:val="16"/>
                <w:szCs w:val="16"/>
              </w:rPr>
            </w:pPr>
            <w:r>
              <w:rPr>
                <w:sz w:val="16"/>
                <w:szCs w:val="16"/>
              </w:rPr>
              <w:t>7.30</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HM2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18.99</w:t>
            </w:r>
            <w:r>
              <w:rPr>
                <w:color w:val="000000"/>
                <w:sz w:val="16"/>
                <w:szCs w:val="16"/>
              </w:rPr>
              <w:t xml:space="preserve"> ±</w:t>
            </w:r>
            <w:r>
              <w:rPr>
                <w:sz w:val="16"/>
                <w:szCs w:val="16"/>
              </w:rPr>
              <w:t>0.71</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44.94</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26</w:t>
            </w:r>
          </w:p>
        </w:tc>
      </w:tr>
      <w:tr w:rsidR="00842050" w:rsidTr="00805748">
        <w:trPr>
          <w:jc w:val="center"/>
        </w:trPr>
        <w:tc>
          <w:tcPr>
            <w:tcW w:w="1920"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31</w:t>
            </w:r>
          </w:p>
        </w:tc>
      </w:tr>
      <w:tr w:rsidR="00842050" w:rsidTr="00805748">
        <w:trPr>
          <w:jc w:val="center"/>
        </w:trPr>
        <w:tc>
          <w:tcPr>
            <w:tcW w:w="1920"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Fitzroy</w:t>
            </w:r>
          </w:p>
        </w:tc>
        <w:tc>
          <w:tcPr>
            <w:tcW w:w="172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GH1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16.53</w:t>
            </w:r>
            <w:r>
              <w:rPr>
                <w:color w:val="000000"/>
                <w:sz w:val="16"/>
                <w:szCs w:val="16"/>
              </w:rPr>
              <w:t xml:space="preserve"> ±</w:t>
            </w:r>
            <w:r>
              <w:rPr>
                <w:sz w:val="16"/>
                <w:szCs w:val="16"/>
              </w:rPr>
              <w:t>0.72</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32.67</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GH2</w:t>
            </w:r>
          </w:p>
        </w:tc>
        <w:tc>
          <w:tcPr>
            <w:tcW w:w="130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20.23</w:t>
            </w:r>
            <w:r>
              <w:rPr>
                <w:color w:val="000000"/>
                <w:sz w:val="16"/>
                <w:szCs w:val="16"/>
              </w:rPr>
              <w:t xml:space="preserve"> ±</w:t>
            </w:r>
            <w:r>
              <w:rPr>
                <w:sz w:val="16"/>
                <w:szCs w:val="16"/>
              </w:rPr>
              <w:t>0.42</w:t>
            </w:r>
          </w:p>
        </w:tc>
        <w:tc>
          <w:tcPr>
            <w:tcW w:w="960" w:type="dxa"/>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51.13</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42</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RC1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16.60</w:t>
            </w:r>
            <w:r>
              <w:rPr>
                <w:color w:val="000000"/>
                <w:sz w:val="16"/>
                <w:szCs w:val="16"/>
              </w:rPr>
              <w:t xml:space="preserve"> ±</w:t>
            </w:r>
            <w:r>
              <w:rPr>
                <w:sz w:val="16"/>
                <w:szCs w:val="16"/>
              </w:rPr>
              <w:t>0.35</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sz w:val="16"/>
                <w:szCs w:val="16"/>
              </w:rPr>
            </w:pPr>
            <w:r>
              <w:rPr>
                <w:sz w:val="16"/>
                <w:szCs w:val="16"/>
              </w:rPr>
              <w:t>33.00</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WH1</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16.57</w:t>
            </w:r>
            <w:r>
              <w:rPr>
                <w:color w:val="000000"/>
                <w:sz w:val="16"/>
                <w:szCs w:val="16"/>
              </w:rPr>
              <w:t xml:space="preserve"> ±</w:t>
            </w:r>
            <w:r>
              <w:rPr>
                <w:sz w:val="16"/>
                <w:szCs w:val="16"/>
              </w:rPr>
              <w:t>0.34</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32.83</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33</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GK1</w:t>
            </w:r>
          </w:p>
        </w:tc>
        <w:tc>
          <w:tcPr>
            <w:tcW w:w="130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color w:val="000000"/>
                <w:sz w:val="16"/>
                <w:szCs w:val="16"/>
              </w:rPr>
            </w:pPr>
            <w:r>
              <w:rPr>
                <w:sz w:val="16"/>
                <w:szCs w:val="16"/>
              </w:rPr>
              <w:t>14.66</w:t>
            </w:r>
            <w:r>
              <w:rPr>
                <w:color w:val="000000"/>
                <w:sz w:val="16"/>
                <w:szCs w:val="16"/>
              </w:rPr>
              <w:t xml:space="preserve"> ±</w:t>
            </w:r>
            <w:r>
              <w:rPr>
                <w:sz w:val="16"/>
                <w:szCs w:val="16"/>
              </w:rPr>
              <w:t>0.05</w:t>
            </w:r>
          </w:p>
        </w:tc>
        <w:tc>
          <w:tcPr>
            <w:tcW w:w="960" w:type="dxa"/>
            <w:tcBorders>
              <w:top w:val="single" w:sz="4" w:space="0" w:color="auto"/>
              <w:left w:val="nil"/>
              <w:bottom w:val="nil"/>
              <w:right w:val="nil"/>
            </w:tcBorders>
            <w:shd w:val="clear" w:color="auto" w:fill="F3F9FA"/>
            <w:noWrap/>
            <w:hideMark/>
          </w:tcPr>
          <w:p w:rsidR="00842050" w:rsidRDefault="00842050" w:rsidP="00805748">
            <w:pPr>
              <w:spacing w:before="0" w:after="0" w:line="180" w:lineRule="exact"/>
              <w:jc w:val="center"/>
              <w:rPr>
                <w:sz w:val="16"/>
                <w:szCs w:val="16"/>
              </w:rPr>
            </w:pPr>
            <w:r>
              <w:rPr>
                <w:sz w:val="16"/>
                <w:szCs w:val="16"/>
              </w:rPr>
              <w:t>23.29</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GK2</w:t>
            </w:r>
          </w:p>
        </w:tc>
        <w:tc>
          <w:tcPr>
            <w:tcW w:w="1300" w:type="dxa"/>
            <w:shd w:val="clear" w:color="auto" w:fill="F3F9FA"/>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w:t>
            </w:r>
          </w:p>
        </w:tc>
        <w:tc>
          <w:tcPr>
            <w:tcW w:w="960" w:type="dxa"/>
            <w:shd w:val="clear" w:color="auto" w:fill="F3F9FA"/>
            <w:noWrap/>
            <w:vAlign w:val="bottom"/>
          </w:tcPr>
          <w:p w:rsidR="00842050" w:rsidRDefault="00842050" w:rsidP="00805748">
            <w:pPr>
              <w:spacing w:before="0" w:after="0" w:line="180" w:lineRule="exact"/>
              <w:jc w:val="center"/>
              <w:rPr>
                <w:sz w:val="16"/>
                <w:szCs w:val="16"/>
              </w:rPr>
            </w:pP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F3F9FA"/>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line="180" w:lineRule="exact"/>
              <w:jc w:val="center"/>
              <w:rPr>
                <w:b/>
                <w:sz w:val="16"/>
                <w:szCs w:val="16"/>
              </w:rPr>
            </w:pPr>
            <w:r>
              <w:rPr>
                <w:b/>
                <w:sz w:val="16"/>
                <w:szCs w:val="16"/>
              </w:rPr>
              <w:t>31</w:t>
            </w:r>
          </w:p>
        </w:tc>
      </w:tr>
      <w:tr w:rsidR="00842050" w:rsidTr="00805748">
        <w:trPr>
          <w:jc w:val="center"/>
        </w:trPr>
        <w:tc>
          <w:tcPr>
            <w:tcW w:w="1920"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35</w:t>
            </w:r>
          </w:p>
        </w:tc>
      </w:tr>
      <w:tr w:rsidR="00842050" w:rsidTr="00805748">
        <w:trPr>
          <w:jc w:val="center"/>
        </w:trPr>
        <w:tc>
          <w:tcPr>
            <w:tcW w:w="1920" w:type="dxa"/>
            <w:tcBorders>
              <w:top w:val="single" w:sz="4" w:space="0" w:color="auto"/>
              <w:left w:val="nil"/>
              <w:bottom w:val="nil"/>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Burnett Mary</w:t>
            </w:r>
          </w:p>
        </w:tc>
        <w:tc>
          <w:tcPr>
            <w:tcW w:w="172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bottom w:val="nil"/>
              <w:right w:val="nil"/>
            </w:tcBorders>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RD1</w:t>
            </w:r>
          </w:p>
        </w:tc>
        <w:tc>
          <w:tcPr>
            <w:tcW w:w="130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15.29</w:t>
            </w:r>
            <w:r>
              <w:rPr>
                <w:color w:val="000000"/>
                <w:sz w:val="16"/>
                <w:szCs w:val="16"/>
              </w:rPr>
              <w:t xml:space="preserve"> ±</w:t>
            </w:r>
            <w:r>
              <w:rPr>
                <w:sz w:val="16"/>
                <w:szCs w:val="16"/>
              </w:rPr>
              <w:t>0.08</w:t>
            </w:r>
          </w:p>
        </w:tc>
        <w:tc>
          <w:tcPr>
            <w:tcW w:w="960" w:type="dxa"/>
            <w:tcBorders>
              <w:top w:val="single" w:sz="4" w:space="0" w:color="auto"/>
              <w:left w:val="nil"/>
              <w:bottom w:val="nil"/>
              <w:right w:val="nil"/>
            </w:tcBorders>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26.43</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RD2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18.00</w:t>
            </w:r>
            <w:r>
              <w:rPr>
                <w:color w:val="000000"/>
                <w:sz w:val="16"/>
                <w:szCs w:val="16"/>
              </w:rPr>
              <w:t xml:space="preserve"> ±</w:t>
            </w:r>
            <w:r>
              <w:rPr>
                <w:sz w:val="16"/>
                <w:szCs w:val="16"/>
              </w:rPr>
              <w:t>0.21</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39.98</w:t>
            </w:r>
          </w:p>
        </w:tc>
      </w:tr>
      <w:tr w:rsidR="00842050" w:rsidTr="00805748">
        <w:trPr>
          <w:trHeight w:val="54"/>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UG1</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19.53</w:t>
            </w:r>
            <w:r>
              <w:rPr>
                <w:color w:val="000000"/>
                <w:sz w:val="16"/>
                <w:szCs w:val="16"/>
              </w:rPr>
              <w:t xml:space="preserve"> ±</w:t>
            </w:r>
            <w:r>
              <w:rPr>
                <w:sz w:val="16"/>
                <w:szCs w:val="16"/>
              </w:rPr>
              <w:t>0.70</w:t>
            </w:r>
          </w:p>
        </w:tc>
        <w:tc>
          <w:tcPr>
            <w:tcW w:w="96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47.67</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shd w:val="clear" w:color="auto" w:fill="E7F3F4"/>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UG2</w:t>
            </w:r>
          </w:p>
        </w:tc>
        <w:tc>
          <w:tcPr>
            <w:tcW w:w="1300" w:type="dxa"/>
            <w:shd w:val="clear" w:color="auto" w:fill="E7F3F4"/>
            <w:noWrap/>
            <w:hideMark/>
          </w:tcPr>
          <w:p w:rsidR="00842050" w:rsidRDefault="00842050" w:rsidP="00805748">
            <w:pPr>
              <w:spacing w:before="0" w:after="0" w:line="180" w:lineRule="exact"/>
              <w:jc w:val="center"/>
              <w:rPr>
                <w:color w:val="000000"/>
                <w:sz w:val="16"/>
                <w:szCs w:val="16"/>
              </w:rPr>
            </w:pPr>
            <w:r>
              <w:rPr>
                <w:sz w:val="16"/>
                <w:szCs w:val="16"/>
              </w:rPr>
              <w:t>18.89</w:t>
            </w:r>
            <w:r>
              <w:rPr>
                <w:color w:val="000000"/>
                <w:sz w:val="16"/>
                <w:szCs w:val="16"/>
              </w:rPr>
              <w:t xml:space="preserve"> ±</w:t>
            </w:r>
            <w:r>
              <w:rPr>
                <w:sz w:val="16"/>
                <w:szCs w:val="16"/>
              </w:rPr>
              <w:t>1.10</w:t>
            </w:r>
          </w:p>
        </w:tc>
        <w:tc>
          <w:tcPr>
            <w:tcW w:w="960" w:type="dxa"/>
            <w:shd w:val="clear" w:color="auto" w:fill="E7F3F4"/>
            <w:noWrap/>
            <w:hideMark/>
          </w:tcPr>
          <w:p w:rsidR="00842050" w:rsidRDefault="00842050" w:rsidP="00805748">
            <w:pPr>
              <w:spacing w:before="0" w:after="0" w:line="180" w:lineRule="exact"/>
              <w:jc w:val="center"/>
              <w:rPr>
                <w:sz w:val="16"/>
                <w:szCs w:val="16"/>
              </w:rPr>
            </w:pPr>
            <w:r>
              <w:rPr>
                <w:sz w:val="16"/>
                <w:szCs w:val="16"/>
              </w:rPr>
              <w:t>44.46</w:t>
            </w:r>
          </w:p>
        </w:tc>
      </w:tr>
      <w:tr w:rsidR="00842050" w:rsidTr="00805748">
        <w:trPr>
          <w:jc w:val="center"/>
        </w:trPr>
        <w:tc>
          <w:tcPr>
            <w:tcW w:w="1920" w:type="dxa"/>
            <w:noWrap/>
            <w:vAlign w:val="bottom"/>
          </w:tcPr>
          <w:p w:rsidR="00842050" w:rsidRDefault="00842050" w:rsidP="00805748">
            <w:pPr>
              <w:spacing w:before="0" w:after="0" w:line="180" w:lineRule="exact"/>
              <w:jc w:val="center"/>
              <w:rPr>
                <w:color w:val="000000"/>
                <w:sz w:val="16"/>
                <w:szCs w:val="16"/>
              </w:rPr>
            </w:pPr>
          </w:p>
        </w:tc>
        <w:tc>
          <w:tcPr>
            <w:tcW w:w="172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1300" w:type="dxa"/>
            <w:tcBorders>
              <w:top w:val="nil"/>
              <w:left w:val="nil"/>
              <w:bottom w:val="single" w:sz="4" w:space="0" w:color="auto"/>
              <w:right w:val="nil"/>
            </w:tcBorders>
            <w:shd w:val="clear" w:color="auto" w:fill="E7F3F4"/>
            <w:noWrap/>
            <w:vAlign w:val="bottom"/>
          </w:tcPr>
          <w:p w:rsidR="00842050" w:rsidRDefault="00842050" w:rsidP="00805748">
            <w:pPr>
              <w:spacing w:before="0" w:after="0" w:line="180" w:lineRule="exact"/>
              <w:jc w:val="center"/>
              <w:rPr>
                <w:color w:val="000000"/>
                <w:sz w:val="16"/>
                <w:szCs w:val="16"/>
              </w:rPr>
            </w:pPr>
          </w:p>
        </w:tc>
        <w:tc>
          <w:tcPr>
            <w:tcW w:w="960" w:type="dxa"/>
            <w:tcBorders>
              <w:top w:val="nil"/>
              <w:left w:val="nil"/>
              <w:bottom w:val="single" w:sz="4" w:space="0" w:color="auto"/>
              <w:right w:val="nil"/>
            </w:tcBorders>
            <w:shd w:val="clear" w:color="auto" w:fill="E7F3F4"/>
            <w:noWrap/>
            <w:vAlign w:val="bottom"/>
            <w:hideMark/>
          </w:tcPr>
          <w:p w:rsidR="00842050" w:rsidRDefault="00842050" w:rsidP="00805748">
            <w:pPr>
              <w:spacing w:before="0" w:after="0" w:line="180" w:lineRule="exact"/>
              <w:jc w:val="center"/>
              <w:rPr>
                <w:b/>
                <w:sz w:val="16"/>
                <w:szCs w:val="16"/>
              </w:rPr>
            </w:pPr>
            <w:r>
              <w:rPr>
                <w:b/>
                <w:sz w:val="16"/>
                <w:szCs w:val="16"/>
              </w:rPr>
              <w:t>40</w:t>
            </w:r>
          </w:p>
        </w:tc>
      </w:tr>
      <w:tr w:rsidR="00842050" w:rsidTr="00805748">
        <w:trPr>
          <w:jc w:val="center"/>
        </w:trPr>
        <w:tc>
          <w:tcPr>
            <w:tcW w:w="1920" w:type="dxa"/>
            <w:tcBorders>
              <w:top w:val="nil"/>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72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color w:val="000000"/>
                <w:sz w:val="16"/>
                <w:szCs w:val="16"/>
              </w:rPr>
            </w:pPr>
            <w:r>
              <w:rPr>
                <w:color w:val="000000"/>
                <w:sz w:val="16"/>
                <w:szCs w:val="16"/>
              </w:rPr>
              <w:t>region</w:t>
            </w:r>
          </w:p>
        </w:tc>
        <w:tc>
          <w:tcPr>
            <w:tcW w:w="96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1300" w:type="dxa"/>
            <w:tcBorders>
              <w:top w:val="single" w:sz="4" w:space="0" w:color="auto"/>
              <w:left w:val="nil"/>
              <w:bottom w:val="single" w:sz="4" w:space="0" w:color="auto"/>
              <w:right w:val="nil"/>
            </w:tcBorders>
            <w:noWrap/>
            <w:vAlign w:val="bottom"/>
          </w:tcPr>
          <w:p w:rsidR="00842050" w:rsidRDefault="00842050" w:rsidP="00805748">
            <w:pPr>
              <w:spacing w:before="0" w:after="0" w:line="180" w:lineRule="exact"/>
              <w:jc w:val="center"/>
              <w:rPr>
                <w:color w:val="000000"/>
                <w:sz w:val="16"/>
                <w:szCs w:val="16"/>
              </w:rPr>
            </w:pPr>
          </w:p>
        </w:tc>
        <w:tc>
          <w:tcPr>
            <w:tcW w:w="960" w:type="dxa"/>
            <w:tcBorders>
              <w:top w:val="single" w:sz="4" w:space="0" w:color="auto"/>
              <w:left w:val="nil"/>
              <w:bottom w:val="single" w:sz="4" w:space="0" w:color="auto"/>
              <w:right w:val="nil"/>
            </w:tcBorders>
            <w:noWrap/>
            <w:vAlign w:val="bottom"/>
            <w:hideMark/>
          </w:tcPr>
          <w:p w:rsidR="00842050" w:rsidRDefault="00842050" w:rsidP="00805748">
            <w:pPr>
              <w:spacing w:before="0" w:after="0" w:line="180" w:lineRule="exact"/>
              <w:jc w:val="center"/>
              <w:rPr>
                <w:b/>
                <w:sz w:val="16"/>
                <w:szCs w:val="16"/>
              </w:rPr>
            </w:pPr>
            <w:r>
              <w:rPr>
                <w:b/>
                <w:sz w:val="16"/>
                <w:szCs w:val="16"/>
              </w:rPr>
              <w:t>40</w:t>
            </w:r>
          </w:p>
        </w:tc>
      </w:tr>
    </w:tbl>
    <w:p w:rsidR="00842050" w:rsidRPr="00F12624" w:rsidRDefault="00842050" w:rsidP="00F12624">
      <w:pPr>
        <w:pStyle w:val="Heading2"/>
      </w:pPr>
      <w:bookmarkStart w:id="983" w:name="_Toc462047398"/>
      <w:r w:rsidRPr="00F12624">
        <w:lastRenderedPageBreak/>
        <w:t>Seagrass index</w:t>
      </w:r>
      <w:bookmarkEnd w:id="981"/>
      <w:bookmarkEnd w:id="983"/>
    </w:p>
    <w:p w:rsidR="00842050" w:rsidRDefault="00842050" w:rsidP="00842050">
      <w:pPr>
        <w:spacing w:before="240"/>
        <w:rPr>
          <w:color w:val="000000"/>
          <w:szCs w:val="22"/>
        </w:rPr>
      </w:pPr>
      <w:r>
        <w:rPr>
          <w:color w:val="000000"/>
          <w:szCs w:val="22"/>
        </w:rPr>
        <w:t>The seagrass index is average score (0-100) of the three seagrass status indicators chosen for the MMP. Each indicator is equally weighted as we have no preconception that it should be otherwise. To calculate the overall score for seagrass of the Great Barrier Reef (GBR), the regional scores were weighted on the percentage of GBRWHA seagrass (shallower than 15m) within that region (</w:t>
      </w:r>
      <w:r w:rsidR="00FB280D">
        <w:fldChar w:fldCharType="begin"/>
      </w:r>
      <w:r w:rsidR="00FB280D">
        <w:rPr>
          <w:color w:val="000000"/>
          <w:szCs w:val="22"/>
        </w:rPr>
        <w:instrText xml:space="preserve"> REF _Ref442626138 \h </w:instrText>
      </w:r>
      <w:r w:rsidR="00FB280D">
        <w:fldChar w:fldCharType="separate"/>
      </w:r>
      <w:r w:rsidR="009C068F">
        <w:rPr>
          <w:color w:val="000000"/>
          <w:szCs w:val="22"/>
        </w:rPr>
        <w:t xml:space="preserve">Table </w:t>
      </w:r>
      <w:r w:rsidR="009C068F">
        <w:rPr>
          <w:noProof/>
          <w:color w:val="000000"/>
          <w:szCs w:val="22"/>
        </w:rPr>
        <w:t>45</w:t>
      </w:r>
      <w:r w:rsidR="00FB280D">
        <w:fldChar w:fldCharType="end"/>
      </w:r>
      <w:r>
        <w:rPr>
          <w:color w:val="000000"/>
          <w:szCs w:val="22"/>
        </w:rPr>
        <w:t xml:space="preserve">). </w:t>
      </w:r>
      <w:r>
        <w:rPr>
          <w:i/>
          <w:color w:val="000000"/>
          <w:szCs w:val="22"/>
        </w:rPr>
        <w:t>Please note: Cape York omitted from the GBR score in P2R reporting prior to 2012 due to poor representation of inshore monitoring sites throughout region</w:t>
      </w:r>
      <w:r>
        <w:rPr>
          <w:color w:val="000000"/>
          <w:szCs w:val="22"/>
        </w:rPr>
        <w:t>.</w:t>
      </w:r>
    </w:p>
    <w:p w:rsidR="00842050" w:rsidRDefault="00842050" w:rsidP="00842050">
      <w:pPr>
        <w:jc w:val="center"/>
        <w:rPr>
          <w:i/>
          <w:color w:val="000000"/>
          <w:szCs w:val="22"/>
        </w:rPr>
      </w:pPr>
      <w:bookmarkStart w:id="984" w:name="_Ref442626138"/>
      <w:bookmarkStart w:id="985" w:name="_Toc431494024"/>
      <w:bookmarkStart w:id="986" w:name="_Toc462685114"/>
      <w:r>
        <w:rPr>
          <w:color w:val="000000"/>
          <w:szCs w:val="22"/>
        </w:rPr>
        <w:t xml:space="preserve">Table </w:t>
      </w:r>
      <w:r>
        <w:fldChar w:fldCharType="begin"/>
      </w:r>
      <w:r>
        <w:rPr>
          <w:color w:val="000000"/>
          <w:szCs w:val="22"/>
        </w:rPr>
        <w:instrText xml:space="preserve"> SEQ Table \* ARABIC </w:instrText>
      </w:r>
      <w:r>
        <w:fldChar w:fldCharType="separate"/>
      </w:r>
      <w:r w:rsidR="009C068F">
        <w:rPr>
          <w:noProof/>
          <w:color w:val="000000"/>
          <w:szCs w:val="22"/>
        </w:rPr>
        <w:t>45</w:t>
      </w:r>
      <w:r>
        <w:fldChar w:fldCharType="end"/>
      </w:r>
      <w:bookmarkEnd w:id="984"/>
      <w:r>
        <w:rPr>
          <w:color w:val="000000"/>
          <w:szCs w:val="22"/>
        </w:rPr>
        <w:t xml:space="preserve">. </w:t>
      </w:r>
      <w:r>
        <w:rPr>
          <w:i/>
          <w:color w:val="000000"/>
          <w:szCs w:val="22"/>
        </w:rPr>
        <w:t xml:space="preserve">Area of seagrass shallower than 15m in each NRM region (from </w:t>
      </w:r>
      <w:hyperlink w:anchor="_ENREF_180" w:tooltip="McKenzie, 2010 #9646" w:history="1">
        <w:r w:rsidR="00E6043D">
          <w:fldChar w:fldCharType="begin"/>
        </w:r>
        <w:r w:rsidR="00E6043D">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fldChar w:fldCharType="separate"/>
        </w:r>
        <w:r w:rsidR="00E6043D">
          <w:rPr>
            <w:noProof/>
          </w:rPr>
          <w:t>McKenzie</w:t>
        </w:r>
        <w:r w:rsidR="00E6043D" w:rsidRPr="00644A84">
          <w:rPr>
            <w:i/>
            <w:noProof/>
          </w:rPr>
          <w:t>, et al.</w:t>
        </w:r>
        <w:r w:rsidR="00E6043D">
          <w:rPr>
            <w:noProof/>
          </w:rPr>
          <w:t xml:space="preserve"> 2010c</w:t>
        </w:r>
        <w:r w:rsidR="00E6043D">
          <w:fldChar w:fldCharType="end"/>
        </w:r>
      </w:hyperlink>
      <w:r>
        <w:rPr>
          <w:i/>
          <w:color w:val="000000"/>
          <w:szCs w:val="22"/>
        </w:rPr>
        <w:t>) within the boundaries of the Great Barrier Reef World Heritage Area.</w:t>
      </w:r>
      <w:bookmarkEnd w:id="985"/>
      <w:bookmarkEnd w:id="986"/>
    </w:p>
    <w:tbl>
      <w:tblPr>
        <w:tblW w:w="7362" w:type="dxa"/>
        <w:jc w:val="center"/>
        <w:tblLook w:val="04A0" w:firstRow="1" w:lastRow="0" w:firstColumn="1" w:lastColumn="0" w:noHBand="0" w:noVBand="1"/>
      </w:tblPr>
      <w:tblGrid>
        <w:gridCol w:w="2660"/>
        <w:gridCol w:w="2360"/>
        <w:gridCol w:w="2342"/>
      </w:tblGrid>
      <w:tr w:rsidR="00842050" w:rsidTr="00805748">
        <w:trPr>
          <w:trHeight w:val="290"/>
          <w:jc w:val="center"/>
        </w:trPr>
        <w:tc>
          <w:tcPr>
            <w:tcW w:w="2660"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b/>
                <w:color w:val="000000"/>
                <w:lang w:val="en-US"/>
              </w:rPr>
            </w:pPr>
            <w:bookmarkStart w:id="987" w:name="RANGE!H16:J22"/>
            <w:bookmarkEnd w:id="987"/>
            <w:r>
              <w:rPr>
                <w:b/>
                <w:color w:val="000000"/>
                <w:szCs w:val="22"/>
                <w:lang w:val="en-US"/>
              </w:rPr>
              <w:t>NRM</w:t>
            </w:r>
          </w:p>
        </w:tc>
        <w:tc>
          <w:tcPr>
            <w:tcW w:w="2360"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b/>
                <w:color w:val="000000"/>
                <w:lang w:val="en-US"/>
              </w:rPr>
            </w:pPr>
            <w:r>
              <w:rPr>
                <w:b/>
                <w:color w:val="000000"/>
                <w:szCs w:val="22"/>
                <w:lang w:val="en-US"/>
              </w:rPr>
              <w:t xml:space="preserve">Area of seagrass </w:t>
            </w:r>
            <w:r>
              <w:rPr>
                <w:color w:val="000000"/>
                <w:szCs w:val="22"/>
                <w:lang w:val="en-US"/>
              </w:rPr>
              <w:t>(km</w:t>
            </w:r>
            <w:r>
              <w:rPr>
                <w:color w:val="000000"/>
                <w:szCs w:val="22"/>
                <w:vertAlign w:val="superscript"/>
                <w:lang w:val="en-US"/>
              </w:rPr>
              <w:t>2</w:t>
            </w:r>
            <w:r>
              <w:rPr>
                <w:color w:val="000000"/>
                <w:szCs w:val="22"/>
                <w:lang w:val="en-US"/>
              </w:rPr>
              <w:t>)</w:t>
            </w:r>
          </w:p>
        </w:tc>
        <w:tc>
          <w:tcPr>
            <w:tcW w:w="2342" w:type="dxa"/>
            <w:tcBorders>
              <w:top w:val="single" w:sz="4" w:space="0" w:color="auto"/>
              <w:left w:val="nil"/>
              <w:bottom w:val="single" w:sz="4" w:space="0" w:color="auto"/>
              <w:right w:val="nil"/>
            </w:tcBorders>
            <w:shd w:val="clear" w:color="auto" w:fill="BBE0E3"/>
            <w:noWrap/>
            <w:vAlign w:val="bottom"/>
            <w:hideMark/>
          </w:tcPr>
          <w:p w:rsidR="00842050" w:rsidRDefault="00842050" w:rsidP="00805748">
            <w:pPr>
              <w:spacing w:before="0" w:after="0"/>
              <w:jc w:val="center"/>
              <w:rPr>
                <w:b/>
                <w:color w:val="000000"/>
                <w:lang w:val="en-US"/>
              </w:rPr>
            </w:pPr>
            <w:r>
              <w:rPr>
                <w:b/>
                <w:color w:val="000000"/>
                <w:szCs w:val="22"/>
                <w:lang w:val="en-US"/>
              </w:rPr>
              <w:t>% of GBRWHA</w:t>
            </w:r>
          </w:p>
        </w:tc>
      </w:tr>
      <w:tr w:rsidR="00842050" w:rsidTr="00805748">
        <w:trPr>
          <w:trHeight w:val="290"/>
          <w:jc w:val="center"/>
        </w:trPr>
        <w:tc>
          <w:tcPr>
            <w:tcW w:w="2660" w:type="dxa"/>
            <w:shd w:val="clear" w:color="auto" w:fill="F3F9FA"/>
            <w:noWrap/>
            <w:vAlign w:val="bottom"/>
            <w:hideMark/>
          </w:tcPr>
          <w:p w:rsidR="00842050" w:rsidRDefault="00842050" w:rsidP="00805748">
            <w:pPr>
              <w:spacing w:before="0" w:after="0"/>
              <w:rPr>
                <w:color w:val="000000"/>
                <w:lang w:eastAsia="en-AU"/>
              </w:rPr>
            </w:pPr>
            <w:r>
              <w:rPr>
                <w:color w:val="000000"/>
                <w:szCs w:val="22"/>
                <w:lang w:eastAsia="en-AU"/>
              </w:rPr>
              <w:t xml:space="preserve">Cape York </w:t>
            </w:r>
          </w:p>
        </w:tc>
        <w:tc>
          <w:tcPr>
            <w:tcW w:w="2360" w:type="dxa"/>
            <w:shd w:val="clear" w:color="auto" w:fill="F3F9FA"/>
            <w:noWrap/>
            <w:vAlign w:val="bottom"/>
            <w:hideMark/>
          </w:tcPr>
          <w:p w:rsidR="00842050" w:rsidRDefault="00842050" w:rsidP="00805748">
            <w:pPr>
              <w:spacing w:before="0" w:after="0"/>
              <w:jc w:val="center"/>
              <w:rPr>
                <w:color w:val="000000"/>
                <w:szCs w:val="22"/>
                <w:lang w:eastAsia="en-AU"/>
              </w:rPr>
            </w:pPr>
            <w:r>
              <w:rPr>
                <w:color w:val="000000"/>
                <w:szCs w:val="22"/>
                <w:lang w:eastAsia="en-AU"/>
              </w:rPr>
              <w:t>1,843</w:t>
            </w:r>
          </w:p>
        </w:tc>
        <w:tc>
          <w:tcPr>
            <w:tcW w:w="2342" w:type="dxa"/>
            <w:shd w:val="clear" w:color="auto" w:fill="F3F9FA"/>
            <w:noWrap/>
            <w:vAlign w:val="bottom"/>
            <w:hideMark/>
          </w:tcPr>
          <w:p w:rsidR="00842050" w:rsidRDefault="00842050" w:rsidP="00805748">
            <w:pPr>
              <w:spacing w:before="0" w:after="0"/>
              <w:jc w:val="center"/>
              <w:rPr>
                <w:color w:val="000000"/>
                <w:lang w:eastAsia="en-AU"/>
              </w:rPr>
            </w:pPr>
            <w:r>
              <w:rPr>
                <w:color w:val="000000"/>
                <w:lang w:eastAsia="en-AU"/>
              </w:rPr>
              <w:t>0.60</w:t>
            </w:r>
          </w:p>
        </w:tc>
      </w:tr>
      <w:tr w:rsidR="00842050" w:rsidTr="00805748">
        <w:trPr>
          <w:trHeight w:val="290"/>
          <w:jc w:val="center"/>
        </w:trPr>
        <w:tc>
          <w:tcPr>
            <w:tcW w:w="2660" w:type="dxa"/>
            <w:shd w:val="clear" w:color="auto" w:fill="F3F9FA"/>
            <w:noWrap/>
            <w:vAlign w:val="bottom"/>
            <w:hideMark/>
          </w:tcPr>
          <w:p w:rsidR="00842050" w:rsidRDefault="00842050" w:rsidP="00805748">
            <w:pPr>
              <w:spacing w:before="0" w:after="0"/>
              <w:rPr>
                <w:color w:val="000000"/>
                <w:lang w:eastAsia="en-AU"/>
              </w:rPr>
            </w:pPr>
            <w:r>
              <w:rPr>
                <w:color w:val="000000"/>
                <w:szCs w:val="22"/>
                <w:lang w:eastAsia="en-AU"/>
              </w:rPr>
              <w:t xml:space="preserve">Wet Tropics </w:t>
            </w:r>
          </w:p>
        </w:tc>
        <w:tc>
          <w:tcPr>
            <w:tcW w:w="2360" w:type="dxa"/>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201</w:t>
            </w:r>
          </w:p>
        </w:tc>
        <w:tc>
          <w:tcPr>
            <w:tcW w:w="2342" w:type="dxa"/>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0.07</w:t>
            </w:r>
          </w:p>
        </w:tc>
      </w:tr>
      <w:tr w:rsidR="00842050" w:rsidTr="00805748">
        <w:trPr>
          <w:trHeight w:val="290"/>
          <w:jc w:val="center"/>
        </w:trPr>
        <w:tc>
          <w:tcPr>
            <w:tcW w:w="2660" w:type="dxa"/>
            <w:shd w:val="clear" w:color="auto" w:fill="F3F9FA"/>
            <w:noWrap/>
            <w:vAlign w:val="bottom"/>
            <w:hideMark/>
          </w:tcPr>
          <w:p w:rsidR="00842050" w:rsidRDefault="00842050" w:rsidP="00805748">
            <w:pPr>
              <w:spacing w:before="0" w:after="0"/>
              <w:rPr>
                <w:color w:val="000000"/>
                <w:lang w:eastAsia="en-AU"/>
              </w:rPr>
            </w:pPr>
            <w:r>
              <w:rPr>
                <w:color w:val="000000"/>
                <w:szCs w:val="22"/>
                <w:lang w:eastAsia="en-AU"/>
              </w:rPr>
              <w:t xml:space="preserve">Burdekin </w:t>
            </w:r>
          </w:p>
        </w:tc>
        <w:tc>
          <w:tcPr>
            <w:tcW w:w="2360" w:type="dxa"/>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551</w:t>
            </w:r>
          </w:p>
        </w:tc>
        <w:tc>
          <w:tcPr>
            <w:tcW w:w="2342" w:type="dxa"/>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0.18</w:t>
            </w:r>
          </w:p>
        </w:tc>
      </w:tr>
      <w:tr w:rsidR="00842050" w:rsidTr="00805748">
        <w:trPr>
          <w:trHeight w:val="290"/>
          <w:jc w:val="center"/>
        </w:trPr>
        <w:tc>
          <w:tcPr>
            <w:tcW w:w="2660" w:type="dxa"/>
            <w:shd w:val="clear" w:color="auto" w:fill="F3F9FA"/>
            <w:noWrap/>
            <w:vAlign w:val="bottom"/>
            <w:hideMark/>
          </w:tcPr>
          <w:p w:rsidR="00842050" w:rsidRDefault="00842050" w:rsidP="00805748">
            <w:pPr>
              <w:spacing w:before="0" w:after="0"/>
              <w:rPr>
                <w:color w:val="000000"/>
                <w:lang w:eastAsia="en-AU"/>
              </w:rPr>
            </w:pPr>
            <w:r>
              <w:rPr>
                <w:color w:val="000000"/>
                <w:szCs w:val="22"/>
                <w:lang w:eastAsia="en-AU"/>
              </w:rPr>
              <w:t xml:space="preserve">Mackay Whitsunday </w:t>
            </w:r>
          </w:p>
        </w:tc>
        <w:tc>
          <w:tcPr>
            <w:tcW w:w="2360" w:type="dxa"/>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154</w:t>
            </w:r>
          </w:p>
        </w:tc>
        <w:tc>
          <w:tcPr>
            <w:tcW w:w="2342" w:type="dxa"/>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0.05</w:t>
            </w:r>
          </w:p>
        </w:tc>
      </w:tr>
      <w:tr w:rsidR="00842050" w:rsidTr="00805748">
        <w:trPr>
          <w:trHeight w:val="290"/>
          <w:jc w:val="center"/>
        </w:trPr>
        <w:tc>
          <w:tcPr>
            <w:tcW w:w="2660" w:type="dxa"/>
            <w:shd w:val="clear" w:color="auto" w:fill="F3F9FA"/>
            <w:noWrap/>
            <w:vAlign w:val="bottom"/>
            <w:hideMark/>
          </w:tcPr>
          <w:p w:rsidR="00842050" w:rsidRDefault="00842050" w:rsidP="00805748">
            <w:pPr>
              <w:spacing w:before="0" w:after="0"/>
              <w:rPr>
                <w:color w:val="000000"/>
                <w:lang w:eastAsia="en-AU"/>
              </w:rPr>
            </w:pPr>
            <w:r>
              <w:rPr>
                <w:color w:val="000000"/>
                <w:szCs w:val="22"/>
                <w:lang w:eastAsia="en-AU"/>
              </w:rPr>
              <w:t xml:space="preserve">Fitzroy </w:t>
            </w:r>
          </w:p>
        </w:tc>
        <w:tc>
          <w:tcPr>
            <w:tcW w:w="2360" w:type="dxa"/>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241</w:t>
            </w:r>
          </w:p>
        </w:tc>
        <w:tc>
          <w:tcPr>
            <w:tcW w:w="2342" w:type="dxa"/>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0.08</w:t>
            </w:r>
          </w:p>
        </w:tc>
      </w:tr>
      <w:tr w:rsidR="00842050" w:rsidTr="00805748">
        <w:trPr>
          <w:trHeight w:val="290"/>
          <w:jc w:val="center"/>
        </w:trPr>
        <w:tc>
          <w:tcPr>
            <w:tcW w:w="26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rPr>
                <w:color w:val="000000"/>
                <w:lang w:eastAsia="en-AU"/>
              </w:rPr>
            </w:pPr>
            <w:r>
              <w:rPr>
                <w:color w:val="000000"/>
                <w:szCs w:val="22"/>
                <w:lang w:eastAsia="en-AU"/>
              </w:rPr>
              <w:t xml:space="preserve">Burnett Mary </w:t>
            </w:r>
          </w:p>
        </w:tc>
        <w:tc>
          <w:tcPr>
            <w:tcW w:w="2360"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73</w:t>
            </w:r>
          </w:p>
        </w:tc>
        <w:tc>
          <w:tcPr>
            <w:tcW w:w="2342" w:type="dxa"/>
            <w:tcBorders>
              <w:top w:val="nil"/>
              <w:left w:val="nil"/>
              <w:bottom w:val="single" w:sz="4" w:space="0" w:color="auto"/>
              <w:right w:val="nil"/>
            </w:tcBorders>
            <w:shd w:val="clear" w:color="auto" w:fill="F3F9FA"/>
            <w:noWrap/>
            <w:vAlign w:val="bottom"/>
            <w:hideMark/>
          </w:tcPr>
          <w:p w:rsidR="00842050" w:rsidRDefault="00842050" w:rsidP="00805748">
            <w:pPr>
              <w:spacing w:before="0" w:after="0"/>
              <w:jc w:val="center"/>
              <w:rPr>
                <w:color w:val="000000"/>
                <w:lang w:eastAsia="en-AU"/>
              </w:rPr>
            </w:pPr>
            <w:r>
              <w:rPr>
                <w:color w:val="000000"/>
                <w:szCs w:val="22"/>
                <w:lang w:eastAsia="en-AU"/>
              </w:rPr>
              <w:t>0.02</w:t>
            </w:r>
          </w:p>
        </w:tc>
      </w:tr>
      <w:tr w:rsidR="00842050" w:rsidTr="00805748">
        <w:trPr>
          <w:trHeight w:val="290"/>
          <w:jc w:val="center"/>
        </w:trPr>
        <w:tc>
          <w:tcPr>
            <w:tcW w:w="2660" w:type="dxa"/>
            <w:tcBorders>
              <w:top w:val="single" w:sz="4" w:space="0" w:color="auto"/>
              <w:left w:val="nil"/>
              <w:bottom w:val="single" w:sz="4" w:space="0" w:color="auto"/>
              <w:right w:val="nil"/>
            </w:tcBorders>
            <w:shd w:val="clear" w:color="auto" w:fill="E7F3F4"/>
            <w:noWrap/>
            <w:vAlign w:val="bottom"/>
            <w:hideMark/>
          </w:tcPr>
          <w:p w:rsidR="00842050" w:rsidRDefault="00842050" w:rsidP="00805748">
            <w:pPr>
              <w:spacing w:before="0" w:after="0"/>
              <w:rPr>
                <w:b/>
                <w:color w:val="000000"/>
                <w:lang w:eastAsia="en-AU"/>
              </w:rPr>
            </w:pPr>
            <w:r>
              <w:rPr>
                <w:b/>
                <w:color w:val="000000"/>
                <w:szCs w:val="22"/>
                <w:lang w:eastAsia="en-AU"/>
              </w:rPr>
              <w:t>GBRWHA</w:t>
            </w:r>
          </w:p>
        </w:tc>
        <w:tc>
          <w:tcPr>
            <w:tcW w:w="2360" w:type="dxa"/>
            <w:tcBorders>
              <w:top w:val="single" w:sz="4" w:space="0" w:color="auto"/>
              <w:left w:val="nil"/>
              <w:bottom w:val="single" w:sz="4" w:space="0" w:color="auto"/>
              <w:right w:val="nil"/>
            </w:tcBorders>
            <w:shd w:val="clear" w:color="auto" w:fill="E7F3F4"/>
            <w:noWrap/>
            <w:vAlign w:val="bottom"/>
            <w:hideMark/>
          </w:tcPr>
          <w:p w:rsidR="00842050" w:rsidRDefault="00842050" w:rsidP="00805748">
            <w:pPr>
              <w:spacing w:before="0" w:after="0"/>
              <w:jc w:val="center"/>
              <w:rPr>
                <w:b/>
                <w:color w:val="000000"/>
                <w:lang w:eastAsia="en-AU"/>
              </w:rPr>
            </w:pPr>
            <w:r>
              <w:rPr>
                <w:b/>
                <w:color w:val="000000"/>
                <w:szCs w:val="22"/>
                <w:lang w:eastAsia="en-AU"/>
              </w:rPr>
              <w:t>1,220</w:t>
            </w:r>
          </w:p>
        </w:tc>
        <w:tc>
          <w:tcPr>
            <w:tcW w:w="2342" w:type="dxa"/>
            <w:tcBorders>
              <w:top w:val="single" w:sz="4" w:space="0" w:color="auto"/>
              <w:left w:val="nil"/>
              <w:bottom w:val="single" w:sz="4" w:space="0" w:color="auto"/>
              <w:right w:val="nil"/>
            </w:tcBorders>
            <w:shd w:val="clear" w:color="auto" w:fill="E7F3F4"/>
            <w:noWrap/>
            <w:vAlign w:val="bottom"/>
            <w:hideMark/>
          </w:tcPr>
          <w:p w:rsidR="00842050" w:rsidRDefault="00842050" w:rsidP="00805748">
            <w:pPr>
              <w:spacing w:before="0" w:after="0"/>
              <w:jc w:val="center"/>
              <w:rPr>
                <w:b/>
                <w:color w:val="000000"/>
                <w:lang w:eastAsia="en-AU"/>
              </w:rPr>
            </w:pPr>
            <w:r>
              <w:rPr>
                <w:b/>
                <w:color w:val="000000"/>
                <w:szCs w:val="22"/>
                <w:lang w:eastAsia="en-AU"/>
              </w:rPr>
              <w:t>1.00</w:t>
            </w:r>
          </w:p>
        </w:tc>
      </w:tr>
    </w:tbl>
    <w:p w:rsidR="00842050" w:rsidRDefault="00842050" w:rsidP="00842050">
      <w:pPr>
        <w:spacing w:before="240"/>
        <w:rPr>
          <w:color w:val="000000"/>
          <w:szCs w:val="22"/>
        </w:rPr>
      </w:pPr>
    </w:p>
    <w:p w:rsidR="00842050" w:rsidRDefault="00842050" w:rsidP="00842050"/>
    <w:p w:rsidR="004A36C2" w:rsidRPr="00475FC4" w:rsidRDefault="004A36C2" w:rsidP="004223A0">
      <w:pPr>
        <w:ind w:left="540" w:hanging="540"/>
        <w:rPr>
          <w:color w:val="000000"/>
          <w:szCs w:val="22"/>
        </w:rPr>
      </w:pPr>
    </w:p>
    <w:p w:rsidR="008A429D" w:rsidRPr="00475FC4" w:rsidRDefault="008A429D" w:rsidP="004223A0">
      <w:pPr>
        <w:ind w:left="540" w:hanging="540"/>
        <w:rPr>
          <w:color w:val="000000"/>
          <w:szCs w:val="22"/>
        </w:rPr>
      </w:pPr>
    </w:p>
    <w:p w:rsidR="008A429D" w:rsidRPr="00475FC4" w:rsidRDefault="008A429D" w:rsidP="004223A0">
      <w:pPr>
        <w:ind w:left="540" w:hanging="540"/>
        <w:rPr>
          <w:color w:val="000000"/>
          <w:szCs w:val="22"/>
        </w:rPr>
      </w:pPr>
    </w:p>
    <w:p w:rsidR="004A36C2" w:rsidRPr="001F473C" w:rsidRDefault="004A36C2" w:rsidP="004223A0">
      <w:pPr>
        <w:ind w:left="540" w:hanging="540"/>
        <w:rPr>
          <w:color w:val="000000"/>
        </w:rPr>
      </w:pPr>
    </w:p>
    <w:p w:rsidR="005132EF" w:rsidRPr="001F473C" w:rsidRDefault="005132EF" w:rsidP="00034AD4">
      <w:pPr>
        <w:ind w:left="540" w:hanging="540"/>
        <w:rPr>
          <w:color w:val="000000"/>
        </w:rPr>
        <w:sectPr w:rsidR="005132EF" w:rsidRPr="001F473C" w:rsidSect="00104000">
          <w:pgSz w:w="11906" w:h="16838"/>
          <w:pgMar w:top="1418" w:right="1418" w:bottom="1418" w:left="1418" w:header="709" w:footer="709" w:gutter="0"/>
          <w:cols w:space="708"/>
          <w:docGrid w:linePitch="360"/>
        </w:sectPr>
      </w:pPr>
    </w:p>
    <w:p w:rsidR="008A429D" w:rsidRPr="008A429D" w:rsidRDefault="008A429D" w:rsidP="008A429D">
      <w:pPr>
        <w:ind w:left="540" w:hanging="540"/>
        <w:rPr>
          <w:color w:val="000000"/>
          <w:szCs w:val="22"/>
        </w:rPr>
      </w:pPr>
      <w:bookmarkStart w:id="988" w:name="_Toc379612624"/>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Default="008A429D" w:rsidP="008A429D">
      <w:pPr>
        <w:ind w:left="540" w:hanging="540"/>
        <w:rPr>
          <w:color w:val="000000"/>
          <w:szCs w:val="22"/>
        </w:rPr>
      </w:pPr>
    </w:p>
    <w:p w:rsidR="008A429D" w:rsidRPr="00902825" w:rsidRDefault="00842050" w:rsidP="001A5B75">
      <w:pPr>
        <w:pStyle w:val="Heading1"/>
        <w:pageBreakBefore w:val="0"/>
        <w:numPr>
          <w:ilvl w:val="0"/>
          <w:numId w:val="17"/>
        </w:numPr>
      </w:pPr>
      <w:bookmarkStart w:id="989" w:name="_Toc462047399"/>
      <w:r>
        <w:t>Detailed data</w:t>
      </w:r>
      <w:bookmarkEnd w:id="989"/>
    </w:p>
    <w:bookmarkEnd w:id="988"/>
    <w:p w:rsidR="00E82D2E" w:rsidRDefault="00E82D2E" w:rsidP="00E82D2E">
      <w:pPr>
        <w:rPr>
          <w:lang w:val="en-GB"/>
        </w:rPr>
      </w:pPr>
    </w:p>
    <w:p w:rsidR="00842050" w:rsidRDefault="00842050">
      <w:pPr>
        <w:spacing w:before="0" w:after="0"/>
        <w:rPr>
          <w:lang w:val="en-GB"/>
        </w:rPr>
      </w:pPr>
      <w:r>
        <w:rPr>
          <w:lang w:val="en-GB"/>
        </w:rPr>
        <w:br w:type="page"/>
      </w:r>
    </w:p>
    <w:p w:rsidR="00982946" w:rsidRPr="00F12624" w:rsidRDefault="00982946" w:rsidP="00F12624">
      <w:pPr>
        <w:pStyle w:val="Heading2"/>
      </w:pPr>
      <w:bookmarkStart w:id="990" w:name="_Toc462047400"/>
      <w:r w:rsidRPr="00F12624">
        <w:lastRenderedPageBreak/>
        <w:t>Climate and environment</w:t>
      </w:r>
      <w:r w:rsidR="00D93689">
        <w:t>al pressures</w:t>
      </w:r>
      <w:bookmarkEnd w:id="990"/>
    </w:p>
    <w:p w:rsidR="00842050" w:rsidRPr="00F12624" w:rsidRDefault="00842050" w:rsidP="00F12624">
      <w:pPr>
        <w:pStyle w:val="Heading3"/>
        <w:rPr>
          <w:rFonts w:asciiTheme="minorHAnsi" w:hAnsiTheme="minorHAnsi"/>
          <w:sz w:val="24"/>
          <w:szCs w:val="24"/>
        </w:rPr>
      </w:pPr>
      <w:bookmarkStart w:id="991" w:name="_Toc462047401"/>
      <w:r w:rsidRPr="00F12624">
        <w:rPr>
          <w:rFonts w:asciiTheme="minorHAnsi" w:hAnsiTheme="minorHAnsi"/>
          <w:sz w:val="24"/>
          <w:szCs w:val="24"/>
        </w:rPr>
        <w:t>River discharge</w:t>
      </w:r>
      <w:bookmarkEnd w:id="991"/>
    </w:p>
    <w:p w:rsidR="00842050" w:rsidRDefault="00842050" w:rsidP="00E82D2E">
      <w:pPr>
        <w:rPr>
          <w:lang w:val="en-GB"/>
        </w:rPr>
      </w:pPr>
    </w:p>
    <w:p w:rsidR="00842050" w:rsidRPr="00C763C9" w:rsidRDefault="00F803C7" w:rsidP="00842050">
      <w:pPr>
        <w:keepNext/>
        <w:autoSpaceDE w:val="0"/>
        <w:autoSpaceDN w:val="0"/>
        <w:adjustRightInd w:val="0"/>
        <w:spacing w:after="0"/>
        <w:jc w:val="center"/>
        <w:rPr>
          <w:color w:val="000000"/>
        </w:rPr>
      </w:pPr>
      <w:bookmarkStart w:id="992" w:name="_Ref304971683"/>
      <w:bookmarkStart w:id="993" w:name="_Toc354915832"/>
      <w:r>
        <w:rPr>
          <w:noProof/>
          <w:color w:val="000000"/>
          <w:lang w:eastAsia="en-AU"/>
        </w:rPr>
        <w:drawing>
          <wp:inline distT="0" distB="0" distL="0" distR="0" wp14:anchorId="2AD6C52B" wp14:editId="0C56BA39">
            <wp:extent cx="3240000" cy="1998000"/>
            <wp:effectExtent l="0" t="0" r="0" b="2540"/>
            <wp:docPr id="28" name="Picture 28" descr="Panel of two bar graphs showing average daily flow per month from the Normanby and Annan Rivers for to period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rivers_2015.png"/>
                    <pic:cNvPicPr/>
                  </pic:nvPicPr>
                  <pic:blipFill>
                    <a:blip r:embed="rId229" cstate="print">
                      <a:extLst>
                        <a:ext uri="{28A0092B-C50C-407E-A947-70E740481C1C}">
                          <a14:useLocalDpi xmlns:a14="http://schemas.microsoft.com/office/drawing/2010/main" val="0"/>
                        </a:ext>
                      </a:extLst>
                    </a:blip>
                    <a:stretch>
                      <a:fillRect/>
                    </a:stretch>
                  </pic:blipFill>
                  <pic:spPr>
                    <a:xfrm>
                      <a:off x="0" y="0"/>
                      <a:ext cx="3240000" cy="1998000"/>
                    </a:xfrm>
                    <a:prstGeom prst="rect">
                      <a:avLst/>
                    </a:prstGeom>
                  </pic:spPr>
                </pic:pic>
              </a:graphicData>
            </a:graphic>
          </wp:inline>
        </w:drawing>
      </w:r>
    </w:p>
    <w:p w:rsidR="00842050" w:rsidRPr="00CD6094" w:rsidRDefault="00842050" w:rsidP="00842050">
      <w:pPr>
        <w:spacing w:before="0"/>
        <w:rPr>
          <w:vanish/>
          <w:color w:val="000000"/>
          <w:szCs w:val="22"/>
          <w:lang w:val="en-GB"/>
          <w:specVanish/>
        </w:rPr>
      </w:pPr>
      <w:bookmarkStart w:id="994" w:name="_Ref380242984"/>
      <w:bookmarkStart w:id="995" w:name="_Toc431494006"/>
      <w:bookmarkStart w:id="996" w:name="_Toc462684973"/>
      <w:bookmarkEnd w:id="992"/>
      <w:r w:rsidRPr="001233E9">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133</w:t>
      </w:r>
      <w:r w:rsidR="0073595B">
        <w:rPr>
          <w:color w:val="000000"/>
          <w:szCs w:val="22"/>
          <w:lang w:val="en-GB"/>
        </w:rPr>
        <w:fldChar w:fldCharType="end"/>
      </w:r>
      <w:bookmarkEnd w:id="994"/>
      <w:r w:rsidRPr="001233E9">
        <w:rPr>
          <w:color w:val="000000"/>
          <w:szCs w:val="22"/>
          <w:lang w:val="en-GB"/>
        </w:rPr>
        <w:t xml:space="preserve">. </w:t>
      </w:r>
      <w:r w:rsidRPr="001233E9">
        <w:rPr>
          <w:i/>
          <w:color w:val="000000"/>
          <w:szCs w:val="22"/>
          <w:lang w:val="en-GB"/>
        </w:rPr>
        <w:t>Average daily flow (ML day</w:t>
      </w:r>
      <w:r w:rsidRPr="001233E9">
        <w:rPr>
          <w:i/>
          <w:color w:val="000000"/>
          <w:szCs w:val="22"/>
          <w:vertAlign w:val="superscript"/>
          <w:lang w:val="en-GB"/>
        </w:rPr>
        <w:t>-1</w:t>
      </w:r>
      <w:r w:rsidRPr="001233E9">
        <w:rPr>
          <w:i/>
          <w:color w:val="000000"/>
          <w:szCs w:val="22"/>
          <w:lang w:val="en-GB"/>
        </w:rPr>
        <w:t xml:space="preserve">) per month from the </w:t>
      </w:r>
      <w:proofErr w:type="spellStart"/>
      <w:smartTag w:uri="urn:schemas-microsoft-com:office:smarttags" w:element="PlaceName">
        <w:r w:rsidRPr="001233E9">
          <w:rPr>
            <w:i/>
            <w:color w:val="000000"/>
            <w:szCs w:val="22"/>
            <w:lang w:val="en-GB"/>
          </w:rPr>
          <w:t>Normanby</w:t>
        </w:r>
      </w:smartTag>
      <w:proofErr w:type="spellEnd"/>
      <w:r w:rsidRPr="001233E9">
        <w:rPr>
          <w:i/>
          <w:color w:val="000000"/>
          <w:szCs w:val="22"/>
          <w:lang w:val="en-GB"/>
        </w:rPr>
        <w:t xml:space="preserve"> </w:t>
      </w:r>
      <w:smartTag w:uri="urn:schemas-microsoft-com:office:smarttags" w:element="PlaceType">
        <w:r w:rsidRPr="001233E9">
          <w:rPr>
            <w:i/>
            <w:color w:val="000000"/>
            <w:szCs w:val="22"/>
            <w:lang w:val="en-GB"/>
          </w:rPr>
          <w:t>River</w:t>
        </w:r>
      </w:smartTag>
      <w:r w:rsidRPr="001233E9">
        <w:rPr>
          <w:i/>
          <w:color w:val="000000"/>
          <w:szCs w:val="22"/>
          <w:lang w:val="en-GB"/>
        </w:rPr>
        <w:t xml:space="preserve"> at </w:t>
      </w:r>
      <w:proofErr w:type="spellStart"/>
      <w:r w:rsidRPr="001233E9">
        <w:rPr>
          <w:i/>
          <w:color w:val="000000"/>
          <w:szCs w:val="22"/>
          <w:lang w:val="en-GB"/>
        </w:rPr>
        <w:t>Kalpowar</w:t>
      </w:r>
      <w:proofErr w:type="spellEnd"/>
      <w:r w:rsidRPr="001233E9">
        <w:rPr>
          <w:i/>
          <w:color w:val="000000"/>
          <w:szCs w:val="22"/>
          <w:lang w:val="en-GB"/>
        </w:rPr>
        <w:t xml:space="preserve"> Crossing and </w:t>
      </w:r>
      <w:smartTag w:uri="urn:schemas-microsoft-com:office:smarttags" w:element="place">
        <w:smartTag w:uri="urn:schemas-microsoft-com:office:smarttags" w:element="PlaceName">
          <w:r w:rsidRPr="001233E9">
            <w:rPr>
              <w:i/>
              <w:color w:val="000000"/>
              <w:szCs w:val="22"/>
              <w:lang w:val="en-GB"/>
            </w:rPr>
            <w:t>Annan</w:t>
          </w:r>
        </w:smartTag>
        <w:r w:rsidRPr="001233E9">
          <w:rPr>
            <w:i/>
            <w:color w:val="000000"/>
            <w:szCs w:val="22"/>
            <w:lang w:val="en-GB"/>
          </w:rPr>
          <w:t xml:space="preserve"> </w:t>
        </w:r>
        <w:smartTag w:uri="urn:schemas-microsoft-com:office:smarttags" w:element="PlaceType">
          <w:r w:rsidRPr="001233E9">
            <w:rPr>
              <w:i/>
              <w:color w:val="000000"/>
              <w:szCs w:val="22"/>
              <w:lang w:val="en-GB"/>
            </w:rPr>
            <w:t>River</w:t>
          </w:r>
        </w:smartTag>
      </w:smartTag>
      <w:r w:rsidRPr="001233E9">
        <w:rPr>
          <w:i/>
          <w:color w:val="000000"/>
          <w:szCs w:val="22"/>
          <w:lang w:val="en-GB"/>
        </w:rPr>
        <w:t xml:space="preserve"> at </w:t>
      </w:r>
      <w:proofErr w:type="spellStart"/>
      <w:r w:rsidRPr="001233E9">
        <w:rPr>
          <w:i/>
          <w:color w:val="000000"/>
          <w:szCs w:val="22"/>
          <w:lang w:val="en-GB"/>
        </w:rPr>
        <w:t>Beesbike</w:t>
      </w:r>
      <w:bookmarkEnd w:id="995"/>
      <w:bookmarkEnd w:id="996"/>
      <w:proofErr w:type="spellEnd"/>
    </w:p>
    <w:p w:rsidR="00842050" w:rsidRPr="001233E9" w:rsidRDefault="00842050" w:rsidP="00842050">
      <w:pPr>
        <w:spacing w:before="0"/>
        <w:rPr>
          <w:color w:val="000000"/>
          <w:szCs w:val="22"/>
          <w:lang w:val="en-GB"/>
        </w:rPr>
      </w:pPr>
      <w:r>
        <w:rPr>
          <w:color w:val="000000"/>
          <w:szCs w:val="22"/>
          <w:lang w:val="en-GB"/>
        </w:rPr>
        <w:t xml:space="preserve"> </w:t>
      </w:r>
      <w:r w:rsidRPr="001233E9">
        <w:rPr>
          <w:i/>
          <w:color w:val="000000"/>
          <w:szCs w:val="22"/>
          <w:lang w:val="en-GB"/>
        </w:rPr>
        <w:t xml:space="preserve"> (stations 105107A - </w:t>
      </w:r>
      <w:proofErr w:type="spellStart"/>
      <w:r w:rsidRPr="001233E9">
        <w:rPr>
          <w:i/>
          <w:color w:val="000000"/>
          <w:szCs w:val="22"/>
          <w:lang w:val="en-GB"/>
        </w:rPr>
        <w:t>Normanby</w:t>
      </w:r>
      <w:proofErr w:type="spellEnd"/>
      <w:r w:rsidRPr="001233E9">
        <w:rPr>
          <w:i/>
          <w:color w:val="000000"/>
          <w:szCs w:val="22"/>
          <w:lang w:val="en-GB"/>
        </w:rPr>
        <w:t xml:space="preserve"> River at </w:t>
      </w:r>
      <w:proofErr w:type="spellStart"/>
      <w:r w:rsidRPr="001233E9">
        <w:rPr>
          <w:i/>
          <w:color w:val="000000"/>
          <w:szCs w:val="22"/>
          <w:lang w:val="en-GB"/>
        </w:rPr>
        <w:t>Kalpowar</w:t>
      </w:r>
      <w:proofErr w:type="spellEnd"/>
      <w:r w:rsidRPr="001233E9">
        <w:rPr>
          <w:i/>
          <w:color w:val="000000"/>
          <w:szCs w:val="22"/>
          <w:lang w:val="en-GB"/>
        </w:rPr>
        <w:t xml:space="preserve"> Crossing 14.91683°S 144.211279°E, Elev:21.3m and 107003A, 15.68773°S, 145.2085°E,  </w:t>
      </w:r>
      <w:proofErr w:type="spellStart"/>
      <w:r w:rsidRPr="001233E9">
        <w:rPr>
          <w:i/>
          <w:color w:val="000000"/>
          <w:szCs w:val="22"/>
          <w:lang w:val="en-GB"/>
        </w:rPr>
        <w:t>Elev</w:t>
      </w:r>
      <w:proofErr w:type="spellEnd"/>
      <w:r w:rsidRPr="001233E9">
        <w:rPr>
          <w:i/>
          <w:color w:val="000000"/>
          <w:szCs w:val="22"/>
          <w:lang w:val="en-GB"/>
        </w:rPr>
        <w:t xml:space="preserve">: 115m) (source </w:t>
      </w:r>
      <w:r w:rsidRPr="001233E9">
        <w:rPr>
          <w:i/>
          <w:color w:val="000000"/>
          <w:szCs w:val="22"/>
          <w:vertAlign w:val="superscript"/>
          <w:lang w:val="en-GB"/>
        </w:rPr>
        <w:t>©</w:t>
      </w:r>
      <w:r w:rsidRPr="001233E9">
        <w:rPr>
          <w:i/>
          <w:color w:val="000000"/>
          <w:szCs w:val="22"/>
          <w:lang w:val="en-GB"/>
        </w:rPr>
        <w:t>The State of Queensland (DNRM) 201</w:t>
      </w:r>
      <w:r w:rsidR="00982946">
        <w:rPr>
          <w:i/>
          <w:color w:val="000000"/>
          <w:szCs w:val="22"/>
          <w:lang w:val="en-GB"/>
        </w:rPr>
        <w:t>5</w:t>
      </w:r>
      <w:r w:rsidRPr="001233E9">
        <w:rPr>
          <w:i/>
          <w:color w:val="000000"/>
          <w:szCs w:val="22"/>
          <w:lang w:val="en-GB"/>
        </w:rPr>
        <w:t>, dnrm.qld.gov.au/water/water-monitoring-and-data/portal).</w:t>
      </w:r>
      <w:bookmarkEnd w:id="993"/>
      <w:r w:rsidRPr="001233E9">
        <w:rPr>
          <w:color w:val="000000"/>
          <w:szCs w:val="22"/>
          <w:lang w:val="en-GB"/>
        </w:rPr>
        <w:t xml:space="preserve"> </w:t>
      </w:r>
    </w:p>
    <w:p w:rsidR="00842050" w:rsidRPr="009747D9" w:rsidRDefault="00F803C7" w:rsidP="00842050">
      <w:pPr>
        <w:keepNext/>
        <w:spacing w:after="0"/>
        <w:jc w:val="center"/>
        <w:rPr>
          <w:color w:val="000000"/>
        </w:rPr>
      </w:pPr>
      <w:r>
        <w:rPr>
          <w:noProof/>
          <w:color w:val="000000"/>
          <w:lang w:eastAsia="en-AU"/>
        </w:rPr>
        <w:drawing>
          <wp:inline distT="0" distB="0" distL="0" distR="0" wp14:anchorId="7632C7A3" wp14:editId="1521BB7E">
            <wp:extent cx="3240000" cy="3848400"/>
            <wp:effectExtent l="0" t="0" r="0" b="0"/>
            <wp:docPr id="31" name="Picture 31" descr="Set of four bar graphs showing average daily flow per month from the Barron, Russell, Mulgrave and Tully Rivers for to period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rivers_2015.png"/>
                    <pic:cNvPicPr/>
                  </pic:nvPicPr>
                  <pic:blipFill>
                    <a:blip r:embed="rId230" cstate="print">
                      <a:extLst>
                        <a:ext uri="{28A0092B-C50C-407E-A947-70E740481C1C}">
                          <a14:useLocalDpi xmlns:a14="http://schemas.microsoft.com/office/drawing/2010/main" val="0"/>
                        </a:ext>
                      </a:extLst>
                    </a:blip>
                    <a:stretch>
                      <a:fillRect/>
                    </a:stretch>
                  </pic:blipFill>
                  <pic:spPr>
                    <a:xfrm>
                      <a:off x="0" y="0"/>
                      <a:ext cx="3240000" cy="3848400"/>
                    </a:xfrm>
                    <a:prstGeom prst="rect">
                      <a:avLst/>
                    </a:prstGeom>
                  </pic:spPr>
                </pic:pic>
              </a:graphicData>
            </a:graphic>
          </wp:inline>
        </w:drawing>
      </w:r>
    </w:p>
    <w:p w:rsidR="00842050" w:rsidRPr="00CD6094" w:rsidRDefault="00842050" w:rsidP="00842050">
      <w:pPr>
        <w:spacing w:before="0"/>
        <w:rPr>
          <w:vanish/>
          <w:color w:val="000000"/>
          <w:szCs w:val="22"/>
          <w:lang w:val="en-GB"/>
          <w:specVanish/>
        </w:rPr>
      </w:pPr>
      <w:bookmarkStart w:id="997" w:name="_Ref380344823"/>
      <w:bookmarkStart w:id="998" w:name="_Toc431494007"/>
      <w:bookmarkStart w:id="999" w:name="_Toc462684974"/>
      <w:bookmarkStart w:id="1000" w:name="_Toc378578136"/>
      <w:r w:rsidRPr="009747D9">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134</w:t>
      </w:r>
      <w:r w:rsidR="0073595B">
        <w:rPr>
          <w:color w:val="000000"/>
          <w:szCs w:val="22"/>
          <w:lang w:val="en-GB"/>
        </w:rPr>
        <w:fldChar w:fldCharType="end"/>
      </w:r>
      <w:bookmarkEnd w:id="997"/>
      <w:r w:rsidRPr="009747D9">
        <w:rPr>
          <w:color w:val="000000"/>
          <w:szCs w:val="22"/>
          <w:lang w:val="en-GB"/>
        </w:rPr>
        <w:t xml:space="preserve">. </w:t>
      </w:r>
      <w:r w:rsidRPr="009747D9">
        <w:rPr>
          <w:i/>
          <w:color w:val="000000"/>
          <w:szCs w:val="22"/>
          <w:lang w:val="en-GB"/>
        </w:rPr>
        <w:t>Average daily flow (ML day</w:t>
      </w:r>
      <w:r w:rsidRPr="009747D9">
        <w:rPr>
          <w:i/>
          <w:color w:val="000000"/>
          <w:szCs w:val="22"/>
          <w:vertAlign w:val="superscript"/>
          <w:lang w:val="en-GB"/>
        </w:rPr>
        <w:t>-1</w:t>
      </w:r>
      <w:r w:rsidRPr="009747D9">
        <w:rPr>
          <w:i/>
          <w:color w:val="000000"/>
          <w:szCs w:val="22"/>
          <w:lang w:val="en-GB"/>
        </w:rPr>
        <w:t>) per month from the main rivers impacting the seagrass monitoring sites in the Wet Tropics</w:t>
      </w:r>
      <w:bookmarkEnd w:id="998"/>
      <w:bookmarkEnd w:id="999"/>
    </w:p>
    <w:p w:rsidR="00842050" w:rsidRDefault="00842050" w:rsidP="00842050">
      <w:pPr>
        <w:spacing w:before="0"/>
        <w:rPr>
          <w:color w:val="000000"/>
          <w:szCs w:val="22"/>
          <w:lang w:val="en-GB"/>
        </w:rPr>
      </w:pPr>
      <w:r>
        <w:rPr>
          <w:color w:val="000000"/>
          <w:szCs w:val="22"/>
          <w:lang w:val="en-GB"/>
        </w:rPr>
        <w:t xml:space="preserve"> </w:t>
      </w:r>
      <w:r w:rsidRPr="009747D9">
        <w:rPr>
          <w:i/>
          <w:color w:val="000000"/>
          <w:szCs w:val="22"/>
          <w:lang w:val="en-GB"/>
        </w:rPr>
        <w:t xml:space="preserve"> (stations 110001D - Barron River at Myola, 16.79983333°S 145.61211111°E, </w:t>
      </w:r>
      <w:proofErr w:type="spellStart"/>
      <w:r w:rsidRPr="009747D9">
        <w:rPr>
          <w:i/>
          <w:color w:val="000000"/>
          <w:szCs w:val="22"/>
          <w:lang w:val="en-GB"/>
        </w:rPr>
        <w:t>Elev</w:t>
      </w:r>
      <w:proofErr w:type="spellEnd"/>
      <w:r w:rsidRPr="009747D9">
        <w:rPr>
          <w:i/>
          <w:color w:val="000000"/>
          <w:szCs w:val="22"/>
          <w:lang w:val="en-GB"/>
        </w:rPr>
        <w:t xml:space="preserve"> 345m; 111007A - Mulgrave River at </w:t>
      </w:r>
      <w:proofErr w:type="spellStart"/>
      <w:r w:rsidRPr="009747D9">
        <w:rPr>
          <w:i/>
          <w:color w:val="000000"/>
          <w:szCs w:val="22"/>
          <w:lang w:val="en-GB"/>
        </w:rPr>
        <w:t>Peets</w:t>
      </w:r>
      <w:proofErr w:type="spellEnd"/>
      <w:r w:rsidRPr="009747D9">
        <w:rPr>
          <w:i/>
          <w:color w:val="000000"/>
          <w:szCs w:val="22"/>
          <w:lang w:val="en-GB"/>
        </w:rPr>
        <w:t xml:space="preserve"> Bridge, 17.13336111°S 145.76455556°E, </w:t>
      </w:r>
      <w:proofErr w:type="spellStart"/>
      <w:r w:rsidRPr="009747D9">
        <w:rPr>
          <w:i/>
          <w:color w:val="000000"/>
          <w:szCs w:val="22"/>
          <w:lang w:val="en-GB"/>
        </w:rPr>
        <w:t>Elev</w:t>
      </w:r>
      <w:proofErr w:type="spellEnd"/>
      <w:r w:rsidRPr="009747D9">
        <w:rPr>
          <w:i/>
          <w:color w:val="000000"/>
          <w:szCs w:val="22"/>
          <w:lang w:val="en-GB"/>
        </w:rPr>
        <w:t xml:space="preserve"> 27.1m; 111101D - Russell River at </w:t>
      </w:r>
      <w:proofErr w:type="spellStart"/>
      <w:r w:rsidRPr="009747D9">
        <w:rPr>
          <w:i/>
          <w:color w:val="000000"/>
          <w:szCs w:val="22"/>
          <w:lang w:val="en-GB"/>
        </w:rPr>
        <w:t>Bucklands</w:t>
      </w:r>
      <w:proofErr w:type="spellEnd"/>
      <w:r w:rsidRPr="009747D9">
        <w:rPr>
          <w:i/>
          <w:color w:val="000000"/>
          <w:szCs w:val="22"/>
          <w:lang w:val="en-GB"/>
        </w:rPr>
        <w:t xml:space="preserve"> 17.38595°S 145.96726667°E, Elev10m; 113006A - Tully River at </w:t>
      </w:r>
      <w:proofErr w:type="spellStart"/>
      <w:r w:rsidRPr="009747D9">
        <w:rPr>
          <w:i/>
          <w:color w:val="000000"/>
          <w:szCs w:val="22"/>
          <w:lang w:val="en-GB"/>
        </w:rPr>
        <w:t>Euramo</w:t>
      </w:r>
      <w:proofErr w:type="spellEnd"/>
      <w:r w:rsidRPr="009747D9">
        <w:rPr>
          <w:i/>
          <w:color w:val="000000"/>
          <w:szCs w:val="22"/>
          <w:lang w:val="en-GB"/>
        </w:rPr>
        <w:t xml:space="preserve">, 17.99213889°S 145.94247222°E, </w:t>
      </w:r>
      <w:proofErr w:type="spellStart"/>
      <w:r w:rsidRPr="009747D9">
        <w:rPr>
          <w:i/>
          <w:color w:val="000000"/>
          <w:szCs w:val="22"/>
          <w:lang w:val="en-GB"/>
        </w:rPr>
        <w:t>Elev</w:t>
      </w:r>
      <w:proofErr w:type="spellEnd"/>
      <w:r w:rsidRPr="009747D9">
        <w:rPr>
          <w:i/>
          <w:color w:val="000000"/>
          <w:szCs w:val="22"/>
          <w:lang w:val="en-GB"/>
        </w:rPr>
        <w:t xml:space="preserve"> 8.76m) (source </w:t>
      </w:r>
      <w:r w:rsidRPr="009747D9">
        <w:rPr>
          <w:i/>
          <w:color w:val="000000"/>
          <w:szCs w:val="22"/>
          <w:vertAlign w:val="superscript"/>
          <w:lang w:val="en-GB"/>
        </w:rPr>
        <w:t>©</w:t>
      </w:r>
      <w:r w:rsidRPr="009747D9">
        <w:rPr>
          <w:i/>
          <w:color w:val="000000"/>
          <w:szCs w:val="22"/>
          <w:lang w:val="en-GB"/>
        </w:rPr>
        <w:t>The State of Queensland (DNRM) 201</w:t>
      </w:r>
      <w:r w:rsidR="00982946">
        <w:rPr>
          <w:i/>
          <w:color w:val="000000"/>
          <w:szCs w:val="22"/>
          <w:lang w:val="en-GB"/>
        </w:rPr>
        <w:t>5</w:t>
      </w:r>
      <w:r w:rsidRPr="009747D9">
        <w:rPr>
          <w:i/>
          <w:color w:val="000000"/>
          <w:szCs w:val="22"/>
          <w:lang w:val="en-GB"/>
        </w:rPr>
        <w:t xml:space="preserve">, </w:t>
      </w:r>
      <w:r w:rsidRPr="00DE522B">
        <w:rPr>
          <w:i/>
          <w:color w:val="000000"/>
          <w:szCs w:val="22"/>
          <w:lang w:val="en-GB"/>
        </w:rPr>
        <w:t>dnrm.qld.gov.au/water/water-monitoring-and-data/portal</w:t>
      </w:r>
      <w:r w:rsidRPr="009747D9">
        <w:rPr>
          <w:i/>
          <w:color w:val="000000"/>
          <w:szCs w:val="22"/>
          <w:lang w:val="en-GB"/>
        </w:rPr>
        <w:t>).</w:t>
      </w:r>
      <w:bookmarkEnd w:id="1000"/>
      <w:r w:rsidRPr="009747D9">
        <w:rPr>
          <w:color w:val="000000"/>
          <w:szCs w:val="22"/>
          <w:lang w:val="en-GB"/>
        </w:rPr>
        <w:t xml:space="preserve"> </w:t>
      </w:r>
    </w:p>
    <w:p w:rsidR="00F803C7" w:rsidRPr="009747D9" w:rsidRDefault="00F803C7" w:rsidP="00842050">
      <w:pPr>
        <w:spacing w:before="0"/>
        <w:rPr>
          <w:color w:val="000000"/>
          <w:szCs w:val="22"/>
          <w:lang w:val="en-GB"/>
        </w:rPr>
      </w:pPr>
    </w:p>
    <w:p w:rsidR="00842050" w:rsidRPr="00B00F50" w:rsidRDefault="00F803C7" w:rsidP="00842050">
      <w:pPr>
        <w:keepNext/>
        <w:jc w:val="center"/>
        <w:rPr>
          <w:color w:val="000000"/>
          <w:szCs w:val="22"/>
        </w:rPr>
      </w:pPr>
      <w:r>
        <w:rPr>
          <w:noProof/>
          <w:color w:val="000000"/>
          <w:szCs w:val="22"/>
          <w:lang w:eastAsia="en-AU"/>
        </w:rPr>
        <w:lastRenderedPageBreak/>
        <w:drawing>
          <wp:inline distT="0" distB="0" distL="0" distR="0" wp14:anchorId="4A228D3E" wp14:editId="2A914D68">
            <wp:extent cx="3240000" cy="1933200"/>
            <wp:effectExtent l="0" t="0" r="0" b="0"/>
            <wp:docPr id="10220" name="Picture 10220" descr="Panel of two bar graphs showing average daily flow per month from the Burdekin River and Barratta Creek for to period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rivers_2015.png"/>
                    <pic:cNvPicPr/>
                  </pic:nvPicPr>
                  <pic:blipFill>
                    <a:blip r:embed="rId231" cstate="print">
                      <a:extLst>
                        <a:ext uri="{28A0092B-C50C-407E-A947-70E740481C1C}">
                          <a14:useLocalDpi xmlns:a14="http://schemas.microsoft.com/office/drawing/2010/main" val="0"/>
                        </a:ext>
                      </a:extLst>
                    </a:blip>
                    <a:stretch>
                      <a:fillRect/>
                    </a:stretch>
                  </pic:blipFill>
                  <pic:spPr>
                    <a:xfrm>
                      <a:off x="0" y="0"/>
                      <a:ext cx="3240000" cy="1933200"/>
                    </a:xfrm>
                    <a:prstGeom prst="rect">
                      <a:avLst/>
                    </a:prstGeom>
                  </pic:spPr>
                </pic:pic>
              </a:graphicData>
            </a:graphic>
          </wp:inline>
        </w:drawing>
      </w:r>
    </w:p>
    <w:p w:rsidR="00842050" w:rsidRPr="00CD6094" w:rsidRDefault="00842050" w:rsidP="00842050">
      <w:pPr>
        <w:rPr>
          <w:i/>
          <w:vanish/>
          <w:color w:val="000000"/>
          <w:szCs w:val="22"/>
          <w:lang w:val="en-GB"/>
          <w:specVanish/>
        </w:rPr>
      </w:pPr>
      <w:bookmarkStart w:id="1001" w:name="_Ref382203919"/>
      <w:bookmarkStart w:id="1002" w:name="_Toc431494008"/>
      <w:bookmarkStart w:id="1003" w:name="_Toc462684975"/>
      <w:bookmarkStart w:id="1004" w:name="_Toc378578154"/>
      <w:r w:rsidRPr="00B00F50">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135</w:t>
      </w:r>
      <w:r w:rsidR="0073595B">
        <w:rPr>
          <w:color w:val="000000"/>
          <w:szCs w:val="22"/>
          <w:lang w:val="en-GB"/>
        </w:rPr>
        <w:fldChar w:fldCharType="end"/>
      </w:r>
      <w:bookmarkEnd w:id="1001"/>
      <w:r w:rsidRPr="00B00F50">
        <w:rPr>
          <w:color w:val="000000"/>
          <w:szCs w:val="22"/>
          <w:lang w:val="en-GB"/>
        </w:rPr>
        <w:t xml:space="preserve">. </w:t>
      </w:r>
      <w:r w:rsidRPr="00B00F50">
        <w:rPr>
          <w:i/>
          <w:color w:val="000000"/>
          <w:szCs w:val="22"/>
          <w:lang w:val="en-GB"/>
        </w:rPr>
        <w:t>Average daily flow (ML day</w:t>
      </w:r>
      <w:r w:rsidRPr="00B00F50">
        <w:rPr>
          <w:i/>
          <w:color w:val="000000"/>
          <w:szCs w:val="22"/>
          <w:vertAlign w:val="superscript"/>
          <w:lang w:val="en-GB"/>
        </w:rPr>
        <w:t>-1</w:t>
      </w:r>
      <w:r w:rsidRPr="00B00F50">
        <w:rPr>
          <w:i/>
          <w:color w:val="000000"/>
          <w:szCs w:val="22"/>
          <w:lang w:val="en-GB"/>
        </w:rPr>
        <w:t xml:space="preserve">) per month from the </w:t>
      </w:r>
      <w:smartTag w:uri="urn:schemas-microsoft-com:office:smarttags" w:element="place">
        <w:smartTag w:uri="urn:schemas-microsoft-com:office:smarttags" w:element="PlaceName">
          <w:r w:rsidRPr="00B00F50">
            <w:rPr>
              <w:i/>
              <w:color w:val="000000"/>
              <w:szCs w:val="22"/>
              <w:lang w:val="en-GB"/>
            </w:rPr>
            <w:t>Burdekin</w:t>
          </w:r>
        </w:smartTag>
        <w:r w:rsidRPr="00B00F50">
          <w:rPr>
            <w:i/>
            <w:color w:val="000000"/>
            <w:szCs w:val="22"/>
            <w:lang w:val="en-GB"/>
          </w:rPr>
          <w:t xml:space="preserve"> </w:t>
        </w:r>
        <w:smartTag w:uri="urn:schemas-microsoft-com:office:smarttags" w:element="PlaceType">
          <w:r w:rsidRPr="00B00F50">
            <w:rPr>
              <w:i/>
              <w:color w:val="000000"/>
              <w:szCs w:val="22"/>
              <w:lang w:val="en-GB"/>
            </w:rPr>
            <w:t>River</w:t>
          </w:r>
        </w:smartTag>
      </w:smartTag>
      <w:r w:rsidRPr="00B00F50">
        <w:rPr>
          <w:i/>
          <w:color w:val="000000"/>
          <w:szCs w:val="22"/>
          <w:lang w:val="en-GB"/>
        </w:rPr>
        <w:t xml:space="preserve"> impacting the seagrass monitoring sites in the Burdekin region</w:t>
      </w:r>
      <w:bookmarkEnd w:id="1002"/>
      <w:bookmarkEnd w:id="1003"/>
    </w:p>
    <w:p w:rsidR="00842050" w:rsidRPr="00B00F50" w:rsidRDefault="00842050" w:rsidP="00842050">
      <w:pPr>
        <w:rPr>
          <w:color w:val="000000"/>
          <w:szCs w:val="22"/>
          <w:lang w:val="en-GB"/>
        </w:rPr>
      </w:pPr>
      <w:r>
        <w:rPr>
          <w:color w:val="000000"/>
          <w:szCs w:val="22"/>
          <w:lang w:val="en-GB"/>
        </w:rPr>
        <w:t xml:space="preserve"> </w:t>
      </w:r>
      <w:r w:rsidRPr="00B00F50">
        <w:rPr>
          <w:i/>
          <w:color w:val="000000"/>
          <w:szCs w:val="22"/>
          <w:lang w:val="en-GB"/>
        </w:rPr>
        <w:t xml:space="preserve"> (stations 120006B - Burdekin River at Clare, 19.75856°S 147.24362°E, </w:t>
      </w:r>
      <w:proofErr w:type="spellStart"/>
      <w:r w:rsidRPr="00B00F50">
        <w:rPr>
          <w:i/>
          <w:color w:val="000000"/>
          <w:szCs w:val="22"/>
          <w:lang w:val="en-GB"/>
        </w:rPr>
        <w:t>Elev</w:t>
      </w:r>
      <w:proofErr w:type="spellEnd"/>
      <w:r w:rsidRPr="00B00F50">
        <w:rPr>
          <w:i/>
          <w:color w:val="000000"/>
          <w:szCs w:val="22"/>
          <w:lang w:val="en-GB"/>
        </w:rPr>
        <w:t xml:space="preserve"> 29m; 119101A - </w:t>
      </w:r>
      <w:proofErr w:type="spellStart"/>
      <w:r w:rsidRPr="00B00F50">
        <w:rPr>
          <w:i/>
          <w:color w:val="000000"/>
          <w:szCs w:val="22"/>
          <w:lang w:val="en-GB"/>
        </w:rPr>
        <w:t>Barratta</w:t>
      </w:r>
      <w:proofErr w:type="spellEnd"/>
      <w:r w:rsidRPr="00B00F50">
        <w:rPr>
          <w:i/>
          <w:color w:val="000000"/>
          <w:szCs w:val="22"/>
          <w:lang w:val="en-GB"/>
        </w:rPr>
        <w:t xml:space="preserve"> Creek at Northcote </w:t>
      </w:r>
      <w:proofErr w:type="spellStart"/>
      <w:r w:rsidRPr="00B00F50">
        <w:rPr>
          <w:i/>
          <w:color w:val="000000"/>
          <w:szCs w:val="22"/>
          <w:lang w:val="en-GB"/>
        </w:rPr>
        <w:t>Lat</w:t>
      </w:r>
      <w:proofErr w:type="spellEnd"/>
      <w:r w:rsidRPr="00B00F50">
        <w:rPr>
          <w:i/>
          <w:color w:val="000000"/>
          <w:szCs w:val="22"/>
          <w:lang w:val="en-GB"/>
        </w:rPr>
        <w:t xml:space="preserve">:-19.69072778 Long:147.169825 </w:t>
      </w:r>
      <w:proofErr w:type="spellStart"/>
      <w:r w:rsidRPr="00B00F50">
        <w:rPr>
          <w:i/>
          <w:color w:val="000000"/>
          <w:szCs w:val="22"/>
          <w:lang w:val="en-GB"/>
        </w:rPr>
        <w:t>Elev</w:t>
      </w:r>
      <w:proofErr w:type="spellEnd"/>
      <w:r w:rsidRPr="00B00F50">
        <w:rPr>
          <w:i/>
          <w:color w:val="000000"/>
          <w:szCs w:val="22"/>
          <w:lang w:val="en-GB"/>
        </w:rPr>
        <w:t xml:space="preserve">: 17.3m) (source </w:t>
      </w:r>
      <w:r w:rsidRPr="00B00F50">
        <w:rPr>
          <w:i/>
          <w:color w:val="000000"/>
          <w:szCs w:val="22"/>
          <w:vertAlign w:val="superscript"/>
          <w:lang w:val="en-GB"/>
        </w:rPr>
        <w:t>©</w:t>
      </w:r>
      <w:r w:rsidRPr="00B00F50">
        <w:rPr>
          <w:i/>
          <w:color w:val="000000"/>
          <w:szCs w:val="22"/>
          <w:lang w:val="en-GB"/>
        </w:rPr>
        <w:t>The State of Queensland (DNRM) 201</w:t>
      </w:r>
      <w:r w:rsidR="00982946">
        <w:rPr>
          <w:i/>
          <w:color w:val="000000"/>
          <w:szCs w:val="22"/>
          <w:lang w:val="en-GB"/>
        </w:rPr>
        <w:t>5</w:t>
      </w:r>
      <w:r w:rsidRPr="00B00F50">
        <w:rPr>
          <w:i/>
          <w:color w:val="000000"/>
          <w:szCs w:val="22"/>
          <w:lang w:val="en-GB"/>
        </w:rPr>
        <w:t>).</w:t>
      </w:r>
      <w:bookmarkEnd w:id="1004"/>
      <w:r w:rsidRPr="00B00F50">
        <w:rPr>
          <w:i/>
          <w:color w:val="000000"/>
          <w:szCs w:val="22"/>
          <w:lang w:val="en-GB"/>
        </w:rPr>
        <w:t xml:space="preserve"> </w:t>
      </w:r>
    </w:p>
    <w:p w:rsidR="00842050" w:rsidRPr="00002DC4" w:rsidRDefault="00842050" w:rsidP="00842050">
      <w:pPr>
        <w:rPr>
          <w:color w:val="000000"/>
          <w:szCs w:val="22"/>
          <w:lang w:val="en-GB"/>
        </w:rPr>
      </w:pPr>
    </w:p>
    <w:p w:rsidR="00842050" w:rsidRPr="00002DC4" w:rsidRDefault="00F803C7" w:rsidP="00842050">
      <w:pPr>
        <w:keepNext/>
        <w:jc w:val="center"/>
        <w:rPr>
          <w:color w:val="000000"/>
        </w:rPr>
      </w:pPr>
      <w:r>
        <w:rPr>
          <w:noProof/>
          <w:color w:val="000000"/>
          <w:lang w:eastAsia="en-AU"/>
        </w:rPr>
        <w:drawing>
          <wp:inline distT="0" distB="0" distL="0" distR="0" wp14:anchorId="23534601" wp14:editId="4CB1692F">
            <wp:extent cx="3240000" cy="1987200"/>
            <wp:effectExtent l="0" t="0" r="0" b="0"/>
            <wp:docPr id="10221" name="Picture 10221" descr="Panel of two bar graphs showing average daily flow per month from the Proserpine and O'Connell River for to period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rivers_nth_2015.png"/>
                    <pic:cNvPicPr/>
                  </pic:nvPicPr>
                  <pic:blipFill>
                    <a:blip r:embed="rId232" cstate="print">
                      <a:extLst>
                        <a:ext uri="{28A0092B-C50C-407E-A947-70E740481C1C}">
                          <a14:useLocalDpi xmlns:a14="http://schemas.microsoft.com/office/drawing/2010/main" val="0"/>
                        </a:ext>
                      </a:extLst>
                    </a:blip>
                    <a:stretch>
                      <a:fillRect/>
                    </a:stretch>
                  </pic:blipFill>
                  <pic:spPr>
                    <a:xfrm>
                      <a:off x="0" y="0"/>
                      <a:ext cx="3240000" cy="1987200"/>
                    </a:xfrm>
                    <a:prstGeom prst="rect">
                      <a:avLst/>
                    </a:prstGeom>
                  </pic:spPr>
                </pic:pic>
              </a:graphicData>
            </a:graphic>
          </wp:inline>
        </w:drawing>
      </w:r>
    </w:p>
    <w:p w:rsidR="00842050" w:rsidRPr="00CD6094" w:rsidRDefault="00842050" w:rsidP="00842050">
      <w:pPr>
        <w:rPr>
          <w:i/>
          <w:vanish/>
          <w:color w:val="000000"/>
          <w:szCs w:val="22"/>
          <w:lang w:val="en-GB"/>
          <w:specVanish/>
        </w:rPr>
      </w:pPr>
      <w:bookmarkStart w:id="1005" w:name="_Ref382207520"/>
      <w:bookmarkStart w:id="1006" w:name="_Toc431494009"/>
      <w:bookmarkStart w:id="1007" w:name="_Toc462684976"/>
      <w:bookmarkStart w:id="1008" w:name="_Toc378578178"/>
      <w:r w:rsidRPr="00002DC4">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136</w:t>
      </w:r>
      <w:r w:rsidR="0073595B">
        <w:rPr>
          <w:color w:val="000000"/>
          <w:szCs w:val="22"/>
          <w:lang w:val="en-GB"/>
        </w:rPr>
        <w:fldChar w:fldCharType="end"/>
      </w:r>
      <w:bookmarkEnd w:id="1005"/>
      <w:r w:rsidRPr="00002DC4">
        <w:rPr>
          <w:color w:val="000000"/>
          <w:szCs w:val="22"/>
          <w:lang w:val="en-GB"/>
        </w:rPr>
        <w:t xml:space="preserve">. </w:t>
      </w:r>
      <w:r w:rsidRPr="00002DC4">
        <w:rPr>
          <w:i/>
          <w:color w:val="000000"/>
          <w:szCs w:val="22"/>
          <w:lang w:val="en-GB"/>
        </w:rPr>
        <w:t>Average daily flow (ML day</w:t>
      </w:r>
      <w:r w:rsidRPr="00002DC4">
        <w:rPr>
          <w:i/>
          <w:color w:val="000000"/>
          <w:szCs w:val="22"/>
          <w:vertAlign w:val="superscript"/>
          <w:lang w:val="en-GB"/>
        </w:rPr>
        <w:t>-1</w:t>
      </w:r>
      <w:r w:rsidRPr="00002DC4">
        <w:rPr>
          <w:i/>
          <w:color w:val="000000"/>
          <w:szCs w:val="22"/>
          <w:lang w:val="en-GB"/>
        </w:rPr>
        <w:t>) per month from the main rivers impacting coastal and reef seagrass monitoring sites in the Mackay Whitsunday region</w:t>
      </w:r>
      <w:bookmarkEnd w:id="1006"/>
      <w:bookmarkEnd w:id="1007"/>
    </w:p>
    <w:p w:rsidR="00842050" w:rsidRPr="00002DC4" w:rsidRDefault="00842050" w:rsidP="00842050">
      <w:pPr>
        <w:rPr>
          <w:color w:val="000000"/>
          <w:szCs w:val="22"/>
          <w:lang w:val="en-GB"/>
        </w:rPr>
      </w:pPr>
      <w:r>
        <w:rPr>
          <w:color w:val="000000"/>
          <w:szCs w:val="22"/>
          <w:lang w:val="en-GB"/>
        </w:rPr>
        <w:t xml:space="preserve"> </w:t>
      </w:r>
      <w:r w:rsidRPr="00002DC4">
        <w:rPr>
          <w:i/>
          <w:color w:val="000000"/>
          <w:szCs w:val="22"/>
          <w:lang w:val="en-GB"/>
        </w:rPr>
        <w:t xml:space="preserve"> (stations 122005A - Proserpine River at Proserpine, 20.39166667°S 148.59833333°E, </w:t>
      </w:r>
      <w:proofErr w:type="spellStart"/>
      <w:r w:rsidRPr="00002DC4">
        <w:rPr>
          <w:i/>
          <w:color w:val="000000"/>
          <w:szCs w:val="22"/>
          <w:lang w:val="en-GB"/>
        </w:rPr>
        <w:t>Elev</w:t>
      </w:r>
      <w:proofErr w:type="spellEnd"/>
      <w:r w:rsidRPr="00002DC4">
        <w:rPr>
          <w:i/>
          <w:color w:val="000000"/>
          <w:szCs w:val="22"/>
          <w:lang w:val="en-GB"/>
        </w:rPr>
        <w:t xml:space="preserve"> 7m; 124001B - O'Connell River at Stafford's Crossing 20.65255556°S 148.573°E, Elev:0m) (source </w:t>
      </w:r>
      <w:r w:rsidRPr="00002DC4">
        <w:rPr>
          <w:i/>
          <w:color w:val="000000"/>
          <w:szCs w:val="22"/>
          <w:vertAlign w:val="superscript"/>
          <w:lang w:val="en-GB"/>
        </w:rPr>
        <w:t>©</w:t>
      </w:r>
      <w:r w:rsidRPr="00002DC4">
        <w:rPr>
          <w:i/>
          <w:color w:val="000000"/>
          <w:szCs w:val="22"/>
          <w:lang w:val="en-GB"/>
        </w:rPr>
        <w:t xml:space="preserve">The State of Queensland (DNRM) </w:t>
      </w:r>
      <w:r w:rsidRPr="00B00F50">
        <w:rPr>
          <w:i/>
          <w:color w:val="000000"/>
          <w:szCs w:val="22"/>
          <w:lang w:val="en-GB"/>
        </w:rPr>
        <w:t>201</w:t>
      </w:r>
      <w:r w:rsidR="00982946">
        <w:rPr>
          <w:i/>
          <w:color w:val="000000"/>
          <w:szCs w:val="22"/>
          <w:lang w:val="en-GB"/>
        </w:rPr>
        <w:t>5</w:t>
      </w:r>
      <w:r w:rsidRPr="00B00F50">
        <w:rPr>
          <w:i/>
          <w:color w:val="000000"/>
          <w:szCs w:val="22"/>
          <w:lang w:val="en-GB"/>
        </w:rPr>
        <w:t>)</w:t>
      </w:r>
      <w:r w:rsidRPr="00002DC4">
        <w:rPr>
          <w:i/>
          <w:color w:val="000000"/>
          <w:szCs w:val="22"/>
          <w:lang w:val="en-GB"/>
        </w:rPr>
        <w:t>.</w:t>
      </w:r>
      <w:bookmarkEnd w:id="1008"/>
      <w:r>
        <w:rPr>
          <w:color w:val="000000"/>
          <w:szCs w:val="22"/>
          <w:lang w:val="en-GB"/>
        </w:rPr>
        <w:t xml:space="preserve"> </w:t>
      </w:r>
    </w:p>
    <w:p w:rsidR="00842050" w:rsidRPr="007A0404" w:rsidRDefault="00F803C7" w:rsidP="00842050">
      <w:pPr>
        <w:keepNext/>
        <w:jc w:val="center"/>
        <w:rPr>
          <w:color w:val="000000"/>
        </w:rPr>
      </w:pPr>
      <w:r>
        <w:rPr>
          <w:noProof/>
          <w:color w:val="000000"/>
          <w:lang w:eastAsia="en-AU"/>
        </w:rPr>
        <w:drawing>
          <wp:inline distT="0" distB="0" distL="0" distR="0" wp14:anchorId="4D1CFB3A" wp14:editId="6BDEC106">
            <wp:extent cx="3240000" cy="1994400"/>
            <wp:effectExtent l="0" t="0" r="0" b="6350"/>
            <wp:docPr id="10222" name="Picture 10222" descr="Panel of two bar graphs showing average daily flow per month from the Pioneer River and Sandy Creek for to period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rivers_sth_2015.png"/>
                    <pic:cNvPicPr/>
                  </pic:nvPicPr>
                  <pic:blipFill>
                    <a:blip r:embed="rId233" cstate="print">
                      <a:extLst>
                        <a:ext uri="{28A0092B-C50C-407E-A947-70E740481C1C}">
                          <a14:useLocalDpi xmlns:a14="http://schemas.microsoft.com/office/drawing/2010/main" val="0"/>
                        </a:ext>
                      </a:extLst>
                    </a:blip>
                    <a:stretch>
                      <a:fillRect/>
                    </a:stretch>
                  </pic:blipFill>
                  <pic:spPr>
                    <a:xfrm>
                      <a:off x="0" y="0"/>
                      <a:ext cx="3240000" cy="1994400"/>
                    </a:xfrm>
                    <a:prstGeom prst="rect">
                      <a:avLst/>
                    </a:prstGeom>
                  </pic:spPr>
                </pic:pic>
              </a:graphicData>
            </a:graphic>
          </wp:inline>
        </w:drawing>
      </w:r>
    </w:p>
    <w:p w:rsidR="00842050" w:rsidRPr="00CD6094" w:rsidRDefault="00842050" w:rsidP="00842050">
      <w:pPr>
        <w:rPr>
          <w:i/>
          <w:vanish/>
          <w:color w:val="000000"/>
          <w:szCs w:val="22"/>
          <w:lang w:val="en-GB"/>
          <w:specVanish/>
        </w:rPr>
      </w:pPr>
      <w:bookmarkStart w:id="1009" w:name="_Ref382207530"/>
      <w:bookmarkStart w:id="1010" w:name="_Toc431494010"/>
      <w:bookmarkStart w:id="1011" w:name="_Toc462684977"/>
      <w:bookmarkStart w:id="1012" w:name="_Toc378578179"/>
      <w:r w:rsidRPr="007A0404">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137</w:t>
      </w:r>
      <w:r w:rsidR="0073595B">
        <w:rPr>
          <w:color w:val="000000"/>
          <w:szCs w:val="22"/>
          <w:lang w:val="en-GB"/>
        </w:rPr>
        <w:fldChar w:fldCharType="end"/>
      </w:r>
      <w:bookmarkEnd w:id="1009"/>
      <w:r w:rsidRPr="007A0404">
        <w:rPr>
          <w:color w:val="000000"/>
          <w:szCs w:val="22"/>
          <w:lang w:val="en-GB"/>
        </w:rPr>
        <w:t xml:space="preserve">. </w:t>
      </w:r>
      <w:r w:rsidRPr="007A0404">
        <w:rPr>
          <w:i/>
          <w:color w:val="000000"/>
          <w:szCs w:val="22"/>
          <w:lang w:val="en-GB"/>
        </w:rPr>
        <w:t>Average daily flow (ML day</w:t>
      </w:r>
      <w:r w:rsidRPr="007A0404">
        <w:rPr>
          <w:i/>
          <w:color w:val="000000"/>
          <w:szCs w:val="22"/>
          <w:vertAlign w:val="superscript"/>
          <w:lang w:val="en-GB"/>
        </w:rPr>
        <w:t>-1</w:t>
      </w:r>
      <w:r w:rsidRPr="007A0404">
        <w:rPr>
          <w:i/>
          <w:color w:val="000000"/>
          <w:szCs w:val="22"/>
          <w:lang w:val="en-GB"/>
        </w:rPr>
        <w:t>) per month from the main river impacting estuarine seagrass monitoring sites in the Mackay Whitsunday region</w:t>
      </w:r>
      <w:bookmarkEnd w:id="1010"/>
      <w:bookmarkEnd w:id="1011"/>
    </w:p>
    <w:p w:rsidR="00842050" w:rsidRPr="007A0404" w:rsidRDefault="00842050" w:rsidP="00842050">
      <w:pPr>
        <w:rPr>
          <w:color w:val="000000"/>
          <w:szCs w:val="22"/>
          <w:lang w:val="en-GB"/>
        </w:rPr>
      </w:pPr>
      <w:r>
        <w:rPr>
          <w:color w:val="000000"/>
          <w:szCs w:val="22"/>
          <w:lang w:val="en-GB"/>
        </w:rPr>
        <w:t xml:space="preserve"> </w:t>
      </w:r>
      <w:r w:rsidRPr="007A0404">
        <w:rPr>
          <w:i/>
          <w:color w:val="000000"/>
          <w:szCs w:val="22"/>
          <w:lang w:val="en-GB"/>
        </w:rPr>
        <w:t xml:space="preserve"> (stations 125016A - Pioneer River at </w:t>
      </w:r>
      <w:proofErr w:type="spellStart"/>
      <w:r w:rsidRPr="007A0404">
        <w:rPr>
          <w:i/>
          <w:color w:val="000000"/>
          <w:szCs w:val="22"/>
          <w:lang w:val="en-GB"/>
        </w:rPr>
        <w:t>Dumbleton</w:t>
      </w:r>
      <w:proofErr w:type="spellEnd"/>
      <w:r w:rsidRPr="007A0404">
        <w:rPr>
          <w:i/>
          <w:color w:val="000000"/>
          <w:szCs w:val="22"/>
          <w:lang w:val="en-GB"/>
        </w:rPr>
        <w:t xml:space="preserve"> Weir T/W 21.14236111°S 149.07625°E, </w:t>
      </w:r>
      <w:proofErr w:type="spellStart"/>
      <w:r w:rsidRPr="007A0404">
        <w:rPr>
          <w:i/>
          <w:color w:val="000000"/>
          <w:szCs w:val="22"/>
          <w:lang w:val="en-GB"/>
        </w:rPr>
        <w:t>Elev</w:t>
      </w:r>
      <w:proofErr w:type="spellEnd"/>
      <w:r w:rsidRPr="007A0404">
        <w:rPr>
          <w:i/>
          <w:color w:val="000000"/>
          <w:szCs w:val="22"/>
          <w:lang w:val="en-GB"/>
        </w:rPr>
        <w:t xml:space="preserve"> 10m; 126001A - Sandy Creek at </w:t>
      </w:r>
      <w:proofErr w:type="spellStart"/>
      <w:r w:rsidRPr="007A0404">
        <w:rPr>
          <w:i/>
          <w:color w:val="000000"/>
          <w:szCs w:val="22"/>
          <w:lang w:val="en-GB"/>
        </w:rPr>
        <w:t>Homebush</w:t>
      </w:r>
      <w:proofErr w:type="spellEnd"/>
      <w:r w:rsidRPr="007A0404">
        <w:rPr>
          <w:i/>
          <w:color w:val="000000"/>
          <w:szCs w:val="22"/>
          <w:lang w:val="en-GB"/>
        </w:rPr>
        <w:t xml:space="preserve"> </w:t>
      </w:r>
      <w:proofErr w:type="spellStart"/>
      <w:r w:rsidRPr="007A0404">
        <w:rPr>
          <w:i/>
          <w:color w:val="000000"/>
          <w:szCs w:val="22"/>
          <w:lang w:val="en-GB"/>
        </w:rPr>
        <w:t>Lat</w:t>
      </w:r>
      <w:proofErr w:type="spellEnd"/>
      <w:r w:rsidRPr="007A0404">
        <w:rPr>
          <w:i/>
          <w:color w:val="000000"/>
          <w:szCs w:val="22"/>
          <w:lang w:val="en-GB"/>
        </w:rPr>
        <w:t xml:space="preserve">:-21.2832888 Long:149.0225055, </w:t>
      </w:r>
      <w:proofErr w:type="spellStart"/>
      <w:r w:rsidRPr="007A0404">
        <w:rPr>
          <w:i/>
          <w:color w:val="000000"/>
          <w:szCs w:val="22"/>
          <w:lang w:val="en-GB"/>
        </w:rPr>
        <w:t>Elev</w:t>
      </w:r>
      <w:proofErr w:type="spellEnd"/>
      <w:r w:rsidRPr="007A0404">
        <w:rPr>
          <w:i/>
          <w:color w:val="000000"/>
          <w:szCs w:val="22"/>
          <w:lang w:val="en-GB"/>
        </w:rPr>
        <w:t xml:space="preserve"> 62m) (source </w:t>
      </w:r>
      <w:r w:rsidRPr="007A0404">
        <w:rPr>
          <w:i/>
          <w:color w:val="000000"/>
          <w:szCs w:val="22"/>
          <w:vertAlign w:val="superscript"/>
          <w:lang w:val="en-GB"/>
        </w:rPr>
        <w:t>©</w:t>
      </w:r>
      <w:r w:rsidRPr="007A0404">
        <w:rPr>
          <w:i/>
          <w:color w:val="000000"/>
          <w:szCs w:val="22"/>
          <w:lang w:val="en-GB"/>
        </w:rPr>
        <w:t>The State of Queensland (DNRM) 201</w:t>
      </w:r>
      <w:r w:rsidR="00F803C7">
        <w:rPr>
          <w:i/>
          <w:color w:val="000000"/>
          <w:szCs w:val="22"/>
          <w:lang w:val="en-GB"/>
        </w:rPr>
        <w:t>5</w:t>
      </w:r>
      <w:r w:rsidRPr="007A0404">
        <w:rPr>
          <w:i/>
          <w:color w:val="000000"/>
          <w:szCs w:val="22"/>
          <w:lang w:val="en-GB"/>
        </w:rPr>
        <w:t>).</w:t>
      </w:r>
      <w:bookmarkEnd w:id="1012"/>
      <w:r>
        <w:rPr>
          <w:color w:val="000000"/>
          <w:szCs w:val="22"/>
          <w:lang w:val="en-GB"/>
        </w:rPr>
        <w:t xml:space="preserve"> </w:t>
      </w:r>
    </w:p>
    <w:p w:rsidR="00842050" w:rsidRPr="001F0144" w:rsidRDefault="00842050" w:rsidP="00842050">
      <w:pPr>
        <w:rPr>
          <w:color w:val="000000"/>
          <w:szCs w:val="22"/>
          <w:lang w:val="en-GB"/>
        </w:rPr>
      </w:pPr>
    </w:p>
    <w:p w:rsidR="00842050" w:rsidRPr="001F0144" w:rsidRDefault="00F803C7" w:rsidP="00842050">
      <w:pPr>
        <w:keepNext/>
        <w:autoSpaceDE w:val="0"/>
        <w:autoSpaceDN w:val="0"/>
        <w:adjustRightInd w:val="0"/>
        <w:jc w:val="center"/>
        <w:rPr>
          <w:color w:val="000000"/>
        </w:rPr>
      </w:pPr>
      <w:r>
        <w:rPr>
          <w:noProof/>
          <w:color w:val="000000"/>
          <w:lang w:eastAsia="en-AU"/>
        </w:rPr>
        <w:drawing>
          <wp:inline distT="0" distB="0" distL="0" distR="0" wp14:anchorId="5BA00507" wp14:editId="24EDD581">
            <wp:extent cx="3240000" cy="2876400"/>
            <wp:effectExtent l="0" t="0" r="0" b="635"/>
            <wp:docPr id="10223" name="Picture 10223" descr="Set of three bar graphs showing average daily flow per month from the Fitzroy, Calliope River and Boyne Rivers for to period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rivers_2015.png"/>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3240000" cy="2876400"/>
                    </a:xfrm>
                    <a:prstGeom prst="rect">
                      <a:avLst/>
                    </a:prstGeom>
                  </pic:spPr>
                </pic:pic>
              </a:graphicData>
            </a:graphic>
          </wp:inline>
        </w:drawing>
      </w:r>
    </w:p>
    <w:p w:rsidR="00842050" w:rsidRPr="00CD6094" w:rsidRDefault="00842050" w:rsidP="00842050">
      <w:pPr>
        <w:rPr>
          <w:i/>
          <w:vanish/>
          <w:color w:val="000000"/>
          <w:szCs w:val="22"/>
          <w:lang w:val="en-GB"/>
          <w:specVanish/>
        </w:rPr>
      </w:pPr>
      <w:bookmarkStart w:id="1013" w:name="_Ref380335556"/>
      <w:bookmarkStart w:id="1014" w:name="_Toc431494012"/>
      <w:bookmarkStart w:id="1015" w:name="_Toc462684978"/>
      <w:bookmarkStart w:id="1016" w:name="_Toc378578202"/>
      <w:r w:rsidRPr="001F0144">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138</w:t>
      </w:r>
      <w:r w:rsidR="0073595B">
        <w:rPr>
          <w:color w:val="000000"/>
          <w:szCs w:val="22"/>
          <w:lang w:val="en-GB"/>
        </w:rPr>
        <w:fldChar w:fldCharType="end"/>
      </w:r>
      <w:bookmarkEnd w:id="1013"/>
      <w:r w:rsidRPr="001F0144">
        <w:rPr>
          <w:color w:val="000000"/>
          <w:szCs w:val="22"/>
          <w:lang w:val="en-GB"/>
        </w:rPr>
        <w:t xml:space="preserve">. </w:t>
      </w:r>
      <w:r w:rsidRPr="001F0144">
        <w:rPr>
          <w:i/>
          <w:color w:val="000000"/>
          <w:szCs w:val="22"/>
          <w:lang w:val="en-GB"/>
        </w:rPr>
        <w:t>Average daily flow (ML day</w:t>
      </w:r>
      <w:r w:rsidRPr="001F0144">
        <w:rPr>
          <w:i/>
          <w:color w:val="000000"/>
          <w:szCs w:val="22"/>
          <w:vertAlign w:val="superscript"/>
          <w:lang w:val="en-GB"/>
        </w:rPr>
        <w:t>-1</w:t>
      </w:r>
      <w:r w:rsidRPr="001F0144">
        <w:rPr>
          <w:i/>
          <w:color w:val="000000"/>
          <w:szCs w:val="22"/>
          <w:lang w:val="en-GB"/>
        </w:rPr>
        <w:t>) per month from the main rivers which would impact seagrass monitoring sites in the Fitzroy region</w:t>
      </w:r>
      <w:bookmarkEnd w:id="1014"/>
      <w:bookmarkEnd w:id="1015"/>
    </w:p>
    <w:p w:rsidR="00842050" w:rsidRPr="001F0144" w:rsidRDefault="00842050" w:rsidP="00842050">
      <w:pPr>
        <w:rPr>
          <w:color w:val="000000"/>
          <w:szCs w:val="22"/>
          <w:lang w:val="en-GB"/>
        </w:rPr>
      </w:pPr>
      <w:r>
        <w:rPr>
          <w:color w:val="000000"/>
          <w:szCs w:val="22"/>
          <w:lang w:val="en-GB"/>
        </w:rPr>
        <w:t xml:space="preserve"> </w:t>
      </w:r>
      <w:r w:rsidRPr="001F0144">
        <w:rPr>
          <w:i/>
          <w:color w:val="000000"/>
          <w:szCs w:val="22"/>
          <w:lang w:val="en-GB"/>
        </w:rPr>
        <w:t xml:space="preserve"> (</w:t>
      </w:r>
      <w:r w:rsidR="00F803C7" w:rsidRPr="001F0144">
        <w:rPr>
          <w:i/>
          <w:color w:val="000000"/>
          <w:szCs w:val="22"/>
          <w:lang w:val="en-GB"/>
        </w:rPr>
        <w:t>station</w:t>
      </w:r>
      <w:r w:rsidR="00F803C7">
        <w:rPr>
          <w:i/>
          <w:color w:val="000000"/>
          <w:szCs w:val="22"/>
          <w:lang w:val="en-GB"/>
        </w:rPr>
        <w:t>s</w:t>
      </w:r>
      <w:r w:rsidR="00F803C7" w:rsidRPr="001F0144">
        <w:rPr>
          <w:i/>
          <w:color w:val="000000"/>
          <w:szCs w:val="22"/>
          <w:lang w:val="en-GB"/>
        </w:rPr>
        <w:t xml:space="preserve"> 130005A - Fitzroy River at The Gap, 23.08897222°S 150.10713889°E, </w:t>
      </w:r>
      <w:proofErr w:type="spellStart"/>
      <w:r w:rsidR="00F803C7" w:rsidRPr="001F0144">
        <w:rPr>
          <w:i/>
          <w:color w:val="000000"/>
          <w:szCs w:val="22"/>
          <w:lang w:val="en-GB"/>
        </w:rPr>
        <w:t>Ele</w:t>
      </w:r>
      <w:bookmarkStart w:id="1017" w:name="OLE_LINK49"/>
      <w:bookmarkStart w:id="1018" w:name="OLE_LINK51"/>
      <w:r w:rsidR="00F803C7" w:rsidRPr="001F0144">
        <w:rPr>
          <w:i/>
          <w:color w:val="000000"/>
          <w:szCs w:val="22"/>
          <w:lang w:val="en-GB"/>
        </w:rPr>
        <w:t>v</w:t>
      </w:r>
      <w:proofErr w:type="spellEnd"/>
      <w:r w:rsidR="00F803C7" w:rsidRPr="001F0144">
        <w:rPr>
          <w:i/>
          <w:color w:val="000000"/>
          <w:szCs w:val="22"/>
          <w:lang w:val="en-GB"/>
        </w:rPr>
        <w:t xml:space="preserve"> </w:t>
      </w:r>
      <w:bookmarkEnd w:id="1017"/>
      <w:bookmarkEnd w:id="1018"/>
      <w:r w:rsidR="00F803C7" w:rsidRPr="001F0144">
        <w:rPr>
          <w:i/>
          <w:color w:val="000000"/>
          <w:szCs w:val="22"/>
          <w:lang w:val="en-GB"/>
        </w:rPr>
        <w:t>0m</w:t>
      </w:r>
      <w:r w:rsidR="00F803C7">
        <w:rPr>
          <w:i/>
          <w:color w:val="000000"/>
          <w:szCs w:val="22"/>
          <w:lang w:val="en-GB"/>
        </w:rPr>
        <w:t>;</w:t>
      </w:r>
      <w:r w:rsidRPr="001F0144">
        <w:rPr>
          <w:i/>
          <w:color w:val="000000"/>
          <w:szCs w:val="22"/>
          <w:lang w:val="en-GB"/>
        </w:rPr>
        <w:t xml:space="preserve"> 132001A - Calliope River at </w:t>
      </w:r>
      <w:proofErr w:type="spellStart"/>
      <w:r w:rsidRPr="001F0144">
        <w:rPr>
          <w:i/>
          <w:color w:val="000000"/>
          <w:szCs w:val="22"/>
          <w:lang w:val="en-GB"/>
        </w:rPr>
        <w:t>Castlehope</w:t>
      </w:r>
      <w:proofErr w:type="spellEnd"/>
      <w:r w:rsidRPr="001F0144">
        <w:rPr>
          <w:i/>
          <w:color w:val="000000"/>
          <w:szCs w:val="22"/>
          <w:lang w:val="en-GB"/>
        </w:rPr>
        <w:t xml:space="preserve"> 23.98498333°S 151.09756389°E, Elev:21m; </w:t>
      </w:r>
      <w:r w:rsidRPr="00FC34B6">
        <w:rPr>
          <w:i/>
          <w:color w:val="000000"/>
          <w:szCs w:val="22"/>
          <w:lang w:val="en-GB"/>
        </w:rPr>
        <w:t xml:space="preserve">136319A - Boyne River at </w:t>
      </w:r>
      <w:proofErr w:type="spellStart"/>
      <w:r w:rsidRPr="00FC34B6">
        <w:rPr>
          <w:i/>
          <w:color w:val="000000"/>
          <w:szCs w:val="22"/>
          <w:lang w:val="en-GB"/>
        </w:rPr>
        <w:t>Cooranga</w:t>
      </w:r>
      <w:proofErr w:type="spellEnd"/>
      <w:r w:rsidRPr="00FC34B6">
        <w:rPr>
          <w:i/>
          <w:color w:val="000000"/>
          <w:szCs w:val="22"/>
          <w:lang w:val="en-GB"/>
        </w:rPr>
        <w:t xml:space="preserve"> 25.78592226</w:t>
      </w:r>
      <w:r w:rsidRPr="001F0144">
        <w:rPr>
          <w:i/>
          <w:color w:val="000000"/>
          <w:szCs w:val="22"/>
          <w:lang w:val="en-GB"/>
        </w:rPr>
        <w:t>°S</w:t>
      </w:r>
      <w:r>
        <w:rPr>
          <w:i/>
          <w:color w:val="000000"/>
          <w:szCs w:val="22"/>
          <w:lang w:val="en-GB"/>
        </w:rPr>
        <w:t xml:space="preserve"> </w:t>
      </w:r>
      <w:r w:rsidRPr="00FC34B6">
        <w:rPr>
          <w:i/>
          <w:color w:val="000000"/>
          <w:szCs w:val="22"/>
          <w:lang w:val="en-GB"/>
        </w:rPr>
        <w:t>151.33283673</w:t>
      </w:r>
      <w:r w:rsidRPr="001F0144">
        <w:rPr>
          <w:i/>
          <w:color w:val="000000"/>
          <w:szCs w:val="22"/>
          <w:lang w:val="en-GB"/>
        </w:rPr>
        <w:t>°</w:t>
      </w:r>
      <w:r>
        <w:rPr>
          <w:i/>
          <w:color w:val="000000"/>
          <w:szCs w:val="22"/>
          <w:lang w:val="en-GB"/>
        </w:rPr>
        <w:t>E,</w:t>
      </w:r>
      <w:r w:rsidRPr="00FC34B6">
        <w:rPr>
          <w:i/>
          <w:color w:val="000000"/>
          <w:szCs w:val="22"/>
          <w:lang w:val="en-GB"/>
        </w:rPr>
        <w:t xml:space="preserve"> Elev:0</w:t>
      </w:r>
      <w:r>
        <w:rPr>
          <w:i/>
          <w:color w:val="000000"/>
          <w:szCs w:val="22"/>
          <w:lang w:val="en-GB"/>
        </w:rPr>
        <w:t>)</w:t>
      </w:r>
      <w:r w:rsidRPr="001F0144">
        <w:rPr>
          <w:i/>
          <w:color w:val="000000"/>
          <w:szCs w:val="22"/>
          <w:lang w:val="en-GB"/>
        </w:rPr>
        <w:t xml:space="preserve">(source </w:t>
      </w:r>
      <w:r w:rsidRPr="001F0144">
        <w:rPr>
          <w:i/>
          <w:color w:val="000000"/>
          <w:szCs w:val="22"/>
          <w:vertAlign w:val="superscript"/>
          <w:lang w:val="en-GB"/>
        </w:rPr>
        <w:t>©</w:t>
      </w:r>
      <w:r w:rsidRPr="001F0144">
        <w:rPr>
          <w:i/>
          <w:color w:val="000000"/>
          <w:szCs w:val="22"/>
          <w:lang w:val="en-GB"/>
        </w:rPr>
        <w:t>The State of Queensland (DNRM) 201</w:t>
      </w:r>
      <w:r w:rsidR="00F803C7">
        <w:rPr>
          <w:i/>
          <w:color w:val="000000"/>
          <w:szCs w:val="22"/>
          <w:lang w:val="en-GB"/>
        </w:rPr>
        <w:t>5</w:t>
      </w:r>
      <w:r w:rsidRPr="001F0144">
        <w:rPr>
          <w:i/>
          <w:color w:val="000000"/>
          <w:szCs w:val="22"/>
          <w:lang w:val="en-GB"/>
        </w:rPr>
        <w:t>, dnrm.qld.gov.au/water/water-monitoring-and-data/portal).</w:t>
      </w:r>
      <w:bookmarkEnd w:id="1016"/>
      <w:r>
        <w:rPr>
          <w:color w:val="000000"/>
          <w:szCs w:val="22"/>
          <w:lang w:val="en-GB"/>
        </w:rPr>
        <w:t xml:space="preserve"> </w:t>
      </w:r>
    </w:p>
    <w:p w:rsidR="00842050" w:rsidRPr="00FC34B6" w:rsidRDefault="00842050" w:rsidP="00842050">
      <w:pPr>
        <w:rPr>
          <w:color w:val="000000"/>
          <w:szCs w:val="22"/>
          <w:lang w:val="en-GB"/>
        </w:rPr>
      </w:pPr>
    </w:p>
    <w:p w:rsidR="00842050" w:rsidRPr="00FC34B6" w:rsidRDefault="00F803C7" w:rsidP="00842050">
      <w:pPr>
        <w:jc w:val="center"/>
        <w:rPr>
          <w:color w:val="000000"/>
          <w:szCs w:val="22"/>
        </w:rPr>
      </w:pPr>
      <w:r>
        <w:rPr>
          <w:noProof/>
          <w:color w:val="000000"/>
          <w:szCs w:val="22"/>
          <w:lang w:eastAsia="en-AU"/>
        </w:rPr>
        <w:drawing>
          <wp:inline distT="0" distB="0" distL="0" distR="0" wp14:anchorId="53248849" wp14:editId="3B8D2ADE">
            <wp:extent cx="3240000" cy="1040400"/>
            <wp:effectExtent l="0" t="0" r="0" b="7620"/>
            <wp:docPr id="10224" name="Picture 10224" descr="Bar graph showing average daily flow per month from the Mary River  for to period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ivers_2015.png"/>
                    <pic:cNvPicPr/>
                  </pic:nvPicPr>
                  <pic:blipFill>
                    <a:blip r:embed="rId235" cstate="print">
                      <a:extLst>
                        <a:ext uri="{28A0092B-C50C-407E-A947-70E740481C1C}">
                          <a14:useLocalDpi xmlns:a14="http://schemas.microsoft.com/office/drawing/2010/main" val="0"/>
                        </a:ext>
                      </a:extLst>
                    </a:blip>
                    <a:stretch>
                      <a:fillRect/>
                    </a:stretch>
                  </pic:blipFill>
                  <pic:spPr>
                    <a:xfrm>
                      <a:off x="0" y="0"/>
                      <a:ext cx="3240000" cy="1040400"/>
                    </a:xfrm>
                    <a:prstGeom prst="rect">
                      <a:avLst/>
                    </a:prstGeom>
                  </pic:spPr>
                </pic:pic>
              </a:graphicData>
            </a:graphic>
          </wp:inline>
        </w:drawing>
      </w:r>
    </w:p>
    <w:p w:rsidR="00842050" w:rsidRPr="00CD6094" w:rsidRDefault="00842050" w:rsidP="00842050">
      <w:pPr>
        <w:rPr>
          <w:i/>
          <w:vanish/>
          <w:color w:val="000000"/>
          <w:szCs w:val="22"/>
          <w:lang w:val="en-GB"/>
          <w:specVanish/>
        </w:rPr>
      </w:pPr>
      <w:bookmarkStart w:id="1019" w:name="_Ref380335557"/>
      <w:bookmarkStart w:id="1020" w:name="_Toc431494013"/>
      <w:bookmarkStart w:id="1021" w:name="_Toc462684979"/>
      <w:bookmarkStart w:id="1022" w:name="_Toc378578220"/>
      <w:r w:rsidRPr="00FC34B6">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139</w:t>
      </w:r>
      <w:r w:rsidR="0073595B">
        <w:rPr>
          <w:color w:val="000000"/>
          <w:szCs w:val="22"/>
          <w:lang w:val="en-GB"/>
        </w:rPr>
        <w:fldChar w:fldCharType="end"/>
      </w:r>
      <w:bookmarkEnd w:id="1019"/>
      <w:r w:rsidRPr="00FC34B6">
        <w:rPr>
          <w:color w:val="000000"/>
          <w:szCs w:val="22"/>
          <w:lang w:val="en-GB"/>
        </w:rPr>
        <w:t xml:space="preserve">. </w:t>
      </w:r>
      <w:r w:rsidRPr="00FC34B6">
        <w:rPr>
          <w:i/>
          <w:color w:val="000000"/>
          <w:szCs w:val="22"/>
          <w:lang w:val="en-GB"/>
        </w:rPr>
        <w:t>Average daily flow (ML day</w:t>
      </w:r>
      <w:r w:rsidRPr="00FC34B6">
        <w:rPr>
          <w:i/>
          <w:color w:val="000000"/>
          <w:szCs w:val="22"/>
          <w:vertAlign w:val="superscript"/>
          <w:lang w:val="en-GB"/>
        </w:rPr>
        <w:t>-1</w:t>
      </w:r>
      <w:r w:rsidRPr="00FC34B6">
        <w:rPr>
          <w:i/>
          <w:color w:val="000000"/>
          <w:szCs w:val="22"/>
          <w:lang w:val="en-GB"/>
        </w:rPr>
        <w:t xml:space="preserve">) per month from the </w:t>
      </w:r>
      <w:smartTag w:uri="urn:schemas-microsoft-com:office:smarttags" w:element="place">
        <w:smartTag w:uri="urn:schemas-microsoft-com:office:smarttags" w:element="PlaceName">
          <w:r w:rsidRPr="00FC34B6">
            <w:rPr>
              <w:i/>
              <w:color w:val="000000"/>
              <w:szCs w:val="22"/>
              <w:lang w:val="en-GB"/>
            </w:rPr>
            <w:t>Mary</w:t>
          </w:r>
        </w:smartTag>
        <w:r w:rsidRPr="00FC34B6">
          <w:rPr>
            <w:i/>
            <w:color w:val="000000"/>
            <w:szCs w:val="22"/>
            <w:lang w:val="en-GB"/>
          </w:rPr>
          <w:t xml:space="preserve"> </w:t>
        </w:r>
        <w:smartTag w:uri="urn:schemas-microsoft-com:office:smarttags" w:element="PlaceName">
          <w:r w:rsidRPr="00FC34B6">
            <w:rPr>
              <w:i/>
              <w:color w:val="000000"/>
              <w:szCs w:val="22"/>
              <w:lang w:val="en-GB"/>
            </w:rPr>
            <w:t>River</w:t>
          </w:r>
        </w:smartTag>
      </w:smartTag>
      <w:r w:rsidRPr="00FC34B6">
        <w:rPr>
          <w:i/>
          <w:color w:val="000000"/>
          <w:szCs w:val="22"/>
          <w:lang w:val="en-GB"/>
        </w:rPr>
        <w:t xml:space="preserve"> which would impact estuarine seagrass monitoring sites at </w:t>
      </w:r>
      <w:proofErr w:type="spellStart"/>
      <w:r w:rsidRPr="00FC34B6">
        <w:rPr>
          <w:i/>
          <w:color w:val="000000"/>
          <w:szCs w:val="22"/>
          <w:lang w:val="en-GB"/>
        </w:rPr>
        <w:t>Urangan</w:t>
      </w:r>
      <w:proofErr w:type="spellEnd"/>
      <w:r w:rsidRPr="00FC34B6">
        <w:rPr>
          <w:i/>
          <w:color w:val="000000"/>
          <w:szCs w:val="22"/>
          <w:lang w:val="en-GB"/>
        </w:rPr>
        <w:t>, southern Burnett Mary region</w:t>
      </w:r>
      <w:bookmarkEnd w:id="1020"/>
      <w:bookmarkEnd w:id="1021"/>
    </w:p>
    <w:p w:rsidR="00842050" w:rsidRPr="00FC34B6" w:rsidRDefault="00842050" w:rsidP="00842050">
      <w:pPr>
        <w:rPr>
          <w:color w:val="000000"/>
          <w:szCs w:val="22"/>
          <w:lang w:val="en-GB"/>
        </w:rPr>
      </w:pPr>
      <w:r>
        <w:rPr>
          <w:color w:val="000000"/>
          <w:szCs w:val="22"/>
          <w:lang w:val="en-GB"/>
        </w:rPr>
        <w:t xml:space="preserve"> </w:t>
      </w:r>
      <w:r w:rsidRPr="00FC34B6">
        <w:rPr>
          <w:i/>
          <w:color w:val="000000"/>
          <w:szCs w:val="22"/>
          <w:lang w:val="en-GB"/>
        </w:rPr>
        <w:t xml:space="preserve"> (station 138001A - Mary River at </w:t>
      </w:r>
      <w:proofErr w:type="spellStart"/>
      <w:r w:rsidRPr="00FC34B6">
        <w:rPr>
          <w:i/>
          <w:color w:val="000000"/>
          <w:szCs w:val="22"/>
          <w:lang w:val="en-GB"/>
        </w:rPr>
        <w:t>Miva</w:t>
      </w:r>
      <w:proofErr w:type="spellEnd"/>
      <w:r w:rsidRPr="00FC34B6">
        <w:rPr>
          <w:i/>
          <w:color w:val="000000"/>
          <w:szCs w:val="22"/>
          <w:lang w:val="en-GB"/>
        </w:rPr>
        <w:t xml:space="preserve"> Lat:25.95332924°S:152.4956601 °E, </w:t>
      </w:r>
      <w:proofErr w:type="spellStart"/>
      <w:r w:rsidRPr="00FC34B6">
        <w:rPr>
          <w:i/>
          <w:color w:val="000000"/>
          <w:szCs w:val="22"/>
          <w:lang w:val="en-GB"/>
        </w:rPr>
        <w:t>Elev</w:t>
      </w:r>
      <w:proofErr w:type="spellEnd"/>
      <w:r w:rsidRPr="00FC34B6">
        <w:rPr>
          <w:i/>
          <w:color w:val="000000"/>
          <w:szCs w:val="22"/>
          <w:lang w:val="en-GB"/>
        </w:rPr>
        <w:t xml:space="preserve"> 0m) (source </w:t>
      </w:r>
      <w:r w:rsidRPr="00FC34B6">
        <w:rPr>
          <w:i/>
          <w:color w:val="000000"/>
          <w:szCs w:val="22"/>
          <w:vertAlign w:val="superscript"/>
          <w:lang w:val="en-GB"/>
        </w:rPr>
        <w:t>©</w:t>
      </w:r>
      <w:r w:rsidRPr="00FC34B6">
        <w:rPr>
          <w:i/>
          <w:color w:val="000000"/>
          <w:szCs w:val="22"/>
          <w:lang w:val="en-GB"/>
        </w:rPr>
        <w:t>The State of Queensland (DNRM) 201</w:t>
      </w:r>
      <w:r w:rsidR="00F803C7">
        <w:rPr>
          <w:i/>
          <w:color w:val="000000"/>
          <w:szCs w:val="22"/>
          <w:lang w:val="en-GB"/>
        </w:rPr>
        <w:t>5</w:t>
      </w:r>
      <w:r w:rsidRPr="00FC34B6">
        <w:rPr>
          <w:i/>
          <w:color w:val="000000"/>
          <w:szCs w:val="22"/>
          <w:lang w:val="en-GB"/>
        </w:rPr>
        <w:t>, dnrm.qld.gov.au/water/water-monitoring-and-data/portal).</w:t>
      </w:r>
      <w:bookmarkEnd w:id="1022"/>
      <w:r>
        <w:rPr>
          <w:color w:val="000000"/>
          <w:szCs w:val="22"/>
          <w:lang w:val="en-GB"/>
        </w:rPr>
        <w:t xml:space="preserve"> </w:t>
      </w:r>
    </w:p>
    <w:p w:rsidR="00842050" w:rsidRDefault="00842050" w:rsidP="00E82D2E">
      <w:pPr>
        <w:rPr>
          <w:lang w:val="en-GB"/>
        </w:rPr>
      </w:pPr>
    </w:p>
    <w:p w:rsidR="005F359E" w:rsidRDefault="005F359E">
      <w:pPr>
        <w:spacing w:before="0" w:after="0"/>
        <w:rPr>
          <w:lang w:val="en-GB"/>
        </w:rPr>
      </w:pPr>
      <w:r>
        <w:rPr>
          <w:lang w:val="en-GB"/>
        </w:rPr>
        <w:br w:type="page"/>
      </w:r>
    </w:p>
    <w:p w:rsidR="005F359E" w:rsidRPr="00F12624" w:rsidRDefault="005F359E" w:rsidP="00F12624">
      <w:pPr>
        <w:pStyle w:val="Heading3"/>
        <w:rPr>
          <w:rFonts w:asciiTheme="minorHAnsi" w:hAnsiTheme="minorHAnsi"/>
          <w:sz w:val="24"/>
          <w:szCs w:val="24"/>
        </w:rPr>
      </w:pPr>
      <w:bookmarkStart w:id="1023" w:name="_Toc462047402"/>
      <w:r w:rsidRPr="00F12624">
        <w:rPr>
          <w:rFonts w:asciiTheme="minorHAnsi" w:hAnsiTheme="minorHAnsi"/>
          <w:sz w:val="24"/>
          <w:szCs w:val="24"/>
        </w:rPr>
        <w:lastRenderedPageBreak/>
        <w:t>Climate</w:t>
      </w:r>
      <w:bookmarkEnd w:id="1023"/>
    </w:p>
    <w:p w:rsidR="005F359E" w:rsidRDefault="005F359E" w:rsidP="00CC692A">
      <w:pPr>
        <w:keepNext/>
        <w:widowControl w:val="0"/>
        <w:spacing w:after="0"/>
        <w:jc w:val="center"/>
        <w:rPr>
          <w:color w:val="000000"/>
          <w:szCs w:val="22"/>
          <w:lang w:val="en-GB"/>
        </w:rPr>
      </w:pPr>
      <w:bookmarkStart w:id="1024" w:name="_Ref380240079"/>
      <w:bookmarkStart w:id="1025" w:name="_Toc431493984"/>
      <w:r>
        <w:rPr>
          <w:noProof/>
          <w:color w:val="000000"/>
          <w:szCs w:val="22"/>
          <w:lang w:eastAsia="en-AU"/>
        </w:rPr>
        <w:drawing>
          <wp:inline distT="0" distB="0" distL="0" distR="0" wp14:anchorId="31B25207" wp14:editId="2101A60B">
            <wp:extent cx="3600000" cy="3013200"/>
            <wp:effectExtent l="0" t="0" r="635" b="0"/>
            <wp:docPr id="10225" name="Picture 10225" descr="Set of graphs showing mean monthly daily maximum air temperature, total monthly rainfall, mean monthly cloud cover, and mean monthly 3pm wind speed recorded at Lockhart River Airport for the period January 2003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elburne_climate15.png"/>
                    <pic:cNvPicPr/>
                  </pic:nvPicPr>
                  <pic:blipFill>
                    <a:blip r:embed="rId236" cstate="print">
                      <a:extLst>
                        <a:ext uri="{28A0092B-C50C-407E-A947-70E740481C1C}">
                          <a14:useLocalDpi xmlns:a14="http://schemas.microsoft.com/office/drawing/2010/main" val="0"/>
                        </a:ext>
                      </a:extLst>
                    </a:blip>
                    <a:stretch>
                      <a:fillRect/>
                    </a:stretch>
                  </pic:blipFill>
                  <pic:spPr>
                    <a:xfrm>
                      <a:off x="0" y="0"/>
                      <a:ext cx="3600000" cy="3013200"/>
                    </a:xfrm>
                    <a:prstGeom prst="rect">
                      <a:avLst/>
                    </a:prstGeom>
                  </pic:spPr>
                </pic:pic>
              </a:graphicData>
            </a:graphic>
          </wp:inline>
        </w:drawing>
      </w:r>
    </w:p>
    <w:p w:rsidR="005F359E" w:rsidRDefault="005F359E" w:rsidP="005F359E">
      <w:pPr>
        <w:rPr>
          <w:color w:val="000000"/>
          <w:szCs w:val="22"/>
          <w:lang w:val="en-GB"/>
        </w:rPr>
      </w:pPr>
      <w:bookmarkStart w:id="1026" w:name="_Toc462684980"/>
      <w:r w:rsidRPr="007E33CC">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140</w:t>
      </w:r>
      <w:r w:rsidR="0073595B">
        <w:rPr>
          <w:color w:val="000000"/>
          <w:szCs w:val="22"/>
          <w:lang w:val="en-GB"/>
        </w:rPr>
        <w:fldChar w:fldCharType="end"/>
      </w:r>
      <w:bookmarkEnd w:id="1024"/>
      <w:r w:rsidRPr="007E33CC">
        <w:rPr>
          <w:color w:val="000000"/>
          <w:szCs w:val="22"/>
          <w:lang w:val="en-GB"/>
        </w:rPr>
        <w:t xml:space="preserve">. </w:t>
      </w:r>
      <w:r w:rsidRPr="007E33CC">
        <w:rPr>
          <w:i/>
          <w:color w:val="000000"/>
          <w:szCs w:val="22"/>
        </w:rPr>
        <w:t>Mean monthly daily maximum air temperature (°C), total monthly rainfall (mm, bar graph), mean monthly cloud cover (quarts, heavier line), and mean monthly 3pm wind speed (km.hr</w:t>
      </w:r>
      <w:r w:rsidRPr="007E33CC">
        <w:rPr>
          <w:i/>
          <w:color w:val="000000"/>
          <w:szCs w:val="22"/>
          <w:vertAlign w:val="superscript"/>
        </w:rPr>
        <w:t>-1</w:t>
      </w:r>
      <w:r w:rsidRPr="007E33CC">
        <w:rPr>
          <w:i/>
          <w:color w:val="000000"/>
          <w:szCs w:val="22"/>
        </w:rPr>
        <w:t>, lighter line) recorded at Lockhart River Airport (BOM station 028008, source www.bom.gov.au), located 108km from Shelburne Bay and 61km from Piper Reef monitoring sites.</w:t>
      </w:r>
      <w:bookmarkEnd w:id="1025"/>
      <w:bookmarkEnd w:id="1026"/>
    </w:p>
    <w:p w:rsidR="005F359E" w:rsidRPr="007E33CC" w:rsidRDefault="005F359E" w:rsidP="00CC692A">
      <w:pPr>
        <w:keepNext/>
        <w:widowControl w:val="0"/>
        <w:spacing w:after="0"/>
        <w:jc w:val="center"/>
        <w:rPr>
          <w:color w:val="000000"/>
          <w:szCs w:val="22"/>
          <w:lang w:val="en-GB"/>
        </w:rPr>
      </w:pPr>
      <w:r>
        <w:rPr>
          <w:noProof/>
          <w:color w:val="000000"/>
          <w:szCs w:val="22"/>
          <w:lang w:eastAsia="en-AU"/>
        </w:rPr>
        <w:drawing>
          <wp:inline distT="0" distB="0" distL="0" distR="0" wp14:anchorId="574BC31F" wp14:editId="10894EE9">
            <wp:extent cx="3600000" cy="3067200"/>
            <wp:effectExtent l="0" t="0" r="635" b="0"/>
            <wp:docPr id="10226" name="Picture 10226" descr="Set of graphs showing mean monthly daily maximum air temperature, total monthly rainfall, mean monthly cloud cover, and mean monthly 3pm wind speed recorded at Lotus Bird Lodge for the period January 2003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thurst_climate15.png"/>
                    <pic:cNvPicPr/>
                  </pic:nvPicPr>
                  <pic:blipFill>
                    <a:blip r:embed="rId237" cstate="print">
                      <a:extLst>
                        <a:ext uri="{28A0092B-C50C-407E-A947-70E740481C1C}">
                          <a14:useLocalDpi xmlns:a14="http://schemas.microsoft.com/office/drawing/2010/main" val="0"/>
                        </a:ext>
                      </a:extLst>
                    </a:blip>
                    <a:stretch>
                      <a:fillRect/>
                    </a:stretch>
                  </pic:blipFill>
                  <pic:spPr>
                    <a:xfrm>
                      <a:off x="0" y="0"/>
                      <a:ext cx="3600000" cy="3067200"/>
                    </a:xfrm>
                    <a:prstGeom prst="rect">
                      <a:avLst/>
                    </a:prstGeom>
                  </pic:spPr>
                </pic:pic>
              </a:graphicData>
            </a:graphic>
          </wp:inline>
        </w:drawing>
      </w:r>
    </w:p>
    <w:p w:rsidR="005F359E" w:rsidRPr="00A93D8C" w:rsidRDefault="005F359E" w:rsidP="005F359E">
      <w:pPr>
        <w:rPr>
          <w:vanish/>
          <w:color w:val="000000"/>
          <w:szCs w:val="22"/>
          <w:lang w:val="en-GB"/>
          <w:specVanish/>
        </w:rPr>
      </w:pPr>
      <w:bookmarkStart w:id="1027" w:name="_Ref380240081"/>
      <w:bookmarkStart w:id="1028" w:name="_Toc431493985"/>
      <w:bookmarkStart w:id="1029" w:name="_Toc462684981"/>
      <w:r w:rsidRPr="00A0339E">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141</w:t>
      </w:r>
      <w:r w:rsidR="0073595B">
        <w:rPr>
          <w:color w:val="000000"/>
          <w:szCs w:val="22"/>
          <w:lang w:val="en-GB"/>
        </w:rPr>
        <w:fldChar w:fldCharType="end"/>
      </w:r>
      <w:bookmarkEnd w:id="1027"/>
      <w:r w:rsidRPr="00A0339E">
        <w:rPr>
          <w:color w:val="000000"/>
          <w:szCs w:val="22"/>
          <w:lang w:val="en-GB"/>
        </w:rPr>
        <w:t xml:space="preserve">. </w:t>
      </w:r>
      <w:r w:rsidRPr="00A0339E">
        <w:rPr>
          <w:i/>
          <w:color w:val="000000"/>
          <w:szCs w:val="22"/>
          <w:lang w:val="en-GB"/>
        </w:rPr>
        <w:t>Total monthly rainfall (mm, bar graph) recorded at Lotus Bird Lodge (BOM station</w:t>
      </w:r>
      <w:r w:rsidRPr="00707686">
        <w:rPr>
          <w:i/>
          <w:color w:val="000000"/>
          <w:szCs w:val="22"/>
          <w:lang w:val="en-GB"/>
        </w:rPr>
        <w:t xml:space="preserve"> 028035, source www.bom.gov.au), located approximately 73km and 84km from </w:t>
      </w:r>
      <w:smartTag w:uri="urn:schemas-microsoft-com:office:smarttags" w:element="PlaceName">
        <w:r w:rsidRPr="00707686">
          <w:rPr>
            <w:i/>
            <w:color w:val="000000"/>
            <w:szCs w:val="22"/>
            <w:lang w:val="en-GB"/>
          </w:rPr>
          <w:t>Bathurst</w:t>
        </w:r>
      </w:smartTag>
      <w:r w:rsidRPr="00707686">
        <w:rPr>
          <w:i/>
          <w:color w:val="000000"/>
          <w:szCs w:val="22"/>
          <w:lang w:val="en-GB"/>
        </w:rPr>
        <w:t xml:space="preserve"> </w:t>
      </w:r>
      <w:smartTag w:uri="urn:schemas-microsoft-com:office:smarttags" w:element="PlaceType">
        <w:r w:rsidRPr="00707686">
          <w:rPr>
            <w:i/>
            <w:color w:val="000000"/>
            <w:szCs w:val="22"/>
            <w:lang w:val="en-GB"/>
          </w:rPr>
          <w:t>Bay</w:t>
        </w:r>
      </w:smartTag>
      <w:r w:rsidRPr="00707686">
        <w:rPr>
          <w:i/>
          <w:color w:val="000000"/>
          <w:szCs w:val="22"/>
          <w:lang w:val="en-GB"/>
        </w:rPr>
        <w:t xml:space="preserve"> and </w:t>
      </w:r>
      <w:smartTag w:uri="urn:schemas-microsoft-com:office:smarttags" w:element="place">
        <w:smartTag w:uri="urn:schemas-microsoft-com:office:smarttags" w:element="PlaceName">
          <w:r w:rsidRPr="00707686">
            <w:rPr>
              <w:i/>
              <w:color w:val="000000"/>
              <w:szCs w:val="22"/>
              <w:lang w:val="en-GB"/>
            </w:rPr>
            <w:t>Stanley</w:t>
          </w:r>
        </w:smartTag>
        <w:r w:rsidRPr="00707686">
          <w:rPr>
            <w:i/>
            <w:color w:val="000000"/>
            <w:szCs w:val="22"/>
            <w:lang w:val="en-GB"/>
          </w:rPr>
          <w:t xml:space="preserve"> </w:t>
        </w:r>
        <w:smartTag w:uri="urn:schemas-microsoft-com:office:smarttags" w:element="PlaceType">
          <w:r w:rsidRPr="00707686">
            <w:rPr>
              <w:i/>
              <w:color w:val="000000"/>
              <w:szCs w:val="22"/>
              <w:lang w:val="en-GB"/>
            </w:rPr>
            <w:t>Island</w:t>
          </w:r>
        </w:smartTag>
      </w:smartTag>
      <w:r w:rsidRPr="00707686">
        <w:rPr>
          <w:i/>
          <w:color w:val="000000"/>
          <w:szCs w:val="22"/>
          <w:lang w:val="en-GB"/>
        </w:rPr>
        <w:t xml:space="preserve"> monitoring sites, respectively</w:t>
      </w:r>
      <w:bookmarkEnd w:id="1028"/>
      <w:bookmarkEnd w:id="1029"/>
    </w:p>
    <w:p w:rsidR="005F359E" w:rsidRDefault="005F359E" w:rsidP="005F359E">
      <w:pPr>
        <w:rPr>
          <w:color w:val="000000"/>
          <w:szCs w:val="22"/>
          <w:lang w:val="en-GB"/>
        </w:rPr>
      </w:pPr>
      <w:r w:rsidRPr="00707686">
        <w:rPr>
          <w:i/>
          <w:color w:val="000000"/>
          <w:szCs w:val="22"/>
          <w:lang w:val="en-GB"/>
        </w:rPr>
        <w:t>.</w:t>
      </w:r>
      <w:r>
        <w:rPr>
          <w:color w:val="000000"/>
          <w:szCs w:val="22"/>
          <w:lang w:val="en-GB"/>
        </w:rPr>
        <w:t xml:space="preserve"> </w:t>
      </w:r>
      <w:r w:rsidRPr="00707686">
        <w:rPr>
          <w:i/>
          <w:color w:val="000000"/>
          <w:szCs w:val="22"/>
          <w:lang w:val="en-GB"/>
        </w:rPr>
        <w:t xml:space="preserve"> </w:t>
      </w:r>
      <w:r w:rsidRPr="00A0339E">
        <w:rPr>
          <w:i/>
          <w:color w:val="000000"/>
          <w:szCs w:val="22"/>
          <w:lang w:val="en-GB"/>
        </w:rPr>
        <w:t>Mean monthly daily maximum air temperature (°C, black line), mean monthly cloud cover (quarts, black line), and mean monthly 3pm wind speed (km.</w:t>
      </w:r>
      <w:r w:rsidRPr="00A0339E">
        <w:rPr>
          <w:i/>
          <w:color w:val="000000"/>
          <w:szCs w:val="22"/>
        </w:rPr>
        <w:t xml:space="preserve"> hr</w:t>
      </w:r>
      <w:r w:rsidRPr="00A0339E">
        <w:rPr>
          <w:i/>
          <w:color w:val="000000"/>
          <w:szCs w:val="22"/>
          <w:vertAlign w:val="superscript"/>
        </w:rPr>
        <w:t>-1</w:t>
      </w:r>
      <w:r w:rsidRPr="00A0339E">
        <w:rPr>
          <w:i/>
          <w:color w:val="000000"/>
          <w:szCs w:val="22"/>
          <w:lang w:val="en-GB"/>
        </w:rPr>
        <w:t>, grey line) pre-August 2012 from Musgrave (BOM station 028007) located approximately 97km and 107km from Bathurst Bay and Stanley Island monitoring sites, respectively, and post-August 2012, from Cape Flattery (BOM station 031213), located approximately 139km and 144km from Bathurst Bay and Stanley Island monitoring sites, respectively (source www.bom.gov.au)</w:t>
      </w:r>
      <w:r>
        <w:rPr>
          <w:i/>
          <w:color w:val="000000"/>
          <w:szCs w:val="22"/>
          <w:lang w:val="en-GB"/>
        </w:rPr>
        <w:t>.</w:t>
      </w:r>
      <w:r>
        <w:rPr>
          <w:color w:val="000000"/>
          <w:szCs w:val="22"/>
          <w:lang w:val="en-GB"/>
        </w:rPr>
        <w:t xml:space="preserve"> </w:t>
      </w:r>
    </w:p>
    <w:p w:rsidR="005F359E" w:rsidRDefault="005F359E" w:rsidP="005F359E">
      <w:pPr>
        <w:rPr>
          <w:color w:val="000000"/>
          <w:szCs w:val="22"/>
          <w:lang w:val="en-GB"/>
        </w:rPr>
      </w:pPr>
    </w:p>
    <w:p w:rsidR="005F359E" w:rsidRPr="00A0339E" w:rsidRDefault="005F359E" w:rsidP="005F359E">
      <w:pPr>
        <w:jc w:val="center"/>
        <w:rPr>
          <w:color w:val="000000"/>
          <w:szCs w:val="22"/>
          <w:lang w:val="en-GB"/>
        </w:rPr>
      </w:pPr>
      <w:r>
        <w:rPr>
          <w:noProof/>
          <w:color w:val="000000"/>
          <w:szCs w:val="22"/>
          <w:lang w:eastAsia="en-AU"/>
        </w:rPr>
        <w:drawing>
          <wp:inline distT="0" distB="0" distL="0" distR="0" wp14:anchorId="7EA50187" wp14:editId="1B38A3C9">
            <wp:extent cx="3600000" cy="3121200"/>
            <wp:effectExtent l="0" t="0" r="635" b="3175"/>
            <wp:docPr id="10227" name="Picture 10227" descr="Set of graphs showing mean monthly daily maximum air temperature, total monthly rainfall, mean monthly cloud cover, and mean monthly 3pm wind speed recorded at Cooktown airport for the period January 2003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oktown_climate15.png"/>
                    <pic:cNvPicPr/>
                  </pic:nvPicPr>
                  <pic:blipFill>
                    <a:blip r:embed="rId238" cstate="print">
                      <a:extLst>
                        <a:ext uri="{28A0092B-C50C-407E-A947-70E740481C1C}">
                          <a14:useLocalDpi xmlns:a14="http://schemas.microsoft.com/office/drawing/2010/main" val="0"/>
                        </a:ext>
                      </a:extLst>
                    </a:blip>
                    <a:stretch>
                      <a:fillRect/>
                    </a:stretch>
                  </pic:blipFill>
                  <pic:spPr>
                    <a:xfrm>
                      <a:off x="0" y="0"/>
                      <a:ext cx="3600000" cy="3121200"/>
                    </a:xfrm>
                    <a:prstGeom prst="rect">
                      <a:avLst/>
                    </a:prstGeom>
                  </pic:spPr>
                </pic:pic>
              </a:graphicData>
            </a:graphic>
          </wp:inline>
        </w:drawing>
      </w:r>
    </w:p>
    <w:p w:rsidR="005F359E" w:rsidRDefault="005F359E" w:rsidP="005F359E">
      <w:pPr>
        <w:rPr>
          <w:i/>
          <w:color w:val="000000"/>
          <w:szCs w:val="22"/>
          <w:lang w:val="en-GB"/>
        </w:rPr>
      </w:pPr>
      <w:bookmarkStart w:id="1030" w:name="_Ref380240083"/>
      <w:bookmarkStart w:id="1031" w:name="_Toc378578121"/>
      <w:bookmarkStart w:id="1032" w:name="_Toc431493986"/>
      <w:bookmarkStart w:id="1033" w:name="_Toc462684982"/>
      <w:r w:rsidRPr="002C568C">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142</w:t>
      </w:r>
      <w:r w:rsidR="0073595B">
        <w:rPr>
          <w:color w:val="000000"/>
          <w:szCs w:val="22"/>
          <w:lang w:val="en-GB"/>
        </w:rPr>
        <w:fldChar w:fldCharType="end"/>
      </w:r>
      <w:bookmarkEnd w:id="1030"/>
      <w:r w:rsidRPr="002C568C">
        <w:rPr>
          <w:color w:val="000000"/>
          <w:szCs w:val="22"/>
          <w:lang w:val="en-GB"/>
        </w:rPr>
        <w:t xml:space="preserve">. </w:t>
      </w:r>
      <w:r w:rsidRPr="002C568C">
        <w:rPr>
          <w:i/>
          <w:color w:val="000000"/>
          <w:szCs w:val="22"/>
          <w:lang w:val="en-GB"/>
        </w:rPr>
        <w:t>Mean monthly daily maximum air temperature (°C), total monthly rainfall (mm, bar graph), mean monthly cloud cover (quarts, heavier line), and mean monthly 3pm wind speed (km.</w:t>
      </w:r>
      <w:r w:rsidRPr="002C568C">
        <w:rPr>
          <w:i/>
          <w:color w:val="000000"/>
          <w:szCs w:val="22"/>
        </w:rPr>
        <w:t xml:space="preserve"> hr</w:t>
      </w:r>
      <w:r w:rsidRPr="002C568C">
        <w:rPr>
          <w:i/>
          <w:color w:val="000000"/>
          <w:szCs w:val="22"/>
          <w:vertAlign w:val="superscript"/>
        </w:rPr>
        <w:t>-1</w:t>
      </w:r>
      <w:r w:rsidRPr="002C568C">
        <w:rPr>
          <w:i/>
          <w:color w:val="000000"/>
          <w:szCs w:val="22"/>
          <w:lang w:val="en-GB"/>
        </w:rPr>
        <w:t xml:space="preserve">, lighter line) recorded at </w:t>
      </w:r>
      <w:proofErr w:type="spellStart"/>
      <w:r w:rsidRPr="002C568C">
        <w:rPr>
          <w:i/>
          <w:color w:val="000000"/>
          <w:szCs w:val="22"/>
          <w:lang w:val="en-GB"/>
        </w:rPr>
        <w:t>Cooktown</w:t>
      </w:r>
      <w:proofErr w:type="spellEnd"/>
      <w:r w:rsidRPr="002C568C">
        <w:rPr>
          <w:i/>
          <w:color w:val="000000"/>
          <w:szCs w:val="22"/>
          <w:lang w:val="en-GB"/>
        </w:rPr>
        <w:t xml:space="preserve"> airport (BOM station 031209, source www.bom.gov.au), located 16km from Archer Point monitoring sites.</w:t>
      </w:r>
      <w:bookmarkEnd w:id="1031"/>
      <w:bookmarkEnd w:id="1032"/>
      <w:bookmarkEnd w:id="1033"/>
    </w:p>
    <w:p w:rsidR="005F359E" w:rsidRDefault="005F359E" w:rsidP="005F359E">
      <w:pPr>
        <w:rPr>
          <w:color w:val="000000"/>
          <w:szCs w:val="22"/>
          <w:lang w:val="en-GB"/>
        </w:rPr>
      </w:pPr>
    </w:p>
    <w:p w:rsidR="005F359E" w:rsidRPr="002C568C" w:rsidRDefault="005F359E" w:rsidP="005F359E">
      <w:pPr>
        <w:jc w:val="center"/>
        <w:rPr>
          <w:color w:val="000000"/>
          <w:szCs w:val="22"/>
          <w:lang w:val="en-GB"/>
        </w:rPr>
      </w:pPr>
      <w:r>
        <w:rPr>
          <w:noProof/>
          <w:color w:val="000000"/>
          <w:szCs w:val="22"/>
          <w:lang w:eastAsia="en-AU"/>
        </w:rPr>
        <w:drawing>
          <wp:inline distT="0" distB="0" distL="0" distR="0" wp14:anchorId="66F026B7" wp14:editId="260A2C60">
            <wp:extent cx="3960000" cy="2988000"/>
            <wp:effectExtent l="0" t="0" r="2540" b="3175"/>
            <wp:docPr id="10228" name="Picture 10228" descr="Set of three bar graphs showing number of days wind speed is above 25 km. hr-1 each monitoring period in the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wind_2015.png"/>
                    <pic:cNvPicPr/>
                  </pic:nvPicPr>
                  <pic:blipFill>
                    <a:blip r:embed="rId239" cstate="print">
                      <a:extLst>
                        <a:ext uri="{28A0092B-C50C-407E-A947-70E740481C1C}">
                          <a14:useLocalDpi xmlns:a14="http://schemas.microsoft.com/office/drawing/2010/main" val="0"/>
                        </a:ext>
                      </a:extLst>
                    </a:blip>
                    <a:stretch>
                      <a:fillRect/>
                    </a:stretch>
                  </pic:blipFill>
                  <pic:spPr>
                    <a:xfrm>
                      <a:off x="0" y="0"/>
                      <a:ext cx="3960000" cy="2988000"/>
                    </a:xfrm>
                    <a:prstGeom prst="rect">
                      <a:avLst/>
                    </a:prstGeom>
                  </pic:spPr>
                </pic:pic>
              </a:graphicData>
            </a:graphic>
          </wp:inline>
        </w:drawing>
      </w:r>
    </w:p>
    <w:p w:rsidR="005F359E" w:rsidRPr="00A93D8C" w:rsidRDefault="005F359E" w:rsidP="005F359E">
      <w:pPr>
        <w:rPr>
          <w:vanish/>
          <w:color w:val="000000"/>
          <w:szCs w:val="22"/>
          <w:lang w:val="en-GB"/>
          <w:specVanish/>
        </w:rPr>
      </w:pPr>
      <w:bookmarkStart w:id="1034" w:name="_Ref410207986"/>
      <w:bookmarkStart w:id="1035" w:name="_Toc431493987"/>
      <w:bookmarkStart w:id="1036" w:name="_Toc462684983"/>
      <w:r w:rsidRPr="00D753B8">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143</w:t>
      </w:r>
      <w:r w:rsidR="0073595B">
        <w:rPr>
          <w:color w:val="000000"/>
          <w:szCs w:val="22"/>
          <w:lang w:val="en-GB"/>
        </w:rPr>
        <w:fldChar w:fldCharType="end"/>
      </w:r>
      <w:bookmarkEnd w:id="1034"/>
      <w:r w:rsidRPr="00D753B8">
        <w:rPr>
          <w:color w:val="000000"/>
          <w:szCs w:val="22"/>
          <w:lang w:val="en-GB"/>
        </w:rPr>
        <w:t xml:space="preserve">. </w:t>
      </w:r>
      <w:r w:rsidRPr="00D753B8">
        <w:rPr>
          <w:i/>
          <w:color w:val="000000"/>
          <w:szCs w:val="22"/>
          <w:lang w:val="en-GB"/>
        </w:rPr>
        <w:t>Number of days wind speed is above 25 km. hr</w:t>
      </w:r>
      <w:r w:rsidRPr="00D753B8">
        <w:rPr>
          <w:i/>
          <w:color w:val="000000"/>
          <w:szCs w:val="22"/>
          <w:vertAlign w:val="superscript"/>
          <w:lang w:val="en-GB"/>
        </w:rPr>
        <w:t>-1</w:t>
      </w:r>
      <w:r w:rsidRPr="00D753B8">
        <w:rPr>
          <w:i/>
          <w:color w:val="000000"/>
          <w:szCs w:val="22"/>
          <w:lang w:val="en-GB"/>
        </w:rPr>
        <w:t xml:space="preserve"> each monitoring period in the </w:t>
      </w:r>
      <w:smartTag w:uri="urn:schemas-microsoft-com:office:smarttags" w:element="place">
        <w:r w:rsidRPr="00D753B8">
          <w:rPr>
            <w:i/>
            <w:color w:val="000000"/>
            <w:szCs w:val="22"/>
            <w:lang w:val="en-GB"/>
          </w:rPr>
          <w:t>Cape York</w:t>
        </w:r>
      </w:smartTag>
      <w:r w:rsidRPr="00D753B8">
        <w:rPr>
          <w:i/>
          <w:color w:val="000000"/>
          <w:szCs w:val="22"/>
          <w:lang w:val="en-GB"/>
        </w:rPr>
        <w:t xml:space="preserve"> NRM region.</w:t>
      </w:r>
      <w:bookmarkEnd w:id="1035"/>
      <w:bookmarkEnd w:id="1036"/>
      <w:r>
        <w:rPr>
          <w:color w:val="000000"/>
          <w:szCs w:val="22"/>
          <w:lang w:val="en-GB"/>
        </w:rPr>
        <w:t xml:space="preserve"> </w:t>
      </w:r>
    </w:p>
    <w:p w:rsidR="005F359E" w:rsidRPr="00D753B8" w:rsidRDefault="005F359E" w:rsidP="005F359E">
      <w:pPr>
        <w:rPr>
          <w:color w:val="000000"/>
          <w:szCs w:val="22"/>
          <w:lang w:val="en-GB"/>
        </w:rPr>
      </w:pPr>
      <w:r w:rsidRPr="00D753B8">
        <w:rPr>
          <w:i/>
          <w:color w:val="000000"/>
          <w:szCs w:val="22"/>
          <w:lang w:val="en-GB"/>
        </w:rPr>
        <w:t xml:space="preserve"> Daily 3pm wind speed from: a) from </w:t>
      </w:r>
      <w:r w:rsidRPr="00D753B8">
        <w:rPr>
          <w:i/>
          <w:color w:val="000000"/>
          <w:szCs w:val="22"/>
        </w:rPr>
        <w:t>Lockhart River Airport (BOM station 028008, source www.bom.gov.au), located 108km from Shelburne Bay and 61km from Piper Reef monitoring sites;</w:t>
      </w:r>
      <w:r w:rsidRPr="00D753B8">
        <w:rPr>
          <w:i/>
          <w:color w:val="000000"/>
          <w:szCs w:val="22"/>
          <w:lang w:val="en-GB"/>
        </w:rPr>
        <w:t xml:space="preserve"> b) Cape Flattery (BOM station 031213), located approximately 139km and 144km from Bathurst Bay and Stanley Island monitoring sites, respectively and; c) </w:t>
      </w:r>
      <w:proofErr w:type="spellStart"/>
      <w:r w:rsidRPr="00D753B8">
        <w:rPr>
          <w:i/>
          <w:color w:val="000000"/>
          <w:szCs w:val="22"/>
          <w:lang w:val="en-GB"/>
        </w:rPr>
        <w:t>Cooktown</w:t>
      </w:r>
      <w:proofErr w:type="spellEnd"/>
      <w:r w:rsidRPr="00D753B8">
        <w:rPr>
          <w:i/>
          <w:color w:val="000000"/>
          <w:szCs w:val="22"/>
          <w:lang w:val="en-GB"/>
        </w:rPr>
        <w:t xml:space="preserve"> airport (BOM station 031209), located 16km from Archer Point monitoring sites.</w:t>
      </w:r>
      <w:r>
        <w:rPr>
          <w:color w:val="000000"/>
          <w:szCs w:val="22"/>
          <w:lang w:val="en-GB"/>
        </w:rPr>
        <w:t xml:space="preserve"> </w:t>
      </w:r>
    </w:p>
    <w:p w:rsidR="005F359E" w:rsidRPr="00D753B8" w:rsidRDefault="005F359E" w:rsidP="005F359E">
      <w:pPr>
        <w:rPr>
          <w:color w:val="000000"/>
          <w:szCs w:val="22"/>
          <w:lang w:val="en-GB"/>
        </w:rPr>
      </w:pPr>
    </w:p>
    <w:p w:rsidR="005F359E" w:rsidRDefault="005F359E" w:rsidP="005F359E">
      <w:pPr>
        <w:jc w:val="center"/>
        <w:rPr>
          <w:color w:val="000000"/>
        </w:rPr>
      </w:pPr>
      <w:bookmarkStart w:id="1037" w:name="_Ref380342492"/>
      <w:bookmarkStart w:id="1038" w:name="_Toc431493988"/>
      <w:bookmarkStart w:id="1039" w:name="_Toc378578133"/>
      <w:r>
        <w:rPr>
          <w:noProof/>
          <w:color w:val="000000"/>
          <w:lang w:eastAsia="en-AU"/>
        </w:rPr>
        <w:drawing>
          <wp:inline distT="0" distB="0" distL="0" distR="0" wp14:anchorId="6F5515F2" wp14:editId="2E37D229">
            <wp:extent cx="3600000" cy="3052800"/>
            <wp:effectExtent l="0" t="0" r="635" b="0"/>
            <wp:docPr id="10229" name="Picture 10229" descr="Set of graphs showing mean monthly daily maximum air temperature, total monthly rainfall, mean monthly cloud cover, and mean monthly 3pm wind speed recorded at Port Douglas for the period January 2003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w_Isles_climate15.png"/>
                    <pic:cNvPicPr/>
                  </pic:nvPicPr>
                  <pic:blipFill>
                    <a:blip r:embed="rId240" cstate="print">
                      <a:extLst>
                        <a:ext uri="{28A0092B-C50C-407E-A947-70E740481C1C}">
                          <a14:useLocalDpi xmlns:a14="http://schemas.microsoft.com/office/drawing/2010/main" val="0"/>
                        </a:ext>
                      </a:extLst>
                    </a:blip>
                    <a:stretch>
                      <a:fillRect/>
                    </a:stretch>
                  </pic:blipFill>
                  <pic:spPr>
                    <a:xfrm>
                      <a:off x="0" y="0"/>
                      <a:ext cx="3600000" cy="3052800"/>
                    </a:xfrm>
                    <a:prstGeom prst="rect">
                      <a:avLst/>
                    </a:prstGeom>
                  </pic:spPr>
                </pic:pic>
              </a:graphicData>
            </a:graphic>
          </wp:inline>
        </w:drawing>
      </w:r>
    </w:p>
    <w:p w:rsidR="005F359E" w:rsidRPr="00A93D8C" w:rsidRDefault="005F359E" w:rsidP="005F359E">
      <w:pPr>
        <w:rPr>
          <w:vanish/>
          <w:color w:val="000000"/>
          <w:szCs w:val="22"/>
          <w:lang w:val="en-GB"/>
          <w:specVanish/>
        </w:rPr>
      </w:pPr>
      <w:bookmarkStart w:id="1040" w:name="_Toc462684984"/>
      <w:r w:rsidRPr="00FF6444">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144</w:t>
      </w:r>
      <w:r w:rsidR="0073595B">
        <w:rPr>
          <w:color w:val="000000"/>
          <w:szCs w:val="22"/>
          <w:lang w:val="en-GB"/>
        </w:rPr>
        <w:fldChar w:fldCharType="end"/>
      </w:r>
      <w:bookmarkEnd w:id="1037"/>
      <w:r w:rsidRPr="00FF6444">
        <w:rPr>
          <w:color w:val="000000"/>
          <w:szCs w:val="22"/>
          <w:lang w:val="en-GB"/>
        </w:rPr>
        <w:t xml:space="preserve">. </w:t>
      </w:r>
      <w:r w:rsidRPr="00FF6444">
        <w:rPr>
          <w:i/>
          <w:color w:val="000000"/>
          <w:szCs w:val="22"/>
          <w:lang w:val="en-GB"/>
        </w:rPr>
        <w:t xml:space="preserve">Total monthly rainfall (mm, bar graph) recorded at Port Douglas - </w:t>
      </w:r>
      <w:smartTag w:uri="urn:schemas-microsoft-com:office:smarttags" w:element="Street">
        <w:smartTag w:uri="urn:schemas-microsoft-com:office:smarttags" w:element="address">
          <w:r w:rsidRPr="00FF6444">
            <w:rPr>
              <w:i/>
              <w:color w:val="000000"/>
              <w:szCs w:val="22"/>
              <w:lang w:val="en-GB"/>
            </w:rPr>
            <w:t>Warner St</w:t>
          </w:r>
        </w:smartTag>
      </w:smartTag>
      <w:r w:rsidRPr="00FF6444">
        <w:rPr>
          <w:i/>
          <w:color w:val="000000"/>
          <w:szCs w:val="22"/>
          <w:lang w:val="en-GB"/>
        </w:rPr>
        <w:t xml:space="preserve"> (BOM station 31052, source www.bom.gov.au), located approximately 11km from Yule Point and 15 from Low Isles monitoring sites.</w:t>
      </w:r>
      <w:bookmarkEnd w:id="1038"/>
      <w:bookmarkEnd w:id="1040"/>
      <w:r>
        <w:rPr>
          <w:color w:val="000000"/>
          <w:szCs w:val="22"/>
          <w:lang w:val="en-GB"/>
        </w:rPr>
        <w:t xml:space="preserve"> </w:t>
      </w:r>
    </w:p>
    <w:p w:rsidR="005F359E" w:rsidRPr="00FF6444" w:rsidRDefault="005F359E" w:rsidP="005F359E">
      <w:pPr>
        <w:rPr>
          <w:color w:val="000000"/>
          <w:szCs w:val="22"/>
          <w:lang w:val="en-GB"/>
        </w:rPr>
      </w:pPr>
      <w:r w:rsidRPr="00FF6444">
        <w:rPr>
          <w:i/>
          <w:color w:val="000000"/>
          <w:szCs w:val="22"/>
          <w:lang w:val="en-GB"/>
        </w:rPr>
        <w:t xml:space="preserve"> Mean monthly daily maximum air temperature (°C, black line), mean monthly cloud cover (quarts, black line), and mean monthly 3pm wind speed (km.</w:t>
      </w:r>
      <w:r w:rsidRPr="00FF6444">
        <w:rPr>
          <w:i/>
          <w:color w:val="000000"/>
          <w:szCs w:val="22"/>
        </w:rPr>
        <w:t xml:space="preserve"> hr</w:t>
      </w:r>
      <w:r w:rsidRPr="00FF6444">
        <w:rPr>
          <w:i/>
          <w:color w:val="000000"/>
          <w:szCs w:val="22"/>
          <w:vertAlign w:val="superscript"/>
        </w:rPr>
        <w:t>-1</w:t>
      </w:r>
      <w:r w:rsidRPr="00FF6444">
        <w:rPr>
          <w:i/>
          <w:color w:val="000000"/>
          <w:szCs w:val="22"/>
          <w:lang w:val="en-GB"/>
        </w:rPr>
        <w:t>, grey line) from Low Isles (BOM station 31037, source www.bom.gov.au), located approximately 21km from Yule Point monitoring sites.</w:t>
      </w:r>
      <w:bookmarkEnd w:id="1039"/>
      <w:r>
        <w:rPr>
          <w:color w:val="000000"/>
          <w:szCs w:val="22"/>
          <w:lang w:val="en-GB"/>
        </w:rPr>
        <w:t xml:space="preserve"> </w:t>
      </w:r>
    </w:p>
    <w:p w:rsidR="005F359E" w:rsidRDefault="005F359E" w:rsidP="005F359E">
      <w:pPr>
        <w:jc w:val="center"/>
        <w:rPr>
          <w:color w:val="000000"/>
          <w:szCs w:val="22"/>
        </w:rPr>
      </w:pPr>
      <w:bookmarkStart w:id="1041" w:name="_Ref380342494"/>
      <w:bookmarkStart w:id="1042" w:name="_Toc431493989"/>
      <w:bookmarkStart w:id="1043" w:name="_Toc378578134"/>
      <w:r>
        <w:rPr>
          <w:noProof/>
          <w:color w:val="000000"/>
          <w:szCs w:val="22"/>
          <w:lang w:eastAsia="en-AU"/>
        </w:rPr>
        <w:drawing>
          <wp:inline distT="0" distB="0" distL="0" distR="0" wp14:anchorId="2E864271" wp14:editId="6FAFB0D4">
            <wp:extent cx="3600000" cy="3052800"/>
            <wp:effectExtent l="0" t="0" r="635" b="0"/>
            <wp:docPr id="10230" name="Picture 10230" descr="Set of graphs showing mean monthly daily maximum air temperature, total monthly rainfall, mean monthly cloud cover, and mean monthly 3pm wind speed recorded at Green Island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S_climate15.png"/>
                    <pic:cNvPicPr/>
                  </pic:nvPicPr>
                  <pic:blipFill>
                    <a:blip r:embed="rId241" cstate="print">
                      <a:extLst>
                        <a:ext uri="{28A0092B-C50C-407E-A947-70E740481C1C}">
                          <a14:useLocalDpi xmlns:a14="http://schemas.microsoft.com/office/drawing/2010/main" val="0"/>
                        </a:ext>
                      </a:extLst>
                    </a:blip>
                    <a:stretch>
                      <a:fillRect/>
                    </a:stretch>
                  </pic:blipFill>
                  <pic:spPr>
                    <a:xfrm>
                      <a:off x="0" y="0"/>
                      <a:ext cx="3600000" cy="3052800"/>
                    </a:xfrm>
                    <a:prstGeom prst="rect">
                      <a:avLst/>
                    </a:prstGeom>
                  </pic:spPr>
                </pic:pic>
              </a:graphicData>
            </a:graphic>
          </wp:inline>
        </w:drawing>
      </w:r>
    </w:p>
    <w:p w:rsidR="005F359E" w:rsidRPr="00A93D8C" w:rsidRDefault="005F359E" w:rsidP="005F359E">
      <w:pPr>
        <w:rPr>
          <w:vanish/>
          <w:color w:val="000000"/>
          <w:szCs w:val="22"/>
          <w:lang w:val="en-GB"/>
          <w:specVanish/>
        </w:rPr>
      </w:pPr>
      <w:bookmarkStart w:id="1044" w:name="_Toc462684985"/>
      <w:r w:rsidRPr="00EF5C5E">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145</w:t>
      </w:r>
      <w:r w:rsidR="0073595B">
        <w:rPr>
          <w:color w:val="000000"/>
          <w:szCs w:val="22"/>
          <w:lang w:val="en-GB"/>
        </w:rPr>
        <w:fldChar w:fldCharType="end"/>
      </w:r>
      <w:bookmarkEnd w:id="1041"/>
      <w:r w:rsidRPr="00EF5C5E">
        <w:rPr>
          <w:color w:val="000000"/>
          <w:szCs w:val="22"/>
          <w:lang w:val="en-GB"/>
        </w:rPr>
        <w:t xml:space="preserve">. </w:t>
      </w:r>
      <w:r w:rsidRPr="00EF5C5E">
        <w:rPr>
          <w:i/>
          <w:color w:val="000000"/>
          <w:szCs w:val="22"/>
          <w:lang w:val="en-GB"/>
        </w:rPr>
        <w:t>Mean monthly daily maximum air temperature (°C, black line), and mean monthly 3pm wind speed (km.</w:t>
      </w:r>
      <w:r w:rsidRPr="00EF5C5E">
        <w:rPr>
          <w:i/>
          <w:color w:val="000000"/>
          <w:szCs w:val="22"/>
        </w:rPr>
        <w:t xml:space="preserve"> hr</w:t>
      </w:r>
      <w:r w:rsidRPr="00EF5C5E">
        <w:rPr>
          <w:i/>
          <w:color w:val="000000"/>
          <w:szCs w:val="22"/>
          <w:vertAlign w:val="superscript"/>
        </w:rPr>
        <w:t>-1</w:t>
      </w:r>
      <w:r w:rsidRPr="00EF5C5E">
        <w:rPr>
          <w:i/>
          <w:color w:val="000000"/>
          <w:szCs w:val="22"/>
          <w:lang w:val="en-GB"/>
        </w:rPr>
        <w:t xml:space="preserve">, grey line) pre-July 2010 from </w:t>
      </w:r>
      <w:smartTag w:uri="urn:schemas-microsoft-com:office:smarttags" w:element="place">
        <w:smartTag w:uri="urn:schemas-microsoft-com:office:smarttags" w:element="PlaceName">
          <w:r w:rsidRPr="00EF5C5E">
            <w:rPr>
              <w:i/>
              <w:color w:val="000000"/>
              <w:szCs w:val="22"/>
              <w:lang w:val="en-GB"/>
            </w:rPr>
            <w:t>Green</w:t>
          </w:r>
        </w:smartTag>
        <w:r w:rsidRPr="00EF5C5E">
          <w:rPr>
            <w:i/>
            <w:color w:val="000000"/>
            <w:szCs w:val="22"/>
            <w:lang w:val="en-GB"/>
          </w:rPr>
          <w:t xml:space="preserve"> </w:t>
        </w:r>
        <w:smartTag w:uri="urn:schemas-microsoft-com:office:smarttags" w:element="PlaceType">
          <w:r w:rsidRPr="00EF5C5E">
            <w:rPr>
              <w:i/>
              <w:color w:val="000000"/>
              <w:szCs w:val="22"/>
              <w:lang w:val="en-GB"/>
            </w:rPr>
            <w:t>Island</w:t>
          </w:r>
        </w:smartTag>
      </w:smartTag>
      <w:r w:rsidRPr="00EF5C5E">
        <w:rPr>
          <w:i/>
          <w:color w:val="000000"/>
          <w:szCs w:val="22"/>
          <w:lang w:val="en-GB"/>
        </w:rPr>
        <w:t xml:space="preserve"> (BOM station 31192).</w:t>
      </w:r>
      <w:bookmarkEnd w:id="1042"/>
      <w:bookmarkEnd w:id="1044"/>
      <w:r>
        <w:rPr>
          <w:color w:val="000000"/>
          <w:szCs w:val="22"/>
          <w:lang w:val="en-GB"/>
        </w:rPr>
        <w:t xml:space="preserve"> </w:t>
      </w:r>
    </w:p>
    <w:p w:rsidR="005F359E" w:rsidRPr="00EF5C5E" w:rsidRDefault="005F359E" w:rsidP="005F359E">
      <w:pPr>
        <w:rPr>
          <w:color w:val="000000"/>
          <w:szCs w:val="22"/>
          <w:lang w:val="en-GB"/>
        </w:rPr>
      </w:pPr>
      <w:r w:rsidRPr="00EF5C5E">
        <w:rPr>
          <w:i/>
          <w:color w:val="000000"/>
          <w:szCs w:val="22"/>
          <w:lang w:val="en-GB"/>
        </w:rPr>
        <w:t xml:space="preserve"> Mean monthly daily maximum air temperature (°C), total monthly rainfall post-Jun 2010 (mm, bar graph), and mean monthly cloud cover (quarts, black line), recorded at Cair</w:t>
      </w:r>
      <w:r>
        <w:rPr>
          <w:i/>
          <w:color w:val="000000"/>
          <w:szCs w:val="22"/>
          <w:lang w:val="en-GB"/>
        </w:rPr>
        <w:t>ns airport (BOM station 031011</w:t>
      </w:r>
      <w:r w:rsidRPr="00EF5C5E">
        <w:rPr>
          <w:i/>
          <w:color w:val="000000"/>
          <w:szCs w:val="22"/>
          <w:lang w:val="en-GB"/>
        </w:rPr>
        <w:t>), located approximately 26km from Green Island monitoring sites.</w:t>
      </w:r>
      <w:bookmarkEnd w:id="1043"/>
      <w:r w:rsidRPr="00EF5C5E">
        <w:rPr>
          <w:i/>
          <w:color w:val="000000"/>
          <w:szCs w:val="22"/>
          <w:lang w:val="en-GB"/>
        </w:rPr>
        <w:t xml:space="preserve"> Mean monthly 3pm wind speed (km.</w:t>
      </w:r>
      <w:r w:rsidRPr="00EF5C5E">
        <w:rPr>
          <w:i/>
          <w:color w:val="000000"/>
          <w:szCs w:val="22"/>
        </w:rPr>
        <w:t xml:space="preserve"> hr</w:t>
      </w:r>
      <w:r w:rsidRPr="00EF5C5E">
        <w:rPr>
          <w:i/>
          <w:color w:val="000000"/>
          <w:szCs w:val="22"/>
          <w:vertAlign w:val="superscript"/>
        </w:rPr>
        <w:t>-1</w:t>
      </w:r>
      <w:r w:rsidRPr="00EF5C5E">
        <w:rPr>
          <w:i/>
          <w:color w:val="000000"/>
          <w:szCs w:val="22"/>
          <w:lang w:val="en-GB"/>
        </w:rPr>
        <w:t>, grey line) p</w:t>
      </w:r>
      <w:r>
        <w:rPr>
          <w:i/>
          <w:color w:val="000000"/>
          <w:szCs w:val="22"/>
          <w:lang w:val="en-GB"/>
        </w:rPr>
        <w:t>ost</w:t>
      </w:r>
      <w:r w:rsidRPr="00EF5C5E">
        <w:rPr>
          <w:i/>
          <w:color w:val="000000"/>
          <w:szCs w:val="22"/>
          <w:lang w:val="en-GB"/>
        </w:rPr>
        <w:t>-July 201</w:t>
      </w:r>
      <w:r>
        <w:rPr>
          <w:i/>
          <w:color w:val="000000"/>
          <w:szCs w:val="22"/>
          <w:lang w:val="en-GB"/>
        </w:rPr>
        <w:t xml:space="preserve">0 </w:t>
      </w:r>
      <w:r w:rsidRPr="00EF5C5E">
        <w:rPr>
          <w:i/>
          <w:color w:val="000000"/>
          <w:szCs w:val="22"/>
          <w:lang w:val="en-GB"/>
        </w:rPr>
        <w:t xml:space="preserve">from </w:t>
      </w:r>
      <w:r>
        <w:rPr>
          <w:i/>
          <w:color w:val="000000"/>
          <w:szCs w:val="22"/>
          <w:lang w:val="en-GB"/>
        </w:rPr>
        <w:t>Low</w:t>
      </w:r>
      <w:r w:rsidRPr="00EF5C5E">
        <w:rPr>
          <w:i/>
          <w:color w:val="000000"/>
          <w:szCs w:val="22"/>
          <w:lang w:val="en-GB"/>
        </w:rPr>
        <w:t xml:space="preserve"> Isl</w:t>
      </w:r>
      <w:r>
        <w:rPr>
          <w:i/>
          <w:color w:val="000000"/>
          <w:szCs w:val="22"/>
          <w:lang w:val="en-GB"/>
        </w:rPr>
        <w:t>es</w:t>
      </w:r>
      <w:r w:rsidRPr="00EF5C5E">
        <w:rPr>
          <w:i/>
          <w:color w:val="000000"/>
          <w:szCs w:val="22"/>
          <w:lang w:val="en-GB"/>
        </w:rPr>
        <w:t xml:space="preserve"> (BOM station 31037</w:t>
      </w:r>
      <w:r>
        <w:rPr>
          <w:i/>
          <w:color w:val="000000"/>
          <w:szCs w:val="22"/>
          <w:lang w:val="en-GB"/>
        </w:rPr>
        <w:t>)</w:t>
      </w:r>
      <w:r w:rsidRPr="00EF5C5E">
        <w:rPr>
          <w:i/>
          <w:color w:val="000000"/>
          <w:szCs w:val="22"/>
          <w:lang w:val="en-GB"/>
        </w:rPr>
        <w:t xml:space="preserve"> </w:t>
      </w:r>
      <w:r>
        <w:rPr>
          <w:i/>
          <w:color w:val="000000"/>
          <w:szCs w:val="22"/>
          <w:lang w:val="en-GB"/>
        </w:rPr>
        <w:t>(</w:t>
      </w:r>
      <w:r w:rsidRPr="00EF5C5E">
        <w:rPr>
          <w:i/>
          <w:color w:val="000000"/>
          <w:szCs w:val="22"/>
          <w:lang w:val="en-GB"/>
        </w:rPr>
        <w:t>source www.bom.gov.au).</w:t>
      </w:r>
      <w:r>
        <w:rPr>
          <w:color w:val="000000"/>
          <w:szCs w:val="22"/>
          <w:lang w:val="en-GB"/>
        </w:rPr>
        <w:t xml:space="preserve"> </w:t>
      </w:r>
    </w:p>
    <w:p w:rsidR="005F359E" w:rsidRPr="00EF5C5E" w:rsidRDefault="005F359E" w:rsidP="005F359E">
      <w:pPr>
        <w:rPr>
          <w:color w:val="000000"/>
          <w:szCs w:val="22"/>
          <w:lang w:val="en-GB"/>
        </w:rPr>
      </w:pPr>
    </w:p>
    <w:p w:rsidR="005F359E" w:rsidRDefault="005F359E" w:rsidP="00CC692A">
      <w:pPr>
        <w:keepNext/>
        <w:widowControl w:val="0"/>
        <w:spacing w:after="0"/>
        <w:jc w:val="center"/>
      </w:pPr>
      <w:bookmarkStart w:id="1045" w:name="_Ref276117396"/>
      <w:bookmarkStart w:id="1046" w:name="_Toc431493990"/>
      <w:bookmarkStart w:id="1047" w:name="_Toc378578135"/>
      <w:r>
        <w:rPr>
          <w:noProof/>
          <w:lang w:eastAsia="en-AU"/>
        </w:rPr>
        <w:drawing>
          <wp:inline distT="0" distB="0" distL="0" distR="0" wp14:anchorId="421FB5AB" wp14:editId="55893650">
            <wp:extent cx="3600000" cy="3034800"/>
            <wp:effectExtent l="0" t="0" r="635" b="0"/>
            <wp:docPr id="10231" name="Picture 10231" descr="Set of graphs showing mean monthly daily maximum air temperature, total monthly rainfall, mean monthly cloud cover, and mean monthly 3pm wind speed recorded at Dunk Island Resort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nk_climate14.png"/>
                    <pic:cNvPicPr/>
                  </pic:nvPicPr>
                  <pic:blipFill>
                    <a:blip r:embed="rId242" cstate="print">
                      <a:extLst>
                        <a:ext uri="{28A0092B-C50C-407E-A947-70E740481C1C}">
                          <a14:useLocalDpi xmlns:a14="http://schemas.microsoft.com/office/drawing/2010/main" val="0"/>
                        </a:ext>
                      </a:extLst>
                    </a:blip>
                    <a:stretch>
                      <a:fillRect/>
                    </a:stretch>
                  </pic:blipFill>
                  <pic:spPr>
                    <a:xfrm>
                      <a:off x="0" y="0"/>
                      <a:ext cx="3600000" cy="3034800"/>
                    </a:xfrm>
                    <a:prstGeom prst="rect">
                      <a:avLst/>
                    </a:prstGeom>
                  </pic:spPr>
                </pic:pic>
              </a:graphicData>
            </a:graphic>
          </wp:inline>
        </w:drawing>
      </w:r>
    </w:p>
    <w:p w:rsidR="005F359E" w:rsidRPr="00A93D8C" w:rsidRDefault="005F359E" w:rsidP="005F359E">
      <w:pPr>
        <w:rPr>
          <w:i/>
          <w:vanish/>
          <w:specVanish/>
        </w:rPr>
      </w:pPr>
      <w:bookmarkStart w:id="1048" w:name="_Toc462684986"/>
      <w:r w:rsidRPr="00C4068B">
        <w:t xml:space="preserve">Figure </w:t>
      </w:r>
      <w:fldSimple w:instr=" SEQ Figure \* ARABIC ">
        <w:r w:rsidR="009C068F">
          <w:rPr>
            <w:noProof/>
          </w:rPr>
          <w:t>146</w:t>
        </w:r>
      </w:fldSimple>
      <w:bookmarkEnd w:id="1045"/>
      <w:r w:rsidRPr="00C4068B">
        <w:t xml:space="preserve">. </w:t>
      </w:r>
      <w:r w:rsidRPr="00A93D8C">
        <w:rPr>
          <w:i/>
        </w:rPr>
        <w:t>Total monthly rainfall (mm, bar graph), recorded at Dunk Island Resort (BOM station 32118, source www.bom.gov.au).</w:t>
      </w:r>
      <w:bookmarkEnd w:id="1046"/>
      <w:bookmarkEnd w:id="1048"/>
      <w:r w:rsidRPr="00A93D8C">
        <w:rPr>
          <w:i/>
        </w:rPr>
        <w:t xml:space="preserve"> </w:t>
      </w:r>
    </w:p>
    <w:p w:rsidR="005F359E" w:rsidRPr="00A93D8C" w:rsidRDefault="005F359E" w:rsidP="005F359E">
      <w:r w:rsidRPr="00A93D8C">
        <w:rPr>
          <w:i/>
        </w:rPr>
        <w:t xml:space="preserve"> Mean monthly daily maximum air temperature (°C), mean monthly cloud cover (quarts, heavier line), and mean monthly 3pm wind speed (km.hr</w:t>
      </w:r>
      <w:r w:rsidRPr="00A93D8C">
        <w:rPr>
          <w:i/>
          <w:vertAlign w:val="superscript"/>
        </w:rPr>
        <w:t>-1</w:t>
      </w:r>
      <w:r w:rsidRPr="00A93D8C">
        <w:rPr>
          <w:i/>
        </w:rPr>
        <w:t>, lighter line) recorded at Innisfail (BOM station 032025, source www.bom.gov.au), located approximately 48km from monitoring sites at Lugger Bay and Dunk Island.</w:t>
      </w:r>
      <w:bookmarkEnd w:id="1047"/>
      <w:r>
        <w:t xml:space="preserve"> </w:t>
      </w:r>
    </w:p>
    <w:p w:rsidR="005F359E" w:rsidRDefault="005F359E" w:rsidP="005F359E">
      <w:pPr>
        <w:rPr>
          <w:color w:val="000000"/>
          <w:szCs w:val="22"/>
        </w:rPr>
      </w:pPr>
      <w:bookmarkStart w:id="1049" w:name="_Ref380342564"/>
      <w:bookmarkStart w:id="1050" w:name="_Toc431493991"/>
    </w:p>
    <w:p w:rsidR="005F359E" w:rsidRPr="005F359E" w:rsidRDefault="005F359E" w:rsidP="00CC692A">
      <w:pPr>
        <w:keepNext/>
        <w:widowControl w:val="0"/>
        <w:spacing w:after="0"/>
        <w:jc w:val="center"/>
        <w:rPr>
          <w:lang w:val="en-GB"/>
        </w:rPr>
      </w:pPr>
      <w:r>
        <w:rPr>
          <w:noProof/>
          <w:lang w:eastAsia="en-AU"/>
        </w:rPr>
        <w:drawing>
          <wp:inline distT="0" distB="0" distL="0" distR="0" wp14:anchorId="0BF58910" wp14:editId="6597D0CD">
            <wp:extent cx="3960000" cy="3013200"/>
            <wp:effectExtent l="0" t="0" r="2540" b="0"/>
            <wp:docPr id="10232" name="Picture 10232" descr="Set of three bar graphs showing number of days wind speed is above 25 km. hr-1 each monitoring period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wind_2015.png"/>
                    <pic:cNvPicPr/>
                  </pic:nvPicPr>
                  <pic:blipFill>
                    <a:blip r:embed="rId243" cstate="print">
                      <a:extLst>
                        <a:ext uri="{28A0092B-C50C-407E-A947-70E740481C1C}">
                          <a14:useLocalDpi xmlns:a14="http://schemas.microsoft.com/office/drawing/2010/main" val="0"/>
                        </a:ext>
                      </a:extLst>
                    </a:blip>
                    <a:stretch>
                      <a:fillRect/>
                    </a:stretch>
                  </pic:blipFill>
                  <pic:spPr>
                    <a:xfrm>
                      <a:off x="0" y="0"/>
                      <a:ext cx="3960000" cy="3013200"/>
                    </a:xfrm>
                    <a:prstGeom prst="rect">
                      <a:avLst/>
                    </a:prstGeom>
                  </pic:spPr>
                </pic:pic>
              </a:graphicData>
            </a:graphic>
          </wp:inline>
        </w:drawing>
      </w:r>
    </w:p>
    <w:p w:rsidR="005F359E" w:rsidRPr="00A93D8C" w:rsidRDefault="005F359E" w:rsidP="005F359E">
      <w:pPr>
        <w:rPr>
          <w:i/>
          <w:vanish/>
          <w:specVanish/>
        </w:rPr>
      </w:pPr>
      <w:bookmarkStart w:id="1051" w:name="_Toc462684987"/>
      <w:r w:rsidRPr="005832E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147</w:t>
      </w:r>
      <w:r w:rsidR="0073595B">
        <w:rPr>
          <w:color w:val="000000"/>
          <w:szCs w:val="22"/>
        </w:rPr>
        <w:fldChar w:fldCharType="end"/>
      </w:r>
      <w:bookmarkEnd w:id="1049"/>
      <w:r w:rsidRPr="005832E6">
        <w:rPr>
          <w:color w:val="000000"/>
          <w:szCs w:val="22"/>
        </w:rPr>
        <w:t xml:space="preserve">. </w:t>
      </w:r>
      <w:r w:rsidRPr="005832E6">
        <w:rPr>
          <w:i/>
          <w:color w:val="000000"/>
          <w:szCs w:val="22"/>
        </w:rPr>
        <w:t>Number of days wind speed is above 25 km. hr</w:t>
      </w:r>
      <w:r w:rsidRPr="005832E6">
        <w:rPr>
          <w:i/>
          <w:color w:val="000000"/>
          <w:szCs w:val="22"/>
          <w:vertAlign w:val="superscript"/>
        </w:rPr>
        <w:t>-1</w:t>
      </w:r>
      <w:r w:rsidRPr="005832E6">
        <w:rPr>
          <w:i/>
          <w:color w:val="000000"/>
          <w:szCs w:val="22"/>
        </w:rPr>
        <w:t xml:space="preserve"> each monitoring period in the Wet Tropics NRM region.</w:t>
      </w:r>
      <w:bookmarkEnd w:id="1050"/>
      <w:bookmarkEnd w:id="1051"/>
      <w:r w:rsidRPr="00CD6094">
        <w:rPr>
          <w:i/>
          <w:vanish/>
          <w:color w:val="000000"/>
          <w:szCs w:val="22"/>
          <w:specVanish/>
        </w:rPr>
        <w:t xml:space="preserve"> </w:t>
      </w:r>
    </w:p>
    <w:p w:rsidR="005F359E" w:rsidRPr="005832E6" w:rsidRDefault="005F359E" w:rsidP="005F359E">
      <w:pPr>
        <w:rPr>
          <w:color w:val="000000"/>
          <w:szCs w:val="22"/>
          <w:lang w:val="en-GB"/>
        </w:rPr>
      </w:pPr>
      <w:r>
        <w:rPr>
          <w:color w:val="000000"/>
          <w:szCs w:val="22"/>
          <w:lang w:val="en-GB"/>
        </w:rPr>
        <w:t xml:space="preserve"> </w:t>
      </w:r>
      <w:r w:rsidRPr="005832E6">
        <w:rPr>
          <w:i/>
          <w:color w:val="000000"/>
          <w:szCs w:val="22"/>
          <w:lang w:val="en-GB"/>
        </w:rPr>
        <w:t xml:space="preserve"> Daily 3pm wind speed from: a) Low Isles (BOM station 31037), located approximately 21km from Yule Point monitoring sites; b) Green Island (BOM station 31192); and C) </w:t>
      </w:r>
      <w:r w:rsidRPr="005832E6">
        <w:rPr>
          <w:i/>
          <w:color w:val="000000"/>
          <w:szCs w:val="22"/>
        </w:rPr>
        <w:t>Innisfail (BOM station 032025), located approximately 48km from monitoring sites at Lugger Bay and Dunk Island</w:t>
      </w:r>
      <w:r w:rsidRPr="005832E6">
        <w:rPr>
          <w:i/>
          <w:color w:val="000000"/>
          <w:szCs w:val="22"/>
          <w:lang w:val="en-GB"/>
        </w:rPr>
        <w:t>.</w:t>
      </w:r>
      <w:r>
        <w:rPr>
          <w:color w:val="000000"/>
          <w:szCs w:val="22"/>
          <w:lang w:val="en-GB"/>
        </w:rPr>
        <w:t xml:space="preserve"> </w:t>
      </w:r>
    </w:p>
    <w:p w:rsidR="005F359E" w:rsidRPr="005832E6" w:rsidRDefault="005F359E" w:rsidP="005F359E">
      <w:pPr>
        <w:rPr>
          <w:color w:val="000000"/>
          <w:szCs w:val="22"/>
          <w:lang w:val="en-GB"/>
        </w:rPr>
      </w:pPr>
    </w:p>
    <w:p w:rsidR="005F359E" w:rsidRPr="005832E6" w:rsidRDefault="005F359E" w:rsidP="005F359E">
      <w:pPr>
        <w:rPr>
          <w:color w:val="000000"/>
          <w:szCs w:val="22"/>
          <w:lang w:val="en-GB"/>
        </w:rPr>
      </w:pPr>
    </w:p>
    <w:p w:rsidR="005F359E" w:rsidRDefault="005F359E" w:rsidP="00C451D2">
      <w:pPr>
        <w:keepNext/>
        <w:widowControl w:val="0"/>
        <w:spacing w:after="0"/>
        <w:jc w:val="center"/>
        <w:rPr>
          <w:color w:val="000000"/>
          <w:szCs w:val="22"/>
          <w:lang w:val="en-GB"/>
        </w:rPr>
      </w:pPr>
      <w:bookmarkStart w:id="1052" w:name="_Ref382203657"/>
      <w:bookmarkStart w:id="1053" w:name="_Toc431493992"/>
      <w:bookmarkStart w:id="1054" w:name="_Toc378578153"/>
      <w:r>
        <w:rPr>
          <w:noProof/>
          <w:color w:val="000000"/>
          <w:szCs w:val="22"/>
          <w:lang w:eastAsia="en-AU"/>
        </w:rPr>
        <w:drawing>
          <wp:inline distT="0" distB="0" distL="0" distR="0" wp14:anchorId="0C3225D6" wp14:editId="7AE242A7">
            <wp:extent cx="3600000" cy="3074400"/>
            <wp:effectExtent l="0" t="0" r="635" b="0"/>
            <wp:docPr id="10233" name="Picture 10233" descr="Set of graphs showing mean monthly daily maximum air temperature, total monthly rainfall, mean monthly cloud cover, and mean monthly 3pm wind speed recorded at Townsville Airport for the period January 2000 to May 201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wnsville_climate15.png"/>
                    <pic:cNvPicPr/>
                  </pic:nvPicPr>
                  <pic:blipFill>
                    <a:blip r:embed="rId244" cstate="print">
                      <a:extLst>
                        <a:ext uri="{28A0092B-C50C-407E-A947-70E740481C1C}">
                          <a14:useLocalDpi xmlns:a14="http://schemas.microsoft.com/office/drawing/2010/main" val="0"/>
                        </a:ext>
                      </a:extLst>
                    </a:blip>
                    <a:stretch>
                      <a:fillRect/>
                    </a:stretch>
                  </pic:blipFill>
                  <pic:spPr>
                    <a:xfrm>
                      <a:off x="0" y="0"/>
                      <a:ext cx="3600000" cy="3074400"/>
                    </a:xfrm>
                    <a:prstGeom prst="rect">
                      <a:avLst/>
                    </a:prstGeom>
                  </pic:spPr>
                </pic:pic>
              </a:graphicData>
            </a:graphic>
          </wp:inline>
        </w:drawing>
      </w:r>
    </w:p>
    <w:p w:rsidR="005F359E" w:rsidRPr="00A93D8C" w:rsidRDefault="005F359E" w:rsidP="005F359E">
      <w:pPr>
        <w:rPr>
          <w:vanish/>
          <w:color w:val="000000"/>
          <w:szCs w:val="22"/>
          <w:lang w:val="en-GB"/>
          <w:specVanish/>
        </w:rPr>
      </w:pPr>
      <w:bookmarkStart w:id="1055" w:name="_Toc462684988"/>
      <w:r w:rsidRPr="0035487B">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148</w:t>
      </w:r>
      <w:r w:rsidR="0073595B">
        <w:rPr>
          <w:color w:val="000000"/>
          <w:szCs w:val="22"/>
          <w:lang w:val="en-GB"/>
        </w:rPr>
        <w:fldChar w:fldCharType="end"/>
      </w:r>
      <w:bookmarkEnd w:id="1052"/>
      <w:r w:rsidRPr="0035487B">
        <w:rPr>
          <w:color w:val="000000"/>
          <w:szCs w:val="22"/>
          <w:lang w:val="en-GB"/>
        </w:rPr>
        <w:t xml:space="preserve">. </w:t>
      </w:r>
      <w:r w:rsidRPr="0035487B">
        <w:rPr>
          <w:i/>
          <w:color w:val="000000"/>
          <w:szCs w:val="22"/>
          <w:lang w:val="en-GB"/>
        </w:rPr>
        <w:t>Mean monthly daily maximum temperature (°C, line), total monthly rainfall (grey bars), mean monthly cloud cover (quarts, black line), and mean monthly 3pm wind speed (km.</w:t>
      </w:r>
      <w:r w:rsidRPr="0035487B">
        <w:rPr>
          <w:i/>
          <w:color w:val="000000"/>
          <w:szCs w:val="22"/>
        </w:rPr>
        <w:t xml:space="preserve"> hr</w:t>
      </w:r>
      <w:r w:rsidRPr="0035487B">
        <w:rPr>
          <w:i/>
          <w:color w:val="000000"/>
          <w:szCs w:val="22"/>
          <w:vertAlign w:val="superscript"/>
        </w:rPr>
        <w:t>-1</w:t>
      </w:r>
      <w:r w:rsidRPr="0035487B">
        <w:rPr>
          <w:i/>
          <w:color w:val="000000"/>
          <w:szCs w:val="22"/>
          <w:lang w:val="en-GB"/>
        </w:rPr>
        <w:t xml:space="preserve">, grey line) recorded at </w:t>
      </w:r>
      <w:smartTag w:uri="urn:schemas-microsoft-com:office:smarttags" w:element="place">
        <w:smartTag w:uri="urn:schemas-microsoft-com:office:smarttags" w:element="PlaceName">
          <w:r w:rsidRPr="0035487B">
            <w:rPr>
              <w:i/>
              <w:color w:val="000000"/>
              <w:szCs w:val="22"/>
              <w:lang w:val="en-GB"/>
            </w:rPr>
            <w:t>Townsville</w:t>
          </w:r>
        </w:smartTag>
        <w:r w:rsidRPr="0035487B">
          <w:rPr>
            <w:i/>
            <w:color w:val="000000"/>
            <w:szCs w:val="22"/>
            <w:lang w:val="en-GB"/>
          </w:rPr>
          <w:t xml:space="preserve"> </w:t>
        </w:r>
        <w:smartTag w:uri="urn:schemas-microsoft-com:office:smarttags" w:element="PlaceType">
          <w:r w:rsidRPr="0035487B">
            <w:rPr>
              <w:i/>
              <w:color w:val="000000"/>
              <w:szCs w:val="22"/>
              <w:lang w:val="en-GB"/>
            </w:rPr>
            <w:t>Airport</w:t>
          </w:r>
        </w:smartTag>
      </w:smartTag>
      <w:r w:rsidRPr="0035487B">
        <w:rPr>
          <w:i/>
          <w:color w:val="000000"/>
          <w:szCs w:val="22"/>
          <w:lang w:val="en-GB"/>
        </w:rPr>
        <w:t xml:space="preserve"> (BOM station 032040, source www.bom.gov.au).</w:t>
      </w:r>
      <w:bookmarkEnd w:id="1053"/>
      <w:bookmarkEnd w:id="1055"/>
      <w:r>
        <w:rPr>
          <w:color w:val="000000"/>
          <w:szCs w:val="22"/>
          <w:lang w:val="en-GB"/>
        </w:rPr>
        <w:t xml:space="preserve"> </w:t>
      </w:r>
    </w:p>
    <w:p w:rsidR="005F359E" w:rsidRPr="0035487B" w:rsidRDefault="005F359E" w:rsidP="005F359E">
      <w:pPr>
        <w:rPr>
          <w:color w:val="000000"/>
          <w:szCs w:val="22"/>
          <w:lang w:val="en-GB"/>
        </w:rPr>
      </w:pPr>
      <w:r w:rsidRPr="0035487B">
        <w:rPr>
          <w:i/>
          <w:color w:val="000000"/>
          <w:szCs w:val="22"/>
          <w:lang w:val="en-GB"/>
        </w:rPr>
        <w:t xml:space="preserve"> </w:t>
      </w:r>
      <w:smartTag w:uri="urn:schemas-microsoft-com:office:smarttags" w:element="PlaceName">
        <w:r w:rsidRPr="0035487B">
          <w:rPr>
            <w:i/>
            <w:color w:val="000000"/>
            <w:szCs w:val="22"/>
            <w:lang w:val="en-GB"/>
          </w:rPr>
          <w:t>Townsville</w:t>
        </w:r>
      </w:smartTag>
      <w:r w:rsidRPr="0035487B">
        <w:rPr>
          <w:i/>
          <w:color w:val="000000"/>
          <w:szCs w:val="22"/>
          <w:lang w:val="en-GB"/>
        </w:rPr>
        <w:t xml:space="preserve"> </w:t>
      </w:r>
      <w:smartTag w:uri="urn:schemas-microsoft-com:office:smarttags" w:element="PlaceType">
        <w:r w:rsidRPr="0035487B">
          <w:rPr>
            <w:i/>
            <w:color w:val="000000"/>
            <w:szCs w:val="22"/>
            <w:lang w:val="en-GB"/>
          </w:rPr>
          <w:t>Airport</w:t>
        </w:r>
      </w:smartTag>
      <w:r w:rsidRPr="0035487B">
        <w:rPr>
          <w:i/>
          <w:color w:val="000000"/>
          <w:szCs w:val="22"/>
          <w:lang w:val="en-GB"/>
        </w:rPr>
        <w:t xml:space="preserve"> is located approximately 11km from coastal (Townsville) and reef (</w:t>
      </w:r>
      <w:smartTag w:uri="urn:schemas-microsoft-com:office:smarttags" w:element="place">
        <w:smartTag w:uri="urn:schemas-microsoft-com:office:smarttags" w:element="PlaceName">
          <w:r w:rsidRPr="0035487B">
            <w:rPr>
              <w:i/>
              <w:color w:val="000000"/>
              <w:szCs w:val="22"/>
              <w:lang w:val="en-GB"/>
            </w:rPr>
            <w:t>Magnetic</w:t>
          </w:r>
        </w:smartTag>
        <w:r w:rsidRPr="0035487B">
          <w:rPr>
            <w:i/>
            <w:color w:val="000000"/>
            <w:szCs w:val="22"/>
            <w:lang w:val="en-GB"/>
          </w:rPr>
          <w:t xml:space="preserve"> </w:t>
        </w:r>
        <w:smartTag w:uri="urn:schemas-microsoft-com:office:smarttags" w:element="PlaceType">
          <w:r w:rsidRPr="0035487B">
            <w:rPr>
              <w:i/>
              <w:color w:val="000000"/>
              <w:szCs w:val="22"/>
              <w:lang w:val="en-GB"/>
            </w:rPr>
            <w:t>Island</w:t>
          </w:r>
        </w:smartTag>
      </w:smartTag>
      <w:r w:rsidRPr="0035487B">
        <w:rPr>
          <w:i/>
          <w:color w:val="000000"/>
          <w:szCs w:val="22"/>
          <w:lang w:val="en-GB"/>
        </w:rPr>
        <w:t>) monitoring site.</w:t>
      </w:r>
      <w:bookmarkEnd w:id="1054"/>
      <w:r>
        <w:rPr>
          <w:color w:val="000000"/>
          <w:szCs w:val="22"/>
          <w:lang w:val="en-GB"/>
        </w:rPr>
        <w:t xml:space="preserve"> </w:t>
      </w:r>
    </w:p>
    <w:p w:rsidR="005F359E" w:rsidRDefault="005F359E" w:rsidP="005F359E">
      <w:pPr>
        <w:rPr>
          <w:color w:val="000000"/>
          <w:szCs w:val="22"/>
          <w:lang w:val="en-GB"/>
        </w:rPr>
      </w:pPr>
      <w:bookmarkStart w:id="1056" w:name="_Ref382203674"/>
      <w:bookmarkStart w:id="1057" w:name="_Toc431493993"/>
    </w:p>
    <w:p w:rsidR="005F359E" w:rsidRDefault="005F359E" w:rsidP="00C451D2">
      <w:pPr>
        <w:keepNext/>
        <w:widowControl w:val="0"/>
        <w:spacing w:after="0"/>
        <w:jc w:val="center"/>
        <w:rPr>
          <w:color w:val="000000"/>
          <w:szCs w:val="22"/>
          <w:lang w:val="en-GB"/>
        </w:rPr>
      </w:pPr>
      <w:r>
        <w:rPr>
          <w:noProof/>
          <w:color w:val="000000"/>
          <w:szCs w:val="22"/>
          <w:lang w:eastAsia="en-AU"/>
        </w:rPr>
        <w:drawing>
          <wp:inline distT="0" distB="0" distL="0" distR="0" wp14:anchorId="5523FE8C" wp14:editId="60E920B1">
            <wp:extent cx="3600000" cy="3070800"/>
            <wp:effectExtent l="0" t="0" r="635" b="0"/>
            <wp:docPr id="10234" name="Picture 10234" descr="Set of graphs showing mean monthly daily maximum air temperature, total monthly rainfall, mean monthly cloud cover, and mean monthly 3pm wind speed recorded at Ayr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wling_Green_B_climate15.png"/>
                    <pic:cNvPicPr/>
                  </pic:nvPicPr>
                  <pic:blipFill>
                    <a:blip r:embed="rId245" cstate="print">
                      <a:extLst>
                        <a:ext uri="{28A0092B-C50C-407E-A947-70E740481C1C}">
                          <a14:useLocalDpi xmlns:a14="http://schemas.microsoft.com/office/drawing/2010/main" val="0"/>
                        </a:ext>
                      </a:extLst>
                    </a:blip>
                    <a:stretch>
                      <a:fillRect/>
                    </a:stretch>
                  </pic:blipFill>
                  <pic:spPr>
                    <a:xfrm>
                      <a:off x="0" y="0"/>
                      <a:ext cx="3600000" cy="3070800"/>
                    </a:xfrm>
                    <a:prstGeom prst="rect">
                      <a:avLst/>
                    </a:prstGeom>
                  </pic:spPr>
                </pic:pic>
              </a:graphicData>
            </a:graphic>
          </wp:inline>
        </w:drawing>
      </w:r>
    </w:p>
    <w:p w:rsidR="005F359E" w:rsidRPr="004115B1" w:rsidRDefault="005F359E" w:rsidP="005F359E">
      <w:pPr>
        <w:rPr>
          <w:i/>
          <w:color w:val="000000"/>
          <w:szCs w:val="22"/>
          <w:lang w:val="en-GB"/>
        </w:rPr>
      </w:pPr>
      <w:bookmarkStart w:id="1058" w:name="_Toc462684989"/>
      <w:r w:rsidRPr="004115B1">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149</w:t>
      </w:r>
      <w:r w:rsidR="0073595B">
        <w:rPr>
          <w:color w:val="000000"/>
          <w:szCs w:val="22"/>
          <w:lang w:val="en-GB"/>
        </w:rPr>
        <w:fldChar w:fldCharType="end"/>
      </w:r>
      <w:bookmarkEnd w:id="1056"/>
      <w:r w:rsidRPr="004115B1">
        <w:rPr>
          <w:color w:val="000000"/>
          <w:szCs w:val="22"/>
          <w:lang w:val="en-GB"/>
        </w:rPr>
        <w:t xml:space="preserve">. </w:t>
      </w:r>
      <w:r w:rsidRPr="004115B1">
        <w:rPr>
          <w:i/>
          <w:color w:val="000000"/>
          <w:szCs w:val="22"/>
          <w:lang w:val="en-GB"/>
        </w:rPr>
        <w:t>Mean monthly daily maximum temperature (°C, line), total monthly rainfall (grey bars), and mean monthly 3pm wind speed (km.</w:t>
      </w:r>
      <w:r w:rsidRPr="004115B1">
        <w:rPr>
          <w:i/>
          <w:color w:val="000000"/>
          <w:szCs w:val="22"/>
        </w:rPr>
        <w:t xml:space="preserve"> hr</w:t>
      </w:r>
      <w:r w:rsidRPr="004115B1">
        <w:rPr>
          <w:i/>
          <w:color w:val="000000"/>
          <w:szCs w:val="22"/>
          <w:vertAlign w:val="superscript"/>
        </w:rPr>
        <w:t>-1</w:t>
      </w:r>
      <w:r w:rsidRPr="004115B1">
        <w:rPr>
          <w:i/>
          <w:color w:val="000000"/>
          <w:szCs w:val="22"/>
          <w:lang w:val="en-GB"/>
        </w:rPr>
        <w:t xml:space="preserve">, grey line) recorded at Ayr (BOM station 033002, source www.bom.gov.au), located approximately 26km from </w:t>
      </w:r>
      <w:proofErr w:type="spellStart"/>
      <w:r w:rsidRPr="004115B1">
        <w:rPr>
          <w:i/>
          <w:color w:val="000000"/>
          <w:szCs w:val="22"/>
          <w:lang w:val="en-GB"/>
        </w:rPr>
        <w:t>Jerona</w:t>
      </w:r>
      <w:proofErr w:type="spellEnd"/>
      <w:r w:rsidRPr="004115B1">
        <w:rPr>
          <w:i/>
          <w:color w:val="000000"/>
          <w:szCs w:val="22"/>
          <w:lang w:val="en-GB"/>
        </w:rPr>
        <w:t xml:space="preserve"> (Bowling Green Bay) monitoring sites.</w:t>
      </w:r>
      <w:bookmarkEnd w:id="1057"/>
      <w:bookmarkEnd w:id="1058"/>
    </w:p>
    <w:p w:rsidR="005F359E" w:rsidRPr="004115B1" w:rsidRDefault="005F359E" w:rsidP="005F359E">
      <w:pPr>
        <w:rPr>
          <w:color w:val="000000"/>
          <w:szCs w:val="22"/>
          <w:lang w:val="en-GB"/>
        </w:rPr>
      </w:pPr>
    </w:p>
    <w:p w:rsidR="005F359E" w:rsidRDefault="005F359E" w:rsidP="005F359E">
      <w:pPr>
        <w:jc w:val="center"/>
        <w:rPr>
          <w:color w:val="000000"/>
          <w:szCs w:val="22"/>
          <w:lang w:val="en-GB"/>
        </w:rPr>
      </w:pPr>
      <w:bookmarkStart w:id="1059" w:name="_Ref382203726"/>
      <w:bookmarkStart w:id="1060" w:name="_Toc431493994"/>
      <w:r>
        <w:rPr>
          <w:noProof/>
          <w:color w:val="000000"/>
          <w:szCs w:val="22"/>
          <w:lang w:eastAsia="en-AU"/>
        </w:rPr>
        <w:lastRenderedPageBreak/>
        <w:drawing>
          <wp:inline distT="0" distB="0" distL="0" distR="0" wp14:anchorId="6A980C5A" wp14:editId="661EC1AB">
            <wp:extent cx="4320000" cy="2170800"/>
            <wp:effectExtent l="0" t="0" r="4445" b="1270"/>
            <wp:docPr id="10235" name="Picture 10235" descr="Set of two bar graphs showing number of days wind speed is above 25 km. hr-1 each monitoring period in the Burdekin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wind_2015.png"/>
                    <pic:cNvPicPr/>
                  </pic:nvPicPr>
                  <pic:blipFill>
                    <a:blip r:embed="rId246" cstate="print">
                      <a:extLst>
                        <a:ext uri="{28A0092B-C50C-407E-A947-70E740481C1C}">
                          <a14:useLocalDpi xmlns:a14="http://schemas.microsoft.com/office/drawing/2010/main" val="0"/>
                        </a:ext>
                      </a:extLst>
                    </a:blip>
                    <a:stretch>
                      <a:fillRect/>
                    </a:stretch>
                  </pic:blipFill>
                  <pic:spPr>
                    <a:xfrm>
                      <a:off x="0" y="0"/>
                      <a:ext cx="4320000" cy="2170800"/>
                    </a:xfrm>
                    <a:prstGeom prst="rect">
                      <a:avLst/>
                    </a:prstGeom>
                  </pic:spPr>
                </pic:pic>
              </a:graphicData>
            </a:graphic>
          </wp:inline>
        </w:drawing>
      </w:r>
    </w:p>
    <w:p w:rsidR="005F359E" w:rsidRPr="008012AC" w:rsidRDefault="005F359E" w:rsidP="005F359E">
      <w:pPr>
        <w:rPr>
          <w:i/>
          <w:vanish/>
          <w:color w:val="000000"/>
          <w:szCs w:val="22"/>
          <w:lang w:val="en-GB"/>
          <w:specVanish/>
        </w:rPr>
      </w:pPr>
      <w:bookmarkStart w:id="1061" w:name="_Toc462684990"/>
      <w:r w:rsidRPr="006A3E91">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150</w:t>
      </w:r>
      <w:r w:rsidR="0073595B">
        <w:rPr>
          <w:color w:val="000000"/>
          <w:szCs w:val="22"/>
          <w:lang w:val="en-GB"/>
        </w:rPr>
        <w:fldChar w:fldCharType="end"/>
      </w:r>
      <w:bookmarkEnd w:id="1059"/>
      <w:r w:rsidRPr="006A3E91">
        <w:rPr>
          <w:color w:val="000000"/>
          <w:szCs w:val="22"/>
          <w:lang w:val="en-GB"/>
        </w:rPr>
        <w:t xml:space="preserve">. </w:t>
      </w:r>
      <w:r w:rsidRPr="006A3E91">
        <w:rPr>
          <w:i/>
          <w:color w:val="000000"/>
          <w:szCs w:val="22"/>
          <w:lang w:val="en-GB"/>
        </w:rPr>
        <w:t>Number of days wind speed is above 25 km. hr</w:t>
      </w:r>
      <w:r w:rsidRPr="006A3E91">
        <w:rPr>
          <w:i/>
          <w:color w:val="000000"/>
          <w:szCs w:val="22"/>
          <w:vertAlign w:val="superscript"/>
          <w:lang w:val="en-GB"/>
        </w:rPr>
        <w:t>-1</w:t>
      </w:r>
      <w:r w:rsidRPr="006A3E91">
        <w:rPr>
          <w:i/>
          <w:color w:val="000000"/>
          <w:szCs w:val="22"/>
          <w:lang w:val="en-GB"/>
        </w:rPr>
        <w:t xml:space="preserve"> each monitoring period in the </w:t>
      </w:r>
      <w:r w:rsidR="001E7797">
        <w:rPr>
          <w:i/>
          <w:color w:val="000000"/>
          <w:szCs w:val="22"/>
          <w:lang w:val="en-GB"/>
        </w:rPr>
        <w:t>Burdekin</w:t>
      </w:r>
      <w:r w:rsidRPr="006A3E91">
        <w:rPr>
          <w:i/>
          <w:color w:val="000000"/>
          <w:szCs w:val="22"/>
          <w:lang w:val="en-GB"/>
        </w:rPr>
        <w:t xml:space="preserve"> NRM region.</w:t>
      </w:r>
      <w:bookmarkEnd w:id="1060"/>
      <w:bookmarkEnd w:id="1061"/>
      <w:r>
        <w:rPr>
          <w:i/>
          <w:color w:val="000000"/>
          <w:szCs w:val="22"/>
          <w:lang w:val="en-GB"/>
        </w:rPr>
        <w:t xml:space="preserve"> </w:t>
      </w:r>
    </w:p>
    <w:p w:rsidR="005F359E" w:rsidRPr="006A3E91" w:rsidRDefault="005F359E" w:rsidP="005F359E">
      <w:pPr>
        <w:rPr>
          <w:i/>
          <w:color w:val="000000"/>
          <w:szCs w:val="22"/>
          <w:lang w:val="en-GB"/>
        </w:rPr>
      </w:pPr>
      <w:r w:rsidRPr="006A3E91">
        <w:rPr>
          <w:i/>
          <w:color w:val="000000"/>
          <w:szCs w:val="22"/>
          <w:lang w:val="en-GB"/>
        </w:rPr>
        <w:t xml:space="preserve"> Daily 3pm wind speed from: a) </w:t>
      </w:r>
      <w:smartTag w:uri="urn:schemas-microsoft-com:office:smarttags" w:element="PlaceName">
        <w:r w:rsidRPr="006A3E91">
          <w:rPr>
            <w:i/>
            <w:color w:val="000000"/>
            <w:szCs w:val="22"/>
            <w:lang w:val="en-GB"/>
          </w:rPr>
          <w:t>Townsville</w:t>
        </w:r>
      </w:smartTag>
      <w:r w:rsidRPr="006A3E91">
        <w:rPr>
          <w:i/>
          <w:color w:val="000000"/>
          <w:szCs w:val="22"/>
          <w:lang w:val="en-GB"/>
        </w:rPr>
        <w:t xml:space="preserve"> </w:t>
      </w:r>
      <w:smartTag w:uri="urn:schemas-microsoft-com:office:smarttags" w:element="PlaceType">
        <w:r w:rsidRPr="006A3E91">
          <w:rPr>
            <w:i/>
            <w:color w:val="000000"/>
            <w:szCs w:val="22"/>
            <w:lang w:val="en-GB"/>
          </w:rPr>
          <w:t>Airport</w:t>
        </w:r>
      </w:smartTag>
      <w:r w:rsidRPr="006A3E91">
        <w:rPr>
          <w:i/>
          <w:color w:val="000000"/>
          <w:szCs w:val="22"/>
          <w:lang w:val="en-GB"/>
        </w:rPr>
        <w:t xml:space="preserve"> (BOM station 032040) located approximately 11km from coastal (Townsville) and reef (</w:t>
      </w:r>
      <w:smartTag w:uri="urn:schemas-microsoft-com:office:smarttags" w:element="PlaceName">
        <w:r w:rsidRPr="006A3E91">
          <w:rPr>
            <w:i/>
            <w:color w:val="000000"/>
            <w:szCs w:val="22"/>
            <w:lang w:val="en-GB"/>
          </w:rPr>
          <w:t>Magnetic</w:t>
        </w:r>
      </w:smartTag>
      <w:r w:rsidRPr="006A3E91">
        <w:rPr>
          <w:i/>
          <w:color w:val="000000"/>
          <w:szCs w:val="22"/>
          <w:lang w:val="en-GB"/>
        </w:rPr>
        <w:t xml:space="preserve"> </w:t>
      </w:r>
      <w:smartTag w:uri="urn:schemas-microsoft-com:office:smarttags" w:element="PlaceType">
        <w:r w:rsidRPr="006A3E91">
          <w:rPr>
            <w:i/>
            <w:color w:val="000000"/>
            <w:szCs w:val="22"/>
            <w:lang w:val="en-GB"/>
          </w:rPr>
          <w:t>Island</w:t>
        </w:r>
      </w:smartTag>
      <w:r w:rsidRPr="006A3E91">
        <w:rPr>
          <w:i/>
          <w:color w:val="000000"/>
          <w:szCs w:val="22"/>
          <w:lang w:val="en-GB"/>
        </w:rPr>
        <w:t xml:space="preserve">) monitoring sites, and 53km from </w:t>
      </w:r>
      <w:proofErr w:type="spellStart"/>
      <w:r w:rsidRPr="006A3E91">
        <w:rPr>
          <w:i/>
          <w:color w:val="000000"/>
          <w:szCs w:val="22"/>
          <w:lang w:val="en-GB"/>
        </w:rPr>
        <w:t>Jerona</w:t>
      </w:r>
      <w:proofErr w:type="spellEnd"/>
      <w:r w:rsidRPr="006A3E91">
        <w:rPr>
          <w:i/>
          <w:color w:val="000000"/>
          <w:szCs w:val="22"/>
          <w:lang w:val="en-GB"/>
        </w:rPr>
        <w:t xml:space="preserve"> (</w:t>
      </w:r>
      <w:smartTag w:uri="urn:schemas-microsoft-com:office:smarttags" w:element="PlaceName">
        <w:r w:rsidRPr="006A3E91">
          <w:rPr>
            <w:i/>
            <w:color w:val="000000"/>
            <w:szCs w:val="22"/>
            <w:lang w:val="en-GB"/>
          </w:rPr>
          <w:t>Bowling Green</w:t>
        </w:r>
      </w:smartTag>
      <w:r w:rsidRPr="006A3E91">
        <w:rPr>
          <w:i/>
          <w:color w:val="000000"/>
          <w:szCs w:val="22"/>
          <w:lang w:val="en-GB"/>
        </w:rPr>
        <w:t xml:space="preserve"> </w:t>
      </w:r>
      <w:smartTag w:uri="urn:schemas-microsoft-com:office:smarttags" w:element="PlaceType">
        <w:r w:rsidRPr="006A3E91">
          <w:rPr>
            <w:i/>
            <w:color w:val="000000"/>
            <w:szCs w:val="22"/>
            <w:lang w:val="en-GB"/>
          </w:rPr>
          <w:t>Bay</w:t>
        </w:r>
      </w:smartTag>
      <w:r w:rsidRPr="006A3E91">
        <w:rPr>
          <w:i/>
          <w:color w:val="000000"/>
          <w:szCs w:val="22"/>
          <w:lang w:val="en-GB"/>
        </w:rPr>
        <w:t xml:space="preserve">) monitoring sites; and b) Ayr (BOM station 033002), located approximately 26km from </w:t>
      </w:r>
      <w:proofErr w:type="spellStart"/>
      <w:r w:rsidRPr="006A3E91">
        <w:rPr>
          <w:i/>
          <w:color w:val="000000"/>
          <w:szCs w:val="22"/>
          <w:lang w:val="en-GB"/>
        </w:rPr>
        <w:t>from</w:t>
      </w:r>
      <w:proofErr w:type="spellEnd"/>
      <w:r w:rsidRPr="006A3E91">
        <w:rPr>
          <w:i/>
          <w:color w:val="000000"/>
          <w:szCs w:val="22"/>
          <w:lang w:val="en-GB"/>
        </w:rPr>
        <w:t xml:space="preserve"> </w:t>
      </w:r>
      <w:proofErr w:type="spellStart"/>
      <w:r w:rsidRPr="006A3E91">
        <w:rPr>
          <w:i/>
          <w:color w:val="000000"/>
          <w:szCs w:val="22"/>
          <w:lang w:val="en-GB"/>
        </w:rPr>
        <w:t>Jerona</w:t>
      </w:r>
      <w:proofErr w:type="spellEnd"/>
      <w:r w:rsidRPr="006A3E91">
        <w:rPr>
          <w:i/>
          <w:color w:val="000000"/>
          <w:szCs w:val="22"/>
          <w:lang w:val="en-GB"/>
        </w:rPr>
        <w:t xml:space="preserve"> (</w:t>
      </w:r>
      <w:smartTag w:uri="urn:schemas-microsoft-com:office:smarttags" w:element="place">
        <w:smartTag w:uri="urn:schemas-microsoft-com:office:smarttags" w:element="PlaceName">
          <w:r w:rsidRPr="006A3E91">
            <w:rPr>
              <w:i/>
              <w:color w:val="000000"/>
              <w:szCs w:val="22"/>
              <w:lang w:val="en-GB"/>
            </w:rPr>
            <w:t>Bowling Green</w:t>
          </w:r>
        </w:smartTag>
        <w:r w:rsidRPr="006A3E91">
          <w:rPr>
            <w:i/>
            <w:color w:val="000000"/>
            <w:szCs w:val="22"/>
            <w:lang w:val="en-GB"/>
          </w:rPr>
          <w:t xml:space="preserve"> </w:t>
        </w:r>
        <w:smartTag w:uri="urn:schemas-microsoft-com:office:smarttags" w:element="PlaceType">
          <w:r w:rsidRPr="006A3E91">
            <w:rPr>
              <w:i/>
              <w:color w:val="000000"/>
              <w:szCs w:val="22"/>
              <w:lang w:val="en-GB"/>
            </w:rPr>
            <w:t>Bay</w:t>
          </w:r>
        </w:smartTag>
      </w:smartTag>
      <w:r w:rsidRPr="006A3E91">
        <w:rPr>
          <w:i/>
          <w:color w:val="000000"/>
          <w:szCs w:val="22"/>
          <w:lang w:val="en-GB"/>
        </w:rPr>
        <w:t>) monitoring sites.</w:t>
      </w:r>
      <w:r>
        <w:rPr>
          <w:i/>
          <w:color w:val="000000"/>
          <w:szCs w:val="22"/>
          <w:lang w:val="en-GB"/>
        </w:rPr>
        <w:t xml:space="preserve"> </w:t>
      </w:r>
    </w:p>
    <w:p w:rsidR="005F359E" w:rsidRPr="006A3E91" w:rsidRDefault="005F359E" w:rsidP="005F359E">
      <w:pPr>
        <w:rPr>
          <w:color w:val="000000"/>
          <w:szCs w:val="22"/>
          <w:lang w:val="en-GB"/>
        </w:rPr>
      </w:pPr>
    </w:p>
    <w:p w:rsidR="005F359E" w:rsidRDefault="005F359E" w:rsidP="005F359E">
      <w:pPr>
        <w:jc w:val="center"/>
        <w:rPr>
          <w:color w:val="000000"/>
          <w:szCs w:val="22"/>
        </w:rPr>
      </w:pPr>
      <w:bookmarkStart w:id="1062" w:name="_Ref382207264"/>
      <w:bookmarkStart w:id="1063" w:name="_Toc431493995"/>
      <w:bookmarkStart w:id="1064" w:name="_Toc378578175"/>
      <w:r>
        <w:rPr>
          <w:noProof/>
          <w:color w:val="000000"/>
          <w:szCs w:val="22"/>
          <w:lang w:eastAsia="en-AU"/>
        </w:rPr>
        <w:drawing>
          <wp:inline distT="0" distB="0" distL="0" distR="0" wp14:anchorId="44F8A951" wp14:editId="12846D5B">
            <wp:extent cx="4320000" cy="3704400"/>
            <wp:effectExtent l="0" t="0" r="4445" b="0"/>
            <wp:docPr id="10236" name="Picture 10236" descr="Set of graphs showing mean monthly daily maximum air temperature, total monthly rainfall, mean monthly cloud cover, and mean monthly 3pm wind speed recorded at Proserpine Post Office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oneer_climate15.png"/>
                    <pic:cNvPicPr/>
                  </pic:nvPicPr>
                  <pic:blipFill>
                    <a:blip r:embed="rId247" cstate="print">
                      <a:extLst>
                        <a:ext uri="{28A0092B-C50C-407E-A947-70E740481C1C}">
                          <a14:useLocalDpi xmlns:a14="http://schemas.microsoft.com/office/drawing/2010/main" val="0"/>
                        </a:ext>
                      </a:extLst>
                    </a:blip>
                    <a:stretch>
                      <a:fillRect/>
                    </a:stretch>
                  </pic:blipFill>
                  <pic:spPr>
                    <a:xfrm>
                      <a:off x="0" y="0"/>
                      <a:ext cx="4320000" cy="3704400"/>
                    </a:xfrm>
                    <a:prstGeom prst="rect">
                      <a:avLst/>
                    </a:prstGeom>
                  </pic:spPr>
                </pic:pic>
              </a:graphicData>
            </a:graphic>
          </wp:inline>
        </w:drawing>
      </w:r>
    </w:p>
    <w:p w:rsidR="005F359E" w:rsidRPr="00CD6094" w:rsidRDefault="005F359E" w:rsidP="005F359E">
      <w:pPr>
        <w:rPr>
          <w:i/>
          <w:vanish/>
          <w:color w:val="000000"/>
          <w:szCs w:val="22"/>
          <w:lang w:val="en-GB"/>
          <w:specVanish/>
        </w:rPr>
      </w:pPr>
      <w:bookmarkStart w:id="1065" w:name="_Toc462684991"/>
      <w:r w:rsidRPr="004115B1">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151</w:t>
      </w:r>
      <w:r w:rsidR="0073595B">
        <w:rPr>
          <w:color w:val="000000"/>
          <w:szCs w:val="22"/>
          <w:lang w:val="en-GB"/>
        </w:rPr>
        <w:fldChar w:fldCharType="end"/>
      </w:r>
      <w:bookmarkEnd w:id="1062"/>
      <w:r w:rsidRPr="004115B1">
        <w:rPr>
          <w:color w:val="000000"/>
          <w:szCs w:val="22"/>
          <w:lang w:val="en-GB"/>
        </w:rPr>
        <w:t xml:space="preserve">. </w:t>
      </w:r>
      <w:r w:rsidRPr="004115B1">
        <w:rPr>
          <w:i/>
          <w:color w:val="000000"/>
          <w:szCs w:val="22"/>
          <w:lang w:val="en-GB"/>
        </w:rPr>
        <w:t>Total monthly rainfall (grey bars) (post December 2004), mean monthly daily maximum temperature (°C, black line), mean monthly cloud cover (quarts, black line), and mean monthly 3pm wind speed (km.</w:t>
      </w:r>
      <w:r w:rsidRPr="004115B1">
        <w:rPr>
          <w:i/>
          <w:color w:val="000000"/>
          <w:szCs w:val="22"/>
        </w:rPr>
        <w:t xml:space="preserve"> hr</w:t>
      </w:r>
      <w:r w:rsidRPr="004115B1">
        <w:rPr>
          <w:i/>
          <w:color w:val="000000"/>
          <w:szCs w:val="22"/>
          <w:vertAlign w:val="superscript"/>
        </w:rPr>
        <w:t>-1</w:t>
      </w:r>
      <w:r w:rsidRPr="004115B1">
        <w:rPr>
          <w:i/>
          <w:color w:val="000000"/>
          <w:szCs w:val="22"/>
          <w:lang w:val="en-GB"/>
        </w:rPr>
        <w:t>, grey line) recorded at Proserpine Post Office</w:t>
      </w:r>
      <w:bookmarkEnd w:id="1063"/>
      <w:bookmarkEnd w:id="1065"/>
    </w:p>
    <w:p w:rsidR="005F359E" w:rsidRPr="004115B1" w:rsidRDefault="005F359E" w:rsidP="005F359E">
      <w:pPr>
        <w:rPr>
          <w:color w:val="000000"/>
          <w:szCs w:val="22"/>
          <w:lang w:val="en-GB"/>
        </w:rPr>
      </w:pPr>
      <w:r>
        <w:rPr>
          <w:color w:val="000000"/>
          <w:szCs w:val="22"/>
          <w:lang w:val="en-GB"/>
        </w:rPr>
        <w:t xml:space="preserve"> </w:t>
      </w:r>
      <w:r w:rsidRPr="004115B1">
        <w:rPr>
          <w:i/>
          <w:color w:val="000000"/>
          <w:szCs w:val="22"/>
          <w:lang w:val="en-GB"/>
        </w:rPr>
        <w:t xml:space="preserve"> (BOM station 33316, source www.bom.gov.au) (post June 2011), located 18km from </w:t>
      </w:r>
      <w:smartTag w:uri="urn:schemas-microsoft-com:office:smarttags" w:element="place">
        <w:smartTag w:uri="urn:schemas-microsoft-com:office:smarttags" w:element="PlaceName">
          <w:r w:rsidRPr="004115B1">
            <w:rPr>
              <w:i/>
              <w:color w:val="000000"/>
              <w:szCs w:val="22"/>
              <w:lang w:val="en-GB"/>
            </w:rPr>
            <w:t>Pioneer</w:t>
          </w:r>
        </w:smartTag>
        <w:r w:rsidRPr="004115B1">
          <w:rPr>
            <w:i/>
            <w:color w:val="000000"/>
            <w:szCs w:val="22"/>
            <w:lang w:val="en-GB"/>
          </w:rPr>
          <w:t xml:space="preserve"> </w:t>
        </w:r>
        <w:smartTag w:uri="urn:schemas-microsoft-com:office:smarttags" w:element="PlaceType">
          <w:r w:rsidRPr="004115B1">
            <w:rPr>
              <w:i/>
              <w:color w:val="000000"/>
              <w:szCs w:val="22"/>
              <w:lang w:val="en-GB"/>
            </w:rPr>
            <w:t>Bay</w:t>
          </w:r>
        </w:smartTag>
      </w:smartTag>
      <w:r w:rsidRPr="004115B1">
        <w:rPr>
          <w:i/>
          <w:color w:val="000000"/>
          <w:szCs w:val="22"/>
          <w:lang w:val="en-GB"/>
        </w:rPr>
        <w:t xml:space="preserve"> monitoring sites. All other recordings from Hamilton Island (BOM station 033106, source www.bom.gov.au), approximately 28km from Pioneer Bay monitoring sites.</w:t>
      </w:r>
      <w:bookmarkEnd w:id="1064"/>
      <w:r>
        <w:rPr>
          <w:color w:val="000000"/>
          <w:szCs w:val="22"/>
          <w:lang w:val="en-GB"/>
        </w:rPr>
        <w:t xml:space="preserve"> </w:t>
      </w:r>
    </w:p>
    <w:p w:rsidR="005F359E" w:rsidRPr="004115B1" w:rsidRDefault="005F359E" w:rsidP="005F359E">
      <w:pPr>
        <w:rPr>
          <w:color w:val="000000"/>
          <w:szCs w:val="22"/>
          <w:lang w:val="en-GB"/>
        </w:rPr>
      </w:pPr>
    </w:p>
    <w:p w:rsidR="005F359E" w:rsidRDefault="005F359E" w:rsidP="00C451D2">
      <w:pPr>
        <w:keepNext/>
        <w:widowControl w:val="0"/>
        <w:spacing w:after="0"/>
        <w:jc w:val="center"/>
        <w:rPr>
          <w:color w:val="000000"/>
          <w:szCs w:val="22"/>
        </w:rPr>
      </w:pPr>
      <w:bookmarkStart w:id="1066" w:name="_Ref382207301"/>
      <w:bookmarkStart w:id="1067" w:name="_Toc378578176"/>
      <w:bookmarkStart w:id="1068" w:name="_Toc431493996"/>
      <w:r>
        <w:rPr>
          <w:noProof/>
          <w:color w:val="000000"/>
          <w:szCs w:val="22"/>
          <w:lang w:eastAsia="en-AU"/>
        </w:rPr>
        <w:lastRenderedPageBreak/>
        <w:drawing>
          <wp:inline distT="0" distB="0" distL="0" distR="0" wp14:anchorId="7D64093B" wp14:editId="01C32016">
            <wp:extent cx="3600000" cy="3063600"/>
            <wp:effectExtent l="0" t="0" r="635" b="3810"/>
            <wp:docPr id="10237" name="Picture 10237" descr="Set of graphs showing mean monthly daily maximum air temperature, total monthly rainfall, mean monthly cloud cover, and mean monthly 3pm wind speed recorded at Hamilton Island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milton_climate15.png"/>
                    <pic:cNvPicPr/>
                  </pic:nvPicPr>
                  <pic:blipFill>
                    <a:blip r:embed="rId248" cstate="print">
                      <a:extLst>
                        <a:ext uri="{28A0092B-C50C-407E-A947-70E740481C1C}">
                          <a14:useLocalDpi xmlns:a14="http://schemas.microsoft.com/office/drawing/2010/main" val="0"/>
                        </a:ext>
                      </a:extLst>
                    </a:blip>
                    <a:stretch>
                      <a:fillRect/>
                    </a:stretch>
                  </pic:blipFill>
                  <pic:spPr>
                    <a:xfrm>
                      <a:off x="0" y="0"/>
                      <a:ext cx="3600000" cy="3063600"/>
                    </a:xfrm>
                    <a:prstGeom prst="rect">
                      <a:avLst/>
                    </a:prstGeom>
                  </pic:spPr>
                </pic:pic>
              </a:graphicData>
            </a:graphic>
          </wp:inline>
        </w:drawing>
      </w:r>
    </w:p>
    <w:p w:rsidR="005F359E" w:rsidRPr="006A784A" w:rsidRDefault="005F359E" w:rsidP="005F359E">
      <w:pPr>
        <w:rPr>
          <w:color w:val="000000"/>
          <w:szCs w:val="22"/>
          <w:lang w:val="en-GB"/>
        </w:rPr>
      </w:pPr>
      <w:bookmarkStart w:id="1069" w:name="_Toc462684992"/>
      <w:r w:rsidRPr="006A784A">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152</w:t>
      </w:r>
      <w:r w:rsidR="0073595B">
        <w:rPr>
          <w:color w:val="000000"/>
          <w:szCs w:val="22"/>
          <w:lang w:val="en-GB"/>
        </w:rPr>
        <w:fldChar w:fldCharType="end"/>
      </w:r>
      <w:bookmarkEnd w:id="1066"/>
      <w:r w:rsidRPr="006A784A">
        <w:rPr>
          <w:color w:val="000000"/>
          <w:szCs w:val="22"/>
          <w:lang w:val="en-GB"/>
        </w:rPr>
        <w:t xml:space="preserve">. </w:t>
      </w:r>
      <w:r w:rsidRPr="006A784A">
        <w:rPr>
          <w:i/>
          <w:color w:val="000000"/>
          <w:szCs w:val="22"/>
          <w:lang w:val="en-GB"/>
        </w:rPr>
        <w:t>Mean monthly daily maximum temperature (°C), total monthly rainfall, mean monthly cloud cover (quarts), and mean monthly 3pm wind speed (km.</w:t>
      </w:r>
      <w:r w:rsidRPr="006A784A">
        <w:rPr>
          <w:i/>
          <w:color w:val="000000"/>
          <w:szCs w:val="22"/>
        </w:rPr>
        <w:t xml:space="preserve"> hr</w:t>
      </w:r>
      <w:r w:rsidRPr="006A784A">
        <w:rPr>
          <w:i/>
          <w:color w:val="000000"/>
          <w:szCs w:val="22"/>
          <w:vertAlign w:val="superscript"/>
        </w:rPr>
        <w:t>-1</w:t>
      </w:r>
      <w:r w:rsidRPr="006A784A">
        <w:rPr>
          <w:i/>
          <w:color w:val="000000"/>
          <w:szCs w:val="22"/>
          <w:lang w:val="en-GB"/>
        </w:rPr>
        <w:t>) recorded at Hamilton Island (BOM station 033106, source www.bom.gov.au), located 1.5km from Hamilton Island monitoring sites.</w:t>
      </w:r>
      <w:bookmarkEnd w:id="1067"/>
      <w:bookmarkEnd w:id="1068"/>
      <w:bookmarkEnd w:id="1069"/>
    </w:p>
    <w:p w:rsidR="005F359E" w:rsidRPr="006A784A" w:rsidRDefault="005F359E" w:rsidP="005F359E">
      <w:pPr>
        <w:rPr>
          <w:color w:val="000000"/>
          <w:szCs w:val="22"/>
          <w:lang w:val="en-GB"/>
        </w:rPr>
      </w:pPr>
    </w:p>
    <w:p w:rsidR="005F359E" w:rsidRDefault="005F359E" w:rsidP="00C451D2">
      <w:pPr>
        <w:keepNext/>
        <w:widowControl w:val="0"/>
        <w:spacing w:after="0"/>
        <w:jc w:val="center"/>
        <w:rPr>
          <w:color w:val="000000"/>
          <w:szCs w:val="22"/>
        </w:rPr>
      </w:pPr>
      <w:bookmarkStart w:id="1070" w:name="_Ref382207303"/>
      <w:bookmarkStart w:id="1071" w:name="_Toc431493997"/>
      <w:bookmarkStart w:id="1072" w:name="_Toc378578177"/>
      <w:r>
        <w:rPr>
          <w:noProof/>
          <w:color w:val="000000"/>
          <w:szCs w:val="22"/>
          <w:lang w:eastAsia="en-AU"/>
        </w:rPr>
        <w:drawing>
          <wp:inline distT="0" distB="0" distL="0" distR="0" wp14:anchorId="35B2A503" wp14:editId="217146B3">
            <wp:extent cx="3600000" cy="3070800"/>
            <wp:effectExtent l="0" t="0" r="635" b="0"/>
            <wp:docPr id="10238" name="Picture 10238" descr="Set of graphs showing mean monthly daily maximum air temperature, total monthly rainfall, mean monthly cloud cover, and mean monthly 3pm wind speed recorded at Sarina Inlet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rina_climate15.png"/>
                    <pic:cNvPicPr/>
                  </pic:nvPicPr>
                  <pic:blipFill>
                    <a:blip r:embed="rId249" cstate="print">
                      <a:extLst>
                        <a:ext uri="{28A0092B-C50C-407E-A947-70E740481C1C}">
                          <a14:useLocalDpi xmlns:a14="http://schemas.microsoft.com/office/drawing/2010/main" val="0"/>
                        </a:ext>
                      </a:extLst>
                    </a:blip>
                    <a:stretch>
                      <a:fillRect/>
                    </a:stretch>
                  </pic:blipFill>
                  <pic:spPr>
                    <a:xfrm>
                      <a:off x="0" y="0"/>
                      <a:ext cx="3600000" cy="3070800"/>
                    </a:xfrm>
                    <a:prstGeom prst="rect">
                      <a:avLst/>
                    </a:prstGeom>
                  </pic:spPr>
                </pic:pic>
              </a:graphicData>
            </a:graphic>
          </wp:inline>
        </w:drawing>
      </w:r>
    </w:p>
    <w:p w:rsidR="005F359E" w:rsidRPr="008012AC" w:rsidRDefault="005F359E" w:rsidP="005F359E">
      <w:pPr>
        <w:rPr>
          <w:vanish/>
          <w:color w:val="000000"/>
          <w:szCs w:val="22"/>
          <w:lang w:val="en-GB"/>
          <w:specVanish/>
        </w:rPr>
      </w:pPr>
      <w:bookmarkStart w:id="1073" w:name="_Toc462684993"/>
      <w:r w:rsidRPr="00C40711">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153</w:t>
      </w:r>
      <w:r w:rsidR="0073595B">
        <w:rPr>
          <w:color w:val="000000"/>
          <w:szCs w:val="22"/>
          <w:lang w:val="en-GB"/>
        </w:rPr>
        <w:fldChar w:fldCharType="end"/>
      </w:r>
      <w:bookmarkEnd w:id="1070"/>
      <w:r w:rsidRPr="00C40711">
        <w:rPr>
          <w:color w:val="000000"/>
          <w:szCs w:val="22"/>
          <w:lang w:val="en-GB"/>
        </w:rPr>
        <w:t xml:space="preserve">. </w:t>
      </w:r>
      <w:r w:rsidRPr="00C40711">
        <w:rPr>
          <w:i/>
          <w:color w:val="000000"/>
          <w:szCs w:val="22"/>
          <w:lang w:val="en-GB"/>
        </w:rPr>
        <w:t>Total monthly rainfall (grey bars) recorded at Plane Creek Sugar Mill (BOM station 033059, source www.bom.gov.au), located 10km from Sarina Inlet monitoring sites.</w:t>
      </w:r>
      <w:bookmarkEnd w:id="1071"/>
      <w:bookmarkEnd w:id="1073"/>
      <w:r w:rsidRPr="00C40711">
        <w:rPr>
          <w:i/>
          <w:color w:val="000000"/>
          <w:szCs w:val="22"/>
          <w:lang w:val="en-GB"/>
        </w:rPr>
        <w:t xml:space="preserve"> </w:t>
      </w:r>
    </w:p>
    <w:p w:rsidR="005F359E" w:rsidRPr="00C40711" w:rsidRDefault="005F359E" w:rsidP="005F359E">
      <w:pPr>
        <w:rPr>
          <w:color w:val="000000"/>
          <w:szCs w:val="22"/>
          <w:lang w:val="en-GB"/>
        </w:rPr>
      </w:pPr>
      <w:r w:rsidRPr="00C40711">
        <w:rPr>
          <w:i/>
          <w:color w:val="000000"/>
          <w:szCs w:val="22"/>
          <w:lang w:val="en-GB"/>
        </w:rPr>
        <w:t xml:space="preserve"> Mean monthly daily maximum temperature (°C, black line), mean monthly cloud cover (quarts, black line), and mean monthly 3pm wind speed (km.</w:t>
      </w:r>
      <w:r w:rsidRPr="00C40711">
        <w:rPr>
          <w:i/>
          <w:color w:val="000000"/>
          <w:szCs w:val="22"/>
        </w:rPr>
        <w:t xml:space="preserve"> hr</w:t>
      </w:r>
      <w:r w:rsidRPr="00C40711">
        <w:rPr>
          <w:i/>
          <w:color w:val="000000"/>
          <w:szCs w:val="22"/>
          <w:vertAlign w:val="superscript"/>
        </w:rPr>
        <w:t>-1</w:t>
      </w:r>
      <w:r w:rsidRPr="00C40711">
        <w:rPr>
          <w:i/>
          <w:color w:val="000000"/>
          <w:szCs w:val="22"/>
          <w:lang w:val="en-GB"/>
        </w:rPr>
        <w:t>, grey line) recorded at Mackay Airport (BOM station 033045, source www.bom.gov.au), approximately 28km from Sarina Inlet monitoring sites</w:t>
      </w:r>
      <w:r w:rsidRPr="00C40711">
        <w:rPr>
          <w:color w:val="000000"/>
          <w:szCs w:val="22"/>
          <w:lang w:val="en-GB"/>
        </w:rPr>
        <w:t>.</w:t>
      </w:r>
      <w:bookmarkEnd w:id="1072"/>
      <w:r>
        <w:rPr>
          <w:color w:val="000000"/>
          <w:szCs w:val="22"/>
          <w:lang w:val="en-GB"/>
        </w:rPr>
        <w:t xml:space="preserve"> </w:t>
      </w:r>
    </w:p>
    <w:p w:rsidR="005F359E" w:rsidRPr="00C40711" w:rsidRDefault="005F359E" w:rsidP="005F359E">
      <w:pPr>
        <w:rPr>
          <w:color w:val="000000"/>
          <w:szCs w:val="22"/>
          <w:lang w:val="en-GB"/>
        </w:rPr>
      </w:pPr>
    </w:p>
    <w:p w:rsidR="005F359E" w:rsidRDefault="005F359E" w:rsidP="00C451D2">
      <w:pPr>
        <w:keepNext/>
        <w:widowControl w:val="0"/>
        <w:spacing w:after="0"/>
        <w:jc w:val="center"/>
        <w:rPr>
          <w:color w:val="000000"/>
          <w:szCs w:val="22"/>
          <w:lang w:val="en-GB"/>
        </w:rPr>
      </w:pPr>
      <w:bookmarkStart w:id="1074" w:name="_Ref382207362"/>
      <w:bookmarkStart w:id="1075" w:name="_Toc431493998"/>
      <w:r>
        <w:rPr>
          <w:noProof/>
          <w:color w:val="000000"/>
          <w:szCs w:val="22"/>
          <w:lang w:eastAsia="en-AU"/>
        </w:rPr>
        <w:lastRenderedPageBreak/>
        <w:drawing>
          <wp:inline distT="0" distB="0" distL="0" distR="0" wp14:anchorId="11B20D02" wp14:editId="76A9C03E">
            <wp:extent cx="3960000" cy="2991600"/>
            <wp:effectExtent l="0" t="0" r="2540" b="0"/>
            <wp:docPr id="10239" name="Picture 10239" descr="Set of three bar graphs showing number of days wind speed is above 25 km. hr-1 each monitoring period in the Mackay Whitsunday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wind_2015.png"/>
                    <pic:cNvPicPr/>
                  </pic:nvPicPr>
                  <pic:blipFill>
                    <a:blip r:embed="rId250" cstate="print">
                      <a:extLst>
                        <a:ext uri="{28A0092B-C50C-407E-A947-70E740481C1C}">
                          <a14:useLocalDpi xmlns:a14="http://schemas.microsoft.com/office/drawing/2010/main" val="0"/>
                        </a:ext>
                      </a:extLst>
                    </a:blip>
                    <a:stretch>
                      <a:fillRect/>
                    </a:stretch>
                  </pic:blipFill>
                  <pic:spPr>
                    <a:xfrm>
                      <a:off x="0" y="0"/>
                      <a:ext cx="3960000" cy="2991600"/>
                    </a:xfrm>
                    <a:prstGeom prst="rect">
                      <a:avLst/>
                    </a:prstGeom>
                  </pic:spPr>
                </pic:pic>
              </a:graphicData>
            </a:graphic>
          </wp:inline>
        </w:drawing>
      </w:r>
    </w:p>
    <w:p w:rsidR="005F359E" w:rsidRPr="00A93D8C" w:rsidRDefault="005F359E" w:rsidP="005F359E">
      <w:pPr>
        <w:rPr>
          <w:vanish/>
          <w:color w:val="000000"/>
          <w:szCs w:val="22"/>
          <w:lang w:val="en-GB"/>
          <w:specVanish/>
        </w:rPr>
      </w:pPr>
      <w:bookmarkStart w:id="1076" w:name="_Toc462684994"/>
      <w:r w:rsidRPr="004D5E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154</w:t>
      </w:r>
      <w:r w:rsidR="0073595B">
        <w:rPr>
          <w:color w:val="000000"/>
          <w:szCs w:val="22"/>
          <w:lang w:val="en-GB"/>
        </w:rPr>
        <w:fldChar w:fldCharType="end"/>
      </w:r>
      <w:bookmarkEnd w:id="1074"/>
      <w:r w:rsidRPr="004D5ED7">
        <w:rPr>
          <w:color w:val="000000"/>
          <w:szCs w:val="22"/>
          <w:lang w:val="en-GB"/>
        </w:rPr>
        <w:t xml:space="preserve">. </w:t>
      </w:r>
      <w:r w:rsidRPr="004D5ED7">
        <w:rPr>
          <w:i/>
          <w:color w:val="000000"/>
          <w:szCs w:val="22"/>
          <w:lang w:val="en-GB"/>
        </w:rPr>
        <w:t>Number of days wind speed is above 25 km. hr</w:t>
      </w:r>
      <w:r w:rsidRPr="004D5ED7">
        <w:rPr>
          <w:i/>
          <w:color w:val="000000"/>
          <w:szCs w:val="22"/>
          <w:vertAlign w:val="superscript"/>
          <w:lang w:val="en-GB"/>
        </w:rPr>
        <w:t>-1</w:t>
      </w:r>
      <w:r w:rsidRPr="004D5ED7">
        <w:rPr>
          <w:i/>
          <w:color w:val="000000"/>
          <w:szCs w:val="22"/>
          <w:lang w:val="en-GB"/>
        </w:rPr>
        <w:t xml:space="preserve"> each monitoring period in the Mackay Whitsunday NRM region.</w:t>
      </w:r>
      <w:bookmarkEnd w:id="1075"/>
      <w:bookmarkEnd w:id="1076"/>
      <w:r>
        <w:rPr>
          <w:color w:val="000000"/>
          <w:szCs w:val="22"/>
          <w:lang w:val="en-GB"/>
        </w:rPr>
        <w:t xml:space="preserve"> </w:t>
      </w:r>
    </w:p>
    <w:p w:rsidR="005F359E" w:rsidRPr="004D5ED7" w:rsidRDefault="005F359E" w:rsidP="005F359E">
      <w:pPr>
        <w:rPr>
          <w:color w:val="000000"/>
          <w:szCs w:val="22"/>
          <w:lang w:val="en-GB"/>
        </w:rPr>
      </w:pPr>
      <w:r w:rsidRPr="004D5ED7">
        <w:rPr>
          <w:i/>
          <w:color w:val="000000"/>
          <w:szCs w:val="22"/>
          <w:lang w:val="en-GB"/>
        </w:rPr>
        <w:t xml:space="preserve"> Daily 3pm wind speed from: a) Proserpine Post Office (BOM station 33316) (post June 2011), located 18km from Pioneer Bay monitoring sites; b) Hamilton Island (BOM station 033106), located 1.5km from Hamilton Island monitoring sites; and c) Mackay Airport (BOM station 033045, source www.bom.gov.au), approximately 28km from Sarina Inlet monitoring sites</w:t>
      </w:r>
      <w:r w:rsidRPr="004D5ED7">
        <w:rPr>
          <w:color w:val="000000"/>
          <w:szCs w:val="22"/>
          <w:lang w:val="en-GB"/>
        </w:rPr>
        <w:t>.</w:t>
      </w:r>
      <w:r>
        <w:rPr>
          <w:color w:val="000000"/>
          <w:szCs w:val="22"/>
          <w:lang w:val="en-GB"/>
        </w:rPr>
        <w:t xml:space="preserve"> </w:t>
      </w:r>
    </w:p>
    <w:p w:rsidR="005F359E" w:rsidRPr="004D5ED7" w:rsidRDefault="005F359E" w:rsidP="005F359E">
      <w:pPr>
        <w:rPr>
          <w:color w:val="000000"/>
          <w:szCs w:val="22"/>
          <w:lang w:val="en-GB"/>
        </w:rPr>
      </w:pPr>
    </w:p>
    <w:p w:rsidR="005F359E" w:rsidRDefault="005F359E" w:rsidP="00C451D2">
      <w:pPr>
        <w:keepNext/>
        <w:widowControl w:val="0"/>
        <w:spacing w:after="0"/>
        <w:jc w:val="center"/>
        <w:rPr>
          <w:color w:val="000000"/>
          <w:szCs w:val="22"/>
        </w:rPr>
      </w:pPr>
      <w:bookmarkStart w:id="1077" w:name="_Ref382210280"/>
      <w:bookmarkStart w:id="1078" w:name="_Toc431493999"/>
      <w:bookmarkStart w:id="1079" w:name="_Toc378578198"/>
      <w:r>
        <w:rPr>
          <w:noProof/>
          <w:color w:val="000000"/>
          <w:szCs w:val="22"/>
          <w:lang w:eastAsia="en-AU"/>
        </w:rPr>
        <w:drawing>
          <wp:inline distT="0" distB="0" distL="0" distR="0" wp14:anchorId="69410567" wp14:editId="7E793C6C">
            <wp:extent cx="3600000" cy="3081600"/>
            <wp:effectExtent l="0" t="0" r="635" b="5080"/>
            <wp:docPr id="32" name="Picture 32" descr="Set of graphs showing mean monthly daily maximum air temperature, total monthly rainfall, mean monthly cloud cover, and mean monthly 3pm wind speed recorded at Williamson, Shoalwater Bay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oalwater_climate15.png"/>
                    <pic:cNvPicPr/>
                  </pic:nvPicPr>
                  <pic:blipFill>
                    <a:blip r:embed="rId251" cstate="print">
                      <a:extLst>
                        <a:ext uri="{28A0092B-C50C-407E-A947-70E740481C1C}">
                          <a14:useLocalDpi xmlns:a14="http://schemas.microsoft.com/office/drawing/2010/main" val="0"/>
                        </a:ext>
                      </a:extLst>
                    </a:blip>
                    <a:stretch>
                      <a:fillRect/>
                    </a:stretch>
                  </pic:blipFill>
                  <pic:spPr>
                    <a:xfrm>
                      <a:off x="0" y="0"/>
                      <a:ext cx="3600000" cy="3081600"/>
                    </a:xfrm>
                    <a:prstGeom prst="rect">
                      <a:avLst/>
                    </a:prstGeom>
                  </pic:spPr>
                </pic:pic>
              </a:graphicData>
            </a:graphic>
          </wp:inline>
        </w:drawing>
      </w:r>
    </w:p>
    <w:p w:rsidR="005F359E" w:rsidRPr="00CD6094" w:rsidRDefault="005F359E" w:rsidP="005F359E">
      <w:pPr>
        <w:rPr>
          <w:i/>
          <w:vanish/>
          <w:color w:val="000000"/>
          <w:szCs w:val="22"/>
          <w:lang w:val="en-GB"/>
          <w:specVanish/>
        </w:rPr>
      </w:pPr>
      <w:bookmarkStart w:id="1080" w:name="_Toc462684995"/>
      <w:r w:rsidRPr="00E079F2">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155</w:t>
      </w:r>
      <w:r w:rsidR="0073595B">
        <w:rPr>
          <w:color w:val="000000"/>
          <w:szCs w:val="22"/>
          <w:lang w:val="en-GB"/>
        </w:rPr>
        <w:fldChar w:fldCharType="end"/>
      </w:r>
      <w:bookmarkEnd w:id="1077"/>
      <w:r w:rsidRPr="00E079F2">
        <w:rPr>
          <w:color w:val="000000"/>
          <w:szCs w:val="22"/>
          <w:lang w:val="en-GB"/>
        </w:rPr>
        <w:t xml:space="preserve">. </w:t>
      </w:r>
      <w:r w:rsidRPr="00E079F2">
        <w:rPr>
          <w:i/>
          <w:color w:val="000000"/>
          <w:szCs w:val="22"/>
          <w:lang w:val="en-GB"/>
        </w:rPr>
        <w:t>Total monthly rainfall (grey bar), mean monthly daily maximum temperature (°C) and mean monthly 3pm wind speed (km.</w:t>
      </w:r>
      <w:r w:rsidRPr="00E079F2">
        <w:rPr>
          <w:i/>
          <w:color w:val="000000"/>
          <w:szCs w:val="22"/>
        </w:rPr>
        <w:t xml:space="preserve"> hr</w:t>
      </w:r>
      <w:r w:rsidRPr="00E079F2">
        <w:rPr>
          <w:i/>
          <w:color w:val="000000"/>
          <w:szCs w:val="22"/>
          <w:vertAlign w:val="superscript"/>
        </w:rPr>
        <w:t>-1</w:t>
      </w:r>
      <w:r w:rsidRPr="00E079F2">
        <w:rPr>
          <w:i/>
          <w:color w:val="000000"/>
          <w:szCs w:val="22"/>
          <w:lang w:val="en-GB"/>
        </w:rPr>
        <w:t xml:space="preserve">) post May 2005 recorded at Williamson, </w:t>
      </w:r>
      <w:proofErr w:type="spellStart"/>
      <w:r w:rsidRPr="00E079F2">
        <w:rPr>
          <w:i/>
          <w:color w:val="000000"/>
          <w:szCs w:val="22"/>
          <w:lang w:val="en-GB"/>
        </w:rPr>
        <w:t>Shoalwater</w:t>
      </w:r>
      <w:proofErr w:type="spellEnd"/>
      <w:r w:rsidRPr="00E079F2">
        <w:rPr>
          <w:i/>
          <w:color w:val="000000"/>
          <w:szCs w:val="22"/>
          <w:lang w:val="en-GB"/>
        </w:rPr>
        <w:t xml:space="preserve"> Bay (BOM station 033260, source www.bom.gov.au), located 10km from the monitoring sites</w:t>
      </w:r>
      <w:bookmarkEnd w:id="1078"/>
      <w:bookmarkEnd w:id="1080"/>
    </w:p>
    <w:p w:rsidR="005F359E" w:rsidRPr="00E079F2" w:rsidRDefault="005F359E" w:rsidP="005F359E">
      <w:pPr>
        <w:rPr>
          <w:color w:val="000000"/>
          <w:szCs w:val="22"/>
          <w:lang w:val="en-GB"/>
        </w:rPr>
      </w:pPr>
      <w:r w:rsidRPr="00E079F2">
        <w:rPr>
          <w:i/>
          <w:color w:val="000000"/>
          <w:szCs w:val="22"/>
          <w:lang w:val="en-GB"/>
        </w:rPr>
        <w:t xml:space="preserve">. Prior to May 2005, observations recorded at </w:t>
      </w:r>
      <w:proofErr w:type="spellStart"/>
      <w:r w:rsidRPr="00E079F2">
        <w:rPr>
          <w:i/>
          <w:color w:val="000000"/>
          <w:szCs w:val="22"/>
          <w:lang w:val="en-GB"/>
        </w:rPr>
        <w:t>Yeppoon</w:t>
      </w:r>
      <w:proofErr w:type="spellEnd"/>
      <w:r w:rsidRPr="00E079F2">
        <w:rPr>
          <w:i/>
          <w:color w:val="000000"/>
          <w:szCs w:val="22"/>
          <w:lang w:val="en-GB"/>
        </w:rPr>
        <w:t xml:space="preserve"> (BOM station 033106, source www.bom.gov.au), approximately 96km from monitoring sites.</w:t>
      </w:r>
      <w:bookmarkEnd w:id="1079"/>
      <w:r>
        <w:rPr>
          <w:color w:val="000000"/>
          <w:szCs w:val="22"/>
          <w:lang w:val="en-GB"/>
        </w:rPr>
        <w:t xml:space="preserve"> </w:t>
      </w:r>
    </w:p>
    <w:p w:rsidR="005F359E" w:rsidRPr="00E079F2" w:rsidRDefault="005F359E" w:rsidP="005F359E">
      <w:pPr>
        <w:rPr>
          <w:color w:val="000000"/>
          <w:szCs w:val="22"/>
          <w:lang w:val="en-GB"/>
        </w:rPr>
      </w:pPr>
    </w:p>
    <w:p w:rsidR="005F359E" w:rsidRDefault="005F359E" w:rsidP="00C451D2">
      <w:pPr>
        <w:keepNext/>
        <w:widowControl w:val="0"/>
        <w:jc w:val="center"/>
        <w:rPr>
          <w:color w:val="000000"/>
          <w:szCs w:val="22"/>
        </w:rPr>
      </w:pPr>
      <w:bookmarkStart w:id="1081" w:name="_Ref382210282"/>
      <w:bookmarkStart w:id="1082" w:name="_Toc431494000"/>
      <w:bookmarkStart w:id="1083" w:name="_Toc378578199"/>
      <w:r>
        <w:rPr>
          <w:noProof/>
          <w:color w:val="000000"/>
          <w:szCs w:val="22"/>
          <w:lang w:eastAsia="en-AU"/>
        </w:rPr>
        <w:lastRenderedPageBreak/>
        <w:drawing>
          <wp:inline distT="0" distB="0" distL="0" distR="0" wp14:anchorId="0C0FECAE" wp14:editId="59F782FC">
            <wp:extent cx="3600000" cy="3085200"/>
            <wp:effectExtent l="0" t="0" r="635" b="1270"/>
            <wp:docPr id="33" name="Picture 33" descr="Set of graphs showing mean monthly daily maximum air temperature, total monthly rainfall, mean monthly cloud cover, and mean monthly 3pm wind speed recorded at Svendsen Beach, Great Keppel Island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at_Keppel_climate15.png"/>
                    <pic:cNvPicPr/>
                  </pic:nvPicPr>
                  <pic:blipFill>
                    <a:blip r:embed="rId252" cstate="print">
                      <a:extLst>
                        <a:ext uri="{28A0092B-C50C-407E-A947-70E740481C1C}">
                          <a14:useLocalDpi xmlns:a14="http://schemas.microsoft.com/office/drawing/2010/main" val="0"/>
                        </a:ext>
                      </a:extLst>
                    </a:blip>
                    <a:stretch>
                      <a:fillRect/>
                    </a:stretch>
                  </pic:blipFill>
                  <pic:spPr>
                    <a:xfrm>
                      <a:off x="0" y="0"/>
                      <a:ext cx="3600000" cy="3085200"/>
                    </a:xfrm>
                    <a:prstGeom prst="rect">
                      <a:avLst/>
                    </a:prstGeom>
                  </pic:spPr>
                </pic:pic>
              </a:graphicData>
            </a:graphic>
          </wp:inline>
        </w:drawing>
      </w:r>
    </w:p>
    <w:p w:rsidR="005F359E" w:rsidRPr="00A93D8C" w:rsidRDefault="005F359E" w:rsidP="005F359E">
      <w:pPr>
        <w:rPr>
          <w:i/>
          <w:vanish/>
          <w:specVanish/>
        </w:rPr>
      </w:pPr>
      <w:bookmarkStart w:id="1084" w:name="_Toc462684996"/>
      <w:r w:rsidRPr="00E079F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156</w:t>
      </w:r>
      <w:r w:rsidR="0073595B">
        <w:rPr>
          <w:color w:val="000000"/>
          <w:szCs w:val="22"/>
        </w:rPr>
        <w:fldChar w:fldCharType="end"/>
      </w:r>
      <w:bookmarkEnd w:id="1081"/>
      <w:r w:rsidRPr="00E079F2">
        <w:rPr>
          <w:color w:val="000000"/>
          <w:szCs w:val="22"/>
        </w:rPr>
        <w:t xml:space="preserve">. </w:t>
      </w:r>
      <w:r w:rsidRPr="00E079F2">
        <w:rPr>
          <w:i/>
          <w:color w:val="000000"/>
          <w:szCs w:val="22"/>
        </w:rPr>
        <w:t xml:space="preserve">Total monthly rainfall (grey bar) recorded at </w:t>
      </w:r>
      <w:proofErr w:type="spellStart"/>
      <w:smartTag w:uri="urn:schemas-microsoft-com:office:smarttags" w:element="PlaceName">
        <w:r w:rsidRPr="00E079F2">
          <w:rPr>
            <w:i/>
            <w:color w:val="000000"/>
            <w:szCs w:val="22"/>
          </w:rPr>
          <w:t>Svendsen</w:t>
        </w:r>
      </w:smartTag>
      <w:proofErr w:type="spellEnd"/>
      <w:r w:rsidRPr="00E079F2">
        <w:rPr>
          <w:i/>
          <w:color w:val="000000"/>
          <w:szCs w:val="22"/>
        </w:rPr>
        <w:t xml:space="preserve"> </w:t>
      </w:r>
      <w:smartTag w:uri="urn:schemas-microsoft-com:office:smarttags" w:element="PlaceType">
        <w:r w:rsidRPr="00E079F2">
          <w:rPr>
            <w:i/>
            <w:color w:val="000000"/>
            <w:szCs w:val="22"/>
          </w:rPr>
          <w:t>Beach</w:t>
        </w:r>
      </w:smartTag>
      <w:r w:rsidRPr="00E079F2">
        <w:rPr>
          <w:i/>
          <w:color w:val="000000"/>
          <w:szCs w:val="22"/>
        </w:rPr>
        <w:t xml:space="preserve">, </w:t>
      </w:r>
      <w:smartTag w:uri="urn:schemas-microsoft-com:office:smarttags" w:element="place">
        <w:smartTag w:uri="urn:schemas-microsoft-com:office:smarttags" w:element="PlaceName">
          <w:r w:rsidRPr="00E079F2">
            <w:rPr>
              <w:i/>
              <w:color w:val="000000"/>
              <w:szCs w:val="22"/>
            </w:rPr>
            <w:t>Great</w:t>
          </w:r>
        </w:smartTag>
        <w:r w:rsidRPr="00E079F2">
          <w:rPr>
            <w:i/>
            <w:color w:val="000000"/>
            <w:szCs w:val="22"/>
          </w:rPr>
          <w:t xml:space="preserve"> </w:t>
        </w:r>
        <w:smartTag w:uri="urn:schemas-microsoft-com:office:smarttags" w:element="PlaceName">
          <w:r w:rsidRPr="00E079F2">
            <w:rPr>
              <w:i/>
              <w:color w:val="000000"/>
              <w:szCs w:val="22"/>
            </w:rPr>
            <w:t>Keppel</w:t>
          </w:r>
        </w:smartTag>
        <w:r w:rsidRPr="00E079F2">
          <w:rPr>
            <w:i/>
            <w:color w:val="000000"/>
            <w:szCs w:val="22"/>
          </w:rPr>
          <w:t xml:space="preserve"> </w:t>
        </w:r>
        <w:smartTag w:uri="urn:schemas-microsoft-com:office:smarttags" w:element="PlaceType">
          <w:r w:rsidRPr="00E079F2">
            <w:rPr>
              <w:i/>
              <w:color w:val="000000"/>
              <w:szCs w:val="22"/>
            </w:rPr>
            <w:t>Island</w:t>
          </w:r>
        </w:smartTag>
      </w:smartTag>
      <w:r w:rsidRPr="00E079F2">
        <w:rPr>
          <w:i/>
          <w:color w:val="000000"/>
          <w:szCs w:val="22"/>
        </w:rPr>
        <w:t xml:space="preserve"> (BOM station 033260, source www.bom.gov.au), located 4.5km from the monitoring sites.</w:t>
      </w:r>
      <w:bookmarkEnd w:id="1082"/>
      <w:bookmarkEnd w:id="1084"/>
      <w:r w:rsidRPr="00A93D8C">
        <w:rPr>
          <w:vanish/>
          <w:color w:val="000000"/>
          <w:szCs w:val="22"/>
          <w:specVanish/>
        </w:rPr>
        <w:t xml:space="preserve"> </w:t>
      </w:r>
    </w:p>
    <w:p w:rsidR="005F359E" w:rsidRPr="00E079F2" w:rsidRDefault="005F359E" w:rsidP="005F359E">
      <w:pPr>
        <w:rPr>
          <w:color w:val="000000"/>
          <w:szCs w:val="22"/>
          <w:lang w:val="en-GB"/>
        </w:rPr>
      </w:pPr>
      <w:r>
        <w:rPr>
          <w:color w:val="000000"/>
          <w:szCs w:val="22"/>
          <w:lang w:val="en-GB"/>
        </w:rPr>
        <w:t xml:space="preserve"> </w:t>
      </w:r>
      <w:r w:rsidRPr="00E079F2">
        <w:rPr>
          <w:i/>
          <w:color w:val="000000"/>
          <w:szCs w:val="22"/>
          <w:lang w:val="en-GB"/>
        </w:rPr>
        <w:t xml:space="preserve"> Mean monthly daily maximum temperature (°C) and mean monthly 3pm wind speed (km.</w:t>
      </w:r>
      <w:r w:rsidRPr="00E079F2">
        <w:rPr>
          <w:i/>
          <w:color w:val="000000"/>
          <w:szCs w:val="22"/>
        </w:rPr>
        <w:t xml:space="preserve"> hr</w:t>
      </w:r>
      <w:r w:rsidRPr="00E079F2">
        <w:rPr>
          <w:i/>
          <w:color w:val="000000"/>
          <w:szCs w:val="22"/>
          <w:vertAlign w:val="superscript"/>
        </w:rPr>
        <w:t>-1</w:t>
      </w:r>
      <w:r w:rsidRPr="00E079F2">
        <w:rPr>
          <w:i/>
          <w:color w:val="000000"/>
          <w:szCs w:val="22"/>
          <w:lang w:val="en-GB"/>
        </w:rPr>
        <w:t xml:space="preserve">) recorded at </w:t>
      </w:r>
      <w:proofErr w:type="spellStart"/>
      <w:r w:rsidRPr="00E079F2">
        <w:rPr>
          <w:i/>
          <w:color w:val="000000"/>
          <w:szCs w:val="22"/>
          <w:lang w:val="en-GB"/>
        </w:rPr>
        <w:t>Yeppoon</w:t>
      </w:r>
      <w:proofErr w:type="spellEnd"/>
      <w:r w:rsidRPr="00E079F2">
        <w:rPr>
          <w:i/>
          <w:color w:val="000000"/>
          <w:szCs w:val="22"/>
          <w:lang w:val="en-GB"/>
        </w:rPr>
        <w:t xml:space="preserve"> (BOM station 033106, source www.bom.gov.au), approximately 22km from monitoring sites.</w:t>
      </w:r>
      <w:bookmarkEnd w:id="1083"/>
      <w:r w:rsidRPr="00E079F2">
        <w:rPr>
          <w:color w:val="000000"/>
          <w:szCs w:val="22"/>
          <w:lang w:val="en-GB"/>
        </w:rPr>
        <w:t xml:space="preserve"> </w:t>
      </w:r>
    </w:p>
    <w:p w:rsidR="005F359E" w:rsidRPr="00E079F2" w:rsidRDefault="005F359E" w:rsidP="005F359E">
      <w:pPr>
        <w:rPr>
          <w:color w:val="000000"/>
          <w:szCs w:val="22"/>
          <w:lang w:val="en-GB"/>
        </w:rPr>
      </w:pPr>
    </w:p>
    <w:p w:rsidR="005F359E" w:rsidRDefault="005F359E" w:rsidP="00C451D2">
      <w:pPr>
        <w:keepNext/>
        <w:widowControl w:val="0"/>
        <w:spacing w:after="0"/>
        <w:jc w:val="center"/>
        <w:rPr>
          <w:color w:val="000000"/>
        </w:rPr>
      </w:pPr>
      <w:bookmarkStart w:id="1085" w:name="_Ref382210284"/>
      <w:bookmarkStart w:id="1086" w:name="_Toc431494001"/>
      <w:bookmarkStart w:id="1087" w:name="_Toc378578200"/>
      <w:r>
        <w:rPr>
          <w:noProof/>
          <w:color w:val="000000"/>
          <w:lang w:eastAsia="en-AU"/>
        </w:rPr>
        <w:drawing>
          <wp:inline distT="0" distB="0" distL="0" distR="0" wp14:anchorId="0768EB19" wp14:editId="5F0FC09F">
            <wp:extent cx="3600000" cy="3074400"/>
            <wp:effectExtent l="0" t="0" r="635" b="0"/>
            <wp:docPr id="34" name="Picture 34" descr="Set of graphs showing mean monthly daily maximum air temperature, total monthly rainfall, mean monthly cloud cover, and mean monthly 3pm wind speed recorded at Southend Curtis Island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adstone_climate15.png"/>
                    <pic:cNvPicPr/>
                  </pic:nvPicPr>
                  <pic:blipFill>
                    <a:blip r:embed="rId253" cstate="print">
                      <a:extLst>
                        <a:ext uri="{28A0092B-C50C-407E-A947-70E740481C1C}">
                          <a14:useLocalDpi xmlns:a14="http://schemas.microsoft.com/office/drawing/2010/main" val="0"/>
                        </a:ext>
                      </a:extLst>
                    </a:blip>
                    <a:stretch>
                      <a:fillRect/>
                    </a:stretch>
                  </pic:blipFill>
                  <pic:spPr>
                    <a:xfrm>
                      <a:off x="0" y="0"/>
                      <a:ext cx="3600000" cy="3074400"/>
                    </a:xfrm>
                    <a:prstGeom prst="rect">
                      <a:avLst/>
                    </a:prstGeom>
                  </pic:spPr>
                </pic:pic>
              </a:graphicData>
            </a:graphic>
          </wp:inline>
        </w:drawing>
      </w:r>
    </w:p>
    <w:p w:rsidR="005F359E" w:rsidRPr="008012AC" w:rsidRDefault="005F359E" w:rsidP="005F359E">
      <w:pPr>
        <w:rPr>
          <w:vanish/>
          <w:color w:val="000000"/>
          <w:szCs w:val="22"/>
          <w:lang w:val="en-GB"/>
          <w:specVanish/>
        </w:rPr>
      </w:pPr>
      <w:bookmarkStart w:id="1088" w:name="_Toc462684997"/>
      <w:r w:rsidRPr="00E079F2">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157</w:t>
      </w:r>
      <w:r w:rsidR="0073595B">
        <w:rPr>
          <w:color w:val="000000"/>
          <w:szCs w:val="22"/>
          <w:lang w:val="en-GB"/>
        </w:rPr>
        <w:fldChar w:fldCharType="end"/>
      </w:r>
      <w:bookmarkEnd w:id="1085"/>
      <w:r w:rsidRPr="00E079F2">
        <w:rPr>
          <w:color w:val="000000"/>
          <w:szCs w:val="22"/>
          <w:lang w:val="en-GB"/>
        </w:rPr>
        <w:t xml:space="preserve">. </w:t>
      </w:r>
      <w:r w:rsidRPr="00E079F2">
        <w:rPr>
          <w:i/>
          <w:color w:val="000000"/>
          <w:szCs w:val="22"/>
          <w:lang w:val="en-GB"/>
        </w:rPr>
        <w:t xml:space="preserve">Total monthly rainfall (grey bars) recorded at </w:t>
      </w:r>
      <w:smartTag w:uri="urn:schemas-microsoft-com:office:smarttags" w:element="place">
        <w:smartTag w:uri="urn:schemas-microsoft-com:office:smarttags" w:element="PlaceName">
          <w:r w:rsidRPr="00E079F2">
            <w:rPr>
              <w:i/>
              <w:color w:val="000000"/>
              <w:szCs w:val="22"/>
              <w:lang w:val="en-GB"/>
            </w:rPr>
            <w:t>Southend</w:t>
          </w:r>
        </w:smartTag>
        <w:r w:rsidRPr="00E079F2">
          <w:rPr>
            <w:i/>
            <w:color w:val="000000"/>
            <w:szCs w:val="22"/>
            <w:lang w:val="en-GB"/>
          </w:rPr>
          <w:t xml:space="preserve"> </w:t>
        </w:r>
        <w:smartTag w:uri="urn:schemas-microsoft-com:office:smarttags" w:element="PlaceName">
          <w:r w:rsidRPr="00E079F2">
            <w:rPr>
              <w:i/>
              <w:color w:val="000000"/>
              <w:szCs w:val="22"/>
              <w:lang w:val="en-GB"/>
            </w:rPr>
            <w:t>Curtis</w:t>
          </w:r>
        </w:smartTag>
        <w:r w:rsidRPr="00E079F2">
          <w:rPr>
            <w:i/>
            <w:color w:val="000000"/>
            <w:szCs w:val="22"/>
            <w:lang w:val="en-GB"/>
          </w:rPr>
          <w:t xml:space="preserve"> </w:t>
        </w:r>
        <w:smartTag w:uri="urn:schemas-microsoft-com:office:smarttags" w:element="PlaceName">
          <w:r w:rsidRPr="00E079F2">
            <w:rPr>
              <w:i/>
              <w:color w:val="000000"/>
              <w:szCs w:val="22"/>
              <w:lang w:val="en-GB"/>
            </w:rPr>
            <w:t>Island</w:t>
          </w:r>
        </w:smartTag>
      </w:smartTag>
      <w:r w:rsidRPr="00E079F2">
        <w:rPr>
          <w:i/>
          <w:color w:val="000000"/>
          <w:szCs w:val="22"/>
          <w:lang w:val="en-GB"/>
        </w:rPr>
        <w:t xml:space="preserve"> (BOM station 039241, source www.bom.gov.au), located 1km from monitoring sites.</w:t>
      </w:r>
      <w:bookmarkEnd w:id="1086"/>
      <w:bookmarkEnd w:id="1088"/>
      <w:r>
        <w:rPr>
          <w:color w:val="000000"/>
          <w:szCs w:val="22"/>
          <w:lang w:val="en-GB"/>
        </w:rPr>
        <w:t xml:space="preserve"> </w:t>
      </w:r>
    </w:p>
    <w:p w:rsidR="005F359E" w:rsidRDefault="005F359E" w:rsidP="005F359E">
      <w:pPr>
        <w:rPr>
          <w:color w:val="000000"/>
          <w:szCs w:val="22"/>
          <w:lang w:val="en-GB"/>
        </w:rPr>
      </w:pPr>
      <w:r w:rsidRPr="00E079F2">
        <w:rPr>
          <w:i/>
          <w:color w:val="000000"/>
          <w:szCs w:val="22"/>
          <w:lang w:val="en-GB"/>
        </w:rPr>
        <w:t xml:space="preserve"> Mean monthly daily maximum temperature (°C), and mean monthly 3pm wind speed (km.</w:t>
      </w:r>
      <w:r w:rsidRPr="00E079F2">
        <w:rPr>
          <w:i/>
          <w:color w:val="000000"/>
          <w:szCs w:val="22"/>
        </w:rPr>
        <w:t xml:space="preserve"> hr</w:t>
      </w:r>
      <w:r w:rsidRPr="00E079F2">
        <w:rPr>
          <w:i/>
          <w:color w:val="000000"/>
          <w:szCs w:val="22"/>
          <w:vertAlign w:val="superscript"/>
        </w:rPr>
        <w:t>-1</w:t>
      </w:r>
      <w:r w:rsidRPr="00E079F2">
        <w:rPr>
          <w:i/>
          <w:color w:val="000000"/>
          <w:szCs w:val="22"/>
          <w:lang w:val="en-GB"/>
        </w:rPr>
        <w:t>) recorded at Gladstone Airport (BOM station 039123, source www.bom.gov.au), located approximately 13km from monitoring sites.</w:t>
      </w:r>
      <w:bookmarkEnd w:id="1087"/>
      <w:r>
        <w:rPr>
          <w:color w:val="000000"/>
          <w:szCs w:val="22"/>
          <w:lang w:val="en-GB"/>
        </w:rPr>
        <w:t xml:space="preserve"> </w:t>
      </w:r>
    </w:p>
    <w:p w:rsidR="005F359E" w:rsidRPr="00E079F2" w:rsidRDefault="005F359E" w:rsidP="005F359E">
      <w:pPr>
        <w:rPr>
          <w:color w:val="000000"/>
          <w:szCs w:val="22"/>
          <w:lang w:val="en-GB"/>
        </w:rPr>
      </w:pPr>
    </w:p>
    <w:p w:rsidR="005F359E" w:rsidRDefault="005F359E" w:rsidP="00C451D2">
      <w:pPr>
        <w:keepNext/>
        <w:widowControl w:val="0"/>
        <w:spacing w:after="0"/>
        <w:jc w:val="center"/>
        <w:rPr>
          <w:color w:val="000000"/>
          <w:szCs w:val="22"/>
          <w:lang w:val="en-GB"/>
        </w:rPr>
      </w:pPr>
      <w:bookmarkStart w:id="1089" w:name="_Ref382210314"/>
      <w:bookmarkStart w:id="1090" w:name="_Toc431494002"/>
      <w:r>
        <w:rPr>
          <w:noProof/>
          <w:color w:val="000000"/>
          <w:szCs w:val="22"/>
          <w:lang w:eastAsia="en-AU"/>
        </w:rPr>
        <w:lastRenderedPageBreak/>
        <w:drawing>
          <wp:inline distT="0" distB="0" distL="0" distR="0" wp14:anchorId="7A5D89D8" wp14:editId="717E2DDC">
            <wp:extent cx="3960000" cy="3031200"/>
            <wp:effectExtent l="0" t="0" r="2540" b="0"/>
            <wp:docPr id="35" name="Picture 35" descr="Set of three bar graphs showing number of days wind speed is above 25 km. hr-1 each monitoring period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wind_2015.png"/>
                    <pic:cNvPicPr/>
                  </pic:nvPicPr>
                  <pic:blipFill>
                    <a:blip r:embed="rId254" cstate="print">
                      <a:extLst>
                        <a:ext uri="{28A0092B-C50C-407E-A947-70E740481C1C}">
                          <a14:useLocalDpi xmlns:a14="http://schemas.microsoft.com/office/drawing/2010/main" val="0"/>
                        </a:ext>
                      </a:extLst>
                    </a:blip>
                    <a:stretch>
                      <a:fillRect/>
                    </a:stretch>
                  </pic:blipFill>
                  <pic:spPr>
                    <a:xfrm>
                      <a:off x="0" y="0"/>
                      <a:ext cx="3960000" cy="3031200"/>
                    </a:xfrm>
                    <a:prstGeom prst="rect">
                      <a:avLst/>
                    </a:prstGeom>
                  </pic:spPr>
                </pic:pic>
              </a:graphicData>
            </a:graphic>
          </wp:inline>
        </w:drawing>
      </w:r>
    </w:p>
    <w:p w:rsidR="005F359E" w:rsidRPr="00A93D8C" w:rsidRDefault="005F359E" w:rsidP="005F359E">
      <w:pPr>
        <w:rPr>
          <w:vanish/>
          <w:color w:val="000000"/>
          <w:szCs w:val="22"/>
          <w:lang w:val="en-GB"/>
          <w:specVanish/>
        </w:rPr>
      </w:pPr>
      <w:bookmarkStart w:id="1091" w:name="_Toc462684998"/>
      <w:r w:rsidRPr="004D5E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158</w:t>
      </w:r>
      <w:r w:rsidR="0073595B">
        <w:rPr>
          <w:color w:val="000000"/>
          <w:szCs w:val="22"/>
          <w:lang w:val="en-GB"/>
        </w:rPr>
        <w:fldChar w:fldCharType="end"/>
      </w:r>
      <w:bookmarkEnd w:id="1089"/>
      <w:r w:rsidRPr="004D5ED7">
        <w:rPr>
          <w:color w:val="000000"/>
          <w:szCs w:val="22"/>
          <w:lang w:val="en-GB"/>
        </w:rPr>
        <w:t xml:space="preserve">. </w:t>
      </w:r>
      <w:r w:rsidRPr="004D5ED7">
        <w:rPr>
          <w:i/>
          <w:color w:val="000000"/>
          <w:szCs w:val="22"/>
          <w:lang w:val="en-GB"/>
        </w:rPr>
        <w:t>Number of days wind speed is above 25 km. hr</w:t>
      </w:r>
      <w:r w:rsidRPr="004D5ED7">
        <w:rPr>
          <w:i/>
          <w:color w:val="000000"/>
          <w:szCs w:val="22"/>
          <w:vertAlign w:val="superscript"/>
          <w:lang w:val="en-GB"/>
        </w:rPr>
        <w:t>-1</w:t>
      </w:r>
      <w:r w:rsidRPr="004D5ED7">
        <w:rPr>
          <w:i/>
          <w:color w:val="000000"/>
          <w:szCs w:val="22"/>
          <w:lang w:val="en-GB"/>
        </w:rPr>
        <w:t xml:space="preserve"> each monitoring period in the Fitzroy NRM region.</w:t>
      </w:r>
      <w:bookmarkEnd w:id="1090"/>
      <w:bookmarkEnd w:id="1091"/>
      <w:r>
        <w:rPr>
          <w:color w:val="000000"/>
          <w:szCs w:val="22"/>
          <w:lang w:val="en-GB"/>
        </w:rPr>
        <w:t xml:space="preserve"> </w:t>
      </w:r>
    </w:p>
    <w:p w:rsidR="005F359E" w:rsidRPr="004D5ED7" w:rsidRDefault="005F359E" w:rsidP="005F359E">
      <w:pPr>
        <w:rPr>
          <w:color w:val="000000"/>
          <w:szCs w:val="22"/>
          <w:lang w:val="en-GB"/>
        </w:rPr>
      </w:pPr>
      <w:r w:rsidRPr="004D5ED7">
        <w:rPr>
          <w:i/>
          <w:color w:val="000000"/>
          <w:szCs w:val="22"/>
          <w:lang w:val="en-GB"/>
        </w:rPr>
        <w:t xml:space="preserve"> Daily 3pm wind speed from: a) Williamson, </w:t>
      </w:r>
      <w:proofErr w:type="spellStart"/>
      <w:r w:rsidRPr="004D5ED7">
        <w:rPr>
          <w:i/>
          <w:color w:val="000000"/>
          <w:szCs w:val="22"/>
          <w:lang w:val="en-GB"/>
        </w:rPr>
        <w:t>Shoalwater</w:t>
      </w:r>
      <w:proofErr w:type="spellEnd"/>
      <w:r w:rsidRPr="004D5ED7">
        <w:rPr>
          <w:i/>
          <w:color w:val="000000"/>
          <w:szCs w:val="22"/>
          <w:lang w:val="en-GB"/>
        </w:rPr>
        <w:t xml:space="preserve"> Bay (BOM station 033260), located 10km from the monitoring sites; b) </w:t>
      </w:r>
      <w:proofErr w:type="spellStart"/>
      <w:r w:rsidRPr="004D5ED7">
        <w:rPr>
          <w:i/>
          <w:color w:val="000000"/>
          <w:szCs w:val="22"/>
          <w:lang w:val="en-GB"/>
        </w:rPr>
        <w:t>Yeppoon</w:t>
      </w:r>
      <w:proofErr w:type="spellEnd"/>
      <w:r w:rsidRPr="004D5ED7">
        <w:rPr>
          <w:i/>
          <w:color w:val="000000"/>
          <w:szCs w:val="22"/>
          <w:lang w:val="en-GB"/>
        </w:rPr>
        <w:t xml:space="preserve"> (BOM station 033106), approximately 22km from monitoring sites; and c) Gladstone Airport (BOM station 039123), located approximately 13km from monitoring sites.</w:t>
      </w:r>
      <w:r>
        <w:rPr>
          <w:color w:val="000000"/>
          <w:szCs w:val="22"/>
          <w:lang w:val="en-GB"/>
        </w:rPr>
        <w:t xml:space="preserve"> </w:t>
      </w:r>
    </w:p>
    <w:p w:rsidR="005F359E" w:rsidRPr="004D5ED7" w:rsidRDefault="005F359E" w:rsidP="005F359E">
      <w:pPr>
        <w:rPr>
          <w:color w:val="000000"/>
          <w:szCs w:val="22"/>
          <w:lang w:val="en-GB"/>
        </w:rPr>
      </w:pPr>
    </w:p>
    <w:p w:rsidR="005F359E" w:rsidRDefault="005F359E" w:rsidP="00C451D2">
      <w:pPr>
        <w:keepNext/>
        <w:widowControl w:val="0"/>
        <w:spacing w:after="0"/>
        <w:jc w:val="center"/>
        <w:rPr>
          <w:color w:val="000000"/>
        </w:rPr>
      </w:pPr>
      <w:bookmarkStart w:id="1092" w:name="_Ref380335352"/>
      <w:bookmarkStart w:id="1093" w:name="_Toc431494003"/>
      <w:bookmarkStart w:id="1094" w:name="_Toc378578218"/>
      <w:r>
        <w:rPr>
          <w:noProof/>
          <w:color w:val="000000"/>
          <w:lang w:eastAsia="en-AU"/>
        </w:rPr>
        <w:drawing>
          <wp:inline distT="0" distB="0" distL="0" distR="0" wp14:anchorId="10B23DA5" wp14:editId="20F3AC00">
            <wp:extent cx="3600000" cy="3085200"/>
            <wp:effectExtent l="0" t="0" r="635" b="1270"/>
            <wp:docPr id="36" name="Picture 36" descr="Set of graphs showing mean monthly daily maximum air temperature, total monthly rainfall, mean monthly cloud cover, and mean monthly 3pm wind speed recorded at Seventeen Seventy for the period January 2000 to May 201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dds_climate15.png"/>
                    <pic:cNvPicPr/>
                  </pic:nvPicPr>
                  <pic:blipFill>
                    <a:blip r:embed="rId255" cstate="print">
                      <a:extLst>
                        <a:ext uri="{28A0092B-C50C-407E-A947-70E740481C1C}">
                          <a14:useLocalDpi xmlns:a14="http://schemas.microsoft.com/office/drawing/2010/main" val="0"/>
                        </a:ext>
                      </a:extLst>
                    </a:blip>
                    <a:stretch>
                      <a:fillRect/>
                    </a:stretch>
                  </pic:blipFill>
                  <pic:spPr>
                    <a:xfrm>
                      <a:off x="0" y="0"/>
                      <a:ext cx="3600000" cy="3085200"/>
                    </a:xfrm>
                    <a:prstGeom prst="rect">
                      <a:avLst/>
                    </a:prstGeom>
                  </pic:spPr>
                </pic:pic>
              </a:graphicData>
            </a:graphic>
          </wp:inline>
        </w:drawing>
      </w:r>
    </w:p>
    <w:p w:rsidR="005F359E" w:rsidRPr="00CD6094" w:rsidRDefault="005F359E" w:rsidP="005F359E">
      <w:pPr>
        <w:rPr>
          <w:i/>
          <w:vanish/>
          <w:color w:val="000000"/>
          <w:szCs w:val="22"/>
          <w:lang w:val="en-GB"/>
          <w:specVanish/>
        </w:rPr>
      </w:pPr>
      <w:bookmarkStart w:id="1095" w:name="_Toc462684999"/>
      <w:r w:rsidRPr="005B7F1F">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159</w:t>
      </w:r>
      <w:r w:rsidR="0073595B">
        <w:rPr>
          <w:color w:val="000000"/>
          <w:szCs w:val="22"/>
          <w:lang w:val="en-GB"/>
        </w:rPr>
        <w:fldChar w:fldCharType="end"/>
      </w:r>
      <w:bookmarkEnd w:id="1092"/>
      <w:r w:rsidRPr="005B7F1F">
        <w:rPr>
          <w:color w:val="000000"/>
          <w:szCs w:val="22"/>
          <w:lang w:val="en-GB"/>
        </w:rPr>
        <w:t xml:space="preserve">. </w:t>
      </w:r>
      <w:r w:rsidRPr="005B7F1F">
        <w:rPr>
          <w:i/>
          <w:color w:val="000000"/>
          <w:szCs w:val="22"/>
          <w:lang w:val="en-GB"/>
        </w:rPr>
        <w:t>Mean monthly daily maximum temperature (°C) (black line), mean monthly cloud cover (quarts) (black line), and mean monthly 3pm wind speed (km.</w:t>
      </w:r>
      <w:r w:rsidRPr="005B7F1F">
        <w:rPr>
          <w:i/>
          <w:color w:val="000000"/>
          <w:szCs w:val="22"/>
        </w:rPr>
        <w:t xml:space="preserve"> hr</w:t>
      </w:r>
      <w:r w:rsidRPr="005B7F1F">
        <w:rPr>
          <w:i/>
          <w:color w:val="000000"/>
          <w:szCs w:val="22"/>
          <w:vertAlign w:val="superscript"/>
        </w:rPr>
        <w:t>-1</w:t>
      </w:r>
      <w:r w:rsidRPr="005B7F1F">
        <w:rPr>
          <w:i/>
          <w:color w:val="000000"/>
          <w:szCs w:val="22"/>
          <w:lang w:val="en-GB"/>
        </w:rPr>
        <w:t>) (grey line) recorded at Seventeen Seventy</w:t>
      </w:r>
      <w:bookmarkEnd w:id="1093"/>
      <w:bookmarkEnd w:id="1095"/>
    </w:p>
    <w:p w:rsidR="005F359E" w:rsidRPr="005B7F1F" w:rsidRDefault="005F359E" w:rsidP="005F359E">
      <w:pPr>
        <w:rPr>
          <w:color w:val="000000"/>
          <w:szCs w:val="22"/>
          <w:lang w:val="en-GB"/>
        </w:rPr>
      </w:pPr>
      <w:r>
        <w:rPr>
          <w:color w:val="000000"/>
          <w:szCs w:val="22"/>
          <w:lang w:val="en-GB"/>
        </w:rPr>
        <w:t xml:space="preserve"> </w:t>
      </w:r>
      <w:r w:rsidRPr="005B7F1F">
        <w:rPr>
          <w:i/>
          <w:color w:val="000000"/>
          <w:szCs w:val="22"/>
          <w:lang w:val="en-GB"/>
        </w:rPr>
        <w:t xml:space="preserve"> (BOM station 039314, source www.bom.gov.au), approximately 27km from </w:t>
      </w:r>
      <w:proofErr w:type="spellStart"/>
      <w:smartTag w:uri="urn:schemas-microsoft-com:office:smarttags" w:element="place">
        <w:smartTag w:uri="urn:schemas-microsoft-com:office:smarttags" w:element="PlaceName">
          <w:r w:rsidRPr="005B7F1F">
            <w:rPr>
              <w:i/>
              <w:color w:val="000000"/>
              <w:szCs w:val="22"/>
              <w:lang w:val="en-GB"/>
            </w:rPr>
            <w:t>Rodds</w:t>
          </w:r>
        </w:smartTag>
        <w:proofErr w:type="spellEnd"/>
        <w:r w:rsidRPr="005B7F1F">
          <w:rPr>
            <w:i/>
            <w:color w:val="000000"/>
            <w:szCs w:val="22"/>
            <w:lang w:val="en-GB"/>
          </w:rPr>
          <w:t xml:space="preserve"> </w:t>
        </w:r>
        <w:smartTag w:uri="urn:schemas-microsoft-com:office:smarttags" w:element="PlaceType">
          <w:r w:rsidRPr="005B7F1F">
            <w:rPr>
              <w:i/>
              <w:color w:val="000000"/>
              <w:szCs w:val="22"/>
              <w:lang w:val="en-GB"/>
            </w:rPr>
            <w:t>Bay</w:t>
          </w:r>
        </w:smartTag>
      </w:smartTag>
      <w:r w:rsidRPr="005B7F1F">
        <w:rPr>
          <w:i/>
          <w:color w:val="000000"/>
          <w:szCs w:val="22"/>
          <w:lang w:val="en-GB"/>
        </w:rPr>
        <w:t xml:space="preserve"> monitoring sites. Total monthly rainfall (grey bar), recorded at </w:t>
      </w:r>
      <w:smartTag w:uri="urn:schemas-microsoft-com:office:smarttags" w:element="country-region">
        <w:r w:rsidRPr="005B7F1F">
          <w:rPr>
            <w:i/>
            <w:color w:val="000000"/>
            <w:szCs w:val="22"/>
            <w:lang w:val="en-GB"/>
          </w:rPr>
          <w:t>Turkey</w:t>
        </w:r>
      </w:smartTag>
      <w:r w:rsidRPr="005B7F1F">
        <w:rPr>
          <w:i/>
          <w:color w:val="000000"/>
          <w:szCs w:val="22"/>
          <w:lang w:val="en-GB"/>
        </w:rPr>
        <w:t xml:space="preserve"> station </w:t>
      </w:r>
      <w:r>
        <w:rPr>
          <w:i/>
          <w:color w:val="000000"/>
          <w:szCs w:val="22"/>
          <w:lang w:val="en-GB"/>
        </w:rPr>
        <w:t>(</w:t>
      </w:r>
      <w:r w:rsidRPr="005B7F1F">
        <w:rPr>
          <w:i/>
          <w:color w:val="000000"/>
          <w:szCs w:val="22"/>
          <w:lang w:val="en-GB"/>
        </w:rPr>
        <w:t>BOM station 039</w:t>
      </w:r>
      <w:r>
        <w:rPr>
          <w:i/>
          <w:color w:val="000000"/>
          <w:szCs w:val="22"/>
          <w:lang w:val="en-GB"/>
        </w:rPr>
        <w:t>261) pre-2014 and</w:t>
      </w:r>
      <w:r w:rsidRPr="005B7F1F">
        <w:rPr>
          <w:i/>
          <w:color w:val="000000"/>
          <w:szCs w:val="22"/>
          <w:lang w:val="en-GB"/>
        </w:rPr>
        <w:t xml:space="preserve"> Bustard Head Lighthouse (BOM station 039018), approximately 12km from </w:t>
      </w:r>
      <w:proofErr w:type="spellStart"/>
      <w:smartTag w:uri="urn:schemas-microsoft-com:office:smarttags" w:element="place">
        <w:smartTag w:uri="urn:schemas-microsoft-com:office:smarttags" w:element="PlaceName">
          <w:r w:rsidRPr="005B7F1F">
            <w:rPr>
              <w:i/>
              <w:color w:val="000000"/>
              <w:szCs w:val="22"/>
              <w:lang w:val="en-GB"/>
            </w:rPr>
            <w:t>Rodds</w:t>
          </w:r>
        </w:smartTag>
        <w:proofErr w:type="spellEnd"/>
        <w:r w:rsidRPr="005B7F1F">
          <w:rPr>
            <w:i/>
            <w:color w:val="000000"/>
            <w:szCs w:val="22"/>
            <w:lang w:val="en-GB"/>
          </w:rPr>
          <w:t xml:space="preserve"> </w:t>
        </w:r>
        <w:smartTag w:uri="urn:schemas-microsoft-com:office:smarttags" w:element="PlaceType">
          <w:r w:rsidRPr="005B7F1F">
            <w:rPr>
              <w:i/>
              <w:color w:val="000000"/>
              <w:szCs w:val="22"/>
              <w:lang w:val="en-GB"/>
            </w:rPr>
            <w:t>Bay</w:t>
          </w:r>
        </w:smartTag>
      </w:smartTag>
      <w:r w:rsidRPr="005B7F1F">
        <w:rPr>
          <w:i/>
          <w:color w:val="000000"/>
          <w:szCs w:val="22"/>
          <w:lang w:val="en-GB"/>
        </w:rPr>
        <w:t xml:space="preserve"> monitoring sites.</w:t>
      </w:r>
      <w:bookmarkEnd w:id="1094"/>
      <w:r w:rsidRPr="005B7F1F">
        <w:rPr>
          <w:i/>
          <w:color w:val="000000"/>
          <w:szCs w:val="22"/>
          <w:lang w:val="en-GB"/>
        </w:rPr>
        <w:t xml:space="preserve"> </w:t>
      </w:r>
      <w:r>
        <w:rPr>
          <w:i/>
          <w:color w:val="000000"/>
          <w:szCs w:val="22"/>
          <w:lang w:val="en-GB"/>
        </w:rPr>
        <w:t>(</w:t>
      </w:r>
      <w:r w:rsidRPr="005B7F1F">
        <w:rPr>
          <w:i/>
          <w:color w:val="000000"/>
          <w:szCs w:val="22"/>
          <w:lang w:val="en-GB"/>
        </w:rPr>
        <w:t>source www.bom.gov.au</w:t>
      </w:r>
      <w:r>
        <w:rPr>
          <w:i/>
          <w:color w:val="000000"/>
          <w:szCs w:val="22"/>
          <w:lang w:val="en-GB"/>
        </w:rPr>
        <w:t>).</w:t>
      </w:r>
      <w:r>
        <w:rPr>
          <w:color w:val="000000"/>
          <w:szCs w:val="22"/>
          <w:lang w:val="en-GB"/>
        </w:rPr>
        <w:t xml:space="preserve"> </w:t>
      </w:r>
    </w:p>
    <w:p w:rsidR="005F359E" w:rsidRPr="005B7F1F" w:rsidRDefault="005F359E" w:rsidP="005F359E">
      <w:pPr>
        <w:rPr>
          <w:color w:val="000000"/>
          <w:szCs w:val="22"/>
          <w:lang w:val="en-GB"/>
        </w:rPr>
      </w:pPr>
    </w:p>
    <w:p w:rsidR="005F359E" w:rsidRDefault="005F359E" w:rsidP="00C451D2">
      <w:pPr>
        <w:keepNext/>
        <w:widowControl w:val="0"/>
        <w:spacing w:after="0"/>
        <w:jc w:val="center"/>
        <w:rPr>
          <w:color w:val="000000"/>
          <w:szCs w:val="22"/>
        </w:rPr>
      </w:pPr>
      <w:bookmarkStart w:id="1096" w:name="_Ref380335356"/>
      <w:bookmarkStart w:id="1097" w:name="_Toc378578217"/>
      <w:bookmarkStart w:id="1098" w:name="_Toc431494004"/>
      <w:r>
        <w:rPr>
          <w:noProof/>
          <w:color w:val="000000"/>
          <w:szCs w:val="22"/>
          <w:lang w:eastAsia="en-AU"/>
        </w:rPr>
        <w:lastRenderedPageBreak/>
        <w:drawing>
          <wp:inline distT="0" distB="0" distL="0" distR="0" wp14:anchorId="3F1A334C" wp14:editId="6B2EC665">
            <wp:extent cx="3600000" cy="3074400"/>
            <wp:effectExtent l="0" t="0" r="635" b="0"/>
            <wp:docPr id="37" name="Picture 37" descr="Set of graphs showing mean monthly daily maximum air temperature, total monthly rainfall, mean monthly cloud cover, and mean monthly 3pm wind speed recorded at Hervey Bay Airport for the period January 2000 to May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vey_Bay_climate15.png"/>
                    <pic:cNvPicPr/>
                  </pic:nvPicPr>
                  <pic:blipFill>
                    <a:blip r:embed="rId256" cstate="print">
                      <a:extLst>
                        <a:ext uri="{28A0092B-C50C-407E-A947-70E740481C1C}">
                          <a14:useLocalDpi xmlns:a14="http://schemas.microsoft.com/office/drawing/2010/main" val="0"/>
                        </a:ext>
                      </a:extLst>
                    </a:blip>
                    <a:stretch>
                      <a:fillRect/>
                    </a:stretch>
                  </pic:blipFill>
                  <pic:spPr>
                    <a:xfrm>
                      <a:off x="0" y="0"/>
                      <a:ext cx="3600000" cy="3074400"/>
                    </a:xfrm>
                    <a:prstGeom prst="rect">
                      <a:avLst/>
                    </a:prstGeom>
                  </pic:spPr>
                </pic:pic>
              </a:graphicData>
            </a:graphic>
          </wp:inline>
        </w:drawing>
      </w:r>
    </w:p>
    <w:p w:rsidR="005F359E" w:rsidRPr="00EE1AAC" w:rsidRDefault="005F359E" w:rsidP="005F359E">
      <w:pPr>
        <w:rPr>
          <w:color w:val="000000"/>
          <w:szCs w:val="22"/>
          <w:lang w:val="en-GB"/>
        </w:rPr>
      </w:pPr>
      <w:bookmarkStart w:id="1099" w:name="_Toc462685000"/>
      <w:r w:rsidRPr="00EE1AAC">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160</w:t>
      </w:r>
      <w:r w:rsidR="0073595B">
        <w:rPr>
          <w:color w:val="000000"/>
          <w:szCs w:val="22"/>
          <w:lang w:val="en-GB"/>
        </w:rPr>
        <w:fldChar w:fldCharType="end"/>
      </w:r>
      <w:bookmarkEnd w:id="1096"/>
      <w:r w:rsidRPr="00EE1AAC">
        <w:rPr>
          <w:color w:val="000000"/>
          <w:szCs w:val="22"/>
          <w:lang w:val="en-GB"/>
        </w:rPr>
        <w:t xml:space="preserve">. </w:t>
      </w:r>
      <w:r w:rsidRPr="00EE1AAC">
        <w:rPr>
          <w:i/>
          <w:color w:val="000000"/>
          <w:szCs w:val="22"/>
          <w:lang w:val="en-GB"/>
        </w:rPr>
        <w:t>Mean monthly daily maximum temperature (°C), total monthly rainfall, and mean monthly 3pm wind speed (km.</w:t>
      </w:r>
      <w:r w:rsidRPr="00EE1AAC">
        <w:rPr>
          <w:i/>
          <w:color w:val="000000"/>
          <w:szCs w:val="22"/>
        </w:rPr>
        <w:t xml:space="preserve"> hr</w:t>
      </w:r>
      <w:r w:rsidRPr="00EE1AAC">
        <w:rPr>
          <w:i/>
          <w:color w:val="000000"/>
          <w:szCs w:val="22"/>
          <w:vertAlign w:val="superscript"/>
        </w:rPr>
        <w:t>-1</w:t>
      </w:r>
      <w:r w:rsidRPr="00EE1AAC">
        <w:rPr>
          <w:i/>
          <w:color w:val="000000"/>
          <w:szCs w:val="22"/>
          <w:lang w:val="en-GB"/>
        </w:rPr>
        <w:t xml:space="preserve">) recorded at </w:t>
      </w:r>
      <w:smartTag w:uri="urn:schemas-microsoft-com:office:smarttags" w:element="place">
        <w:smartTag w:uri="urn:schemas-microsoft-com:office:smarttags" w:element="PlaceName">
          <w:r w:rsidRPr="00EE1AAC">
            <w:rPr>
              <w:i/>
              <w:color w:val="000000"/>
              <w:szCs w:val="22"/>
              <w:lang w:val="en-GB"/>
            </w:rPr>
            <w:t>Hervey</w:t>
          </w:r>
        </w:smartTag>
        <w:r w:rsidRPr="00EE1AAC">
          <w:rPr>
            <w:i/>
            <w:color w:val="000000"/>
            <w:szCs w:val="22"/>
            <w:lang w:val="en-GB"/>
          </w:rPr>
          <w:t xml:space="preserve"> </w:t>
        </w:r>
        <w:smartTag w:uri="urn:schemas-microsoft-com:office:smarttags" w:element="PlaceType">
          <w:r w:rsidRPr="00EE1AAC">
            <w:rPr>
              <w:i/>
              <w:color w:val="000000"/>
              <w:szCs w:val="22"/>
              <w:lang w:val="en-GB"/>
            </w:rPr>
            <w:t>Bay</w:t>
          </w:r>
        </w:smartTag>
        <w:r w:rsidRPr="00EE1AAC">
          <w:rPr>
            <w:i/>
            <w:color w:val="000000"/>
            <w:szCs w:val="22"/>
            <w:lang w:val="en-GB"/>
          </w:rPr>
          <w:t xml:space="preserve"> </w:t>
        </w:r>
        <w:smartTag w:uri="urn:schemas-microsoft-com:office:smarttags" w:element="PlaceType">
          <w:r w:rsidRPr="00EE1AAC">
            <w:rPr>
              <w:i/>
              <w:color w:val="000000"/>
              <w:szCs w:val="22"/>
              <w:lang w:val="en-GB"/>
            </w:rPr>
            <w:t>Airport</w:t>
          </w:r>
        </w:smartTag>
      </w:smartTag>
      <w:r w:rsidRPr="00EE1AAC">
        <w:rPr>
          <w:i/>
          <w:color w:val="000000"/>
          <w:szCs w:val="22"/>
          <w:lang w:val="en-GB"/>
        </w:rPr>
        <w:t xml:space="preserve"> (BOM station 040405, source www.bom.gov.au), approximately 3km from </w:t>
      </w:r>
      <w:proofErr w:type="spellStart"/>
      <w:r w:rsidRPr="00EE1AAC">
        <w:rPr>
          <w:i/>
          <w:color w:val="000000"/>
          <w:szCs w:val="22"/>
          <w:lang w:val="en-GB"/>
        </w:rPr>
        <w:t>Urangan</w:t>
      </w:r>
      <w:proofErr w:type="spellEnd"/>
      <w:r w:rsidRPr="00EE1AAC">
        <w:rPr>
          <w:i/>
          <w:color w:val="000000"/>
          <w:szCs w:val="22"/>
          <w:lang w:val="en-GB"/>
        </w:rPr>
        <w:t xml:space="preserve"> monitoring sites.</w:t>
      </w:r>
      <w:bookmarkEnd w:id="1097"/>
      <w:bookmarkEnd w:id="1098"/>
      <w:bookmarkEnd w:id="1099"/>
    </w:p>
    <w:p w:rsidR="005F359E" w:rsidRPr="00EE1AAC" w:rsidRDefault="005F359E" w:rsidP="005F359E">
      <w:pPr>
        <w:rPr>
          <w:color w:val="000000"/>
          <w:szCs w:val="22"/>
          <w:lang w:val="en-GB"/>
        </w:rPr>
      </w:pPr>
    </w:p>
    <w:p w:rsidR="005F359E" w:rsidRDefault="005F359E" w:rsidP="00C451D2">
      <w:pPr>
        <w:keepNext/>
        <w:widowControl w:val="0"/>
        <w:spacing w:after="0"/>
        <w:jc w:val="center"/>
        <w:rPr>
          <w:color w:val="000000"/>
          <w:szCs w:val="22"/>
          <w:lang w:val="en-GB"/>
        </w:rPr>
      </w:pPr>
      <w:bookmarkStart w:id="1100" w:name="_Ref380335409"/>
      <w:bookmarkStart w:id="1101" w:name="_Toc431494005"/>
      <w:r>
        <w:rPr>
          <w:noProof/>
          <w:color w:val="000000"/>
          <w:szCs w:val="22"/>
          <w:lang w:eastAsia="en-AU"/>
        </w:rPr>
        <w:drawing>
          <wp:inline distT="0" distB="0" distL="0" distR="0" wp14:anchorId="7C7DFE15" wp14:editId="08897354">
            <wp:extent cx="4320000" cy="2235600"/>
            <wp:effectExtent l="0" t="0" r="4445" b="0"/>
            <wp:docPr id="38" name="Picture 38" descr="Set of two bar graphs showing number of days wind speed is above 25 km. hr-1 each monitoring period in the Burnett Mar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wind_2015.png"/>
                    <pic:cNvPicPr/>
                  </pic:nvPicPr>
                  <pic:blipFill>
                    <a:blip r:embed="rId257" cstate="print">
                      <a:extLst>
                        <a:ext uri="{28A0092B-C50C-407E-A947-70E740481C1C}">
                          <a14:useLocalDpi xmlns:a14="http://schemas.microsoft.com/office/drawing/2010/main" val="0"/>
                        </a:ext>
                      </a:extLst>
                    </a:blip>
                    <a:stretch>
                      <a:fillRect/>
                    </a:stretch>
                  </pic:blipFill>
                  <pic:spPr>
                    <a:xfrm>
                      <a:off x="0" y="0"/>
                      <a:ext cx="4320000" cy="2235600"/>
                    </a:xfrm>
                    <a:prstGeom prst="rect">
                      <a:avLst/>
                    </a:prstGeom>
                  </pic:spPr>
                </pic:pic>
              </a:graphicData>
            </a:graphic>
          </wp:inline>
        </w:drawing>
      </w:r>
    </w:p>
    <w:p w:rsidR="005F359E" w:rsidRPr="00A93D8C" w:rsidRDefault="005F359E" w:rsidP="005F359E">
      <w:pPr>
        <w:rPr>
          <w:vanish/>
          <w:color w:val="000000"/>
          <w:szCs w:val="22"/>
          <w:lang w:val="en-GB"/>
          <w:specVanish/>
        </w:rPr>
      </w:pPr>
      <w:bookmarkStart w:id="1102" w:name="_Toc462685001"/>
      <w:r w:rsidRPr="004D5E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161</w:t>
      </w:r>
      <w:r w:rsidR="0073595B">
        <w:rPr>
          <w:color w:val="000000"/>
          <w:szCs w:val="22"/>
          <w:lang w:val="en-GB"/>
        </w:rPr>
        <w:fldChar w:fldCharType="end"/>
      </w:r>
      <w:bookmarkEnd w:id="1100"/>
      <w:r w:rsidRPr="004D5ED7">
        <w:rPr>
          <w:color w:val="000000"/>
          <w:szCs w:val="22"/>
          <w:lang w:val="en-GB"/>
        </w:rPr>
        <w:t xml:space="preserve">. </w:t>
      </w:r>
      <w:r w:rsidRPr="004D5ED7">
        <w:rPr>
          <w:i/>
          <w:color w:val="000000"/>
          <w:szCs w:val="22"/>
          <w:lang w:val="en-GB"/>
        </w:rPr>
        <w:t>Number of days wind speed is above 25 km. hr</w:t>
      </w:r>
      <w:r w:rsidRPr="004D5ED7">
        <w:rPr>
          <w:i/>
          <w:color w:val="000000"/>
          <w:szCs w:val="22"/>
          <w:vertAlign w:val="superscript"/>
          <w:lang w:val="en-GB"/>
        </w:rPr>
        <w:t>-1</w:t>
      </w:r>
      <w:r w:rsidRPr="004D5ED7">
        <w:rPr>
          <w:i/>
          <w:color w:val="000000"/>
          <w:szCs w:val="22"/>
          <w:lang w:val="en-GB"/>
        </w:rPr>
        <w:t xml:space="preserve"> each monitoring period in the Burnett Mary NRM region.</w:t>
      </w:r>
      <w:bookmarkEnd w:id="1101"/>
      <w:bookmarkEnd w:id="1102"/>
      <w:r>
        <w:rPr>
          <w:color w:val="000000"/>
          <w:szCs w:val="22"/>
          <w:lang w:val="en-GB"/>
        </w:rPr>
        <w:t xml:space="preserve"> </w:t>
      </w:r>
      <w:r w:rsidRPr="004D5ED7">
        <w:rPr>
          <w:i/>
          <w:color w:val="000000"/>
          <w:szCs w:val="22"/>
          <w:lang w:val="en-GB"/>
        </w:rPr>
        <w:t xml:space="preserve"> </w:t>
      </w:r>
    </w:p>
    <w:p w:rsidR="005F359E" w:rsidRPr="004D5ED7" w:rsidRDefault="005F359E" w:rsidP="005F359E">
      <w:pPr>
        <w:rPr>
          <w:color w:val="000000"/>
          <w:szCs w:val="22"/>
          <w:lang w:val="en-GB"/>
        </w:rPr>
      </w:pPr>
      <w:r w:rsidRPr="004D5ED7">
        <w:rPr>
          <w:i/>
          <w:color w:val="000000"/>
          <w:szCs w:val="22"/>
          <w:lang w:val="en-GB"/>
        </w:rPr>
        <w:t xml:space="preserve">Daily 3pm wind speed from: a) Seventeen Seventy (BOM station 039314), approximately 27km from </w:t>
      </w:r>
      <w:proofErr w:type="spellStart"/>
      <w:r w:rsidRPr="004D5ED7">
        <w:rPr>
          <w:i/>
          <w:color w:val="000000"/>
          <w:szCs w:val="22"/>
          <w:lang w:val="en-GB"/>
        </w:rPr>
        <w:t>Rodds</w:t>
      </w:r>
      <w:proofErr w:type="spellEnd"/>
      <w:r w:rsidRPr="004D5ED7">
        <w:rPr>
          <w:i/>
          <w:color w:val="000000"/>
          <w:szCs w:val="22"/>
          <w:lang w:val="en-GB"/>
        </w:rPr>
        <w:t xml:space="preserve"> Bay monitoring sites; and b) Hervey Bay Airport (BOM station 040405), approximately 3km from </w:t>
      </w:r>
      <w:proofErr w:type="spellStart"/>
      <w:r w:rsidRPr="004D5ED7">
        <w:rPr>
          <w:i/>
          <w:color w:val="000000"/>
          <w:szCs w:val="22"/>
          <w:lang w:val="en-GB"/>
        </w:rPr>
        <w:t>Urangan</w:t>
      </w:r>
      <w:proofErr w:type="spellEnd"/>
      <w:r w:rsidRPr="004D5ED7">
        <w:rPr>
          <w:i/>
          <w:color w:val="000000"/>
          <w:szCs w:val="22"/>
          <w:lang w:val="en-GB"/>
        </w:rPr>
        <w:t xml:space="preserve"> monitoring sites.</w:t>
      </w:r>
      <w:r>
        <w:rPr>
          <w:color w:val="000000"/>
          <w:szCs w:val="22"/>
          <w:lang w:val="en-GB"/>
        </w:rPr>
        <w:t xml:space="preserve"> </w:t>
      </w:r>
    </w:p>
    <w:p w:rsidR="005F359E" w:rsidRDefault="005F359E" w:rsidP="00E82D2E">
      <w:pPr>
        <w:rPr>
          <w:lang w:val="en-GB"/>
        </w:rPr>
      </w:pPr>
    </w:p>
    <w:p w:rsidR="00842050" w:rsidRDefault="00842050" w:rsidP="00E82D2E">
      <w:pPr>
        <w:rPr>
          <w:lang w:val="en-GB"/>
        </w:rPr>
      </w:pPr>
    </w:p>
    <w:p w:rsidR="00273002" w:rsidRDefault="00273002">
      <w:pPr>
        <w:spacing w:before="0" w:after="0"/>
        <w:rPr>
          <w:lang w:val="en-GB"/>
        </w:rPr>
      </w:pPr>
      <w:r>
        <w:rPr>
          <w:lang w:val="en-GB"/>
        </w:rPr>
        <w:br w:type="page"/>
      </w:r>
    </w:p>
    <w:p w:rsidR="00273002" w:rsidRPr="00F12624" w:rsidRDefault="00273002" w:rsidP="00F12624">
      <w:pPr>
        <w:pStyle w:val="Heading3"/>
        <w:rPr>
          <w:rFonts w:asciiTheme="minorHAnsi" w:hAnsiTheme="minorHAnsi"/>
          <w:sz w:val="24"/>
          <w:szCs w:val="24"/>
        </w:rPr>
      </w:pPr>
      <w:bookmarkStart w:id="1103" w:name="_Toc462047403"/>
      <w:r w:rsidRPr="00F12624">
        <w:rPr>
          <w:rFonts w:asciiTheme="minorHAnsi" w:hAnsiTheme="minorHAnsi"/>
          <w:sz w:val="24"/>
          <w:szCs w:val="24"/>
        </w:rPr>
        <w:lastRenderedPageBreak/>
        <w:t>Tidal exposure</w:t>
      </w:r>
      <w:bookmarkEnd w:id="1103"/>
    </w:p>
    <w:p w:rsidR="00273002" w:rsidRDefault="00273002" w:rsidP="00273002">
      <w:pPr>
        <w:rPr>
          <w:color w:val="000000"/>
          <w:szCs w:val="22"/>
        </w:rPr>
      </w:pPr>
    </w:p>
    <w:p w:rsidR="00273002" w:rsidRPr="008012AC" w:rsidRDefault="00273002" w:rsidP="00273002">
      <w:pPr>
        <w:jc w:val="center"/>
        <w:rPr>
          <w:i/>
          <w:vanish/>
          <w:specVanish/>
        </w:rPr>
      </w:pPr>
      <w:bookmarkStart w:id="1104" w:name="_Ref409806677"/>
      <w:bookmarkStart w:id="1105" w:name="_Toc431494052"/>
      <w:bookmarkStart w:id="1106" w:name="_Toc462685115"/>
      <w:r>
        <w:t xml:space="preserve">Table </w:t>
      </w:r>
      <w:fldSimple w:instr=" SEQ Table \* ARABIC ">
        <w:r w:rsidR="009C068F">
          <w:rPr>
            <w:noProof/>
          </w:rPr>
          <w:t>46</w:t>
        </w:r>
      </w:fldSimple>
      <w:bookmarkEnd w:id="1104"/>
      <w:r>
        <w:t xml:space="preserve">. </w:t>
      </w:r>
      <w:r w:rsidRPr="008012AC">
        <w:rPr>
          <w:i/>
        </w:rPr>
        <w:t>Height of intertidal monitoring meadows/sites above Lowest Astronomical Tide (LAT) and annual daytime tidal exposure (total hours) when meadows become exposed at a low tide.</w:t>
      </w:r>
      <w:bookmarkEnd w:id="1105"/>
      <w:bookmarkEnd w:id="1106"/>
      <w:r w:rsidRPr="008012AC">
        <w:rPr>
          <w:i/>
        </w:rPr>
        <w:t xml:space="preserve"> </w:t>
      </w:r>
    </w:p>
    <w:p w:rsidR="00273002" w:rsidRDefault="00273002" w:rsidP="00273002">
      <w:pPr>
        <w:jc w:val="center"/>
        <w:rPr>
          <w:i/>
        </w:rPr>
      </w:pPr>
      <w:r w:rsidRPr="008012AC">
        <w:rPr>
          <w:i/>
        </w:rPr>
        <w:t xml:space="preserve"> Year is June - May. Observed tidal heights courtesy Maritime Safety Queensland, 201</w:t>
      </w:r>
      <w:r>
        <w:rPr>
          <w:i/>
        </w:rPr>
        <w:t>5</w:t>
      </w:r>
      <w:r w:rsidRPr="008012AC">
        <w:rPr>
          <w:i/>
        </w:rPr>
        <w:t xml:space="preserve">. </w:t>
      </w:r>
      <w:r w:rsidRPr="008012AC">
        <w:rPr>
          <w:i/>
          <w:color w:val="000000"/>
          <w:szCs w:val="22"/>
        </w:rPr>
        <w:t xml:space="preserve">NB: Meadow heights have not yet been determined in the far northern </w:t>
      </w:r>
      <w:smartTag w:uri="urn:schemas-microsoft-com:office:smarttags" w:element="place">
        <w:r w:rsidRPr="008012AC">
          <w:rPr>
            <w:i/>
            <w:color w:val="000000"/>
            <w:szCs w:val="22"/>
          </w:rPr>
          <w:t>Cape York</w:t>
        </w:r>
      </w:smartTag>
      <w:r w:rsidRPr="008012AC">
        <w:rPr>
          <w:i/>
          <w:color w:val="000000"/>
          <w:szCs w:val="22"/>
        </w:rPr>
        <w:t>.</w:t>
      </w:r>
      <w:r w:rsidRPr="008012AC">
        <w:rPr>
          <w:i/>
        </w:rPr>
        <w:t xml:space="preserve"> </w:t>
      </w:r>
    </w:p>
    <w:tbl>
      <w:tblPr>
        <w:tblW w:w="9037" w:type="dxa"/>
        <w:jc w:val="center"/>
        <w:tblLook w:val="04A0" w:firstRow="1" w:lastRow="0" w:firstColumn="1" w:lastColumn="0" w:noHBand="0" w:noVBand="1"/>
      </w:tblPr>
      <w:tblGrid>
        <w:gridCol w:w="619"/>
        <w:gridCol w:w="619"/>
        <w:gridCol w:w="1083"/>
        <w:gridCol w:w="993"/>
        <w:gridCol w:w="1362"/>
        <w:gridCol w:w="1329"/>
        <w:gridCol w:w="1665"/>
        <w:gridCol w:w="1367"/>
      </w:tblGrid>
      <w:tr w:rsidR="00273002" w:rsidTr="003A1357">
        <w:trPr>
          <w:trHeight w:val="276"/>
          <w:jc w:val="center"/>
        </w:trPr>
        <w:tc>
          <w:tcPr>
            <w:tcW w:w="619" w:type="dxa"/>
            <w:tcBorders>
              <w:top w:val="single" w:sz="4" w:space="0" w:color="auto"/>
              <w:bottom w:val="single" w:sz="4" w:space="0" w:color="auto"/>
            </w:tcBorders>
            <w:shd w:val="clear" w:color="auto" w:fill="BBE0E3"/>
            <w:vAlign w:val="center"/>
            <w:hideMark/>
          </w:tcPr>
          <w:p w:rsidR="00273002" w:rsidRDefault="00273002" w:rsidP="00805748">
            <w:pPr>
              <w:spacing w:before="0" w:after="0"/>
              <w:jc w:val="center"/>
              <w:rPr>
                <w:b/>
                <w:color w:val="000000"/>
                <w:sz w:val="16"/>
                <w:szCs w:val="16"/>
              </w:rPr>
            </w:pPr>
            <w:r>
              <w:rPr>
                <w:b/>
                <w:color w:val="000000"/>
                <w:sz w:val="16"/>
                <w:szCs w:val="16"/>
              </w:rPr>
              <w:t>NRM</w:t>
            </w:r>
          </w:p>
        </w:tc>
        <w:tc>
          <w:tcPr>
            <w:tcW w:w="619" w:type="dxa"/>
            <w:tcBorders>
              <w:top w:val="single" w:sz="4" w:space="0" w:color="auto"/>
              <w:bottom w:val="single" w:sz="4" w:space="0" w:color="auto"/>
            </w:tcBorders>
            <w:shd w:val="clear" w:color="auto" w:fill="BBE0E3"/>
            <w:noWrap/>
            <w:vAlign w:val="center"/>
            <w:hideMark/>
          </w:tcPr>
          <w:p w:rsidR="00273002" w:rsidRDefault="00273002" w:rsidP="00805748">
            <w:pPr>
              <w:spacing w:before="0" w:after="0"/>
              <w:jc w:val="center"/>
              <w:rPr>
                <w:b/>
                <w:color w:val="000000"/>
                <w:sz w:val="16"/>
                <w:szCs w:val="16"/>
              </w:rPr>
            </w:pPr>
            <w:r>
              <w:rPr>
                <w:b/>
                <w:color w:val="000000"/>
                <w:sz w:val="16"/>
                <w:szCs w:val="16"/>
              </w:rPr>
              <w:t>Site</w:t>
            </w:r>
          </w:p>
        </w:tc>
        <w:tc>
          <w:tcPr>
            <w:tcW w:w="1083" w:type="dxa"/>
            <w:tcBorders>
              <w:top w:val="single" w:sz="4" w:space="0" w:color="auto"/>
              <w:bottom w:val="single" w:sz="4" w:space="0" w:color="auto"/>
            </w:tcBorders>
            <w:shd w:val="clear" w:color="auto" w:fill="BBE0E3"/>
            <w:vAlign w:val="center"/>
            <w:hideMark/>
          </w:tcPr>
          <w:p w:rsidR="00273002" w:rsidRDefault="00273002" w:rsidP="00805748">
            <w:pPr>
              <w:spacing w:before="0" w:after="0"/>
              <w:jc w:val="center"/>
              <w:rPr>
                <w:b/>
                <w:color w:val="000000"/>
                <w:sz w:val="16"/>
                <w:szCs w:val="16"/>
              </w:rPr>
            </w:pPr>
            <w:r>
              <w:rPr>
                <w:b/>
                <w:color w:val="000000"/>
                <w:sz w:val="16"/>
                <w:szCs w:val="16"/>
              </w:rPr>
              <w:t>Meadow</w:t>
            </w:r>
          </w:p>
          <w:p w:rsidR="00273002" w:rsidRDefault="00273002" w:rsidP="00805748">
            <w:pPr>
              <w:spacing w:before="0" w:after="0"/>
              <w:jc w:val="center"/>
              <w:rPr>
                <w:b/>
                <w:color w:val="000000"/>
                <w:sz w:val="16"/>
                <w:szCs w:val="16"/>
              </w:rPr>
            </w:pPr>
            <w:r>
              <w:rPr>
                <w:b/>
                <w:color w:val="000000"/>
                <w:sz w:val="16"/>
                <w:szCs w:val="16"/>
              </w:rPr>
              <w:t>height</w:t>
            </w:r>
          </w:p>
          <w:p w:rsidR="00273002" w:rsidRDefault="00273002" w:rsidP="00805748">
            <w:pPr>
              <w:spacing w:before="0" w:after="0"/>
              <w:jc w:val="center"/>
              <w:rPr>
                <w:b/>
                <w:color w:val="000000"/>
                <w:sz w:val="16"/>
                <w:szCs w:val="16"/>
              </w:rPr>
            </w:pPr>
            <w:r>
              <w:rPr>
                <w:b/>
                <w:color w:val="000000"/>
                <w:sz w:val="16"/>
                <w:szCs w:val="16"/>
              </w:rPr>
              <w:t>(above LAT)</w:t>
            </w:r>
          </w:p>
        </w:tc>
        <w:tc>
          <w:tcPr>
            <w:tcW w:w="993" w:type="dxa"/>
            <w:tcBorders>
              <w:top w:val="single" w:sz="4" w:space="0" w:color="auto"/>
              <w:bottom w:val="single" w:sz="4" w:space="0" w:color="auto"/>
            </w:tcBorders>
            <w:shd w:val="clear" w:color="auto" w:fill="BBE0E3"/>
            <w:vAlign w:val="center"/>
            <w:hideMark/>
          </w:tcPr>
          <w:p w:rsidR="00273002" w:rsidRDefault="00273002" w:rsidP="00805748">
            <w:pPr>
              <w:spacing w:before="0" w:after="0"/>
              <w:jc w:val="center"/>
              <w:rPr>
                <w:b/>
                <w:color w:val="000000"/>
                <w:sz w:val="16"/>
                <w:szCs w:val="16"/>
              </w:rPr>
            </w:pPr>
            <w:r>
              <w:rPr>
                <w:b/>
                <w:color w:val="000000"/>
                <w:sz w:val="16"/>
                <w:szCs w:val="16"/>
              </w:rPr>
              <w:t>Site depth</w:t>
            </w:r>
          </w:p>
          <w:p w:rsidR="00273002" w:rsidRDefault="00273002" w:rsidP="00805748">
            <w:pPr>
              <w:spacing w:before="0" w:after="0"/>
              <w:jc w:val="center"/>
              <w:rPr>
                <w:b/>
                <w:color w:val="000000"/>
                <w:sz w:val="16"/>
                <w:szCs w:val="16"/>
              </w:rPr>
            </w:pPr>
            <w:r>
              <w:rPr>
                <w:b/>
                <w:color w:val="000000"/>
                <w:sz w:val="16"/>
                <w:szCs w:val="16"/>
              </w:rPr>
              <w:t>(</w:t>
            </w:r>
            <w:proofErr w:type="spellStart"/>
            <w:r>
              <w:rPr>
                <w:b/>
                <w:color w:val="000000"/>
                <w:sz w:val="16"/>
                <w:szCs w:val="16"/>
              </w:rPr>
              <w:t>bMSL</w:t>
            </w:r>
            <w:proofErr w:type="spellEnd"/>
            <w:r>
              <w:rPr>
                <w:b/>
                <w:color w:val="000000"/>
                <w:sz w:val="16"/>
                <w:szCs w:val="16"/>
              </w:rPr>
              <w:t>)</w:t>
            </w:r>
          </w:p>
        </w:tc>
        <w:tc>
          <w:tcPr>
            <w:tcW w:w="1362" w:type="dxa"/>
            <w:tcBorders>
              <w:top w:val="single" w:sz="4" w:space="0" w:color="auto"/>
              <w:bottom w:val="single" w:sz="4" w:space="0" w:color="auto"/>
            </w:tcBorders>
            <w:shd w:val="clear" w:color="auto" w:fill="BBE0E3"/>
            <w:noWrap/>
            <w:vAlign w:val="center"/>
            <w:hideMark/>
          </w:tcPr>
          <w:p w:rsidR="00273002" w:rsidRDefault="00273002" w:rsidP="00805748">
            <w:pPr>
              <w:spacing w:before="0" w:after="0"/>
              <w:jc w:val="center"/>
              <w:rPr>
                <w:b/>
                <w:color w:val="000000"/>
                <w:sz w:val="16"/>
                <w:szCs w:val="16"/>
              </w:rPr>
            </w:pPr>
            <w:r>
              <w:rPr>
                <w:b/>
                <w:color w:val="000000"/>
                <w:sz w:val="16"/>
                <w:szCs w:val="16"/>
              </w:rPr>
              <w:t>Meadow height</w:t>
            </w:r>
          </w:p>
          <w:p w:rsidR="00273002" w:rsidRDefault="00273002" w:rsidP="00805748">
            <w:pPr>
              <w:spacing w:before="0" w:after="0"/>
              <w:jc w:val="center"/>
              <w:rPr>
                <w:b/>
                <w:color w:val="000000"/>
                <w:sz w:val="16"/>
                <w:szCs w:val="16"/>
              </w:rPr>
            </w:pPr>
            <w:r>
              <w:rPr>
                <w:b/>
                <w:color w:val="000000"/>
                <w:sz w:val="16"/>
                <w:szCs w:val="16"/>
              </w:rPr>
              <w:t>(above LAT)</w:t>
            </w:r>
          </w:p>
          <w:p w:rsidR="00273002" w:rsidRDefault="00273002" w:rsidP="00805748">
            <w:pPr>
              <w:spacing w:before="0" w:after="0"/>
              <w:jc w:val="center"/>
              <w:rPr>
                <w:b/>
                <w:color w:val="000000"/>
                <w:sz w:val="16"/>
                <w:szCs w:val="16"/>
              </w:rPr>
            </w:pPr>
            <w:r>
              <w:rPr>
                <w:b/>
                <w:color w:val="000000"/>
                <w:sz w:val="16"/>
                <w:szCs w:val="16"/>
              </w:rPr>
              <w:t xml:space="preserve">relative to </w:t>
            </w:r>
          </w:p>
          <w:p w:rsidR="00273002" w:rsidRDefault="00273002" w:rsidP="00805748">
            <w:pPr>
              <w:spacing w:before="0" w:after="0"/>
              <w:jc w:val="center"/>
              <w:rPr>
                <w:b/>
                <w:color w:val="000000"/>
                <w:sz w:val="16"/>
                <w:szCs w:val="16"/>
              </w:rPr>
            </w:pPr>
            <w:r>
              <w:rPr>
                <w:b/>
                <w:color w:val="000000"/>
                <w:sz w:val="16"/>
                <w:szCs w:val="16"/>
              </w:rPr>
              <w:t>Standard Port</w:t>
            </w:r>
          </w:p>
        </w:tc>
        <w:tc>
          <w:tcPr>
            <w:tcW w:w="1329" w:type="dxa"/>
            <w:tcBorders>
              <w:top w:val="single" w:sz="4" w:space="0" w:color="auto"/>
              <w:bottom w:val="single" w:sz="4" w:space="0" w:color="auto"/>
            </w:tcBorders>
            <w:shd w:val="clear" w:color="auto" w:fill="BBE0E3"/>
            <w:vAlign w:val="center"/>
            <w:hideMark/>
          </w:tcPr>
          <w:p w:rsidR="00273002" w:rsidRDefault="00273002" w:rsidP="00805748">
            <w:pPr>
              <w:spacing w:before="0" w:after="0"/>
              <w:jc w:val="center"/>
              <w:rPr>
                <w:b/>
                <w:color w:val="000000"/>
                <w:sz w:val="16"/>
                <w:szCs w:val="16"/>
              </w:rPr>
            </w:pPr>
            <w:r>
              <w:rPr>
                <w:b/>
                <w:color w:val="000000"/>
                <w:sz w:val="16"/>
                <w:szCs w:val="16"/>
              </w:rPr>
              <w:t>Annual median</w:t>
            </w:r>
          </w:p>
          <w:p w:rsidR="00273002" w:rsidRDefault="00273002" w:rsidP="00805748">
            <w:pPr>
              <w:spacing w:before="0" w:after="0"/>
              <w:jc w:val="center"/>
              <w:rPr>
                <w:b/>
                <w:color w:val="000000"/>
                <w:sz w:val="16"/>
                <w:szCs w:val="16"/>
              </w:rPr>
            </w:pPr>
            <w:r>
              <w:rPr>
                <w:b/>
                <w:color w:val="000000"/>
                <w:sz w:val="16"/>
                <w:szCs w:val="16"/>
              </w:rPr>
              <w:t xml:space="preserve">hours exposed </w:t>
            </w:r>
          </w:p>
          <w:p w:rsidR="00273002" w:rsidRDefault="00273002" w:rsidP="00805748">
            <w:pPr>
              <w:spacing w:before="0" w:after="0"/>
              <w:jc w:val="center"/>
              <w:rPr>
                <w:b/>
                <w:color w:val="000000"/>
                <w:sz w:val="16"/>
                <w:szCs w:val="16"/>
              </w:rPr>
            </w:pPr>
            <w:r>
              <w:rPr>
                <w:b/>
                <w:color w:val="000000"/>
                <w:sz w:val="16"/>
                <w:szCs w:val="16"/>
              </w:rPr>
              <w:t>during daylight</w:t>
            </w:r>
          </w:p>
          <w:p w:rsidR="00273002" w:rsidRDefault="00273002" w:rsidP="00805748">
            <w:pPr>
              <w:spacing w:before="0" w:after="0"/>
              <w:jc w:val="center"/>
              <w:rPr>
                <w:b/>
                <w:color w:val="000000"/>
                <w:sz w:val="16"/>
                <w:szCs w:val="16"/>
              </w:rPr>
            </w:pPr>
            <w:r>
              <w:rPr>
                <w:b/>
                <w:color w:val="000000"/>
                <w:sz w:val="16"/>
                <w:szCs w:val="16"/>
              </w:rPr>
              <w:t>(long-term)</w:t>
            </w:r>
          </w:p>
        </w:tc>
        <w:tc>
          <w:tcPr>
            <w:tcW w:w="1665" w:type="dxa"/>
            <w:tcBorders>
              <w:top w:val="single" w:sz="4" w:space="0" w:color="auto"/>
              <w:bottom w:val="single" w:sz="4" w:space="0" w:color="auto"/>
            </w:tcBorders>
            <w:shd w:val="clear" w:color="auto" w:fill="BBE0E3"/>
            <w:noWrap/>
            <w:vAlign w:val="center"/>
            <w:hideMark/>
          </w:tcPr>
          <w:p w:rsidR="00273002" w:rsidRDefault="00273002" w:rsidP="00805748">
            <w:pPr>
              <w:spacing w:before="0" w:after="0"/>
              <w:jc w:val="center"/>
              <w:rPr>
                <w:b/>
                <w:color w:val="000000"/>
                <w:sz w:val="16"/>
                <w:szCs w:val="16"/>
              </w:rPr>
            </w:pPr>
            <w:r>
              <w:rPr>
                <w:b/>
                <w:color w:val="000000"/>
                <w:sz w:val="16"/>
                <w:szCs w:val="16"/>
              </w:rPr>
              <w:t>% of annual daylight</w:t>
            </w:r>
          </w:p>
          <w:p w:rsidR="00273002" w:rsidRDefault="00273002" w:rsidP="00805748">
            <w:pPr>
              <w:spacing w:before="0" w:after="0"/>
              <w:jc w:val="center"/>
              <w:rPr>
                <w:b/>
                <w:color w:val="000000"/>
                <w:sz w:val="16"/>
                <w:szCs w:val="16"/>
              </w:rPr>
            </w:pPr>
            <w:r>
              <w:rPr>
                <w:b/>
                <w:color w:val="000000"/>
                <w:sz w:val="16"/>
                <w:szCs w:val="16"/>
              </w:rPr>
              <w:t>hours meadow</w:t>
            </w:r>
          </w:p>
          <w:p w:rsidR="00273002" w:rsidRDefault="00273002" w:rsidP="00805748">
            <w:pPr>
              <w:spacing w:before="0" w:after="0"/>
              <w:jc w:val="center"/>
              <w:rPr>
                <w:b/>
                <w:color w:val="000000"/>
                <w:sz w:val="16"/>
                <w:szCs w:val="16"/>
              </w:rPr>
            </w:pPr>
            <w:r>
              <w:rPr>
                <w:b/>
                <w:color w:val="000000"/>
                <w:sz w:val="16"/>
                <w:szCs w:val="16"/>
              </w:rPr>
              <w:t>is exposed</w:t>
            </w:r>
          </w:p>
          <w:p w:rsidR="00273002" w:rsidRDefault="00273002" w:rsidP="00805748">
            <w:pPr>
              <w:spacing w:before="0" w:after="0"/>
              <w:jc w:val="center"/>
              <w:rPr>
                <w:b/>
                <w:color w:val="000000"/>
                <w:sz w:val="16"/>
                <w:szCs w:val="16"/>
              </w:rPr>
            </w:pPr>
            <w:r>
              <w:rPr>
                <w:b/>
                <w:color w:val="000000"/>
                <w:sz w:val="16"/>
                <w:szCs w:val="16"/>
              </w:rPr>
              <w:t>(long-term)</w:t>
            </w:r>
          </w:p>
        </w:tc>
        <w:tc>
          <w:tcPr>
            <w:tcW w:w="1367" w:type="dxa"/>
            <w:tcBorders>
              <w:top w:val="single" w:sz="4" w:space="0" w:color="auto"/>
              <w:bottom w:val="single" w:sz="4" w:space="0" w:color="auto"/>
            </w:tcBorders>
            <w:shd w:val="clear" w:color="auto" w:fill="BBE0E3"/>
            <w:noWrap/>
            <w:vAlign w:val="center"/>
            <w:hideMark/>
          </w:tcPr>
          <w:p w:rsidR="00273002" w:rsidRDefault="00273002" w:rsidP="00805748">
            <w:pPr>
              <w:spacing w:before="0" w:after="0"/>
              <w:jc w:val="center"/>
              <w:rPr>
                <w:b/>
                <w:color w:val="000000"/>
                <w:sz w:val="16"/>
                <w:szCs w:val="16"/>
              </w:rPr>
            </w:pPr>
            <w:r>
              <w:rPr>
                <w:b/>
                <w:color w:val="000000"/>
                <w:sz w:val="16"/>
                <w:szCs w:val="16"/>
              </w:rPr>
              <w:t>Annual daytime</w:t>
            </w:r>
          </w:p>
          <w:p w:rsidR="00273002" w:rsidRDefault="00273002" w:rsidP="00805748">
            <w:pPr>
              <w:spacing w:before="0" w:after="0"/>
              <w:jc w:val="center"/>
              <w:rPr>
                <w:b/>
                <w:color w:val="000000"/>
                <w:sz w:val="16"/>
                <w:szCs w:val="16"/>
              </w:rPr>
            </w:pPr>
            <w:r>
              <w:rPr>
                <w:b/>
                <w:color w:val="000000"/>
                <w:sz w:val="16"/>
                <w:szCs w:val="16"/>
              </w:rPr>
              <w:t>exposure</w:t>
            </w:r>
          </w:p>
          <w:p w:rsidR="00273002" w:rsidRDefault="00273002" w:rsidP="00805748">
            <w:pPr>
              <w:spacing w:before="0" w:after="0"/>
              <w:jc w:val="center"/>
              <w:rPr>
                <w:b/>
                <w:color w:val="000000"/>
                <w:sz w:val="16"/>
                <w:szCs w:val="16"/>
              </w:rPr>
            </w:pPr>
            <w:r>
              <w:rPr>
                <w:b/>
                <w:color w:val="000000"/>
                <w:sz w:val="16"/>
                <w:szCs w:val="16"/>
              </w:rPr>
              <w:t>2014-15 (hrs)</w:t>
            </w:r>
          </w:p>
        </w:tc>
      </w:tr>
      <w:tr w:rsidR="00273002" w:rsidTr="003A1357">
        <w:trPr>
          <w:trHeight w:val="276"/>
          <w:jc w:val="center"/>
        </w:trPr>
        <w:tc>
          <w:tcPr>
            <w:tcW w:w="619" w:type="dxa"/>
            <w:vMerge w:val="restart"/>
            <w:tcBorders>
              <w:top w:val="single" w:sz="4" w:space="0" w:color="auto"/>
            </w:tcBorders>
            <w:shd w:val="clear" w:color="auto" w:fill="E7F3F4"/>
            <w:textDirection w:val="btLr"/>
            <w:vAlign w:val="center"/>
            <w:hideMark/>
          </w:tcPr>
          <w:p w:rsidR="00273002" w:rsidRDefault="00273002" w:rsidP="00805748">
            <w:pPr>
              <w:spacing w:before="0" w:after="0"/>
              <w:ind w:left="113" w:right="113"/>
              <w:jc w:val="center"/>
              <w:rPr>
                <w:color w:val="000000"/>
                <w:sz w:val="16"/>
                <w:szCs w:val="16"/>
              </w:rPr>
            </w:pPr>
            <w:r>
              <w:rPr>
                <w:color w:val="000000"/>
                <w:sz w:val="16"/>
                <w:szCs w:val="16"/>
              </w:rPr>
              <w:t>Cape York</w:t>
            </w:r>
          </w:p>
        </w:tc>
        <w:tc>
          <w:tcPr>
            <w:tcW w:w="619"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AP1</w:t>
            </w:r>
          </w:p>
        </w:tc>
        <w:tc>
          <w:tcPr>
            <w:tcW w:w="1083"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0.46</w:t>
            </w:r>
          </w:p>
        </w:tc>
        <w:tc>
          <w:tcPr>
            <w:tcW w:w="993"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1.02</w:t>
            </w:r>
          </w:p>
        </w:tc>
        <w:tc>
          <w:tcPr>
            <w:tcW w:w="1362"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0.46</w:t>
            </w:r>
          </w:p>
        </w:tc>
        <w:tc>
          <w:tcPr>
            <w:tcW w:w="1329"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65.21</w:t>
            </w:r>
          </w:p>
        </w:tc>
        <w:tc>
          <w:tcPr>
            <w:tcW w:w="1665"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1.49%</w:t>
            </w:r>
          </w:p>
        </w:tc>
        <w:tc>
          <w:tcPr>
            <w:tcW w:w="1367" w:type="dxa"/>
            <w:tcBorders>
              <w:top w:val="single" w:sz="4" w:space="0" w:color="auto"/>
            </w:tcBorders>
            <w:shd w:val="clear" w:color="auto" w:fill="E7F3F4"/>
            <w:noWrap/>
            <w:vAlign w:val="center"/>
            <w:hideMark/>
          </w:tcPr>
          <w:p w:rsidR="00273002" w:rsidRDefault="00273002" w:rsidP="00805748">
            <w:pPr>
              <w:spacing w:before="0" w:after="0"/>
              <w:jc w:val="center"/>
              <w:rPr>
                <w:sz w:val="16"/>
                <w:szCs w:val="16"/>
              </w:rPr>
            </w:pPr>
            <w:r>
              <w:rPr>
                <w:sz w:val="16"/>
                <w:szCs w:val="16"/>
              </w:rPr>
              <w:t>49.67</w:t>
            </w:r>
          </w:p>
        </w:tc>
      </w:tr>
      <w:tr w:rsidR="00273002" w:rsidTr="003A1357">
        <w:trPr>
          <w:trHeight w:val="276"/>
          <w:jc w:val="center"/>
        </w:trPr>
        <w:tc>
          <w:tcPr>
            <w:tcW w:w="0" w:type="auto"/>
            <w:vMerge/>
            <w:tcBorders>
              <w:bottom w:val="single" w:sz="4" w:space="0" w:color="auto"/>
            </w:tcBorders>
            <w:vAlign w:val="center"/>
            <w:hideMark/>
          </w:tcPr>
          <w:p w:rsidR="00273002" w:rsidRDefault="00273002" w:rsidP="00805748">
            <w:pPr>
              <w:spacing w:before="0" w:after="0"/>
              <w:rPr>
                <w:color w:val="000000"/>
                <w:sz w:val="16"/>
                <w:szCs w:val="16"/>
              </w:rPr>
            </w:pPr>
          </w:p>
        </w:tc>
        <w:tc>
          <w:tcPr>
            <w:tcW w:w="619"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AP2</w:t>
            </w:r>
          </w:p>
        </w:tc>
        <w:tc>
          <w:tcPr>
            <w:tcW w:w="1083"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0.46</w:t>
            </w:r>
          </w:p>
        </w:tc>
        <w:tc>
          <w:tcPr>
            <w:tcW w:w="993"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1.02</w:t>
            </w:r>
          </w:p>
        </w:tc>
        <w:tc>
          <w:tcPr>
            <w:tcW w:w="1362"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0.46</w:t>
            </w:r>
          </w:p>
        </w:tc>
        <w:tc>
          <w:tcPr>
            <w:tcW w:w="1329"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65.21</w:t>
            </w:r>
          </w:p>
        </w:tc>
        <w:tc>
          <w:tcPr>
            <w:tcW w:w="1665"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1.49%</w:t>
            </w:r>
          </w:p>
        </w:tc>
        <w:tc>
          <w:tcPr>
            <w:tcW w:w="1367" w:type="dxa"/>
            <w:tcBorders>
              <w:bottom w:val="single" w:sz="4" w:space="0" w:color="auto"/>
            </w:tcBorders>
            <w:shd w:val="clear" w:color="auto" w:fill="E7F3F4"/>
            <w:noWrap/>
            <w:vAlign w:val="center"/>
            <w:hideMark/>
          </w:tcPr>
          <w:p w:rsidR="00273002" w:rsidRDefault="00273002" w:rsidP="00805748">
            <w:pPr>
              <w:spacing w:before="0" w:after="0"/>
              <w:jc w:val="center"/>
              <w:rPr>
                <w:sz w:val="16"/>
                <w:szCs w:val="16"/>
              </w:rPr>
            </w:pPr>
            <w:r>
              <w:rPr>
                <w:sz w:val="16"/>
                <w:szCs w:val="16"/>
              </w:rPr>
              <w:t>49.67</w:t>
            </w:r>
          </w:p>
        </w:tc>
      </w:tr>
      <w:tr w:rsidR="00273002" w:rsidTr="003A1357">
        <w:trPr>
          <w:trHeight w:val="276"/>
          <w:jc w:val="center"/>
        </w:trPr>
        <w:tc>
          <w:tcPr>
            <w:tcW w:w="619" w:type="dxa"/>
            <w:vMerge w:val="restart"/>
            <w:tcBorders>
              <w:top w:val="single" w:sz="4" w:space="0" w:color="auto"/>
            </w:tcBorders>
            <w:shd w:val="clear" w:color="auto" w:fill="F3F9FA"/>
            <w:textDirection w:val="btLr"/>
            <w:vAlign w:val="center"/>
            <w:hideMark/>
          </w:tcPr>
          <w:p w:rsidR="00273002" w:rsidRDefault="00273002" w:rsidP="00805748">
            <w:pPr>
              <w:spacing w:before="0" w:after="0"/>
              <w:ind w:left="113" w:right="113"/>
              <w:jc w:val="center"/>
              <w:rPr>
                <w:color w:val="000000"/>
                <w:sz w:val="16"/>
                <w:szCs w:val="16"/>
              </w:rPr>
            </w:pPr>
            <w:r>
              <w:rPr>
                <w:color w:val="000000"/>
                <w:sz w:val="16"/>
                <w:szCs w:val="16"/>
              </w:rPr>
              <w:t>Wet Tropics</w:t>
            </w:r>
          </w:p>
        </w:tc>
        <w:tc>
          <w:tcPr>
            <w:tcW w:w="619"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LI1</w:t>
            </w:r>
          </w:p>
        </w:tc>
        <w:tc>
          <w:tcPr>
            <w:tcW w:w="1083"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0.65</w:t>
            </w:r>
          </w:p>
        </w:tc>
        <w:tc>
          <w:tcPr>
            <w:tcW w:w="993"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0.90</w:t>
            </w:r>
          </w:p>
        </w:tc>
        <w:tc>
          <w:tcPr>
            <w:tcW w:w="1362"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0.65</w:t>
            </w:r>
          </w:p>
        </w:tc>
        <w:tc>
          <w:tcPr>
            <w:tcW w:w="1329" w:type="dxa"/>
            <w:tcBorders>
              <w:top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174.31</w:t>
            </w:r>
          </w:p>
        </w:tc>
        <w:tc>
          <w:tcPr>
            <w:tcW w:w="1665" w:type="dxa"/>
            <w:tcBorders>
              <w:top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4.21%</w:t>
            </w:r>
          </w:p>
        </w:tc>
        <w:tc>
          <w:tcPr>
            <w:tcW w:w="1367" w:type="dxa"/>
            <w:tcBorders>
              <w:top w:val="single" w:sz="4" w:space="0" w:color="auto"/>
            </w:tcBorders>
            <w:shd w:val="clear" w:color="auto" w:fill="F3F9FA"/>
            <w:noWrap/>
            <w:vAlign w:val="center"/>
            <w:hideMark/>
          </w:tcPr>
          <w:p w:rsidR="00273002" w:rsidRDefault="00273002" w:rsidP="00805748">
            <w:pPr>
              <w:spacing w:before="0" w:after="0"/>
              <w:jc w:val="center"/>
              <w:rPr>
                <w:sz w:val="16"/>
                <w:szCs w:val="16"/>
              </w:rPr>
            </w:pPr>
            <w:r>
              <w:rPr>
                <w:sz w:val="16"/>
                <w:szCs w:val="16"/>
              </w:rPr>
              <w:t>153.67</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YP1</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0.64</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0.94</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0.64</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166.46</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4.02%</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147.67</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YP2</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0.52</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1.06</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0.52</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94.06</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2.27%</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79</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GI1</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0.51</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1.03</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0.61</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111.98</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2.72%</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128.83</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GI2</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0.57</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0.97</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0.67</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148.92</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3.62</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164</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DI1</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0.65</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1.14</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0.54</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71.27</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1.76%</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53.8</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DI2</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0.55</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1.24</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0.44</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42.27</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1.04%</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31</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LB1</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0.42</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1.37</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0.31</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17.33</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0.4%</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15</w:t>
            </w:r>
          </w:p>
        </w:tc>
      </w:tr>
      <w:tr w:rsidR="00273002" w:rsidTr="003A1357">
        <w:trPr>
          <w:trHeight w:val="276"/>
          <w:jc w:val="center"/>
        </w:trPr>
        <w:tc>
          <w:tcPr>
            <w:tcW w:w="0" w:type="auto"/>
            <w:vMerge/>
            <w:tcBorders>
              <w:bottom w:val="single" w:sz="4" w:space="0" w:color="auto"/>
            </w:tcBorders>
            <w:vAlign w:val="center"/>
            <w:hideMark/>
          </w:tcPr>
          <w:p w:rsidR="00273002" w:rsidRDefault="00273002" w:rsidP="00805748">
            <w:pPr>
              <w:spacing w:before="0" w:after="0"/>
              <w:rPr>
                <w:color w:val="000000"/>
                <w:sz w:val="16"/>
                <w:szCs w:val="16"/>
              </w:rPr>
            </w:pPr>
          </w:p>
        </w:tc>
        <w:tc>
          <w:tcPr>
            <w:tcW w:w="619"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LB2</w:t>
            </w:r>
          </w:p>
        </w:tc>
        <w:tc>
          <w:tcPr>
            <w:tcW w:w="1083"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0.46</w:t>
            </w:r>
          </w:p>
        </w:tc>
        <w:tc>
          <w:tcPr>
            <w:tcW w:w="993"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1.33</w:t>
            </w:r>
          </w:p>
        </w:tc>
        <w:tc>
          <w:tcPr>
            <w:tcW w:w="1362"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0.35</w:t>
            </w:r>
          </w:p>
        </w:tc>
        <w:tc>
          <w:tcPr>
            <w:tcW w:w="1329" w:type="dxa"/>
            <w:tcBorders>
              <w:bottom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21.77</w:t>
            </w:r>
          </w:p>
        </w:tc>
        <w:tc>
          <w:tcPr>
            <w:tcW w:w="1665" w:type="dxa"/>
            <w:tcBorders>
              <w:bottom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0.52%</w:t>
            </w:r>
          </w:p>
        </w:tc>
        <w:tc>
          <w:tcPr>
            <w:tcW w:w="1367" w:type="dxa"/>
            <w:tcBorders>
              <w:bottom w:val="single" w:sz="4" w:space="0" w:color="auto"/>
            </w:tcBorders>
            <w:shd w:val="clear" w:color="auto" w:fill="F3F9FA"/>
            <w:noWrap/>
            <w:vAlign w:val="center"/>
            <w:hideMark/>
          </w:tcPr>
          <w:p w:rsidR="00273002" w:rsidRDefault="00273002" w:rsidP="00805748">
            <w:pPr>
              <w:spacing w:before="0" w:after="0"/>
              <w:jc w:val="center"/>
              <w:rPr>
                <w:sz w:val="16"/>
                <w:szCs w:val="16"/>
              </w:rPr>
            </w:pPr>
            <w:r>
              <w:rPr>
                <w:sz w:val="16"/>
                <w:szCs w:val="16"/>
              </w:rPr>
              <w:t>18</w:t>
            </w:r>
          </w:p>
        </w:tc>
      </w:tr>
      <w:tr w:rsidR="00273002" w:rsidTr="003A1357">
        <w:trPr>
          <w:trHeight w:val="276"/>
          <w:jc w:val="center"/>
        </w:trPr>
        <w:tc>
          <w:tcPr>
            <w:tcW w:w="619" w:type="dxa"/>
            <w:vMerge w:val="restart"/>
            <w:tcBorders>
              <w:top w:val="single" w:sz="4" w:space="0" w:color="auto"/>
            </w:tcBorders>
            <w:shd w:val="clear" w:color="auto" w:fill="E7F3F4"/>
            <w:textDirection w:val="btLr"/>
            <w:vAlign w:val="center"/>
            <w:hideMark/>
          </w:tcPr>
          <w:p w:rsidR="00273002" w:rsidRDefault="00273002" w:rsidP="00805748">
            <w:pPr>
              <w:spacing w:before="0" w:after="0"/>
              <w:ind w:left="113" w:right="113"/>
              <w:jc w:val="center"/>
              <w:rPr>
                <w:color w:val="000000"/>
                <w:sz w:val="16"/>
                <w:szCs w:val="16"/>
              </w:rPr>
            </w:pPr>
            <w:r>
              <w:rPr>
                <w:color w:val="000000"/>
                <w:sz w:val="16"/>
                <w:szCs w:val="16"/>
              </w:rPr>
              <w:t>Burdekin</w:t>
            </w:r>
          </w:p>
        </w:tc>
        <w:tc>
          <w:tcPr>
            <w:tcW w:w="619"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BB1</w:t>
            </w:r>
          </w:p>
        </w:tc>
        <w:tc>
          <w:tcPr>
            <w:tcW w:w="1083"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0.58</w:t>
            </w:r>
          </w:p>
        </w:tc>
        <w:tc>
          <w:tcPr>
            <w:tcW w:w="993"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1.30</w:t>
            </w:r>
          </w:p>
        </w:tc>
        <w:tc>
          <w:tcPr>
            <w:tcW w:w="1362"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0.58</w:t>
            </w:r>
          </w:p>
        </w:tc>
        <w:tc>
          <w:tcPr>
            <w:tcW w:w="1329" w:type="dxa"/>
            <w:tcBorders>
              <w:top w:val="single" w:sz="4" w:space="0" w:color="auto"/>
            </w:tcBorders>
            <w:shd w:val="clear" w:color="auto" w:fill="E7F3F4"/>
            <w:vAlign w:val="center"/>
            <w:hideMark/>
          </w:tcPr>
          <w:p w:rsidR="00273002" w:rsidRDefault="00273002" w:rsidP="00805748">
            <w:pPr>
              <w:spacing w:before="0" w:after="0"/>
              <w:jc w:val="center"/>
              <w:rPr>
                <w:sz w:val="16"/>
                <w:szCs w:val="16"/>
              </w:rPr>
            </w:pPr>
            <w:r>
              <w:rPr>
                <w:sz w:val="16"/>
                <w:szCs w:val="16"/>
              </w:rPr>
              <w:t>85.14</w:t>
            </w:r>
          </w:p>
        </w:tc>
        <w:tc>
          <w:tcPr>
            <w:tcW w:w="1665" w:type="dxa"/>
            <w:tcBorders>
              <w:top w:val="single" w:sz="4" w:space="0" w:color="auto"/>
            </w:tcBorders>
            <w:shd w:val="clear" w:color="auto" w:fill="E7F3F4"/>
            <w:vAlign w:val="center"/>
            <w:hideMark/>
          </w:tcPr>
          <w:p w:rsidR="00273002" w:rsidRDefault="00273002" w:rsidP="00805748">
            <w:pPr>
              <w:spacing w:before="0" w:after="0"/>
              <w:jc w:val="center"/>
              <w:rPr>
                <w:sz w:val="16"/>
                <w:szCs w:val="16"/>
              </w:rPr>
            </w:pPr>
            <w:r>
              <w:rPr>
                <w:sz w:val="16"/>
                <w:szCs w:val="16"/>
              </w:rPr>
              <w:t>2.06%</w:t>
            </w:r>
          </w:p>
        </w:tc>
        <w:tc>
          <w:tcPr>
            <w:tcW w:w="1367" w:type="dxa"/>
            <w:tcBorders>
              <w:top w:val="single" w:sz="4" w:space="0" w:color="auto"/>
            </w:tcBorders>
            <w:shd w:val="clear" w:color="auto" w:fill="E7F3F4"/>
            <w:noWrap/>
            <w:vAlign w:val="center"/>
            <w:hideMark/>
          </w:tcPr>
          <w:p w:rsidR="00273002" w:rsidRDefault="00273002" w:rsidP="00805748">
            <w:pPr>
              <w:spacing w:before="0" w:after="0"/>
              <w:jc w:val="center"/>
              <w:rPr>
                <w:sz w:val="16"/>
                <w:szCs w:val="16"/>
              </w:rPr>
            </w:pPr>
            <w:r>
              <w:rPr>
                <w:sz w:val="16"/>
                <w:szCs w:val="16"/>
              </w:rPr>
              <w:t>53.17</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SB1</w:t>
            </w:r>
          </w:p>
        </w:tc>
        <w:tc>
          <w:tcPr>
            <w:tcW w:w="108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0.57</w:t>
            </w:r>
          </w:p>
        </w:tc>
        <w:tc>
          <w:tcPr>
            <w:tcW w:w="99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1.31</w:t>
            </w:r>
          </w:p>
        </w:tc>
        <w:tc>
          <w:tcPr>
            <w:tcW w:w="1362"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0.57</w:t>
            </w:r>
          </w:p>
        </w:tc>
        <w:tc>
          <w:tcPr>
            <w:tcW w:w="1329" w:type="dxa"/>
            <w:shd w:val="clear" w:color="auto" w:fill="E7F3F4"/>
            <w:vAlign w:val="center"/>
            <w:hideMark/>
          </w:tcPr>
          <w:p w:rsidR="00273002" w:rsidRDefault="00273002" w:rsidP="00805748">
            <w:pPr>
              <w:spacing w:before="0" w:after="0"/>
              <w:jc w:val="center"/>
              <w:rPr>
                <w:sz w:val="16"/>
                <w:szCs w:val="16"/>
              </w:rPr>
            </w:pPr>
            <w:r>
              <w:rPr>
                <w:sz w:val="16"/>
                <w:szCs w:val="16"/>
              </w:rPr>
              <w:t>68.64</w:t>
            </w:r>
          </w:p>
        </w:tc>
        <w:tc>
          <w:tcPr>
            <w:tcW w:w="1665" w:type="dxa"/>
            <w:shd w:val="clear" w:color="auto" w:fill="E7F3F4"/>
            <w:vAlign w:val="center"/>
            <w:hideMark/>
          </w:tcPr>
          <w:p w:rsidR="00273002" w:rsidRDefault="00273002" w:rsidP="00805748">
            <w:pPr>
              <w:spacing w:before="0" w:after="0"/>
              <w:jc w:val="center"/>
              <w:rPr>
                <w:sz w:val="16"/>
                <w:szCs w:val="16"/>
              </w:rPr>
            </w:pPr>
            <w:r>
              <w:rPr>
                <w:sz w:val="16"/>
                <w:szCs w:val="16"/>
              </w:rPr>
              <w:t>1.66%</w:t>
            </w:r>
          </w:p>
        </w:tc>
        <w:tc>
          <w:tcPr>
            <w:tcW w:w="1367" w:type="dxa"/>
            <w:shd w:val="clear" w:color="auto" w:fill="E7F3F4"/>
            <w:noWrap/>
            <w:vAlign w:val="center"/>
            <w:hideMark/>
          </w:tcPr>
          <w:p w:rsidR="00273002" w:rsidRDefault="00273002" w:rsidP="00805748">
            <w:pPr>
              <w:spacing w:before="0" w:after="0"/>
              <w:jc w:val="center"/>
              <w:rPr>
                <w:sz w:val="16"/>
                <w:szCs w:val="16"/>
              </w:rPr>
            </w:pPr>
            <w:r>
              <w:rPr>
                <w:sz w:val="16"/>
                <w:szCs w:val="16"/>
              </w:rPr>
              <w:t>51.67</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MI1</w:t>
            </w:r>
          </w:p>
        </w:tc>
        <w:tc>
          <w:tcPr>
            <w:tcW w:w="108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0.65</w:t>
            </w:r>
          </w:p>
        </w:tc>
        <w:tc>
          <w:tcPr>
            <w:tcW w:w="99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1.19</w:t>
            </w:r>
          </w:p>
        </w:tc>
        <w:tc>
          <w:tcPr>
            <w:tcW w:w="1362"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0.67</w:t>
            </w:r>
          </w:p>
        </w:tc>
        <w:tc>
          <w:tcPr>
            <w:tcW w:w="1329" w:type="dxa"/>
            <w:shd w:val="clear" w:color="auto" w:fill="E7F3F4"/>
            <w:vAlign w:val="center"/>
            <w:hideMark/>
          </w:tcPr>
          <w:p w:rsidR="00273002" w:rsidRDefault="00273002" w:rsidP="00805748">
            <w:pPr>
              <w:spacing w:before="0" w:after="0"/>
              <w:jc w:val="center"/>
              <w:rPr>
                <w:sz w:val="16"/>
                <w:szCs w:val="16"/>
              </w:rPr>
            </w:pPr>
            <w:r>
              <w:rPr>
                <w:sz w:val="16"/>
                <w:szCs w:val="16"/>
              </w:rPr>
              <w:t>180.61</w:t>
            </w:r>
          </w:p>
        </w:tc>
        <w:tc>
          <w:tcPr>
            <w:tcW w:w="1665" w:type="dxa"/>
            <w:shd w:val="clear" w:color="auto" w:fill="E7F3F4"/>
            <w:vAlign w:val="center"/>
            <w:hideMark/>
          </w:tcPr>
          <w:p w:rsidR="00273002" w:rsidRDefault="00273002" w:rsidP="00805748">
            <w:pPr>
              <w:spacing w:before="0" w:after="0"/>
              <w:jc w:val="center"/>
              <w:rPr>
                <w:sz w:val="16"/>
                <w:szCs w:val="16"/>
              </w:rPr>
            </w:pPr>
            <w:r>
              <w:rPr>
                <w:sz w:val="16"/>
                <w:szCs w:val="16"/>
              </w:rPr>
              <w:t>4.39%</w:t>
            </w:r>
          </w:p>
        </w:tc>
        <w:tc>
          <w:tcPr>
            <w:tcW w:w="1367" w:type="dxa"/>
            <w:shd w:val="clear" w:color="auto" w:fill="E7F3F4"/>
            <w:noWrap/>
            <w:vAlign w:val="center"/>
            <w:hideMark/>
          </w:tcPr>
          <w:p w:rsidR="00273002" w:rsidRDefault="00273002" w:rsidP="00805748">
            <w:pPr>
              <w:spacing w:before="0" w:after="0"/>
              <w:jc w:val="center"/>
              <w:rPr>
                <w:sz w:val="16"/>
                <w:szCs w:val="16"/>
              </w:rPr>
            </w:pPr>
            <w:r>
              <w:rPr>
                <w:sz w:val="16"/>
                <w:szCs w:val="16"/>
              </w:rPr>
              <w:t>80.83</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MI2</w:t>
            </w:r>
          </w:p>
        </w:tc>
        <w:tc>
          <w:tcPr>
            <w:tcW w:w="108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0.54</w:t>
            </w:r>
          </w:p>
        </w:tc>
        <w:tc>
          <w:tcPr>
            <w:tcW w:w="99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1.30</w:t>
            </w:r>
          </w:p>
        </w:tc>
        <w:tc>
          <w:tcPr>
            <w:tcW w:w="1362"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0.56</w:t>
            </w:r>
          </w:p>
        </w:tc>
        <w:tc>
          <w:tcPr>
            <w:tcW w:w="1329" w:type="dxa"/>
            <w:shd w:val="clear" w:color="auto" w:fill="E7F3F4"/>
            <w:vAlign w:val="center"/>
            <w:hideMark/>
          </w:tcPr>
          <w:p w:rsidR="00273002" w:rsidRDefault="00273002" w:rsidP="00805748">
            <w:pPr>
              <w:spacing w:before="0" w:after="0"/>
              <w:jc w:val="center"/>
              <w:rPr>
                <w:sz w:val="16"/>
                <w:szCs w:val="16"/>
              </w:rPr>
            </w:pPr>
            <w:r>
              <w:rPr>
                <w:sz w:val="16"/>
                <w:szCs w:val="16"/>
              </w:rPr>
              <w:t>164.5</w:t>
            </w:r>
          </w:p>
        </w:tc>
        <w:tc>
          <w:tcPr>
            <w:tcW w:w="1665" w:type="dxa"/>
            <w:shd w:val="clear" w:color="auto" w:fill="E7F3F4"/>
            <w:vAlign w:val="center"/>
            <w:hideMark/>
          </w:tcPr>
          <w:p w:rsidR="00273002" w:rsidRDefault="00273002" w:rsidP="00805748">
            <w:pPr>
              <w:spacing w:before="0" w:after="0"/>
              <w:jc w:val="center"/>
              <w:rPr>
                <w:sz w:val="16"/>
                <w:szCs w:val="16"/>
              </w:rPr>
            </w:pPr>
            <w:r>
              <w:rPr>
                <w:sz w:val="16"/>
                <w:szCs w:val="16"/>
              </w:rPr>
              <w:t>4.0%</w:t>
            </w:r>
          </w:p>
        </w:tc>
        <w:tc>
          <w:tcPr>
            <w:tcW w:w="1367" w:type="dxa"/>
            <w:shd w:val="clear" w:color="auto" w:fill="E7F3F4"/>
            <w:noWrap/>
            <w:vAlign w:val="center"/>
            <w:hideMark/>
          </w:tcPr>
          <w:p w:rsidR="00273002" w:rsidRDefault="00273002" w:rsidP="00805748">
            <w:pPr>
              <w:spacing w:before="0" w:after="0"/>
              <w:jc w:val="center"/>
              <w:rPr>
                <w:sz w:val="16"/>
                <w:szCs w:val="16"/>
              </w:rPr>
            </w:pPr>
            <w:r>
              <w:rPr>
                <w:sz w:val="16"/>
                <w:szCs w:val="16"/>
              </w:rPr>
              <w:t>49.17</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JR1</w:t>
            </w:r>
          </w:p>
        </w:tc>
        <w:tc>
          <w:tcPr>
            <w:tcW w:w="108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0.47</w:t>
            </w:r>
          </w:p>
        </w:tc>
        <w:tc>
          <w:tcPr>
            <w:tcW w:w="99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1.32</w:t>
            </w:r>
          </w:p>
        </w:tc>
        <w:tc>
          <w:tcPr>
            <w:tcW w:w="1362"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0.47</w:t>
            </w:r>
          </w:p>
        </w:tc>
        <w:tc>
          <w:tcPr>
            <w:tcW w:w="1329" w:type="dxa"/>
            <w:shd w:val="clear" w:color="auto" w:fill="E7F3F4"/>
            <w:vAlign w:val="center"/>
            <w:hideMark/>
          </w:tcPr>
          <w:p w:rsidR="00273002" w:rsidRDefault="00273002" w:rsidP="00805748">
            <w:pPr>
              <w:spacing w:before="0" w:after="0"/>
              <w:jc w:val="center"/>
              <w:rPr>
                <w:sz w:val="16"/>
                <w:szCs w:val="16"/>
              </w:rPr>
            </w:pPr>
            <w:r>
              <w:rPr>
                <w:sz w:val="16"/>
                <w:szCs w:val="16"/>
              </w:rPr>
              <w:t>62.13</w:t>
            </w:r>
          </w:p>
        </w:tc>
        <w:tc>
          <w:tcPr>
            <w:tcW w:w="1665" w:type="dxa"/>
            <w:shd w:val="clear" w:color="auto" w:fill="E7F3F4"/>
            <w:vAlign w:val="center"/>
            <w:hideMark/>
          </w:tcPr>
          <w:p w:rsidR="00273002" w:rsidRDefault="00273002" w:rsidP="00805748">
            <w:pPr>
              <w:spacing w:before="0" w:after="0"/>
              <w:jc w:val="center"/>
              <w:rPr>
                <w:sz w:val="16"/>
                <w:szCs w:val="16"/>
              </w:rPr>
            </w:pPr>
            <w:r>
              <w:rPr>
                <w:sz w:val="16"/>
                <w:szCs w:val="16"/>
              </w:rPr>
              <w:t>1.42%</w:t>
            </w:r>
          </w:p>
        </w:tc>
        <w:tc>
          <w:tcPr>
            <w:tcW w:w="1367" w:type="dxa"/>
            <w:shd w:val="clear" w:color="auto" w:fill="E7F3F4"/>
            <w:noWrap/>
            <w:vAlign w:val="center"/>
            <w:hideMark/>
          </w:tcPr>
          <w:p w:rsidR="00273002" w:rsidRDefault="00273002" w:rsidP="00805748">
            <w:pPr>
              <w:spacing w:before="0" w:after="0"/>
              <w:jc w:val="center"/>
              <w:rPr>
                <w:sz w:val="16"/>
                <w:szCs w:val="16"/>
              </w:rPr>
            </w:pPr>
            <w:r>
              <w:rPr>
                <w:sz w:val="16"/>
                <w:szCs w:val="16"/>
              </w:rPr>
              <w:t>53.3</w:t>
            </w:r>
          </w:p>
        </w:tc>
      </w:tr>
      <w:tr w:rsidR="00273002" w:rsidTr="003A1357">
        <w:trPr>
          <w:trHeight w:val="276"/>
          <w:jc w:val="center"/>
        </w:trPr>
        <w:tc>
          <w:tcPr>
            <w:tcW w:w="0" w:type="auto"/>
            <w:vMerge/>
            <w:tcBorders>
              <w:bottom w:val="single" w:sz="4" w:space="0" w:color="auto"/>
            </w:tcBorders>
            <w:vAlign w:val="center"/>
            <w:hideMark/>
          </w:tcPr>
          <w:p w:rsidR="00273002" w:rsidRDefault="00273002" w:rsidP="00805748">
            <w:pPr>
              <w:spacing w:before="0" w:after="0"/>
              <w:rPr>
                <w:color w:val="000000"/>
                <w:sz w:val="16"/>
                <w:szCs w:val="16"/>
              </w:rPr>
            </w:pPr>
          </w:p>
        </w:tc>
        <w:tc>
          <w:tcPr>
            <w:tcW w:w="619"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JR2</w:t>
            </w:r>
          </w:p>
        </w:tc>
        <w:tc>
          <w:tcPr>
            <w:tcW w:w="1083"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0.47</w:t>
            </w:r>
          </w:p>
        </w:tc>
        <w:tc>
          <w:tcPr>
            <w:tcW w:w="993"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1.32</w:t>
            </w:r>
          </w:p>
        </w:tc>
        <w:tc>
          <w:tcPr>
            <w:tcW w:w="1362"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0.47</w:t>
            </w:r>
          </w:p>
        </w:tc>
        <w:tc>
          <w:tcPr>
            <w:tcW w:w="1329" w:type="dxa"/>
            <w:tcBorders>
              <w:bottom w:val="single" w:sz="4" w:space="0" w:color="auto"/>
            </w:tcBorders>
            <w:shd w:val="clear" w:color="auto" w:fill="E7F3F4"/>
            <w:vAlign w:val="center"/>
            <w:hideMark/>
          </w:tcPr>
          <w:p w:rsidR="00273002" w:rsidRDefault="00273002" w:rsidP="00805748">
            <w:pPr>
              <w:spacing w:before="0" w:after="0"/>
              <w:jc w:val="center"/>
              <w:rPr>
                <w:sz w:val="16"/>
                <w:szCs w:val="16"/>
              </w:rPr>
            </w:pPr>
            <w:r>
              <w:rPr>
                <w:sz w:val="16"/>
                <w:szCs w:val="16"/>
              </w:rPr>
              <w:t>62.13</w:t>
            </w:r>
          </w:p>
        </w:tc>
        <w:tc>
          <w:tcPr>
            <w:tcW w:w="1665" w:type="dxa"/>
            <w:tcBorders>
              <w:bottom w:val="single" w:sz="4" w:space="0" w:color="auto"/>
            </w:tcBorders>
            <w:shd w:val="clear" w:color="auto" w:fill="E7F3F4"/>
            <w:vAlign w:val="center"/>
            <w:hideMark/>
          </w:tcPr>
          <w:p w:rsidR="00273002" w:rsidRDefault="00273002" w:rsidP="00805748">
            <w:pPr>
              <w:spacing w:before="0" w:after="0"/>
              <w:jc w:val="center"/>
              <w:rPr>
                <w:sz w:val="16"/>
                <w:szCs w:val="16"/>
              </w:rPr>
            </w:pPr>
            <w:r>
              <w:rPr>
                <w:sz w:val="16"/>
                <w:szCs w:val="16"/>
              </w:rPr>
              <w:t>1.42%</w:t>
            </w:r>
          </w:p>
        </w:tc>
        <w:tc>
          <w:tcPr>
            <w:tcW w:w="1367" w:type="dxa"/>
            <w:tcBorders>
              <w:bottom w:val="single" w:sz="4" w:space="0" w:color="auto"/>
            </w:tcBorders>
            <w:shd w:val="clear" w:color="auto" w:fill="E7F3F4"/>
            <w:noWrap/>
            <w:vAlign w:val="center"/>
            <w:hideMark/>
          </w:tcPr>
          <w:p w:rsidR="00273002" w:rsidRDefault="00273002" w:rsidP="00805748">
            <w:pPr>
              <w:spacing w:before="0" w:after="0"/>
              <w:jc w:val="center"/>
              <w:rPr>
                <w:sz w:val="16"/>
                <w:szCs w:val="16"/>
              </w:rPr>
            </w:pPr>
            <w:r>
              <w:rPr>
                <w:sz w:val="16"/>
                <w:szCs w:val="16"/>
              </w:rPr>
              <w:t>53.3</w:t>
            </w:r>
          </w:p>
        </w:tc>
      </w:tr>
      <w:tr w:rsidR="00273002" w:rsidTr="003A1357">
        <w:trPr>
          <w:trHeight w:val="276"/>
          <w:jc w:val="center"/>
        </w:trPr>
        <w:tc>
          <w:tcPr>
            <w:tcW w:w="619" w:type="dxa"/>
            <w:vMerge w:val="restart"/>
            <w:tcBorders>
              <w:top w:val="single" w:sz="4" w:space="0" w:color="auto"/>
            </w:tcBorders>
            <w:shd w:val="clear" w:color="auto" w:fill="F3F9FA"/>
            <w:textDirection w:val="btLr"/>
            <w:vAlign w:val="center"/>
            <w:hideMark/>
          </w:tcPr>
          <w:p w:rsidR="00273002" w:rsidRDefault="00273002" w:rsidP="00805748">
            <w:pPr>
              <w:spacing w:before="0" w:after="0"/>
              <w:ind w:left="113" w:right="113"/>
              <w:jc w:val="center"/>
              <w:rPr>
                <w:color w:val="000000"/>
                <w:sz w:val="16"/>
                <w:szCs w:val="16"/>
              </w:rPr>
            </w:pPr>
            <w:r>
              <w:rPr>
                <w:color w:val="000000"/>
                <w:sz w:val="16"/>
                <w:szCs w:val="16"/>
              </w:rPr>
              <w:t>Mackay Whitsunday</w:t>
            </w:r>
          </w:p>
        </w:tc>
        <w:tc>
          <w:tcPr>
            <w:tcW w:w="619"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PI2</w:t>
            </w:r>
          </w:p>
        </w:tc>
        <w:tc>
          <w:tcPr>
            <w:tcW w:w="1083"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0.28</w:t>
            </w:r>
          </w:p>
        </w:tc>
        <w:tc>
          <w:tcPr>
            <w:tcW w:w="993"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1.47</w:t>
            </w:r>
          </w:p>
        </w:tc>
        <w:tc>
          <w:tcPr>
            <w:tcW w:w="1362"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0.44</w:t>
            </w:r>
          </w:p>
        </w:tc>
        <w:tc>
          <w:tcPr>
            <w:tcW w:w="1329" w:type="dxa"/>
            <w:tcBorders>
              <w:top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79.68</w:t>
            </w:r>
          </w:p>
        </w:tc>
        <w:tc>
          <w:tcPr>
            <w:tcW w:w="1665" w:type="dxa"/>
            <w:tcBorders>
              <w:top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1.92%</w:t>
            </w:r>
          </w:p>
        </w:tc>
        <w:tc>
          <w:tcPr>
            <w:tcW w:w="1367" w:type="dxa"/>
            <w:tcBorders>
              <w:top w:val="single" w:sz="4" w:space="0" w:color="auto"/>
            </w:tcBorders>
            <w:shd w:val="clear" w:color="auto" w:fill="F3F9FA"/>
            <w:noWrap/>
            <w:vAlign w:val="center"/>
            <w:hideMark/>
          </w:tcPr>
          <w:p w:rsidR="00273002" w:rsidRDefault="00273002" w:rsidP="00805748">
            <w:pPr>
              <w:spacing w:before="0" w:after="0"/>
              <w:jc w:val="center"/>
              <w:rPr>
                <w:sz w:val="16"/>
                <w:szCs w:val="16"/>
              </w:rPr>
            </w:pPr>
            <w:r>
              <w:rPr>
                <w:sz w:val="16"/>
                <w:szCs w:val="16"/>
              </w:rPr>
              <w:t>71.83</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PI3</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0.17</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1.58</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0.33</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41.35</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1.0%</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33.5</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HM1</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0.68</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1.52</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0.38</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55.76</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1.35%</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46.5</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HM2</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0.68</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1.52</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0.38</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55.76</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1.35%</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46.5</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SI1</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0.60</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2.80</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0.54</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21.59</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0.55%</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25.16</w:t>
            </w:r>
          </w:p>
        </w:tc>
      </w:tr>
      <w:tr w:rsidR="00273002" w:rsidTr="003A1357">
        <w:trPr>
          <w:trHeight w:val="276"/>
          <w:jc w:val="center"/>
        </w:trPr>
        <w:tc>
          <w:tcPr>
            <w:tcW w:w="0" w:type="auto"/>
            <w:vMerge/>
            <w:tcBorders>
              <w:bottom w:val="single" w:sz="4" w:space="0" w:color="auto"/>
            </w:tcBorders>
            <w:vAlign w:val="center"/>
            <w:hideMark/>
          </w:tcPr>
          <w:p w:rsidR="00273002" w:rsidRDefault="00273002" w:rsidP="00805748">
            <w:pPr>
              <w:spacing w:before="0" w:after="0"/>
              <w:rPr>
                <w:color w:val="000000"/>
                <w:sz w:val="16"/>
                <w:szCs w:val="16"/>
              </w:rPr>
            </w:pPr>
          </w:p>
        </w:tc>
        <w:tc>
          <w:tcPr>
            <w:tcW w:w="619"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SI2</w:t>
            </w:r>
          </w:p>
        </w:tc>
        <w:tc>
          <w:tcPr>
            <w:tcW w:w="1083"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0.60</w:t>
            </w:r>
          </w:p>
        </w:tc>
        <w:tc>
          <w:tcPr>
            <w:tcW w:w="993"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2.80</w:t>
            </w:r>
          </w:p>
        </w:tc>
        <w:tc>
          <w:tcPr>
            <w:tcW w:w="1362"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0.54</w:t>
            </w:r>
          </w:p>
        </w:tc>
        <w:tc>
          <w:tcPr>
            <w:tcW w:w="1329" w:type="dxa"/>
            <w:tcBorders>
              <w:bottom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21.59</w:t>
            </w:r>
          </w:p>
        </w:tc>
        <w:tc>
          <w:tcPr>
            <w:tcW w:w="1665" w:type="dxa"/>
            <w:tcBorders>
              <w:bottom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0.55%</w:t>
            </w:r>
          </w:p>
        </w:tc>
        <w:tc>
          <w:tcPr>
            <w:tcW w:w="1367" w:type="dxa"/>
            <w:tcBorders>
              <w:bottom w:val="single" w:sz="4" w:space="0" w:color="auto"/>
            </w:tcBorders>
            <w:shd w:val="clear" w:color="auto" w:fill="F3F9FA"/>
            <w:noWrap/>
            <w:vAlign w:val="center"/>
            <w:hideMark/>
          </w:tcPr>
          <w:p w:rsidR="00273002" w:rsidRDefault="00273002" w:rsidP="00805748">
            <w:pPr>
              <w:spacing w:before="0" w:after="0"/>
              <w:jc w:val="center"/>
              <w:rPr>
                <w:sz w:val="16"/>
                <w:szCs w:val="16"/>
              </w:rPr>
            </w:pPr>
            <w:r>
              <w:rPr>
                <w:sz w:val="16"/>
                <w:szCs w:val="16"/>
              </w:rPr>
              <w:t>25.16</w:t>
            </w:r>
          </w:p>
        </w:tc>
      </w:tr>
      <w:tr w:rsidR="00273002" w:rsidTr="003A1357">
        <w:trPr>
          <w:trHeight w:val="276"/>
          <w:jc w:val="center"/>
        </w:trPr>
        <w:tc>
          <w:tcPr>
            <w:tcW w:w="619" w:type="dxa"/>
            <w:vMerge w:val="restart"/>
            <w:tcBorders>
              <w:top w:val="single" w:sz="4" w:space="0" w:color="auto"/>
            </w:tcBorders>
            <w:shd w:val="clear" w:color="auto" w:fill="E7F3F4"/>
            <w:textDirection w:val="btLr"/>
            <w:vAlign w:val="center"/>
            <w:hideMark/>
          </w:tcPr>
          <w:p w:rsidR="00273002" w:rsidRDefault="00273002" w:rsidP="00805748">
            <w:pPr>
              <w:spacing w:before="0" w:after="0"/>
              <w:ind w:left="113" w:right="113"/>
              <w:jc w:val="center"/>
              <w:rPr>
                <w:color w:val="000000"/>
                <w:sz w:val="16"/>
                <w:szCs w:val="16"/>
              </w:rPr>
            </w:pPr>
            <w:r>
              <w:rPr>
                <w:color w:val="000000"/>
                <w:sz w:val="16"/>
                <w:szCs w:val="16"/>
              </w:rPr>
              <w:t>Fitzroy</w:t>
            </w:r>
          </w:p>
        </w:tc>
        <w:tc>
          <w:tcPr>
            <w:tcW w:w="619"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RC1</w:t>
            </w:r>
          </w:p>
        </w:tc>
        <w:tc>
          <w:tcPr>
            <w:tcW w:w="1083"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2.03</w:t>
            </w:r>
          </w:p>
        </w:tc>
        <w:tc>
          <w:tcPr>
            <w:tcW w:w="993"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1.30</w:t>
            </w:r>
          </w:p>
        </w:tc>
        <w:tc>
          <w:tcPr>
            <w:tcW w:w="1362" w:type="dxa"/>
            <w:tcBorders>
              <w:top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1.06</w:t>
            </w:r>
          </w:p>
        </w:tc>
        <w:tc>
          <w:tcPr>
            <w:tcW w:w="1329" w:type="dxa"/>
            <w:tcBorders>
              <w:top w:val="single" w:sz="4" w:space="0" w:color="auto"/>
            </w:tcBorders>
            <w:shd w:val="clear" w:color="auto" w:fill="E7F3F4"/>
            <w:vAlign w:val="center"/>
            <w:hideMark/>
          </w:tcPr>
          <w:p w:rsidR="00273002" w:rsidRDefault="00273002" w:rsidP="00805748">
            <w:pPr>
              <w:spacing w:before="0" w:after="0"/>
              <w:jc w:val="center"/>
              <w:rPr>
                <w:sz w:val="16"/>
                <w:szCs w:val="16"/>
              </w:rPr>
            </w:pPr>
            <w:r>
              <w:rPr>
                <w:sz w:val="16"/>
                <w:szCs w:val="16"/>
              </w:rPr>
              <w:t>160.71</w:t>
            </w:r>
          </w:p>
        </w:tc>
        <w:tc>
          <w:tcPr>
            <w:tcW w:w="1665" w:type="dxa"/>
            <w:tcBorders>
              <w:top w:val="single" w:sz="4" w:space="0" w:color="auto"/>
            </w:tcBorders>
            <w:shd w:val="clear" w:color="auto" w:fill="E7F3F4"/>
            <w:vAlign w:val="center"/>
            <w:hideMark/>
          </w:tcPr>
          <w:p w:rsidR="00273002" w:rsidRDefault="00273002" w:rsidP="00805748">
            <w:pPr>
              <w:spacing w:before="0" w:after="0"/>
              <w:jc w:val="center"/>
              <w:rPr>
                <w:sz w:val="16"/>
                <w:szCs w:val="16"/>
              </w:rPr>
            </w:pPr>
            <w:r>
              <w:rPr>
                <w:sz w:val="16"/>
                <w:szCs w:val="16"/>
              </w:rPr>
              <w:t>4.01%</w:t>
            </w:r>
          </w:p>
        </w:tc>
        <w:tc>
          <w:tcPr>
            <w:tcW w:w="1367" w:type="dxa"/>
            <w:tcBorders>
              <w:top w:val="single" w:sz="4" w:space="0" w:color="auto"/>
            </w:tcBorders>
            <w:shd w:val="clear" w:color="auto" w:fill="E7F3F4"/>
            <w:noWrap/>
            <w:vAlign w:val="center"/>
            <w:hideMark/>
          </w:tcPr>
          <w:p w:rsidR="00273002" w:rsidRDefault="00273002" w:rsidP="00805748">
            <w:pPr>
              <w:spacing w:before="0" w:after="0"/>
              <w:jc w:val="center"/>
              <w:rPr>
                <w:sz w:val="16"/>
                <w:szCs w:val="16"/>
              </w:rPr>
            </w:pPr>
            <w:r>
              <w:rPr>
                <w:sz w:val="16"/>
                <w:szCs w:val="16"/>
              </w:rPr>
              <w:t>149.17</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WH1</w:t>
            </w:r>
          </w:p>
        </w:tc>
        <w:tc>
          <w:tcPr>
            <w:tcW w:w="108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2.16</w:t>
            </w:r>
          </w:p>
        </w:tc>
        <w:tc>
          <w:tcPr>
            <w:tcW w:w="99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1.17</w:t>
            </w:r>
          </w:p>
        </w:tc>
        <w:tc>
          <w:tcPr>
            <w:tcW w:w="1362"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1.19</w:t>
            </w:r>
          </w:p>
        </w:tc>
        <w:tc>
          <w:tcPr>
            <w:tcW w:w="1329" w:type="dxa"/>
            <w:shd w:val="clear" w:color="auto" w:fill="E7F3F4"/>
            <w:vAlign w:val="center"/>
            <w:hideMark/>
          </w:tcPr>
          <w:p w:rsidR="00273002" w:rsidRDefault="00273002" w:rsidP="00805748">
            <w:pPr>
              <w:spacing w:before="0" w:after="0"/>
              <w:jc w:val="center"/>
              <w:rPr>
                <w:sz w:val="16"/>
                <w:szCs w:val="16"/>
              </w:rPr>
            </w:pPr>
            <w:r>
              <w:rPr>
                <w:sz w:val="16"/>
                <w:szCs w:val="16"/>
              </w:rPr>
              <w:t>233.26</w:t>
            </w:r>
          </w:p>
        </w:tc>
        <w:tc>
          <w:tcPr>
            <w:tcW w:w="1665" w:type="dxa"/>
            <w:shd w:val="clear" w:color="auto" w:fill="E7F3F4"/>
            <w:vAlign w:val="center"/>
            <w:hideMark/>
          </w:tcPr>
          <w:p w:rsidR="00273002" w:rsidRDefault="00273002" w:rsidP="00805748">
            <w:pPr>
              <w:spacing w:before="0" w:after="0"/>
              <w:jc w:val="center"/>
              <w:rPr>
                <w:sz w:val="16"/>
                <w:szCs w:val="16"/>
              </w:rPr>
            </w:pPr>
            <w:r>
              <w:rPr>
                <w:sz w:val="16"/>
                <w:szCs w:val="16"/>
              </w:rPr>
              <w:t>5.82%</w:t>
            </w:r>
          </w:p>
        </w:tc>
        <w:tc>
          <w:tcPr>
            <w:tcW w:w="1367" w:type="dxa"/>
            <w:shd w:val="clear" w:color="auto" w:fill="E7F3F4"/>
            <w:noWrap/>
            <w:vAlign w:val="center"/>
            <w:hideMark/>
          </w:tcPr>
          <w:p w:rsidR="00273002" w:rsidRDefault="00273002" w:rsidP="00805748">
            <w:pPr>
              <w:spacing w:before="0" w:after="0"/>
              <w:jc w:val="center"/>
              <w:rPr>
                <w:sz w:val="16"/>
                <w:szCs w:val="16"/>
              </w:rPr>
            </w:pPr>
            <w:r>
              <w:rPr>
                <w:sz w:val="16"/>
                <w:szCs w:val="16"/>
              </w:rPr>
              <w:t>227</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GK1</w:t>
            </w:r>
          </w:p>
        </w:tc>
        <w:tc>
          <w:tcPr>
            <w:tcW w:w="108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0.52</w:t>
            </w:r>
          </w:p>
        </w:tc>
        <w:tc>
          <w:tcPr>
            <w:tcW w:w="99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1.93</w:t>
            </w:r>
          </w:p>
        </w:tc>
        <w:tc>
          <w:tcPr>
            <w:tcW w:w="1362"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0.43</w:t>
            </w:r>
          </w:p>
        </w:tc>
        <w:tc>
          <w:tcPr>
            <w:tcW w:w="1329" w:type="dxa"/>
            <w:shd w:val="clear" w:color="auto" w:fill="E7F3F4"/>
            <w:vAlign w:val="center"/>
            <w:hideMark/>
          </w:tcPr>
          <w:p w:rsidR="00273002" w:rsidRDefault="00273002" w:rsidP="00805748">
            <w:pPr>
              <w:spacing w:before="0" w:after="0"/>
              <w:jc w:val="center"/>
              <w:rPr>
                <w:sz w:val="16"/>
                <w:szCs w:val="16"/>
              </w:rPr>
            </w:pPr>
            <w:r>
              <w:rPr>
                <w:sz w:val="16"/>
                <w:szCs w:val="16"/>
              </w:rPr>
              <w:t>36.42</w:t>
            </w:r>
          </w:p>
        </w:tc>
        <w:tc>
          <w:tcPr>
            <w:tcW w:w="1665" w:type="dxa"/>
            <w:shd w:val="clear" w:color="auto" w:fill="E7F3F4"/>
            <w:vAlign w:val="center"/>
            <w:hideMark/>
          </w:tcPr>
          <w:p w:rsidR="00273002" w:rsidRDefault="00273002" w:rsidP="00805748">
            <w:pPr>
              <w:spacing w:before="0" w:after="0"/>
              <w:jc w:val="center"/>
              <w:rPr>
                <w:sz w:val="16"/>
                <w:szCs w:val="16"/>
              </w:rPr>
            </w:pPr>
            <w:r>
              <w:rPr>
                <w:sz w:val="16"/>
                <w:szCs w:val="16"/>
              </w:rPr>
              <w:t>0.88%</w:t>
            </w:r>
          </w:p>
        </w:tc>
        <w:tc>
          <w:tcPr>
            <w:tcW w:w="1367" w:type="dxa"/>
            <w:shd w:val="clear" w:color="auto" w:fill="E7F3F4"/>
            <w:noWrap/>
            <w:vAlign w:val="center"/>
            <w:hideMark/>
          </w:tcPr>
          <w:p w:rsidR="00273002" w:rsidRDefault="00273002" w:rsidP="00805748">
            <w:pPr>
              <w:spacing w:before="0" w:after="0"/>
              <w:jc w:val="center"/>
              <w:rPr>
                <w:sz w:val="16"/>
                <w:szCs w:val="16"/>
              </w:rPr>
            </w:pPr>
            <w:r>
              <w:rPr>
                <w:sz w:val="16"/>
                <w:szCs w:val="16"/>
              </w:rPr>
              <w:t>40</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GK2</w:t>
            </w:r>
          </w:p>
        </w:tc>
        <w:tc>
          <w:tcPr>
            <w:tcW w:w="108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0.58</w:t>
            </w:r>
          </w:p>
        </w:tc>
        <w:tc>
          <w:tcPr>
            <w:tcW w:w="99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1.87</w:t>
            </w:r>
          </w:p>
        </w:tc>
        <w:tc>
          <w:tcPr>
            <w:tcW w:w="1362"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0.49</w:t>
            </w:r>
          </w:p>
        </w:tc>
        <w:tc>
          <w:tcPr>
            <w:tcW w:w="1329" w:type="dxa"/>
            <w:shd w:val="clear" w:color="auto" w:fill="E7F3F4"/>
            <w:vAlign w:val="center"/>
            <w:hideMark/>
          </w:tcPr>
          <w:p w:rsidR="00273002" w:rsidRDefault="00273002" w:rsidP="00805748">
            <w:pPr>
              <w:spacing w:before="0" w:after="0"/>
              <w:jc w:val="center"/>
              <w:rPr>
                <w:sz w:val="16"/>
                <w:szCs w:val="16"/>
              </w:rPr>
            </w:pPr>
            <w:r>
              <w:rPr>
                <w:sz w:val="16"/>
                <w:szCs w:val="16"/>
              </w:rPr>
              <w:t>53.05</w:t>
            </w:r>
          </w:p>
        </w:tc>
        <w:tc>
          <w:tcPr>
            <w:tcW w:w="1665" w:type="dxa"/>
            <w:shd w:val="clear" w:color="auto" w:fill="E7F3F4"/>
            <w:vAlign w:val="center"/>
            <w:hideMark/>
          </w:tcPr>
          <w:p w:rsidR="00273002" w:rsidRDefault="00273002" w:rsidP="00805748">
            <w:pPr>
              <w:spacing w:before="0" w:after="0"/>
              <w:jc w:val="center"/>
              <w:rPr>
                <w:sz w:val="16"/>
                <w:szCs w:val="16"/>
              </w:rPr>
            </w:pPr>
            <w:r>
              <w:rPr>
                <w:sz w:val="16"/>
                <w:szCs w:val="16"/>
              </w:rPr>
              <w:t>1.28%</w:t>
            </w:r>
          </w:p>
        </w:tc>
        <w:tc>
          <w:tcPr>
            <w:tcW w:w="1367" w:type="dxa"/>
            <w:shd w:val="clear" w:color="auto" w:fill="E7F3F4"/>
            <w:noWrap/>
            <w:vAlign w:val="center"/>
            <w:hideMark/>
          </w:tcPr>
          <w:p w:rsidR="00273002" w:rsidRDefault="00273002" w:rsidP="00805748">
            <w:pPr>
              <w:spacing w:before="0" w:after="0"/>
              <w:jc w:val="center"/>
              <w:rPr>
                <w:sz w:val="16"/>
                <w:szCs w:val="16"/>
              </w:rPr>
            </w:pPr>
            <w:r>
              <w:rPr>
                <w:sz w:val="16"/>
                <w:szCs w:val="16"/>
              </w:rPr>
              <w:t>50.5</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GH1</w:t>
            </w:r>
          </w:p>
        </w:tc>
        <w:tc>
          <w:tcPr>
            <w:tcW w:w="108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0.80</w:t>
            </w:r>
          </w:p>
        </w:tc>
        <w:tc>
          <w:tcPr>
            <w:tcW w:w="993"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1.57</w:t>
            </w:r>
          </w:p>
        </w:tc>
        <w:tc>
          <w:tcPr>
            <w:tcW w:w="1362" w:type="dxa"/>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0.69</w:t>
            </w:r>
          </w:p>
        </w:tc>
        <w:tc>
          <w:tcPr>
            <w:tcW w:w="1329" w:type="dxa"/>
            <w:shd w:val="clear" w:color="auto" w:fill="E7F3F4"/>
            <w:vAlign w:val="center"/>
            <w:hideMark/>
          </w:tcPr>
          <w:p w:rsidR="00273002" w:rsidRDefault="00273002" w:rsidP="00805748">
            <w:pPr>
              <w:spacing w:before="0" w:after="0"/>
              <w:jc w:val="center"/>
              <w:rPr>
                <w:sz w:val="16"/>
                <w:szCs w:val="16"/>
              </w:rPr>
            </w:pPr>
            <w:r>
              <w:rPr>
                <w:sz w:val="16"/>
                <w:szCs w:val="16"/>
              </w:rPr>
              <w:t>99.33</w:t>
            </w:r>
          </w:p>
        </w:tc>
        <w:tc>
          <w:tcPr>
            <w:tcW w:w="1665" w:type="dxa"/>
            <w:shd w:val="clear" w:color="auto" w:fill="E7F3F4"/>
            <w:vAlign w:val="center"/>
            <w:hideMark/>
          </w:tcPr>
          <w:p w:rsidR="00273002" w:rsidRDefault="00273002" w:rsidP="00805748">
            <w:pPr>
              <w:spacing w:before="0" w:after="0"/>
              <w:jc w:val="center"/>
              <w:rPr>
                <w:sz w:val="16"/>
                <w:szCs w:val="16"/>
              </w:rPr>
            </w:pPr>
            <w:r>
              <w:rPr>
                <w:sz w:val="16"/>
                <w:szCs w:val="16"/>
              </w:rPr>
              <w:t>2.49%</w:t>
            </w:r>
          </w:p>
        </w:tc>
        <w:tc>
          <w:tcPr>
            <w:tcW w:w="1367" w:type="dxa"/>
            <w:shd w:val="clear" w:color="auto" w:fill="E7F3F4"/>
            <w:noWrap/>
            <w:vAlign w:val="center"/>
            <w:hideMark/>
          </w:tcPr>
          <w:p w:rsidR="00273002" w:rsidRDefault="00273002" w:rsidP="00805748">
            <w:pPr>
              <w:spacing w:before="0" w:after="0"/>
              <w:jc w:val="center"/>
              <w:rPr>
                <w:sz w:val="16"/>
                <w:szCs w:val="16"/>
              </w:rPr>
            </w:pPr>
            <w:r>
              <w:rPr>
                <w:sz w:val="16"/>
                <w:szCs w:val="16"/>
              </w:rPr>
              <w:t>94.83</w:t>
            </w:r>
          </w:p>
        </w:tc>
      </w:tr>
      <w:tr w:rsidR="00273002" w:rsidTr="003A1357">
        <w:trPr>
          <w:trHeight w:val="276"/>
          <w:jc w:val="center"/>
        </w:trPr>
        <w:tc>
          <w:tcPr>
            <w:tcW w:w="0" w:type="auto"/>
            <w:vMerge/>
            <w:tcBorders>
              <w:bottom w:val="single" w:sz="4" w:space="0" w:color="auto"/>
            </w:tcBorders>
            <w:vAlign w:val="center"/>
            <w:hideMark/>
          </w:tcPr>
          <w:p w:rsidR="00273002" w:rsidRDefault="00273002" w:rsidP="00805748">
            <w:pPr>
              <w:spacing w:before="0" w:after="0"/>
              <w:rPr>
                <w:color w:val="000000"/>
                <w:sz w:val="16"/>
                <w:szCs w:val="16"/>
              </w:rPr>
            </w:pPr>
          </w:p>
        </w:tc>
        <w:tc>
          <w:tcPr>
            <w:tcW w:w="619"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GH2</w:t>
            </w:r>
          </w:p>
        </w:tc>
        <w:tc>
          <w:tcPr>
            <w:tcW w:w="1083"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0.80</w:t>
            </w:r>
          </w:p>
        </w:tc>
        <w:tc>
          <w:tcPr>
            <w:tcW w:w="993"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1.57</w:t>
            </w:r>
          </w:p>
        </w:tc>
        <w:tc>
          <w:tcPr>
            <w:tcW w:w="1362" w:type="dxa"/>
            <w:tcBorders>
              <w:bottom w:val="single" w:sz="4" w:space="0" w:color="auto"/>
            </w:tcBorders>
            <w:shd w:val="clear" w:color="auto" w:fill="E7F3F4"/>
            <w:vAlign w:val="center"/>
            <w:hideMark/>
          </w:tcPr>
          <w:p w:rsidR="00273002" w:rsidRDefault="00273002" w:rsidP="00805748">
            <w:pPr>
              <w:spacing w:before="0" w:after="0"/>
              <w:jc w:val="center"/>
              <w:rPr>
                <w:color w:val="000000"/>
                <w:sz w:val="16"/>
                <w:szCs w:val="16"/>
              </w:rPr>
            </w:pPr>
            <w:r>
              <w:rPr>
                <w:color w:val="000000"/>
                <w:sz w:val="16"/>
                <w:szCs w:val="16"/>
              </w:rPr>
              <w:t>0.69</w:t>
            </w:r>
          </w:p>
        </w:tc>
        <w:tc>
          <w:tcPr>
            <w:tcW w:w="1329" w:type="dxa"/>
            <w:tcBorders>
              <w:bottom w:val="single" w:sz="4" w:space="0" w:color="auto"/>
            </w:tcBorders>
            <w:shd w:val="clear" w:color="auto" w:fill="E7F3F4"/>
            <w:vAlign w:val="center"/>
            <w:hideMark/>
          </w:tcPr>
          <w:p w:rsidR="00273002" w:rsidRDefault="00273002" w:rsidP="00805748">
            <w:pPr>
              <w:spacing w:before="0" w:after="0"/>
              <w:jc w:val="center"/>
              <w:rPr>
                <w:sz w:val="16"/>
                <w:szCs w:val="16"/>
              </w:rPr>
            </w:pPr>
            <w:r>
              <w:rPr>
                <w:sz w:val="16"/>
                <w:szCs w:val="16"/>
              </w:rPr>
              <w:t>96.83</w:t>
            </w:r>
          </w:p>
        </w:tc>
        <w:tc>
          <w:tcPr>
            <w:tcW w:w="1665" w:type="dxa"/>
            <w:tcBorders>
              <w:bottom w:val="single" w:sz="4" w:space="0" w:color="auto"/>
            </w:tcBorders>
            <w:shd w:val="clear" w:color="auto" w:fill="E7F3F4"/>
            <w:vAlign w:val="center"/>
            <w:hideMark/>
          </w:tcPr>
          <w:p w:rsidR="00273002" w:rsidRDefault="00273002" w:rsidP="00805748">
            <w:pPr>
              <w:spacing w:before="0" w:after="0"/>
              <w:jc w:val="center"/>
              <w:rPr>
                <w:sz w:val="16"/>
                <w:szCs w:val="16"/>
              </w:rPr>
            </w:pPr>
            <w:r>
              <w:rPr>
                <w:sz w:val="16"/>
                <w:szCs w:val="16"/>
              </w:rPr>
              <w:t>2.43%</w:t>
            </w:r>
          </w:p>
        </w:tc>
        <w:tc>
          <w:tcPr>
            <w:tcW w:w="1367" w:type="dxa"/>
            <w:tcBorders>
              <w:bottom w:val="single" w:sz="4" w:space="0" w:color="auto"/>
            </w:tcBorders>
            <w:shd w:val="clear" w:color="auto" w:fill="E7F3F4"/>
            <w:noWrap/>
            <w:vAlign w:val="center"/>
            <w:hideMark/>
          </w:tcPr>
          <w:p w:rsidR="00273002" w:rsidRDefault="00273002" w:rsidP="00805748">
            <w:pPr>
              <w:spacing w:before="0" w:after="0"/>
              <w:jc w:val="center"/>
              <w:rPr>
                <w:sz w:val="16"/>
                <w:szCs w:val="16"/>
              </w:rPr>
            </w:pPr>
            <w:r>
              <w:rPr>
                <w:sz w:val="16"/>
                <w:szCs w:val="16"/>
              </w:rPr>
              <w:t>67.33</w:t>
            </w:r>
          </w:p>
        </w:tc>
      </w:tr>
      <w:tr w:rsidR="00273002" w:rsidTr="003A1357">
        <w:trPr>
          <w:trHeight w:val="276"/>
          <w:jc w:val="center"/>
        </w:trPr>
        <w:tc>
          <w:tcPr>
            <w:tcW w:w="619" w:type="dxa"/>
            <w:vMerge w:val="restart"/>
            <w:tcBorders>
              <w:top w:val="single" w:sz="4" w:space="0" w:color="auto"/>
            </w:tcBorders>
            <w:shd w:val="clear" w:color="auto" w:fill="F3F9FA"/>
            <w:textDirection w:val="btLr"/>
            <w:vAlign w:val="center"/>
            <w:hideMark/>
          </w:tcPr>
          <w:p w:rsidR="00273002" w:rsidRDefault="00273002" w:rsidP="00805748">
            <w:pPr>
              <w:spacing w:before="0" w:after="0"/>
              <w:ind w:left="113" w:right="113"/>
              <w:jc w:val="center"/>
              <w:rPr>
                <w:color w:val="000000"/>
                <w:sz w:val="16"/>
                <w:szCs w:val="16"/>
              </w:rPr>
            </w:pPr>
            <w:r>
              <w:rPr>
                <w:color w:val="000000"/>
                <w:sz w:val="16"/>
                <w:szCs w:val="16"/>
              </w:rPr>
              <w:t>Burnett Mary</w:t>
            </w:r>
          </w:p>
        </w:tc>
        <w:tc>
          <w:tcPr>
            <w:tcW w:w="619"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RD1</w:t>
            </w:r>
          </w:p>
        </w:tc>
        <w:tc>
          <w:tcPr>
            <w:tcW w:w="1083"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0.56</w:t>
            </w:r>
          </w:p>
        </w:tc>
        <w:tc>
          <w:tcPr>
            <w:tcW w:w="993"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1.48</w:t>
            </w:r>
          </w:p>
        </w:tc>
        <w:tc>
          <w:tcPr>
            <w:tcW w:w="1362" w:type="dxa"/>
            <w:tcBorders>
              <w:top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0.56</w:t>
            </w:r>
          </w:p>
        </w:tc>
        <w:tc>
          <w:tcPr>
            <w:tcW w:w="1329" w:type="dxa"/>
            <w:tcBorders>
              <w:top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66.06</w:t>
            </w:r>
          </w:p>
        </w:tc>
        <w:tc>
          <w:tcPr>
            <w:tcW w:w="1665" w:type="dxa"/>
            <w:tcBorders>
              <w:top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1.7%</w:t>
            </w:r>
          </w:p>
        </w:tc>
        <w:tc>
          <w:tcPr>
            <w:tcW w:w="1367" w:type="dxa"/>
            <w:tcBorders>
              <w:top w:val="single" w:sz="4" w:space="0" w:color="auto"/>
            </w:tcBorders>
            <w:shd w:val="clear" w:color="auto" w:fill="F3F9FA"/>
            <w:noWrap/>
            <w:vAlign w:val="center"/>
            <w:hideMark/>
          </w:tcPr>
          <w:p w:rsidR="00273002" w:rsidRDefault="00273002" w:rsidP="00805748">
            <w:pPr>
              <w:spacing w:before="0" w:after="0"/>
              <w:jc w:val="center"/>
              <w:rPr>
                <w:sz w:val="16"/>
                <w:szCs w:val="16"/>
              </w:rPr>
            </w:pPr>
            <w:r>
              <w:rPr>
                <w:sz w:val="16"/>
                <w:szCs w:val="16"/>
              </w:rPr>
              <w:t>63.3</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RD2</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0.63</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1.41</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0.63</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94.28</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2.42%</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90</w:t>
            </w:r>
          </w:p>
        </w:tc>
      </w:tr>
      <w:tr w:rsidR="00273002" w:rsidTr="003A1357">
        <w:trPr>
          <w:trHeight w:val="276"/>
          <w:jc w:val="center"/>
        </w:trPr>
        <w:tc>
          <w:tcPr>
            <w:tcW w:w="0" w:type="auto"/>
            <w:vMerge/>
            <w:vAlign w:val="center"/>
            <w:hideMark/>
          </w:tcPr>
          <w:p w:rsidR="00273002" w:rsidRDefault="00273002" w:rsidP="00805748">
            <w:pPr>
              <w:spacing w:before="0" w:after="0"/>
              <w:rPr>
                <w:color w:val="000000"/>
                <w:sz w:val="16"/>
                <w:szCs w:val="16"/>
              </w:rPr>
            </w:pPr>
          </w:p>
        </w:tc>
        <w:tc>
          <w:tcPr>
            <w:tcW w:w="619"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UG1</w:t>
            </w:r>
          </w:p>
        </w:tc>
        <w:tc>
          <w:tcPr>
            <w:tcW w:w="108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0.70</w:t>
            </w:r>
          </w:p>
        </w:tc>
        <w:tc>
          <w:tcPr>
            <w:tcW w:w="993"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1.41</w:t>
            </w:r>
          </w:p>
        </w:tc>
        <w:tc>
          <w:tcPr>
            <w:tcW w:w="1362" w:type="dxa"/>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0.70</w:t>
            </w:r>
          </w:p>
        </w:tc>
        <w:tc>
          <w:tcPr>
            <w:tcW w:w="1329" w:type="dxa"/>
            <w:shd w:val="clear" w:color="auto" w:fill="F3F9FA"/>
            <w:vAlign w:val="center"/>
            <w:hideMark/>
          </w:tcPr>
          <w:p w:rsidR="00273002" w:rsidRDefault="00273002" w:rsidP="00805748">
            <w:pPr>
              <w:spacing w:before="0" w:after="0"/>
              <w:jc w:val="center"/>
              <w:rPr>
                <w:sz w:val="16"/>
                <w:szCs w:val="16"/>
              </w:rPr>
            </w:pPr>
            <w:r>
              <w:rPr>
                <w:sz w:val="16"/>
                <w:szCs w:val="16"/>
              </w:rPr>
              <w:t>144.76</w:t>
            </w:r>
          </w:p>
        </w:tc>
        <w:tc>
          <w:tcPr>
            <w:tcW w:w="1665" w:type="dxa"/>
            <w:shd w:val="clear" w:color="auto" w:fill="F3F9FA"/>
            <w:vAlign w:val="center"/>
            <w:hideMark/>
          </w:tcPr>
          <w:p w:rsidR="00273002" w:rsidRDefault="00273002" w:rsidP="00805748">
            <w:pPr>
              <w:spacing w:before="0" w:after="0"/>
              <w:jc w:val="center"/>
              <w:rPr>
                <w:sz w:val="16"/>
                <w:szCs w:val="16"/>
              </w:rPr>
            </w:pPr>
            <w:r>
              <w:rPr>
                <w:sz w:val="16"/>
                <w:szCs w:val="16"/>
              </w:rPr>
              <w:t>3.38%</w:t>
            </w:r>
          </w:p>
        </w:tc>
        <w:tc>
          <w:tcPr>
            <w:tcW w:w="1367" w:type="dxa"/>
            <w:shd w:val="clear" w:color="auto" w:fill="F3F9FA"/>
            <w:noWrap/>
            <w:vAlign w:val="center"/>
            <w:hideMark/>
          </w:tcPr>
          <w:p w:rsidR="00273002" w:rsidRDefault="00273002" w:rsidP="00805748">
            <w:pPr>
              <w:spacing w:before="0" w:after="0"/>
              <w:jc w:val="center"/>
              <w:rPr>
                <w:sz w:val="16"/>
                <w:szCs w:val="16"/>
              </w:rPr>
            </w:pPr>
            <w:r>
              <w:rPr>
                <w:sz w:val="16"/>
                <w:szCs w:val="16"/>
              </w:rPr>
              <w:t>102.83</w:t>
            </w:r>
          </w:p>
        </w:tc>
      </w:tr>
      <w:tr w:rsidR="00273002" w:rsidTr="003A1357">
        <w:trPr>
          <w:trHeight w:val="276"/>
          <w:jc w:val="center"/>
        </w:trPr>
        <w:tc>
          <w:tcPr>
            <w:tcW w:w="0" w:type="auto"/>
            <w:vMerge/>
            <w:tcBorders>
              <w:bottom w:val="single" w:sz="4" w:space="0" w:color="auto"/>
            </w:tcBorders>
            <w:vAlign w:val="center"/>
            <w:hideMark/>
          </w:tcPr>
          <w:p w:rsidR="00273002" w:rsidRDefault="00273002" w:rsidP="00805748">
            <w:pPr>
              <w:spacing w:before="0" w:after="0"/>
              <w:rPr>
                <w:color w:val="000000"/>
                <w:sz w:val="16"/>
                <w:szCs w:val="16"/>
              </w:rPr>
            </w:pPr>
          </w:p>
        </w:tc>
        <w:tc>
          <w:tcPr>
            <w:tcW w:w="619"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UG2</w:t>
            </w:r>
          </w:p>
        </w:tc>
        <w:tc>
          <w:tcPr>
            <w:tcW w:w="1083"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0.64</w:t>
            </w:r>
          </w:p>
        </w:tc>
        <w:tc>
          <w:tcPr>
            <w:tcW w:w="993"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1.47</w:t>
            </w:r>
          </w:p>
        </w:tc>
        <w:tc>
          <w:tcPr>
            <w:tcW w:w="1362" w:type="dxa"/>
            <w:tcBorders>
              <w:bottom w:val="single" w:sz="4" w:space="0" w:color="auto"/>
            </w:tcBorders>
            <w:shd w:val="clear" w:color="auto" w:fill="F3F9FA"/>
            <w:vAlign w:val="center"/>
            <w:hideMark/>
          </w:tcPr>
          <w:p w:rsidR="00273002" w:rsidRDefault="00273002" w:rsidP="00805748">
            <w:pPr>
              <w:spacing w:before="0" w:after="0"/>
              <w:jc w:val="center"/>
              <w:rPr>
                <w:color w:val="000000"/>
                <w:sz w:val="16"/>
                <w:szCs w:val="16"/>
              </w:rPr>
            </w:pPr>
            <w:r>
              <w:rPr>
                <w:color w:val="000000"/>
                <w:sz w:val="16"/>
                <w:szCs w:val="16"/>
              </w:rPr>
              <w:t>0.64</w:t>
            </w:r>
          </w:p>
        </w:tc>
        <w:tc>
          <w:tcPr>
            <w:tcW w:w="1329" w:type="dxa"/>
            <w:tcBorders>
              <w:bottom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105.43</w:t>
            </w:r>
          </w:p>
        </w:tc>
        <w:tc>
          <w:tcPr>
            <w:tcW w:w="1665" w:type="dxa"/>
            <w:tcBorders>
              <w:bottom w:val="single" w:sz="4" w:space="0" w:color="auto"/>
            </w:tcBorders>
            <w:shd w:val="clear" w:color="auto" w:fill="F3F9FA"/>
            <w:vAlign w:val="center"/>
            <w:hideMark/>
          </w:tcPr>
          <w:p w:rsidR="00273002" w:rsidRDefault="00273002" w:rsidP="00805748">
            <w:pPr>
              <w:spacing w:before="0" w:after="0"/>
              <w:jc w:val="center"/>
              <w:rPr>
                <w:sz w:val="16"/>
                <w:szCs w:val="16"/>
              </w:rPr>
            </w:pPr>
            <w:r>
              <w:rPr>
                <w:sz w:val="16"/>
                <w:szCs w:val="16"/>
              </w:rPr>
              <w:t>2.46%</w:t>
            </w:r>
          </w:p>
        </w:tc>
        <w:tc>
          <w:tcPr>
            <w:tcW w:w="1367" w:type="dxa"/>
            <w:tcBorders>
              <w:bottom w:val="single" w:sz="4" w:space="0" w:color="auto"/>
            </w:tcBorders>
            <w:shd w:val="clear" w:color="auto" w:fill="F3F9FA"/>
            <w:noWrap/>
            <w:vAlign w:val="center"/>
            <w:hideMark/>
          </w:tcPr>
          <w:p w:rsidR="00273002" w:rsidRDefault="00273002" w:rsidP="00805748">
            <w:pPr>
              <w:spacing w:before="0" w:after="0"/>
              <w:jc w:val="center"/>
              <w:rPr>
                <w:sz w:val="16"/>
                <w:szCs w:val="16"/>
              </w:rPr>
            </w:pPr>
            <w:r>
              <w:rPr>
                <w:sz w:val="16"/>
                <w:szCs w:val="16"/>
              </w:rPr>
              <w:t>74.33</w:t>
            </w:r>
          </w:p>
        </w:tc>
      </w:tr>
    </w:tbl>
    <w:p w:rsidR="00273002" w:rsidRDefault="00273002" w:rsidP="00273002">
      <w:pPr>
        <w:rPr>
          <w:color w:val="000000"/>
          <w:szCs w:val="22"/>
        </w:rPr>
      </w:pPr>
    </w:p>
    <w:p w:rsidR="00273002" w:rsidRDefault="00273002" w:rsidP="00273002">
      <w:pPr>
        <w:rPr>
          <w:color w:val="000000"/>
          <w:szCs w:val="22"/>
        </w:rPr>
      </w:pPr>
    </w:p>
    <w:p w:rsidR="00273002" w:rsidRDefault="00273002" w:rsidP="00273002">
      <w:pPr>
        <w:rPr>
          <w:color w:val="000000"/>
          <w:szCs w:val="22"/>
        </w:rPr>
      </w:pPr>
    </w:p>
    <w:p w:rsidR="00273002" w:rsidRDefault="00273002" w:rsidP="00273002">
      <w:pPr>
        <w:keepNext/>
        <w:jc w:val="center"/>
        <w:rPr>
          <w:color w:val="000000"/>
          <w:szCs w:val="22"/>
        </w:rPr>
      </w:pPr>
      <w:r>
        <w:rPr>
          <w:noProof/>
          <w:color w:val="000000"/>
          <w:szCs w:val="22"/>
          <w:lang w:eastAsia="en-AU"/>
        </w:rPr>
        <w:lastRenderedPageBreak/>
        <w:drawing>
          <wp:inline distT="0" distB="0" distL="0" distR="0" wp14:anchorId="1C1A0F32" wp14:editId="2EC5B50D">
            <wp:extent cx="3600000" cy="1101600"/>
            <wp:effectExtent l="0" t="0" r="635" b="3810"/>
            <wp:docPr id="39" name="Picture 39" descr="Bar graph showing annual daytime tidal exposure and long-term median of intertidal reef seagrass meadows at Archer Point,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reef_daytime_exposure_2015.png"/>
                    <pic:cNvPicPr/>
                  </pic:nvPicPr>
                  <pic:blipFill>
                    <a:blip r:embed="rId258" cstate="print">
                      <a:extLst>
                        <a:ext uri="{28A0092B-C50C-407E-A947-70E740481C1C}">
                          <a14:useLocalDpi xmlns:a14="http://schemas.microsoft.com/office/drawing/2010/main" val="0"/>
                        </a:ext>
                      </a:extLst>
                    </a:blip>
                    <a:stretch>
                      <a:fillRect/>
                    </a:stretch>
                  </pic:blipFill>
                  <pic:spPr>
                    <a:xfrm>
                      <a:off x="0" y="0"/>
                      <a:ext cx="3600000" cy="1101600"/>
                    </a:xfrm>
                    <a:prstGeom prst="rect">
                      <a:avLst/>
                    </a:prstGeom>
                  </pic:spPr>
                </pic:pic>
              </a:graphicData>
            </a:graphic>
          </wp:inline>
        </w:drawing>
      </w:r>
    </w:p>
    <w:p w:rsidR="00273002" w:rsidRPr="00A93D8C" w:rsidRDefault="00273002" w:rsidP="00273002">
      <w:pPr>
        <w:rPr>
          <w:i/>
          <w:vanish/>
          <w:specVanish/>
        </w:rPr>
      </w:pPr>
      <w:bookmarkStart w:id="1107" w:name="_Ref409958445"/>
      <w:bookmarkStart w:id="1108" w:name="_Toc431493956"/>
      <w:bookmarkStart w:id="1109" w:name="_Toc462685002"/>
      <w:r>
        <w:t xml:space="preserve">Figure </w:t>
      </w:r>
      <w:fldSimple w:instr=" SEQ Figure \* ARABIC ">
        <w:r w:rsidR="009C068F">
          <w:rPr>
            <w:noProof/>
          </w:rPr>
          <w:t>162</w:t>
        </w:r>
      </w:fldSimple>
      <w:bookmarkEnd w:id="1107"/>
      <w:r>
        <w:t xml:space="preserve">. </w:t>
      </w:r>
      <w:r w:rsidRPr="00A93D8C">
        <w:rPr>
          <w:i/>
        </w:rPr>
        <w:t>Annual daytime tidal exposure (total hours) and long-term median (dashed line) of intertidal reef seagrass meadows at Archer Point, Cape York NRM region; 2011 - 201</w:t>
      </w:r>
      <w:r>
        <w:rPr>
          <w:i/>
        </w:rPr>
        <w:t>5</w:t>
      </w:r>
      <w:bookmarkEnd w:id="1108"/>
      <w:bookmarkEnd w:id="1109"/>
    </w:p>
    <w:p w:rsidR="00273002" w:rsidRPr="00A93D8C" w:rsidRDefault="00273002" w:rsidP="00273002">
      <w:r w:rsidRPr="00A93D8C">
        <w:rPr>
          <w:i/>
        </w:rPr>
        <w:t xml:space="preserve">.  Year is June - May. For tidal exposure (when intertidal banks become exposed at a low tide) height at each site, see </w:t>
      </w:r>
      <w:r w:rsidRPr="00A93D8C">
        <w:rPr>
          <w:i/>
        </w:rPr>
        <w:fldChar w:fldCharType="begin"/>
      </w:r>
      <w:r w:rsidRPr="00A93D8C">
        <w:rPr>
          <w:i/>
        </w:rPr>
        <w:instrText xml:space="preserve"> REF _Ref409806677 \h  \* MERGEFORMAT </w:instrText>
      </w:r>
      <w:r w:rsidRPr="00A93D8C">
        <w:rPr>
          <w:i/>
        </w:rPr>
      </w:r>
      <w:r w:rsidRPr="00A93D8C">
        <w:rPr>
          <w:i/>
        </w:rPr>
        <w:fldChar w:fldCharType="separate"/>
      </w:r>
      <w:r w:rsidR="009C068F" w:rsidRPr="009C068F">
        <w:rPr>
          <w:i/>
        </w:rPr>
        <w:t xml:space="preserve">Table </w:t>
      </w:r>
      <w:r w:rsidR="009C068F" w:rsidRPr="009C068F">
        <w:rPr>
          <w:i/>
          <w:noProof/>
        </w:rPr>
        <w:t>46</w:t>
      </w:r>
      <w:r w:rsidRPr="00A93D8C">
        <w:rPr>
          <w:i/>
        </w:rPr>
        <w:fldChar w:fldCharType="end"/>
      </w:r>
      <w:r w:rsidRPr="00A93D8C">
        <w:rPr>
          <w:i/>
        </w:rPr>
        <w:t>. Observed tidal heights courtesy Maritime Safety Queensland, 201</w:t>
      </w:r>
      <w:r>
        <w:rPr>
          <w:i/>
        </w:rPr>
        <w:t>5</w:t>
      </w:r>
      <w:r w:rsidRPr="00A93D8C">
        <w:rPr>
          <w:i/>
        </w:rPr>
        <w:t xml:space="preserve">. </w:t>
      </w:r>
      <w:r w:rsidRPr="00A93D8C">
        <w:rPr>
          <w:i/>
          <w:color w:val="000000"/>
          <w:szCs w:val="22"/>
        </w:rPr>
        <w:t xml:space="preserve">NB: Meadow heights have not yet been determined in the far </w:t>
      </w:r>
      <w:smartTag w:uri="urn:schemas-microsoft-com:office:smarttags" w:element="State">
        <w:r w:rsidRPr="00A93D8C">
          <w:rPr>
            <w:i/>
            <w:color w:val="000000"/>
            <w:szCs w:val="22"/>
          </w:rPr>
          <w:t>northern Cape</w:t>
        </w:r>
      </w:smartTag>
      <w:r w:rsidRPr="00A93D8C">
        <w:rPr>
          <w:i/>
          <w:color w:val="000000"/>
          <w:szCs w:val="22"/>
        </w:rPr>
        <w:t xml:space="preserve"> </w:t>
      </w:r>
      <w:smartTag w:uri="urn:schemas-microsoft-com:office:smarttags" w:element="place">
        <w:smartTag w:uri="urn:schemas-microsoft-com:office:smarttags" w:element="City">
          <w:r w:rsidRPr="00A93D8C">
            <w:rPr>
              <w:i/>
              <w:color w:val="000000"/>
              <w:szCs w:val="22"/>
            </w:rPr>
            <w:t>York</w:t>
          </w:r>
        </w:smartTag>
      </w:smartTag>
      <w:r w:rsidRPr="00A93D8C">
        <w:rPr>
          <w:i/>
          <w:color w:val="000000"/>
          <w:szCs w:val="22"/>
        </w:rPr>
        <w:t xml:space="preserve"> sites.</w:t>
      </w:r>
      <w:r w:rsidRPr="00A93D8C">
        <w:rPr>
          <w:i/>
        </w:rPr>
        <w:t xml:space="preserve"> </w:t>
      </w:r>
    </w:p>
    <w:p w:rsidR="00273002" w:rsidRDefault="00273002" w:rsidP="00273002">
      <w:pPr>
        <w:rPr>
          <w:color w:val="000000"/>
          <w:szCs w:val="22"/>
        </w:rPr>
      </w:pPr>
    </w:p>
    <w:p w:rsidR="00273002" w:rsidRDefault="00273002" w:rsidP="00273002">
      <w:pPr>
        <w:keepNext/>
        <w:jc w:val="center"/>
        <w:rPr>
          <w:color w:val="000000"/>
          <w:szCs w:val="22"/>
        </w:rPr>
      </w:pPr>
      <w:r>
        <w:rPr>
          <w:noProof/>
          <w:color w:val="000000"/>
          <w:szCs w:val="22"/>
          <w:lang w:eastAsia="en-AU"/>
        </w:rPr>
        <w:drawing>
          <wp:inline distT="0" distB="0" distL="0" distR="0" wp14:anchorId="71BF7CED" wp14:editId="5A287BB2">
            <wp:extent cx="5759450" cy="2489200"/>
            <wp:effectExtent l="0" t="0" r="0" b="6350"/>
            <wp:docPr id="40" name="Picture 40" descr="Set of bar graphs showing annual daytime tidal exposure and long-term median of intertidal reef seagrass meadows in the Wet Tropics NRM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reef_daytime_exposure_2015.png"/>
                    <pic:cNvPicPr/>
                  </pic:nvPicPr>
                  <pic:blipFill>
                    <a:blip r:embed="rId259" cstate="print">
                      <a:extLst>
                        <a:ext uri="{28A0092B-C50C-407E-A947-70E740481C1C}">
                          <a14:useLocalDpi xmlns:a14="http://schemas.microsoft.com/office/drawing/2010/main" val="0"/>
                        </a:ext>
                      </a:extLst>
                    </a:blip>
                    <a:stretch>
                      <a:fillRect/>
                    </a:stretch>
                  </pic:blipFill>
                  <pic:spPr>
                    <a:xfrm>
                      <a:off x="0" y="0"/>
                      <a:ext cx="5759450" cy="2489200"/>
                    </a:xfrm>
                    <a:prstGeom prst="rect">
                      <a:avLst/>
                    </a:prstGeom>
                  </pic:spPr>
                </pic:pic>
              </a:graphicData>
            </a:graphic>
          </wp:inline>
        </w:drawing>
      </w:r>
    </w:p>
    <w:p w:rsidR="00273002" w:rsidRPr="00A93D8C" w:rsidRDefault="00273002" w:rsidP="00273002">
      <w:pPr>
        <w:rPr>
          <w:i/>
          <w:vanish/>
          <w:specVanish/>
        </w:rPr>
      </w:pPr>
      <w:bookmarkStart w:id="1110" w:name="_Ref410218142"/>
      <w:bookmarkStart w:id="1111" w:name="_Toc431493957"/>
      <w:bookmarkStart w:id="1112" w:name="_Toc462685003"/>
      <w:r>
        <w:t xml:space="preserve">Figure </w:t>
      </w:r>
      <w:fldSimple w:instr=" SEQ Figure \* ARABIC ">
        <w:r w:rsidR="009C068F">
          <w:rPr>
            <w:noProof/>
          </w:rPr>
          <w:t>163</w:t>
        </w:r>
      </w:fldSimple>
      <w:bookmarkEnd w:id="1110"/>
      <w:r>
        <w:t xml:space="preserve">. </w:t>
      </w:r>
      <w:r w:rsidRPr="00A93D8C">
        <w:rPr>
          <w:i/>
        </w:rPr>
        <w:t>Annual daytime tidal exposure (total hours) and long-term median (dashed line) of intertidal reef seagrass meadows in the Wet Tropics NRM region; 1999 - 201</w:t>
      </w:r>
      <w:r>
        <w:rPr>
          <w:i/>
        </w:rPr>
        <w:t>5</w:t>
      </w:r>
      <w:r w:rsidRPr="00A93D8C">
        <w:rPr>
          <w:i/>
        </w:rPr>
        <w:t>.</w:t>
      </w:r>
      <w:bookmarkEnd w:id="1111"/>
      <w:bookmarkEnd w:id="1112"/>
      <w:r w:rsidRPr="00A93D8C">
        <w:rPr>
          <w:i/>
          <w:vanish/>
          <w:specVanish/>
        </w:rPr>
        <w:t xml:space="preserve"> </w:t>
      </w:r>
    </w:p>
    <w:p w:rsidR="00273002" w:rsidRPr="00A93D8C" w:rsidRDefault="00273002" w:rsidP="00273002">
      <w:r w:rsidRPr="00A93D8C">
        <w:rPr>
          <w:i/>
        </w:rPr>
        <w:t xml:space="preserve">  Year is June - May. For tidal exposure (when intertidal banks become exposed at a low tide) height at each site, see </w:t>
      </w:r>
      <w:r w:rsidRPr="00A93D8C">
        <w:rPr>
          <w:i/>
        </w:rPr>
        <w:fldChar w:fldCharType="begin"/>
      </w:r>
      <w:r w:rsidRPr="00A93D8C">
        <w:rPr>
          <w:i/>
        </w:rPr>
        <w:instrText xml:space="preserve"> REF _Ref409806677 \h  \* MERGEFORMAT </w:instrText>
      </w:r>
      <w:r w:rsidRPr="00A93D8C">
        <w:rPr>
          <w:i/>
        </w:rPr>
      </w:r>
      <w:r w:rsidRPr="00A93D8C">
        <w:rPr>
          <w:i/>
        </w:rPr>
        <w:fldChar w:fldCharType="separate"/>
      </w:r>
      <w:r w:rsidR="009C068F" w:rsidRPr="009C068F">
        <w:rPr>
          <w:i/>
        </w:rPr>
        <w:t xml:space="preserve">Table </w:t>
      </w:r>
      <w:r w:rsidR="009C068F" w:rsidRPr="009C068F">
        <w:rPr>
          <w:i/>
          <w:noProof/>
        </w:rPr>
        <w:t>46</w:t>
      </w:r>
      <w:r w:rsidRPr="00A93D8C">
        <w:rPr>
          <w:i/>
        </w:rPr>
        <w:fldChar w:fldCharType="end"/>
      </w:r>
      <w:r w:rsidRPr="00A93D8C">
        <w:rPr>
          <w:i/>
        </w:rPr>
        <w:t>. Observed tidal heights courtesy Maritime Safety Queensland, 201</w:t>
      </w:r>
      <w:r>
        <w:rPr>
          <w:i/>
        </w:rPr>
        <w:t>5</w:t>
      </w:r>
      <w:r w:rsidRPr="00A93D8C">
        <w:rPr>
          <w:i/>
        </w:rPr>
        <w:t xml:space="preserve">. </w:t>
      </w:r>
    </w:p>
    <w:p w:rsidR="00273002" w:rsidRDefault="00273002" w:rsidP="00273002">
      <w:pPr>
        <w:rPr>
          <w:color w:val="000000"/>
          <w:szCs w:val="22"/>
        </w:rPr>
      </w:pPr>
    </w:p>
    <w:p w:rsidR="00273002" w:rsidRDefault="00273002" w:rsidP="00273002">
      <w:pPr>
        <w:keepNext/>
        <w:jc w:val="center"/>
        <w:rPr>
          <w:color w:val="000000"/>
          <w:szCs w:val="22"/>
        </w:rPr>
      </w:pPr>
      <w:r>
        <w:rPr>
          <w:noProof/>
          <w:color w:val="000000"/>
          <w:szCs w:val="22"/>
          <w:lang w:eastAsia="en-AU"/>
        </w:rPr>
        <w:drawing>
          <wp:inline distT="0" distB="0" distL="0" distR="0" wp14:anchorId="5E1E2F35" wp14:editId="4705F266">
            <wp:extent cx="5759450" cy="1686560"/>
            <wp:effectExtent l="0" t="0" r="0" b="8890"/>
            <wp:docPr id="41" name="Picture 41" descr="Set of bar graphs showing annual daytime tidal exposure and long-term median of intertidal coastal seagrass meadows in the Wet Tropics NRM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coast_daytime_exposure_2015.png"/>
                    <pic:cNvPicPr/>
                  </pic:nvPicPr>
                  <pic:blipFill>
                    <a:blip r:embed="rId260" cstate="print">
                      <a:extLst>
                        <a:ext uri="{28A0092B-C50C-407E-A947-70E740481C1C}">
                          <a14:useLocalDpi xmlns:a14="http://schemas.microsoft.com/office/drawing/2010/main" val="0"/>
                        </a:ext>
                      </a:extLst>
                    </a:blip>
                    <a:stretch>
                      <a:fillRect/>
                    </a:stretch>
                  </pic:blipFill>
                  <pic:spPr>
                    <a:xfrm>
                      <a:off x="0" y="0"/>
                      <a:ext cx="5759450" cy="1686560"/>
                    </a:xfrm>
                    <a:prstGeom prst="rect">
                      <a:avLst/>
                    </a:prstGeom>
                  </pic:spPr>
                </pic:pic>
              </a:graphicData>
            </a:graphic>
          </wp:inline>
        </w:drawing>
      </w:r>
    </w:p>
    <w:p w:rsidR="00273002" w:rsidRPr="00A93D8C" w:rsidRDefault="00273002" w:rsidP="00273002">
      <w:pPr>
        <w:rPr>
          <w:i/>
          <w:vanish/>
          <w:specVanish/>
        </w:rPr>
      </w:pPr>
      <w:bookmarkStart w:id="1113" w:name="_Ref410218196"/>
      <w:bookmarkStart w:id="1114" w:name="_Toc431493958"/>
      <w:bookmarkStart w:id="1115" w:name="_Toc462685004"/>
      <w:r>
        <w:t xml:space="preserve">Figure </w:t>
      </w:r>
      <w:fldSimple w:instr=" SEQ Figure \* ARABIC ">
        <w:r w:rsidR="009C068F">
          <w:rPr>
            <w:noProof/>
          </w:rPr>
          <w:t>164</w:t>
        </w:r>
      </w:fldSimple>
      <w:bookmarkEnd w:id="1113"/>
      <w:r>
        <w:t xml:space="preserve">. </w:t>
      </w:r>
      <w:r w:rsidRPr="008012AC">
        <w:rPr>
          <w:i/>
        </w:rPr>
        <w:t>Annual daytime tidal exposure (total hours) and long-term median (dashed line) of intertidal coastal seagrass meadows in Wet Tropics NRM region; 1999 - 201</w:t>
      </w:r>
      <w:r>
        <w:rPr>
          <w:i/>
        </w:rPr>
        <w:t>5</w:t>
      </w:r>
      <w:r w:rsidRPr="008012AC">
        <w:rPr>
          <w:i/>
        </w:rPr>
        <w:t>.</w:t>
      </w:r>
      <w:bookmarkEnd w:id="1114"/>
      <w:bookmarkEnd w:id="1115"/>
      <w:r w:rsidRPr="008012AC">
        <w:rPr>
          <w:i/>
          <w:vanish/>
          <w:specVanish/>
        </w:rPr>
        <w:t xml:space="preserve"> </w:t>
      </w:r>
    </w:p>
    <w:p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9C068F" w:rsidRPr="009C068F">
        <w:rPr>
          <w:i/>
        </w:rPr>
        <w:t xml:space="preserve">Table </w:t>
      </w:r>
      <w:r w:rsidR="009C068F" w:rsidRPr="009C068F">
        <w:rPr>
          <w:i/>
          <w:noProof/>
        </w:rPr>
        <w:t>46</w:t>
      </w:r>
      <w:r w:rsidRPr="008012AC">
        <w:rPr>
          <w:i/>
        </w:rPr>
        <w:fldChar w:fldCharType="end"/>
      </w:r>
      <w:r w:rsidRPr="008012AC">
        <w:rPr>
          <w:i/>
        </w:rPr>
        <w:t>. Observed tidal heights courtesy Maritime Safety Queensland, 201</w:t>
      </w:r>
      <w:r>
        <w:rPr>
          <w:i/>
        </w:rPr>
        <w:t>5</w:t>
      </w:r>
      <w:r w:rsidRPr="008012AC">
        <w:rPr>
          <w:i/>
        </w:rPr>
        <w:t xml:space="preserve">. </w:t>
      </w:r>
    </w:p>
    <w:p w:rsidR="00273002" w:rsidRDefault="00273002" w:rsidP="00273002">
      <w:pPr>
        <w:rPr>
          <w:color w:val="000000"/>
          <w:szCs w:val="22"/>
        </w:rPr>
      </w:pPr>
    </w:p>
    <w:p w:rsidR="00273002" w:rsidRDefault="00273002" w:rsidP="00273002">
      <w:pPr>
        <w:rPr>
          <w:color w:val="000000"/>
          <w:szCs w:val="22"/>
        </w:rPr>
      </w:pPr>
    </w:p>
    <w:p w:rsidR="00273002" w:rsidRDefault="00273002" w:rsidP="00273002">
      <w:pPr>
        <w:keepNext/>
        <w:jc w:val="center"/>
        <w:rPr>
          <w:color w:val="000000"/>
          <w:szCs w:val="22"/>
        </w:rPr>
      </w:pPr>
      <w:r>
        <w:rPr>
          <w:noProof/>
          <w:color w:val="000000"/>
          <w:szCs w:val="22"/>
          <w:lang w:eastAsia="en-AU"/>
        </w:rPr>
        <w:drawing>
          <wp:inline distT="0" distB="0" distL="0" distR="0" wp14:anchorId="4A310D58" wp14:editId="56D9BE16">
            <wp:extent cx="5759450" cy="1686560"/>
            <wp:effectExtent l="0" t="0" r="0" b="8890"/>
            <wp:docPr id="42" name="Picture 42" descr="Set of bar graphs showing annual daytime tidal exposure and long-term median of intertidal coastal seagrass meadows in the Burdekin NRM region from 2000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coast_daytime_exposure_2015.png"/>
                    <pic:cNvPicPr/>
                  </pic:nvPicPr>
                  <pic:blipFill>
                    <a:blip r:embed="rId261" cstate="print">
                      <a:extLst>
                        <a:ext uri="{28A0092B-C50C-407E-A947-70E740481C1C}">
                          <a14:useLocalDpi xmlns:a14="http://schemas.microsoft.com/office/drawing/2010/main" val="0"/>
                        </a:ext>
                      </a:extLst>
                    </a:blip>
                    <a:stretch>
                      <a:fillRect/>
                    </a:stretch>
                  </pic:blipFill>
                  <pic:spPr>
                    <a:xfrm>
                      <a:off x="0" y="0"/>
                      <a:ext cx="5759450" cy="1686560"/>
                    </a:xfrm>
                    <a:prstGeom prst="rect">
                      <a:avLst/>
                    </a:prstGeom>
                  </pic:spPr>
                </pic:pic>
              </a:graphicData>
            </a:graphic>
          </wp:inline>
        </w:drawing>
      </w:r>
    </w:p>
    <w:p w:rsidR="00273002" w:rsidRPr="008012AC" w:rsidRDefault="00273002" w:rsidP="00273002">
      <w:pPr>
        <w:rPr>
          <w:i/>
          <w:vanish/>
          <w:specVanish/>
        </w:rPr>
      </w:pPr>
      <w:bookmarkStart w:id="1116" w:name="_Ref410287502"/>
      <w:bookmarkStart w:id="1117" w:name="_Toc431493959"/>
      <w:bookmarkStart w:id="1118" w:name="_Toc462685005"/>
      <w:r>
        <w:t xml:space="preserve">Figure </w:t>
      </w:r>
      <w:fldSimple w:instr=" SEQ Figure \* ARABIC ">
        <w:r w:rsidR="009C068F">
          <w:rPr>
            <w:noProof/>
          </w:rPr>
          <w:t>165</w:t>
        </w:r>
      </w:fldSimple>
      <w:bookmarkEnd w:id="1116"/>
      <w:r>
        <w:t xml:space="preserve">. </w:t>
      </w:r>
      <w:r w:rsidRPr="008012AC">
        <w:rPr>
          <w:i/>
        </w:rPr>
        <w:t>Annual daytime tidal exposure (total hours) and long-term median (dashed line) of intertidal coastal seagrass meadows in Burdekin NRM region; 2000 - 201</w:t>
      </w:r>
      <w:r>
        <w:rPr>
          <w:i/>
        </w:rPr>
        <w:t>5</w:t>
      </w:r>
      <w:r w:rsidRPr="008012AC">
        <w:rPr>
          <w:i/>
        </w:rPr>
        <w:t>.</w:t>
      </w:r>
      <w:bookmarkEnd w:id="1117"/>
      <w:bookmarkEnd w:id="1118"/>
      <w:r w:rsidRPr="008012AC">
        <w:rPr>
          <w:i/>
        </w:rPr>
        <w:t xml:space="preserve"> </w:t>
      </w:r>
    </w:p>
    <w:p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9C068F" w:rsidRPr="009C068F">
        <w:rPr>
          <w:i/>
        </w:rPr>
        <w:t xml:space="preserve">Table </w:t>
      </w:r>
      <w:r w:rsidR="009C068F" w:rsidRPr="009C068F">
        <w:rPr>
          <w:i/>
          <w:noProof/>
        </w:rPr>
        <w:t>46</w:t>
      </w:r>
      <w:r w:rsidRPr="008012AC">
        <w:rPr>
          <w:i/>
        </w:rPr>
        <w:fldChar w:fldCharType="end"/>
      </w:r>
      <w:r w:rsidRPr="008012AC">
        <w:rPr>
          <w:i/>
        </w:rPr>
        <w:t>. Observed tidal heights courtesy Maritime Safety Queensland, 201</w:t>
      </w:r>
      <w:r>
        <w:rPr>
          <w:i/>
        </w:rPr>
        <w:t>5</w:t>
      </w:r>
      <w:r w:rsidRPr="008012AC">
        <w:rPr>
          <w:i/>
        </w:rPr>
        <w:t>.</w:t>
      </w:r>
      <w:r>
        <w:t xml:space="preserve"> </w:t>
      </w:r>
    </w:p>
    <w:p w:rsidR="00273002" w:rsidRDefault="00273002" w:rsidP="00273002">
      <w:pPr>
        <w:rPr>
          <w:color w:val="000000"/>
          <w:szCs w:val="22"/>
        </w:rPr>
      </w:pPr>
    </w:p>
    <w:p w:rsidR="00273002" w:rsidRDefault="00273002" w:rsidP="00273002">
      <w:pPr>
        <w:keepNext/>
        <w:jc w:val="center"/>
        <w:rPr>
          <w:color w:val="000000"/>
          <w:szCs w:val="22"/>
        </w:rPr>
      </w:pPr>
      <w:r>
        <w:rPr>
          <w:noProof/>
          <w:color w:val="000000"/>
          <w:szCs w:val="22"/>
          <w:lang w:eastAsia="en-AU"/>
        </w:rPr>
        <w:drawing>
          <wp:inline distT="0" distB="0" distL="0" distR="0" wp14:anchorId="7A5E3904" wp14:editId="0BBE454B">
            <wp:extent cx="5759450" cy="918210"/>
            <wp:effectExtent l="0" t="0" r="0" b="0"/>
            <wp:docPr id="43" name="Picture 43" descr="Set of bar graphs showing annual daytime tidal exposure and long-term median of intertidal reef seagrass meadows in the Burdekin NRM region from 2000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reef_daytime_exposure_2015.png"/>
                    <pic:cNvPicPr/>
                  </pic:nvPicPr>
                  <pic:blipFill>
                    <a:blip r:embed="rId262" cstate="print">
                      <a:extLst>
                        <a:ext uri="{28A0092B-C50C-407E-A947-70E740481C1C}">
                          <a14:useLocalDpi xmlns:a14="http://schemas.microsoft.com/office/drawing/2010/main" val="0"/>
                        </a:ext>
                      </a:extLst>
                    </a:blip>
                    <a:stretch>
                      <a:fillRect/>
                    </a:stretch>
                  </pic:blipFill>
                  <pic:spPr>
                    <a:xfrm>
                      <a:off x="0" y="0"/>
                      <a:ext cx="5759450" cy="918210"/>
                    </a:xfrm>
                    <a:prstGeom prst="rect">
                      <a:avLst/>
                    </a:prstGeom>
                  </pic:spPr>
                </pic:pic>
              </a:graphicData>
            </a:graphic>
          </wp:inline>
        </w:drawing>
      </w:r>
    </w:p>
    <w:p w:rsidR="00273002" w:rsidRPr="008012AC" w:rsidRDefault="00273002" w:rsidP="00273002">
      <w:pPr>
        <w:rPr>
          <w:i/>
          <w:vanish/>
          <w:specVanish/>
        </w:rPr>
      </w:pPr>
      <w:bookmarkStart w:id="1119" w:name="_Ref410287782"/>
      <w:bookmarkStart w:id="1120" w:name="_Toc431493960"/>
      <w:bookmarkStart w:id="1121" w:name="_Toc462685006"/>
      <w:r>
        <w:t xml:space="preserve">Figure </w:t>
      </w:r>
      <w:fldSimple w:instr=" SEQ Figure \* ARABIC ">
        <w:r w:rsidR="009C068F">
          <w:rPr>
            <w:noProof/>
          </w:rPr>
          <w:t>166</w:t>
        </w:r>
      </w:fldSimple>
      <w:bookmarkEnd w:id="1119"/>
      <w:r>
        <w:t xml:space="preserve">. </w:t>
      </w:r>
      <w:r w:rsidRPr="008012AC">
        <w:rPr>
          <w:i/>
        </w:rPr>
        <w:t>Annual daytime tidal exposure (total hours) and long-term median (dashed line) of intertidal reef seagrass meadows in Burdekin NRM region; 2000 - 201</w:t>
      </w:r>
      <w:r>
        <w:rPr>
          <w:i/>
        </w:rPr>
        <w:t>5</w:t>
      </w:r>
      <w:r w:rsidRPr="008012AC">
        <w:rPr>
          <w:i/>
        </w:rPr>
        <w:t>.</w:t>
      </w:r>
      <w:bookmarkEnd w:id="1120"/>
      <w:bookmarkEnd w:id="1121"/>
      <w:r w:rsidRPr="008012AC">
        <w:rPr>
          <w:i/>
        </w:rPr>
        <w:t xml:space="preserve"> </w:t>
      </w:r>
    </w:p>
    <w:p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9C068F" w:rsidRPr="009C068F">
        <w:rPr>
          <w:i/>
        </w:rPr>
        <w:t xml:space="preserve">Table </w:t>
      </w:r>
      <w:r w:rsidR="009C068F" w:rsidRPr="009C068F">
        <w:rPr>
          <w:i/>
          <w:noProof/>
        </w:rPr>
        <w:t>46</w:t>
      </w:r>
      <w:r w:rsidRPr="008012AC">
        <w:rPr>
          <w:i/>
        </w:rPr>
        <w:fldChar w:fldCharType="end"/>
      </w:r>
      <w:r w:rsidRPr="008012AC">
        <w:rPr>
          <w:i/>
        </w:rPr>
        <w:t>. Observed tidal heights courtesy Maritime Safety Queensland, 201</w:t>
      </w:r>
      <w:r>
        <w:rPr>
          <w:i/>
        </w:rPr>
        <w:t>5</w:t>
      </w:r>
      <w:r w:rsidRPr="008012AC">
        <w:rPr>
          <w:i/>
        </w:rPr>
        <w:t xml:space="preserve">. </w:t>
      </w:r>
    </w:p>
    <w:p w:rsidR="00273002" w:rsidRDefault="00273002" w:rsidP="00273002">
      <w:pPr>
        <w:rPr>
          <w:color w:val="000000"/>
          <w:szCs w:val="22"/>
        </w:rPr>
      </w:pPr>
    </w:p>
    <w:p w:rsidR="00273002" w:rsidRDefault="00273002" w:rsidP="00273002">
      <w:pPr>
        <w:keepNext/>
        <w:jc w:val="center"/>
        <w:rPr>
          <w:color w:val="000000"/>
          <w:szCs w:val="22"/>
        </w:rPr>
      </w:pPr>
      <w:r>
        <w:rPr>
          <w:noProof/>
          <w:color w:val="000000"/>
          <w:szCs w:val="22"/>
          <w:lang w:eastAsia="en-AU"/>
        </w:rPr>
        <w:drawing>
          <wp:inline distT="0" distB="0" distL="0" distR="0" wp14:anchorId="1D750505" wp14:editId="2D4E6231">
            <wp:extent cx="5759450" cy="2486025"/>
            <wp:effectExtent l="0" t="0" r="0" b="9525"/>
            <wp:docPr id="44" name="Picture 44" descr="Set of bar graphs showing annual daytime tidal exposure and long-term median of intertidal seagrass meadows in the Mackay Whitsunday NRM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daytime_exposure_2015.png"/>
                    <pic:cNvPicPr/>
                  </pic:nvPicPr>
                  <pic:blipFill>
                    <a:blip r:embed="rId263" cstate="print">
                      <a:extLst>
                        <a:ext uri="{28A0092B-C50C-407E-A947-70E740481C1C}">
                          <a14:useLocalDpi xmlns:a14="http://schemas.microsoft.com/office/drawing/2010/main" val="0"/>
                        </a:ext>
                      </a:extLst>
                    </a:blip>
                    <a:stretch>
                      <a:fillRect/>
                    </a:stretch>
                  </pic:blipFill>
                  <pic:spPr>
                    <a:xfrm>
                      <a:off x="0" y="0"/>
                      <a:ext cx="5759450" cy="2486025"/>
                    </a:xfrm>
                    <a:prstGeom prst="rect">
                      <a:avLst/>
                    </a:prstGeom>
                  </pic:spPr>
                </pic:pic>
              </a:graphicData>
            </a:graphic>
          </wp:inline>
        </w:drawing>
      </w:r>
    </w:p>
    <w:p w:rsidR="00273002" w:rsidRPr="00A93D8C" w:rsidRDefault="00273002" w:rsidP="00273002">
      <w:pPr>
        <w:rPr>
          <w:i/>
          <w:vanish/>
          <w:specVanish/>
        </w:rPr>
      </w:pPr>
      <w:bookmarkStart w:id="1122" w:name="_Ref410297244"/>
      <w:bookmarkStart w:id="1123" w:name="_Toc431493961"/>
      <w:bookmarkStart w:id="1124" w:name="_Toc462685007"/>
      <w:r>
        <w:t xml:space="preserve">Figure </w:t>
      </w:r>
      <w:fldSimple w:instr=" SEQ Figure \* ARABIC ">
        <w:r w:rsidR="009C068F">
          <w:rPr>
            <w:noProof/>
          </w:rPr>
          <w:t>167</w:t>
        </w:r>
      </w:fldSimple>
      <w:bookmarkEnd w:id="1122"/>
      <w:r>
        <w:t xml:space="preserve">. </w:t>
      </w:r>
      <w:r w:rsidRPr="008012AC">
        <w:rPr>
          <w:i/>
        </w:rPr>
        <w:t>Annual daytime tidal exposure (total hours) and long-term median (dashed line) of intertidal estuarine (a, b) coastal (c, d) and reef (e, f) seagrass meadows in Mackay Whitsunday NRM region; 1999 - 201</w:t>
      </w:r>
      <w:r>
        <w:rPr>
          <w:i/>
        </w:rPr>
        <w:t>5</w:t>
      </w:r>
      <w:r w:rsidRPr="008012AC">
        <w:rPr>
          <w:i/>
        </w:rPr>
        <w:t>.</w:t>
      </w:r>
      <w:bookmarkEnd w:id="1123"/>
      <w:bookmarkEnd w:id="1124"/>
      <w:r w:rsidRPr="008012AC">
        <w:rPr>
          <w:i/>
          <w:vanish/>
          <w:specVanish/>
        </w:rPr>
        <w:t xml:space="preserve"> </w:t>
      </w:r>
    </w:p>
    <w:p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9C068F" w:rsidRPr="009C068F">
        <w:rPr>
          <w:i/>
        </w:rPr>
        <w:t xml:space="preserve">Table </w:t>
      </w:r>
      <w:r w:rsidR="009C068F" w:rsidRPr="009C068F">
        <w:rPr>
          <w:i/>
          <w:noProof/>
        </w:rPr>
        <w:t>46</w:t>
      </w:r>
      <w:r w:rsidRPr="008012AC">
        <w:rPr>
          <w:i/>
        </w:rPr>
        <w:fldChar w:fldCharType="end"/>
      </w:r>
      <w:r w:rsidRPr="008012AC">
        <w:rPr>
          <w:i/>
        </w:rPr>
        <w:t>. Observed tidal heights courtesy Maritime Safety Queensland, 201</w:t>
      </w:r>
      <w:r>
        <w:rPr>
          <w:i/>
        </w:rPr>
        <w:t>5</w:t>
      </w:r>
      <w:r w:rsidRPr="008012AC">
        <w:rPr>
          <w:i/>
        </w:rPr>
        <w:t>.</w:t>
      </w:r>
      <w:r>
        <w:t xml:space="preserve"> </w:t>
      </w:r>
    </w:p>
    <w:p w:rsidR="00273002" w:rsidRDefault="00273002" w:rsidP="00273002">
      <w:pPr>
        <w:rPr>
          <w:color w:val="000000"/>
          <w:szCs w:val="22"/>
        </w:rPr>
      </w:pPr>
    </w:p>
    <w:p w:rsidR="00273002" w:rsidRDefault="00273002" w:rsidP="00273002">
      <w:pPr>
        <w:keepNext/>
        <w:jc w:val="center"/>
        <w:rPr>
          <w:color w:val="000000"/>
          <w:szCs w:val="22"/>
        </w:rPr>
      </w:pPr>
      <w:r>
        <w:rPr>
          <w:noProof/>
          <w:color w:val="000000"/>
          <w:szCs w:val="22"/>
          <w:lang w:eastAsia="en-AU"/>
        </w:rPr>
        <w:lastRenderedPageBreak/>
        <w:drawing>
          <wp:inline distT="0" distB="0" distL="0" distR="0" wp14:anchorId="3319AF51" wp14:editId="7B679522">
            <wp:extent cx="5759450" cy="2490470"/>
            <wp:effectExtent l="0" t="0" r="0" b="5080"/>
            <wp:docPr id="45" name="Picture 45" descr="Set of bar graphs showing annual daytime tidal exposure and long-term median of intertidal seagrass meadows in the Fitzroy NRM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daytime_exposure_2015.png"/>
                    <pic:cNvPicPr/>
                  </pic:nvPicPr>
                  <pic:blipFill>
                    <a:blip r:embed="rId264" cstate="print">
                      <a:extLst>
                        <a:ext uri="{28A0092B-C50C-407E-A947-70E740481C1C}">
                          <a14:useLocalDpi xmlns:a14="http://schemas.microsoft.com/office/drawing/2010/main" val="0"/>
                        </a:ext>
                      </a:extLst>
                    </a:blip>
                    <a:stretch>
                      <a:fillRect/>
                    </a:stretch>
                  </pic:blipFill>
                  <pic:spPr>
                    <a:xfrm>
                      <a:off x="0" y="0"/>
                      <a:ext cx="5759450" cy="2490470"/>
                    </a:xfrm>
                    <a:prstGeom prst="rect">
                      <a:avLst/>
                    </a:prstGeom>
                  </pic:spPr>
                </pic:pic>
              </a:graphicData>
            </a:graphic>
          </wp:inline>
        </w:drawing>
      </w:r>
    </w:p>
    <w:p w:rsidR="00273002" w:rsidRPr="008012AC" w:rsidRDefault="00273002" w:rsidP="00273002">
      <w:pPr>
        <w:rPr>
          <w:i/>
          <w:vanish/>
          <w:specVanish/>
        </w:rPr>
      </w:pPr>
      <w:bookmarkStart w:id="1125" w:name="_Ref410305493"/>
      <w:bookmarkStart w:id="1126" w:name="_Toc431493962"/>
      <w:bookmarkStart w:id="1127" w:name="_Toc462685008"/>
      <w:r>
        <w:t xml:space="preserve">Figure </w:t>
      </w:r>
      <w:fldSimple w:instr=" SEQ Figure \* ARABIC ">
        <w:r w:rsidR="009C068F">
          <w:rPr>
            <w:noProof/>
          </w:rPr>
          <w:t>168</w:t>
        </w:r>
      </w:fldSimple>
      <w:bookmarkEnd w:id="1125"/>
      <w:r>
        <w:t xml:space="preserve">. </w:t>
      </w:r>
      <w:r w:rsidRPr="008012AC">
        <w:rPr>
          <w:i/>
        </w:rPr>
        <w:t>Annual daytime tidal exposure (total hours) and long-term median (dashed line) of intertidal estuarine (a, b) coastal (c, d) and reef (e, f) seagrass meadows in the Fitzroy NRM region; 1999 - 201</w:t>
      </w:r>
      <w:r>
        <w:rPr>
          <w:i/>
        </w:rPr>
        <w:t>5</w:t>
      </w:r>
      <w:r w:rsidRPr="008012AC">
        <w:rPr>
          <w:i/>
        </w:rPr>
        <w:t>.</w:t>
      </w:r>
      <w:bookmarkEnd w:id="1126"/>
      <w:bookmarkEnd w:id="1127"/>
      <w:r w:rsidRPr="008012AC">
        <w:rPr>
          <w:i/>
        </w:rPr>
        <w:t xml:space="preserve"> </w:t>
      </w:r>
    </w:p>
    <w:p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9C068F" w:rsidRPr="009C068F">
        <w:rPr>
          <w:i/>
        </w:rPr>
        <w:t xml:space="preserve">Table </w:t>
      </w:r>
      <w:r w:rsidR="009C068F" w:rsidRPr="009C068F">
        <w:rPr>
          <w:i/>
          <w:noProof/>
        </w:rPr>
        <w:t>46</w:t>
      </w:r>
      <w:r w:rsidRPr="008012AC">
        <w:rPr>
          <w:i/>
        </w:rPr>
        <w:fldChar w:fldCharType="end"/>
      </w:r>
      <w:r w:rsidRPr="008012AC">
        <w:rPr>
          <w:i/>
        </w:rPr>
        <w:t>. Observed tidal heights courtesy Maritime Safety Queensland, 201</w:t>
      </w:r>
      <w:r>
        <w:rPr>
          <w:i/>
        </w:rPr>
        <w:t>5</w:t>
      </w:r>
      <w:r w:rsidRPr="008012AC">
        <w:rPr>
          <w:i/>
        </w:rPr>
        <w:t>.</w:t>
      </w:r>
      <w:r w:rsidRPr="00A93D8C">
        <w:t xml:space="preserve"> </w:t>
      </w:r>
    </w:p>
    <w:p w:rsidR="00273002" w:rsidRDefault="00273002" w:rsidP="00273002">
      <w:pPr>
        <w:rPr>
          <w:color w:val="000000"/>
          <w:szCs w:val="22"/>
        </w:rPr>
      </w:pPr>
    </w:p>
    <w:p w:rsidR="00273002" w:rsidRDefault="00273002" w:rsidP="00273002">
      <w:pPr>
        <w:keepNext/>
        <w:jc w:val="center"/>
        <w:rPr>
          <w:color w:val="000000"/>
          <w:szCs w:val="22"/>
        </w:rPr>
      </w:pPr>
      <w:r>
        <w:rPr>
          <w:noProof/>
          <w:color w:val="000000"/>
          <w:szCs w:val="22"/>
          <w:lang w:eastAsia="en-AU"/>
        </w:rPr>
        <w:drawing>
          <wp:inline distT="0" distB="0" distL="0" distR="0" wp14:anchorId="4FD129F8" wp14:editId="2643E93C">
            <wp:extent cx="5759450" cy="1704975"/>
            <wp:effectExtent l="0" t="0" r="0" b="9525"/>
            <wp:docPr id="46" name="Picture 46" descr="Set of bar graphs showing annual daytime tidal exposure and long-term median of intertidal estuarine seagrass meadows in the Burnett Mary NRM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daytime_exposure_2015.png"/>
                    <pic:cNvPicPr/>
                  </pic:nvPicPr>
                  <pic:blipFill>
                    <a:blip r:embed="rId265" cstate="print">
                      <a:extLst>
                        <a:ext uri="{28A0092B-C50C-407E-A947-70E740481C1C}">
                          <a14:useLocalDpi xmlns:a14="http://schemas.microsoft.com/office/drawing/2010/main" val="0"/>
                        </a:ext>
                      </a:extLst>
                    </a:blip>
                    <a:stretch>
                      <a:fillRect/>
                    </a:stretch>
                  </pic:blipFill>
                  <pic:spPr>
                    <a:xfrm>
                      <a:off x="0" y="0"/>
                      <a:ext cx="5759450" cy="1704975"/>
                    </a:xfrm>
                    <a:prstGeom prst="rect">
                      <a:avLst/>
                    </a:prstGeom>
                  </pic:spPr>
                </pic:pic>
              </a:graphicData>
            </a:graphic>
          </wp:inline>
        </w:drawing>
      </w:r>
    </w:p>
    <w:p w:rsidR="00273002" w:rsidRPr="00A93D8C" w:rsidRDefault="00273002" w:rsidP="00273002">
      <w:pPr>
        <w:rPr>
          <w:i/>
          <w:vanish/>
          <w:specVanish/>
        </w:rPr>
      </w:pPr>
      <w:bookmarkStart w:id="1128" w:name="_Ref410309889"/>
      <w:bookmarkStart w:id="1129" w:name="_Toc431493963"/>
      <w:bookmarkStart w:id="1130" w:name="_Toc462685009"/>
      <w:r>
        <w:t xml:space="preserve">Figure </w:t>
      </w:r>
      <w:fldSimple w:instr=" SEQ Figure \* ARABIC ">
        <w:r w:rsidR="009C068F">
          <w:rPr>
            <w:noProof/>
          </w:rPr>
          <w:t>169</w:t>
        </w:r>
      </w:fldSimple>
      <w:bookmarkEnd w:id="1128"/>
      <w:r>
        <w:t xml:space="preserve">. </w:t>
      </w:r>
      <w:r w:rsidRPr="008012AC">
        <w:rPr>
          <w:i/>
        </w:rPr>
        <w:t>Annual daytime tidal exposure (total hours) and long-term median (dashed line) of intertidal estuarine seagrass meadows in the Burnett Mary NRM region; 1999 - 201</w:t>
      </w:r>
      <w:r>
        <w:rPr>
          <w:i/>
        </w:rPr>
        <w:t>5</w:t>
      </w:r>
      <w:r w:rsidRPr="008012AC">
        <w:rPr>
          <w:i/>
        </w:rPr>
        <w:t>.</w:t>
      </w:r>
      <w:bookmarkEnd w:id="1129"/>
      <w:bookmarkEnd w:id="1130"/>
      <w:r w:rsidRPr="008012AC">
        <w:rPr>
          <w:i/>
          <w:vanish/>
          <w:specVanish/>
        </w:rPr>
        <w:t xml:space="preserve"> </w:t>
      </w:r>
    </w:p>
    <w:p w:rsidR="00273002" w:rsidRPr="008012AC" w:rsidRDefault="00273002" w:rsidP="00273002">
      <w:pPr>
        <w:rPr>
          <w:lang w:val="en-GB"/>
        </w:rPr>
      </w:pPr>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9C068F" w:rsidRPr="009C068F">
        <w:rPr>
          <w:i/>
        </w:rPr>
        <w:t xml:space="preserve">Table </w:t>
      </w:r>
      <w:r w:rsidR="009C068F" w:rsidRPr="009C068F">
        <w:rPr>
          <w:i/>
          <w:noProof/>
        </w:rPr>
        <w:t>46</w:t>
      </w:r>
      <w:r w:rsidRPr="008012AC">
        <w:rPr>
          <w:i/>
        </w:rPr>
        <w:fldChar w:fldCharType="end"/>
      </w:r>
      <w:r w:rsidRPr="008012AC">
        <w:rPr>
          <w:i/>
        </w:rPr>
        <w:t>. Observed tidal heights courtesy Maritime Safety Queensland, 201</w:t>
      </w:r>
      <w:r>
        <w:rPr>
          <w:i/>
        </w:rPr>
        <w:t>5</w:t>
      </w:r>
      <w:r w:rsidRPr="008012AC">
        <w:rPr>
          <w:i/>
        </w:rPr>
        <w:t xml:space="preserve">. </w:t>
      </w:r>
    </w:p>
    <w:p w:rsidR="00273002" w:rsidRDefault="00273002" w:rsidP="00273002">
      <w:pPr>
        <w:rPr>
          <w:color w:val="000000"/>
          <w:szCs w:val="22"/>
        </w:rPr>
      </w:pPr>
    </w:p>
    <w:p w:rsidR="00273002" w:rsidRDefault="00273002" w:rsidP="00273002">
      <w:pPr>
        <w:rPr>
          <w:color w:val="000000"/>
          <w:szCs w:val="22"/>
        </w:rPr>
      </w:pPr>
    </w:p>
    <w:p w:rsidR="00273002" w:rsidRDefault="00273002">
      <w:pPr>
        <w:spacing w:before="0" w:after="0"/>
        <w:rPr>
          <w:color w:val="000000"/>
          <w:szCs w:val="22"/>
        </w:rPr>
      </w:pPr>
      <w:r>
        <w:rPr>
          <w:color w:val="000000"/>
          <w:szCs w:val="22"/>
        </w:rPr>
        <w:br w:type="page"/>
      </w:r>
    </w:p>
    <w:p w:rsidR="00273002" w:rsidRPr="00F12624" w:rsidRDefault="00273002" w:rsidP="00F12624">
      <w:pPr>
        <w:pStyle w:val="Heading3"/>
        <w:rPr>
          <w:rFonts w:asciiTheme="minorHAnsi" w:hAnsiTheme="minorHAnsi"/>
          <w:sz w:val="24"/>
          <w:szCs w:val="24"/>
        </w:rPr>
      </w:pPr>
      <w:bookmarkStart w:id="1131" w:name="_Toc462047404"/>
      <w:r w:rsidRPr="00F12624">
        <w:rPr>
          <w:rFonts w:asciiTheme="minorHAnsi" w:hAnsiTheme="minorHAnsi"/>
          <w:sz w:val="24"/>
          <w:szCs w:val="24"/>
        </w:rPr>
        <w:lastRenderedPageBreak/>
        <w:t>Within canopy sea temperature</w:t>
      </w:r>
      <w:bookmarkEnd w:id="1131"/>
      <w:r w:rsidRPr="00F12624">
        <w:rPr>
          <w:rFonts w:asciiTheme="minorHAnsi" w:hAnsiTheme="minorHAnsi"/>
          <w:sz w:val="24"/>
          <w:szCs w:val="24"/>
        </w:rPr>
        <w:t xml:space="preserve"> </w:t>
      </w:r>
    </w:p>
    <w:p w:rsidR="00273002" w:rsidRPr="009A7A03" w:rsidRDefault="00273002" w:rsidP="00273002">
      <w:pPr>
        <w:jc w:val="center"/>
        <w:rPr>
          <w:color w:val="000000"/>
          <w:szCs w:val="22"/>
          <w:lang w:val="en-GB"/>
        </w:rPr>
      </w:pPr>
      <w:r>
        <w:rPr>
          <w:noProof/>
          <w:color w:val="000000"/>
          <w:szCs w:val="22"/>
          <w:lang w:eastAsia="en-AU"/>
        </w:rPr>
        <w:drawing>
          <wp:inline distT="0" distB="0" distL="0" distR="0" wp14:anchorId="165769FB" wp14:editId="32898B17">
            <wp:extent cx="5759450" cy="4276090"/>
            <wp:effectExtent l="0" t="0" r="0" b="0"/>
            <wp:docPr id="47" name="Picture 47" descr="Set of line graphs showing daily and long-term monthly within seagrass canopy temperatures throughout 2014-15 and from 2005 to 2015 at each inshore monitoring site in the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2015.png"/>
                    <pic:cNvPicPr/>
                  </pic:nvPicPr>
                  <pic:blipFill>
                    <a:blip r:embed="rId266" cstate="print">
                      <a:extLst>
                        <a:ext uri="{28A0092B-C50C-407E-A947-70E740481C1C}">
                          <a14:useLocalDpi xmlns:a14="http://schemas.microsoft.com/office/drawing/2010/main" val="0"/>
                        </a:ext>
                      </a:extLst>
                    </a:blip>
                    <a:stretch>
                      <a:fillRect/>
                    </a:stretch>
                  </pic:blipFill>
                  <pic:spPr>
                    <a:xfrm>
                      <a:off x="0" y="0"/>
                      <a:ext cx="5759450" cy="4276090"/>
                    </a:xfrm>
                    <a:prstGeom prst="rect">
                      <a:avLst/>
                    </a:prstGeom>
                  </pic:spPr>
                </pic:pic>
              </a:graphicData>
            </a:graphic>
          </wp:inline>
        </w:drawing>
      </w:r>
      <w:r w:rsidRPr="009A7A03">
        <w:rPr>
          <w:color w:val="000000"/>
          <w:szCs w:val="22"/>
          <w:lang w:val="en-GB"/>
        </w:rPr>
        <w:t xml:space="preserve"> </w:t>
      </w:r>
    </w:p>
    <w:p w:rsidR="004D7F52" w:rsidRPr="00A93D8C" w:rsidRDefault="00273002" w:rsidP="004D7F52">
      <w:pPr>
        <w:rPr>
          <w:i/>
          <w:vanish/>
          <w:specVanish/>
        </w:rPr>
      </w:pPr>
      <w:bookmarkStart w:id="1132" w:name="_Ref380231294"/>
      <w:bookmarkStart w:id="1133" w:name="_Toc462685010"/>
      <w:bookmarkStart w:id="1134" w:name="_Toc431493964"/>
      <w:r w:rsidRPr="009A7A03">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170</w:t>
      </w:r>
      <w:r w:rsidR="0073595B">
        <w:rPr>
          <w:color w:val="000000"/>
          <w:szCs w:val="22"/>
        </w:rPr>
        <w:fldChar w:fldCharType="end"/>
      </w:r>
      <w:bookmarkEnd w:id="1132"/>
      <w:r w:rsidRPr="009A7A03">
        <w:rPr>
          <w:color w:val="000000"/>
          <w:szCs w:val="22"/>
        </w:rPr>
        <w:t xml:space="preserve">. </w:t>
      </w:r>
      <w:r w:rsidRPr="009A7A03">
        <w:rPr>
          <w:i/>
          <w:color w:val="000000"/>
          <w:szCs w:val="22"/>
        </w:rPr>
        <w:t>Within seagrass canopy temperatures (°C) at intertidal monitoring locations in the Cape York NRM region</w:t>
      </w:r>
      <w:bookmarkEnd w:id="1133"/>
    </w:p>
    <w:p w:rsidR="00273002" w:rsidRPr="009A7A03" w:rsidRDefault="00273002" w:rsidP="00273002">
      <w:pPr>
        <w:spacing w:before="0"/>
        <w:rPr>
          <w:color w:val="000000"/>
          <w:szCs w:val="22"/>
        </w:rPr>
      </w:pPr>
      <w:r w:rsidRPr="009A7A03">
        <w:rPr>
          <w:i/>
          <w:color w:val="000000"/>
          <w:szCs w:val="22"/>
        </w:rPr>
        <w:t xml:space="preserve">: daily mean (sites pooled) over </w:t>
      </w:r>
      <w:r w:rsidR="00715D2B">
        <w:rPr>
          <w:i/>
          <w:color w:val="000000"/>
          <w:szCs w:val="22"/>
        </w:rPr>
        <w:t>2014</w:t>
      </w:r>
      <w:r>
        <w:rPr>
          <w:i/>
          <w:color w:val="000000"/>
          <w:szCs w:val="22"/>
        </w:rPr>
        <w:t>-15</w:t>
      </w:r>
      <w:r w:rsidRPr="009A7A03">
        <w:rPr>
          <w:i/>
          <w:color w:val="000000"/>
          <w:szCs w:val="22"/>
        </w:rPr>
        <w:t xml:space="preserve"> monitoring period (left); and long-term monthly mean and maximum within seagrass canopy temperature at each site (right).</w:t>
      </w:r>
      <w:bookmarkEnd w:id="1134"/>
    </w:p>
    <w:p w:rsidR="00273002" w:rsidRPr="00BC57F1" w:rsidRDefault="00273002" w:rsidP="00273002">
      <w:pPr>
        <w:rPr>
          <w:color w:val="000000"/>
          <w:szCs w:val="22"/>
          <w:lang w:val="en-GB"/>
        </w:rPr>
      </w:pPr>
    </w:p>
    <w:p w:rsidR="00273002" w:rsidRPr="00BC57F1" w:rsidRDefault="00273002" w:rsidP="00273002">
      <w:pPr>
        <w:rPr>
          <w:color w:val="000000"/>
          <w:szCs w:val="22"/>
          <w:lang w:val="en-GB"/>
        </w:rPr>
      </w:pPr>
    </w:p>
    <w:p w:rsidR="00273002" w:rsidRPr="00BC57F1" w:rsidRDefault="00273002" w:rsidP="00273002">
      <w:pPr>
        <w:rPr>
          <w:color w:val="000000"/>
          <w:szCs w:val="22"/>
          <w:lang w:val="en-GB"/>
        </w:rPr>
      </w:pPr>
    </w:p>
    <w:p w:rsidR="00273002" w:rsidRPr="00BC57F1" w:rsidRDefault="00273002" w:rsidP="00273002">
      <w:pPr>
        <w:rPr>
          <w:color w:val="000000"/>
          <w:szCs w:val="22"/>
          <w:lang w:val="en-GB"/>
        </w:rPr>
      </w:pPr>
    </w:p>
    <w:p w:rsidR="00273002" w:rsidRPr="00BC57F1" w:rsidRDefault="00273002" w:rsidP="00273002">
      <w:pPr>
        <w:rPr>
          <w:color w:val="000000"/>
          <w:szCs w:val="22"/>
          <w:lang w:val="en-GB"/>
        </w:rPr>
      </w:pPr>
    </w:p>
    <w:p w:rsidR="00273002" w:rsidRPr="00BC57F1" w:rsidRDefault="00273002" w:rsidP="00273002">
      <w:pPr>
        <w:rPr>
          <w:color w:val="000000"/>
          <w:szCs w:val="22"/>
          <w:lang w:val="en-GB"/>
        </w:rPr>
      </w:pPr>
    </w:p>
    <w:p w:rsidR="00273002" w:rsidRPr="00BC57F1" w:rsidRDefault="00273002" w:rsidP="00273002">
      <w:pPr>
        <w:rPr>
          <w:color w:val="000000"/>
          <w:szCs w:val="22"/>
          <w:lang w:val="en-GB"/>
        </w:rPr>
      </w:pPr>
    </w:p>
    <w:p w:rsidR="00273002" w:rsidRPr="00BC57F1" w:rsidRDefault="00273002" w:rsidP="00273002">
      <w:pPr>
        <w:rPr>
          <w:color w:val="000000"/>
          <w:szCs w:val="22"/>
          <w:lang w:val="en-GB"/>
        </w:rPr>
      </w:pPr>
    </w:p>
    <w:p w:rsidR="00273002" w:rsidRPr="00BC57F1" w:rsidRDefault="00273002" w:rsidP="00273002">
      <w:pPr>
        <w:rPr>
          <w:color w:val="000000"/>
          <w:szCs w:val="22"/>
          <w:lang w:val="en-GB"/>
        </w:rPr>
      </w:pPr>
    </w:p>
    <w:p w:rsidR="00273002" w:rsidRPr="00BC57F1" w:rsidRDefault="00273002" w:rsidP="00273002">
      <w:pPr>
        <w:rPr>
          <w:color w:val="000000"/>
          <w:szCs w:val="22"/>
          <w:lang w:val="en-GB"/>
        </w:rPr>
      </w:pPr>
    </w:p>
    <w:p w:rsidR="00273002" w:rsidRPr="00966EF3" w:rsidRDefault="00273002" w:rsidP="00273002">
      <w:pPr>
        <w:keepNext/>
        <w:spacing w:before="0" w:after="0"/>
        <w:jc w:val="center"/>
        <w:rPr>
          <w:color w:val="000000"/>
          <w:szCs w:val="22"/>
          <w:lang w:val="en-GB"/>
        </w:rPr>
      </w:pPr>
      <w:r>
        <w:rPr>
          <w:noProof/>
          <w:color w:val="000000"/>
          <w:szCs w:val="22"/>
          <w:lang w:eastAsia="en-AU"/>
        </w:rPr>
        <w:lastRenderedPageBreak/>
        <w:drawing>
          <wp:inline distT="0" distB="0" distL="0" distR="0" wp14:anchorId="61A9C114" wp14:editId="4861004B">
            <wp:extent cx="5759450" cy="4280535"/>
            <wp:effectExtent l="0" t="0" r="0" b="5715"/>
            <wp:docPr id="49" name="Picture 49" descr="Set of line graphs showing daily and long-term monthly within seagrass canopy temperatures throughout 2014-15 and from 2004 to 2015 at each intertidal monitoring site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2015.png"/>
                    <pic:cNvPicPr/>
                  </pic:nvPicPr>
                  <pic:blipFill>
                    <a:blip r:embed="rId267" cstate="print">
                      <a:extLst>
                        <a:ext uri="{28A0092B-C50C-407E-A947-70E740481C1C}">
                          <a14:useLocalDpi xmlns:a14="http://schemas.microsoft.com/office/drawing/2010/main" val="0"/>
                        </a:ext>
                      </a:extLst>
                    </a:blip>
                    <a:stretch>
                      <a:fillRect/>
                    </a:stretch>
                  </pic:blipFill>
                  <pic:spPr>
                    <a:xfrm>
                      <a:off x="0" y="0"/>
                      <a:ext cx="5759450" cy="4280535"/>
                    </a:xfrm>
                    <a:prstGeom prst="rect">
                      <a:avLst/>
                    </a:prstGeom>
                  </pic:spPr>
                </pic:pic>
              </a:graphicData>
            </a:graphic>
          </wp:inline>
        </w:drawing>
      </w:r>
    </w:p>
    <w:p w:rsidR="004D7F52" w:rsidRPr="00A93D8C" w:rsidRDefault="00273002" w:rsidP="004D7F52">
      <w:pPr>
        <w:rPr>
          <w:i/>
          <w:vanish/>
          <w:specVanish/>
        </w:rPr>
      </w:pPr>
      <w:bookmarkStart w:id="1135" w:name="_Ref380344953"/>
      <w:bookmarkStart w:id="1136" w:name="_Toc462685011"/>
      <w:bookmarkStart w:id="1137" w:name="_Toc431493965"/>
      <w:r w:rsidRPr="00966EF3">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171</w:t>
      </w:r>
      <w:r w:rsidR="0073595B">
        <w:rPr>
          <w:color w:val="000000"/>
          <w:szCs w:val="22"/>
        </w:rPr>
        <w:fldChar w:fldCharType="end"/>
      </w:r>
      <w:bookmarkEnd w:id="1135"/>
      <w:r w:rsidRPr="00966EF3">
        <w:rPr>
          <w:color w:val="000000"/>
          <w:szCs w:val="22"/>
        </w:rPr>
        <w:t xml:space="preserve">. </w:t>
      </w:r>
      <w:r w:rsidRPr="00966EF3">
        <w:rPr>
          <w:i/>
          <w:color w:val="000000"/>
          <w:szCs w:val="22"/>
        </w:rPr>
        <w:t>Within seagrass canopy temperatures (°C) at intertidal monitoring locations in Wet Tropics NRM region</w:t>
      </w:r>
      <w:bookmarkEnd w:id="1136"/>
    </w:p>
    <w:p w:rsidR="00273002" w:rsidRPr="00966EF3" w:rsidRDefault="00273002" w:rsidP="00273002">
      <w:pPr>
        <w:spacing w:before="0"/>
        <w:rPr>
          <w:i/>
          <w:color w:val="000000"/>
          <w:szCs w:val="22"/>
        </w:rPr>
      </w:pPr>
      <w:r w:rsidRPr="00966EF3">
        <w:rPr>
          <w:i/>
          <w:color w:val="000000"/>
          <w:szCs w:val="22"/>
        </w:rPr>
        <w:t xml:space="preserve">: daily mean (sites pooled) over </w:t>
      </w:r>
      <w:r w:rsidR="005515AE">
        <w:rPr>
          <w:i/>
          <w:color w:val="000000"/>
          <w:szCs w:val="22"/>
        </w:rPr>
        <w:t>2014-15</w:t>
      </w:r>
      <w:r w:rsidRPr="00966EF3">
        <w:rPr>
          <w:i/>
          <w:color w:val="000000"/>
          <w:szCs w:val="22"/>
        </w:rPr>
        <w:t xml:space="preserve"> monitoring period (left); and long-term monthly mean and maximum within seagrass canopy temperature at each site (right).</w:t>
      </w:r>
      <w:bookmarkEnd w:id="1137"/>
    </w:p>
    <w:p w:rsidR="00273002" w:rsidRPr="00966EF3" w:rsidRDefault="00273002" w:rsidP="00273002">
      <w:pPr>
        <w:rPr>
          <w:color w:val="000000"/>
          <w:szCs w:val="22"/>
          <w:lang w:val="en-GB"/>
        </w:rPr>
      </w:pPr>
    </w:p>
    <w:p w:rsidR="00273002" w:rsidRPr="00966EF3" w:rsidRDefault="00273002" w:rsidP="00273002">
      <w:pPr>
        <w:keepNext/>
        <w:spacing w:before="0" w:after="0"/>
        <w:jc w:val="center"/>
        <w:rPr>
          <w:color w:val="000000"/>
          <w:szCs w:val="22"/>
          <w:lang w:val="en-GB"/>
        </w:rPr>
      </w:pPr>
      <w:r>
        <w:rPr>
          <w:noProof/>
          <w:color w:val="000000"/>
          <w:szCs w:val="22"/>
          <w:lang w:eastAsia="en-AU"/>
        </w:rPr>
        <w:drawing>
          <wp:inline distT="0" distB="0" distL="0" distR="0" wp14:anchorId="4C5529E4" wp14:editId="7A34F833">
            <wp:extent cx="5759450" cy="2583815"/>
            <wp:effectExtent l="0" t="0" r="0" b="6985"/>
            <wp:docPr id="50" name="Picture 50" descr="Set of line graphs showing daily and long-term monthly within seagrass canopy temperatures throughout 2014-15 and from 2004 to 2015 at each inshore subtidal monitoring site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sub_2015.png"/>
                    <pic:cNvPicPr/>
                  </pic:nvPicPr>
                  <pic:blipFill>
                    <a:blip r:embed="rId268" cstate="print">
                      <a:extLst>
                        <a:ext uri="{28A0092B-C50C-407E-A947-70E740481C1C}">
                          <a14:useLocalDpi xmlns:a14="http://schemas.microsoft.com/office/drawing/2010/main" val="0"/>
                        </a:ext>
                      </a:extLst>
                    </a:blip>
                    <a:stretch>
                      <a:fillRect/>
                    </a:stretch>
                  </pic:blipFill>
                  <pic:spPr>
                    <a:xfrm>
                      <a:off x="0" y="0"/>
                      <a:ext cx="5759450" cy="2583815"/>
                    </a:xfrm>
                    <a:prstGeom prst="rect">
                      <a:avLst/>
                    </a:prstGeom>
                  </pic:spPr>
                </pic:pic>
              </a:graphicData>
            </a:graphic>
          </wp:inline>
        </w:drawing>
      </w:r>
      <w:r w:rsidRPr="00966EF3">
        <w:rPr>
          <w:color w:val="000000"/>
          <w:szCs w:val="22"/>
          <w:lang w:val="en-GB"/>
        </w:rPr>
        <w:t xml:space="preserve"> </w:t>
      </w:r>
    </w:p>
    <w:p w:rsidR="00273002" w:rsidRPr="00966EF3" w:rsidRDefault="00273002" w:rsidP="00273002">
      <w:pPr>
        <w:spacing w:before="0"/>
        <w:rPr>
          <w:color w:val="000000"/>
          <w:szCs w:val="22"/>
        </w:rPr>
      </w:pPr>
      <w:bookmarkStart w:id="1138" w:name="_Ref380344956"/>
      <w:bookmarkStart w:id="1139" w:name="_Toc431493966"/>
      <w:bookmarkStart w:id="1140" w:name="_Toc462685012"/>
      <w:r w:rsidRPr="00966EF3">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172</w:t>
      </w:r>
      <w:r w:rsidR="0073595B">
        <w:rPr>
          <w:color w:val="000000"/>
          <w:szCs w:val="22"/>
        </w:rPr>
        <w:fldChar w:fldCharType="end"/>
      </w:r>
      <w:bookmarkEnd w:id="1138"/>
      <w:r w:rsidRPr="00966EF3">
        <w:rPr>
          <w:color w:val="000000"/>
          <w:szCs w:val="22"/>
        </w:rPr>
        <w:t xml:space="preserve">. </w:t>
      </w:r>
      <w:r w:rsidRPr="00966EF3">
        <w:rPr>
          <w:i/>
          <w:color w:val="000000"/>
          <w:szCs w:val="22"/>
        </w:rPr>
        <w:t xml:space="preserve">Daily within seagrass canopy temperature (°C) over the </w:t>
      </w:r>
      <w:r>
        <w:rPr>
          <w:i/>
          <w:color w:val="000000"/>
          <w:szCs w:val="22"/>
        </w:rPr>
        <w:t>2013-15</w:t>
      </w:r>
      <w:r w:rsidRPr="00966EF3">
        <w:rPr>
          <w:i/>
          <w:color w:val="000000"/>
          <w:szCs w:val="22"/>
        </w:rPr>
        <w:t xml:space="preserve"> monitoring period (left) and long-term monthly mean and maximum (right) at Low Isles (top), Green Island (middle) and Dunk Island (bottom) subtidal meadows within the Wet Tropics region.</w:t>
      </w:r>
      <w:bookmarkEnd w:id="1139"/>
      <w:bookmarkEnd w:id="1140"/>
    </w:p>
    <w:p w:rsidR="00273002" w:rsidRPr="006411A2" w:rsidRDefault="00273002" w:rsidP="00273002">
      <w:pPr>
        <w:keepNext/>
        <w:spacing w:after="0"/>
        <w:jc w:val="center"/>
        <w:rPr>
          <w:color w:val="000000"/>
          <w:szCs w:val="22"/>
        </w:rPr>
      </w:pPr>
      <w:r>
        <w:rPr>
          <w:noProof/>
          <w:color w:val="000000"/>
          <w:szCs w:val="22"/>
          <w:lang w:eastAsia="en-AU"/>
        </w:rPr>
        <w:lastRenderedPageBreak/>
        <w:drawing>
          <wp:inline distT="0" distB="0" distL="0" distR="0" wp14:anchorId="5D22BDB4" wp14:editId="18D481ED">
            <wp:extent cx="5759450" cy="2583815"/>
            <wp:effectExtent l="0" t="0" r="0" b="6985"/>
            <wp:docPr id="51" name="Picture 51" descr="Set of line graphs showing daily and long-term monthly within seagrass canopy temperatures throughout 2014-15 and from 2004 to 2015 at each intertidal monitoring site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2015.png"/>
                    <pic:cNvPicPr/>
                  </pic:nvPicPr>
                  <pic:blipFill>
                    <a:blip r:embed="rId269" cstate="print">
                      <a:extLst>
                        <a:ext uri="{28A0092B-C50C-407E-A947-70E740481C1C}">
                          <a14:useLocalDpi xmlns:a14="http://schemas.microsoft.com/office/drawing/2010/main" val="0"/>
                        </a:ext>
                      </a:extLst>
                    </a:blip>
                    <a:stretch>
                      <a:fillRect/>
                    </a:stretch>
                  </pic:blipFill>
                  <pic:spPr>
                    <a:xfrm>
                      <a:off x="0" y="0"/>
                      <a:ext cx="5759450" cy="2583815"/>
                    </a:xfrm>
                    <a:prstGeom prst="rect">
                      <a:avLst/>
                    </a:prstGeom>
                  </pic:spPr>
                </pic:pic>
              </a:graphicData>
            </a:graphic>
          </wp:inline>
        </w:drawing>
      </w:r>
    </w:p>
    <w:p w:rsidR="004D7F52" w:rsidRPr="00A93D8C" w:rsidRDefault="00273002" w:rsidP="004D7F52">
      <w:pPr>
        <w:rPr>
          <w:i/>
          <w:vanish/>
          <w:specVanish/>
        </w:rPr>
      </w:pPr>
      <w:bookmarkStart w:id="1141" w:name="_Ref382203200"/>
      <w:bookmarkStart w:id="1142" w:name="_Toc462685013"/>
      <w:bookmarkStart w:id="1143" w:name="_Toc431493967"/>
      <w:r w:rsidRPr="006411A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173</w:t>
      </w:r>
      <w:r w:rsidR="0073595B">
        <w:rPr>
          <w:color w:val="000000"/>
          <w:szCs w:val="22"/>
        </w:rPr>
        <w:fldChar w:fldCharType="end"/>
      </w:r>
      <w:bookmarkEnd w:id="1141"/>
      <w:r w:rsidRPr="006411A2">
        <w:rPr>
          <w:color w:val="000000"/>
          <w:szCs w:val="22"/>
        </w:rPr>
        <w:t xml:space="preserve">. </w:t>
      </w:r>
      <w:r w:rsidRPr="006411A2">
        <w:rPr>
          <w:i/>
          <w:color w:val="000000"/>
          <w:szCs w:val="22"/>
        </w:rPr>
        <w:t>Within seagrass canopy temperatures (°C) at intertidal monitoring locations in Burdekin NRM region</w:t>
      </w:r>
      <w:bookmarkEnd w:id="1142"/>
    </w:p>
    <w:p w:rsidR="00273002" w:rsidRPr="006411A2" w:rsidRDefault="00273002" w:rsidP="00273002">
      <w:pPr>
        <w:spacing w:before="0"/>
        <w:rPr>
          <w:color w:val="000000"/>
          <w:szCs w:val="22"/>
        </w:rPr>
      </w:pPr>
      <w:r w:rsidRPr="006411A2">
        <w:rPr>
          <w:i/>
          <w:color w:val="000000"/>
          <w:szCs w:val="22"/>
        </w:rPr>
        <w:t xml:space="preserve">: daily mean (sites pooled) over </w:t>
      </w:r>
      <w:r w:rsidR="005515AE">
        <w:rPr>
          <w:i/>
          <w:color w:val="000000"/>
          <w:szCs w:val="22"/>
        </w:rPr>
        <w:t>2014-15</w:t>
      </w:r>
      <w:r w:rsidRPr="006411A2">
        <w:rPr>
          <w:i/>
          <w:color w:val="000000"/>
          <w:szCs w:val="22"/>
        </w:rPr>
        <w:t xml:space="preserve"> monitoring period (left); and long-term monthly mean and maximum within seagrass canopy temperature at each site (right).</w:t>
      </w:r>
      <w:bookmarkEnd w:id="1143"/>
    </w:p>
    <w:p w:rsidR="00273002" w:rsidRPr="007C174A" w:rsidRDefault="00273002" w:rsidP="00273002">
      <w:pPr>
        <w:rPr>
          <w:color w:val="000000"/>
          <w:szCs w:val="22"/>
          <w:lang w:val="en-GB"/>
        </w:rPr>
      </w:pPr>
    </w:p>
    <w:p w:rsidR="00273002" w:rsidRPr="001B033F" w:rsidRDefault="00273002" w:rsidP="00273002">
      <w:pPr>
        <w:keepNext/>
        <w:spacing w:before="240" w:after="0"/>
        <w:jc w:val="center"/>
        <w:rPr>
          <w:noProof/>
          <w:color w:val="000000"/>
        </w:rPr>
      </w:pPr>
      <w:r>
        <w:rPr>
          <w:noProof/>
          <w:color w:val="000000"/>
          <w:lang w:eastAsia="en-AU"/>
        </w:rPr>
        <w:drawing>
          <wp:inline distT="0" distB="0" distL="0" distR="0" wp14:anchorId="2B892B47" wp14:editId="484E15E3">
            <wp:extent cx="5759450" cy="887730"/>
            <wp:effectExtent l="0" t="0" r="0" b="7620"/>
            <wp:docPr id="52" name="Picture 52" descr="Panel of line graphs showing daily and long-term monthly within seagrass canopy temperatures throughout 2014-15 and from 2004 to 2015 at each inshore subtidal monitoring site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sub_2015.png"/>
                    <pic:cNvPicPr/>
                  </pic:nvPicPr>
                  <pic:blipFill>
                    <a:blip r:embed="rId270" cstate="print">
                      <a:extLst>
                        <a:ext uri="{28A0092B-C50C-407E-A947-70E740481C1C}">
                          <a14:useLocalDpi xmlns:a14="http://schemas.microsoft.com/office/drawing/2010/main" val="0"/>
                        </a:ext>
                      </a:extLst>
                    </a:blip>
                    <a:stretch>
                      <a:fillRect/>
                    </a:stretch>
                  </pic:blipFill>
                  <pic:spPr>
                    <a:xfrm>
                      <a:off x="0" y="0"/>
                      <a:ext cx="5759450" cy="887730"/>
                    </a:xfrm>
                    <a:prstGeom prst="rect">
                      <a:avLst/>
                    </a:prstGeom>
                  </pic:spPr>
                </pic:pic>
              </a:graphicData>
            </a:graphic>
          </wp:inline>
        </w:drawing>
      </w:r>
      <w:r w:rsidRPr="001B033F">
        <w:rPr>
          <w:noProof/>
          <w:color w:val="000000"/>
          <w:lang w:eastAsia="en-AU"/>
        </w:rPr>
        <w:t xml:space="preserve"> </w:t>
      </w:r>
    </w:p>
    <w:p w:rsidR="004D7F52" w:rsidRPr="00A93D8C" w:rsidRDefault="00273002" w:rsidP="004D7F52">
      <w:pPr>
        <w:rPr>
          <w:i/>
          <w:vanish/>
          <w:specVanish/>
        </w:rPr>
      </w:pPr>
      <w:bookmarkStart w:id="1144" w:name="_Ref382203203"/>
      <w:bookmarkStart w:id="1145" w:name="_Toc462685014"/>
      <w:bookmarkStart w:id="1146" w:name="_Toc431493968"/>
      <w:r w:rsidRPr="001B033F">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174</w:t>
      </w:r>
      <w:r w:rsidR="0073595B">
        <w:rPr>
          <w:color w:val="000000"/>
          <w:szCs w:val="22"/>
        </w:rPr>
        <w:fldChar w:fldCharType="end"/>
      </w:r>
      <w:bookmarkEnd w:id="1144"/>
      <w:r w:rsidRPr="001B033F">
        <w:rPr>
          <w:color w:val="000000"/>
          <w:szCs w:val="22"/>
        </w:rPr>
        <w:t xml:space="preserve">. </w:t>
      </w:r>
      <w:r w:rsidRPr="001B033F">
        <w:rPr>
          <w:i/>
          <w:color w:val="000000"/>
          <w:szCs w:val="22"/>
        </w:rPr>
        <w:t>Within seagrass canopy temperatures (°C) at subtidal monitoring locations in Burdekin NRM region</w:t>
      </w:r>
      <w:bookmarkEnd w:id="1145"/>
    </w:p>
    <w:p w:rsidR="00273002" w:rsidRDefault="00273002" w:rsidP="00273002">
      <w:pPr>
        <w:spacing w:before="0"/>
        <w:rPr>
          <w:i/>
          <w:color w:val="000000"/>
          <w:szCs w:val="22"/>
        </w:rPr>
      </w:pPr>
      <w:r w:rsidRPr="001B033F">
        <w:rPr>
          <w:i/>
          <w:color w:val="000000"/>
          <w:szCs w:val="22"/>
        </w:rPr>
        <w:t xml:space="preserve">: daily mean (sites pooled) over </w:t>
      </w:r>
      <w:r w:rsidR="005515AE">
        <w:rPr>
          <w:i/>
          <w:color w:val="000000"/>
          <w:szCs w:val="22"/>
        </w:rPr>
        <w:t>2014-15</w:t>
      </w:r>
      <w:r w:rsidRPr="001B033F">
        <w:rPr>
          <w:i/>
          <w:color w:val="000000"/>
          <w:szCs w:val="22"/>
        </w:rPr>
        <w:t xml:space="preserve"> monitoring period (left); and long-term monthly mean and maximum within seagrass canopy temperature at each site (right).</w:t>
      </w:r>
      <w:bookmarkEnd w:id="1146"/>
    </w:p>
    <w:p w:rsidR="00273002" w:rsidRDefault="00273002" w:rsidP="00273002">
      <w:pPr>
        <w:rPr>
          <w:lang w:val="en-GB"/>
        </w:rPr>
      </w:pPr>
    </w:p>
    <w:p w:rsidR="00273002" w:rsidRDefault="00273002" w:rsidP="00273002">
      <w:pPr>
        <w:rPr>
          <w:lang w:val="en-GB"/>
        </w:rPr>
      </w:pPr>
    </w:p>
    <w:p w:rsidR="00273002" w:rsidRPr="00285AB6" w:rsidRDefault="00273002" w:rsidP="00273002">
      <w:pPr>
        <w:rPr>
          <w:lang w:val="en-GB"/>
        </w:rPr>
      </w:pPr>
    </w:p>
    <w:p w:rsidR="00273002" w:rsidRPr="005B31A4" w:rsidRDefault="00273002" w:rsidP="00273002">
      <w:pPr>
        <w:keepNext/>
        <w:spacing w:before="240" w:after="0"/>
        <w:jc w:val="center"/>
        <w:rPr>
          <w:color w:val="000000"/>
          <w:szCs w:val="22"/>
        </w:rPr>
      </w:pPr>
      <w:r>
        <w:rPr>
          <w:noProof/>
          <w:color w:val="000000"/>
          <w:szCs w:val="22"/>
          <w:lang w:eastAsia="en-AU"/>
        </w:rPr>
        <w:lastRenderedPageBreak/>
        <w:drawing>
          <wp:inline distT="0" distB="0" distL="0" distR="0" wp14:anchorId="76AA9029" wp14:editId="086967EA">
            <wp:extent cx="5759450" cy="3432175"/>
            <wp:effectExtent l="0" t="0" r="0" b="0"/>
            <wp:docPr id="53" name="Picture 53" descr="Set of line graphs showing daily and long-term monthly within seagrass canopy temperatures throughout 2014-15 and from 2004 to 2015 at each intertidal monitoring site in the Mackay Whitsa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2015.png"/>
                    <pic:cNvPicPr/>
                  </pic:nvPicPr>
                  <pic:blipFill>
                    <a:blip r:embed="rId271" cstate="print">
                      <a:extLst>
                        <a:ext uri="{28A0092B-C50C-407E-A947-70E740481C1C}">
                          <a14:useLocalDpi xmlns:a14="http://schemas.microsoft.com/office/drawing/2010/main" val="0"/>
                        </a:ext>
                      </a:extLst>
                    </a:blip>
                    <a:stretch>
                      <a:fillRect/>
                    </a:stretch>
                  </pic:blipFill>
                  <pic:spPr>
                    <a:xfrm>
                      <a:off x="0" y="0"/>
                      <a:ext cx="5759450" cy="3432175"/>
                    </a:xfrm>
                    <a:prstGeom prst="rect">
                      <a:avLst/>
                    </a:prstGeom>
                  </pic:spPr>
                </pic:pic>
              </a:graphicData>
            </a:graphic>
          </wp:inline>
        </w:drawing>
      </w:r>
    </w:p>
    <w:p w:rsidR="004D7F52" w:rsidRPr="00A93D8C" w:rsidRDefault="00273002" w:rsidP="004D7F52">
      <w:pPr>
        <w:rPr>
          <w:i/>
          <w:vanish/>
          <w:specVanish/>
        </w:rPr>
      </w:pPr>
      <w:bookmarkStart w:id="1147" w:name="_Ref382207137"/>
      <w:bookmarkStart w:id="1148" w:name="_Toc462685015"/>
      <w:bookmarkStart w:id="1149" w:name="_Toc431493969"/>
      <w:r w:rsidRPr="005B31A4">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175</w:t>
      </w:r>
      <w:r w:rsidR="0073595B">
        <w:rPr>
          <w:color w:val="000000"/>
          <w:szCs w:val="22"/>
        </w:rPr>
        <w:fldChar w:fldCharType="end"/>
      </w:r>
      <w:bookmarkEnd w:id="1147"/>
      <w:r w:rsidRPr="005B31A4">
        <w:rPr>
          <w:color w:val="000000"/>
          <w:szCs w:val="22"/>
        </w:rPr>
        <w:t xml:space="preserve">. </w:t>
      </w:r>
      <w:r w:rsidRPr="005B31A4">
        <w:rPr>
          <w:i/>
          <w:color w:val="000000"/>
          <w:szCs w:val="22"/>
        </w:rPr>
        <w:t>Within seagrass canopy temperatures (°C) at intertidal monitoring locations in Mackay Whitsunday NRM region</w:t>
      </w:r>
      <w:bookmarkEnd w:id="1148"/>
    </w:p>
    <w:p w:rsidR="00273002" w:rsidRPr="005B31A4" w:rsidRDefault="00273002" w:rsidP="00273002">
      <w:pPr>
        <w:spacing w:before="0"/>
        <w:rPr>
          <w:i/>
          <w:color w:val="000000"/>
          <w:szCs w:val="22"/>
        </w:rPr>
      </w:pPr>
      <w:r w:rsidRPr="005B31A4">
        <w:rPr>
          <w:i/>
          <w:color w:val="000000"/>
          <w:szCs w:val="22"/>
        </w:rPr>
        <w:t xml:space="preserve">: daily mean (sites pooled) over </w:t>
      </w:r>
      <w:r w:rsidR="005515AE">
        <w:rPr>
          <w:i/>
          <w:color w:val="000000"/>
          <w:szCs w:val="22"/>
        </w:rPr>
        <w:t>2014-15</w:t>
      </w:r>
      <w:r w:rsidRPr="005B31A4">
        <w:rPr>
          <w:i/>
          <w:color w:val="000000"/>
          <w:szCs w:val="22"/>
        </w:rPr>
        <w:t xml:space="preserve"> monitoring period (left); and long-term monthly mean and maximum within seagrass canopy temperature at each site (right).</w:t>
      </w:r>
      <w:bookmarkEnd w:id="1149"/>
    </w:p>
    <w:p w:rsidR="00273002" w:rsidRDefault="00273002" w:rsidP="00273002">
      <w:pPr>
        <w:rPr>
          <w:color w:val="000000"/>
          <w:szCs w:val="22"/>
          <w:lang w:val="en-GB"/>
        </w:rPr>
      </w:pPr>
    </w:p>
    <w:p w:rsidR="00273002" w:rsidRPr="007C174A" w:rsidRDefault="00273002" w:rsidP="00273002">
      <w:pPr>
        <w:rPr>
          <w:color w:val="000000"/>
          <w:szCs w:val="22"/>
          <w:lang w:val="en-GB"/>
        </w:rPr>
      </w:pPr>
    </w:p>
    <w:p w:rsidR="00273002" w:rsidRPr="00F324DA" w:rsidRDefault="00273002" w:rsidP="00273002">
      <w:pPr>
        <w:jc w:val="center"/>
        <w:rPr>
          <w:szCs w:val="22"/>
        </w:rPr>
      </w:pPr>
      <w:r>
        <w:rPr>
          <w:noProof/>
          <w:szCs w:val="22"/>
          <w:lang w:eastAsia="en-AU"/>
        </w:rPr>
        <w:drawing>
          <wp:inline distT="0" distB="0" distL="0" distR="0" wp14:anchorId="4EC42897" wp14:editId="5656059E">
            <wp:extent cx="5759450" cy="2583815"/>
            <wp:effectExtent l="0" t="0" r="0" b="6985"/>
            <wp:docPr id="54" name="Picture 54" descr="Set of line graphs showing daily and long-term monthly within seagrass canopy temperatures throughout 2014-15 and from 2004 to 2015 at each intertidal monitoring site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2015.png"/>
                    <pic:cNvPicPr/>
                  </pic:nvPicPr>
                  <pic:blipFill>
                    <a:blip r:embed="rId272" cstate="print">
                      <a:extLst>
                        <a:ext uri="{28A0092B-C50C-407E-A947-70E740481C1C}">
                          <a14:useLocalDpi xmlns:a14="http://schemas.microsoft.com/office/drawing/2010/main" val="0"/>
                        </a:ext>
                      </a:extLst>
                    </a:blip>
                    <a:stretch>
                      <a:fillRect/>
                    </a:stretch>
                  </pic:blipFill>
                  <pic:spPr>
                    <a:xfrm>
                      <a:off x="0" y="0"/>
                      <a:ext cx="5759450" cy="2583815"/>
                    </a:xfrm>
                    <a:prstGeom prst="rect">
                      <a:avLst/>
                    </a:prstGeom>
                  </pic:spPr>
                </pic:pic>
              </a:graphicData>
            </a:graphic>
          </wp:inline>
        </w:drawing>
      </w:r>
    </w:p>
    <w:p w:rsidR="004D7F52" w:rsidRPr="00A93D8C" w:rsidRDefault="00273002" w:rsidP="004D7F52">
      <w:pPr>
        <w:rPr>
          <w:i/>
          <w:vanish/>
          <w:specVanish/>
        </w:rPr>
      </w:pPr>
      <w:bookmarkStart w:id="1150" w:name="_Ref382210165"/>
      <w:bookmarkStart w:id="1151" w:name="_Toc462685016"/>
      <w:bookmarkStart w:id="1152" w:name="_Toc431493970"/>
      <w:r w:rsidRPr="00EA1257">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176</w:t>
      </w:r>
      <w:r w:rsidR="0073595B">
        <w:rPr>
          <w:color w:val="000000"/>
          <w:szCs w:val="22"/>
        </w:rPr>
        <w:fldChar w:fldCharType="end"/>
      </w:r>
      <w:bookmarkEnd w:id="1150"/>
      <w:r w:rsidRPr="00EA1257">
        <w:rPr>
          <w:color w:val="000000"/>
          <w:szCs w:val="22"/>
        </w:rPr>
        <w:t xml:space="preserve">. </w:t>
      </w:r>
      <w:r w:rsidRPr="00EA1257">
        <w:rPr>
          <w:i/>
          <w:color w:val="000000"/>
          <w:szCs w:val="22"/>
        </w:rPr>
        <w:t>Within seagrass canopy temperatures (°C) at monitoring locations in Fitzroy NRM region</w:t>
      </w:r>
      <w:bookmarkEnd w:id="1151"/>
    </w:p>
    <w:p w:rsidR="00273002" w:rsidRPr="00EA1257" w:rsidRDefault="00273002" w:rsidP="00273002">
      <w:pPr>
        <w:spacing w:before="0"/>
        <w:rPr>
          <w:color w:val="000000"/>
          <w:szCs w:val="22"/>
        </w:rPr>
      </w:pPr>
      <w:r w:rsidRPr="00EA1257">
        <w:rPr>
          <w:i/>
          <w:color w:val="000000"/>
          <w:szCs w:val="22"/>
        </w:rPr>
        <w:t xml:space="preserve">: daily mean (sites pooled) over </w:t>
      </w:r>
      <w:r w:rsidR="005515AE">
        <w:rPr>
          <w:i/>
          <w:color w:val="000000"/>
          <w:szCs w:val="22"/>
        </w:rPr>
        <w:t>2014-15</w:t>
      </w:r>
      <w:r w:rsidRPr="00EA1257">
        <w:rPr>
          <w:i/>
          <w:color w:val="000000"/>
          <w:szCs w:val="22"/>
        </w:rPr>
        <w:t xml:space="preserve"> monitoring period (left); and long-term monthly mean and maximum within seagrass canopy temperature at each site (right).</w:t>
      </w:r>
      <w:bookmarkEnd w:id="1152"/>
    </w:p>
    <w:p w:rsidR="00273002" w:rsidRPr="00EA1257" w:rsidRDefault="00273002" w:rsidP="00273002">
      <w:pPr>
        <w:rPr>
          <w:color w:val="000000"/>
          <w:szCs w:val="22"/>
          <w:lang w:val="en-GB"/>
        </w:rPr>
      </w:pPr>
    </w:p>
    <w:p w:rsidR="00273002" w:rsidRPr="007C174A" w:rsidRDefault="00273002" w:rsidP="00273002">
      <w:pPr>
        <w:jc w:val="center"/>
        <w:rPr>
          <w:color w:val="000000"/>
          <w:szCs w:val="22"/>
        </w:rPr>
      </w:pPr>
      <w:r>
        <w:rPr>
          <w:noProof/>
          <w:color w:val="000000"/>
          <w:szCs w:val="22"/>
          <w:lang w:eastAsia="en-AU"/>
        </w:rPr>
        <w:lastRenderedPageBreak/>
        <w:drawing>
          <wp:inline distT="0" distB="0" distL="0" distR="0" wp14:anchorId="3D22534B" wp14:editId="68E2365E">
            <wp:extent cx="5759450" cy="1736090"/>
            <wp:effectExtent l="0" t="0" r="0" b="0"/>
            <wp:docPr id="55" name="Picture 55" descr="Set of line graphs showing daily and long-term monthly within seagrass canopy temperatures throughout 2014-15 and from 2004 to 2015 at each intertidal monitoring site in the Burnett Mar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2015.png"/>
                    <pic:cNvPicPr/>
                  </pic:nvPicPr>
                  <pic:blipFill>
                    <a:blip r:embed="rId273" cstate="print">
                      <a:extLst>
                        <a:ext uri="{28A0092B-C50C-407E-A947-70E740481C1C}">
                          <a14:useLocalDpi xmlns:a14="http://schemas.microsoft.com/office/drawing/2010/main" val="0"/>
                        </a:ext>
                      </a:extLst>
                    </a:blip>
                    <a:stretch>
                      <a:fillRect/>
                    </a:stretch>
                  </pic:blipFill>
                  <pic:spPr>
                    <a:xfrm>
                      <a:off x="0" y="0"/>
                      <a:ext cx="5759450" cy="1736090"/>
                    </a:xfrm>
                    <a:prstGeom prst="rect">
                      <a:avLst/>
                    </a:prstGeom>
                  </pic:spPr>
                </pic:pic>
              </a:graphicData>
            </a:graphic>
          </wp:inline>
        </w:drawing>
      </w:r>
    </w:p>
    <w:p w:rsidR="004D7F52" w:rsidRPr="00A93D8C" w:rsidRDefault="00273002" w:rsidP="004D7F52">
      <w:pPr>
        <w:rPr>
          <w:i/>
          <w:vanish/>
          <w:specVanish/>
        </w:rPr>
      </w:pPr>
      <w:bookmarkStart w:id="1153" w:name="_Ref382210145"/>
      <w:bookmarkStart w:id="1154" w:name="_Toc462685017"/>
      <w:bookmarkStart w:id="1155" w:name="_Toc431493971"/>
      <w:r w:rsidRPr="006B2224">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177</w:t>
      </w:r>
      <w:r w:rsidR="0073595B">
        <w:rPr>
          <w:color w:val="000000"/>
          <w:szCs w:val="22"/>
        </w:rPr>
        <w:fldChar w:fldCharType="end"/>
      </w:r>
      <w:bookmarkEnd w:id="1153"/>
      <w:r w:rsidRPr="006B2224">
        <w:rPr>
          <w:color w:val="000000"/>
          <w:szCs w:val="22"/>
        </w:rPr>
        <w:t xml:space="preserve">. </w:t>
      </w:r>
      <w:r w:rsidRPr="006B2224">
        <w:rPr>
          <w:i/>
          <w:color w:val="000000"/>
          <w:szCs w:val="22"/>
        </w:rPr>
        <w:t>Within seagrass canopy temperatures (°C) at monitoring locations in Burnett Mary NRM region</w:t>
      </w:r>
      <w:bookmarkEnd w:id="1154"/>
    </w:p>
    <w:p w:rsidR="00273002" w:rsidRPr="006B2224" w:rsidRDefault="00273002" w:rsidP="00273002">
      <w:pPr>
        <w:spacing w:before="0"/>
        <w:rPr>
          <w:color w:val="000000"/>
          <w:szCs w:val="22"/>
        </w:rPr>
      </w:pPr>
      <w:r w:rsidRPr="006B2224">
        <w:rPr>
          <w:i/>
          <w:color w:val="000000"/>
          <w:szCs w:val="22"/>
        </w:rPr>
        <w:t xml:space="preserve">: daily mean (sites pooled) over </w:t>
      </w:r>
      <w:r w:rsidR="005515AE">
        <w:rPr>
          <w:i/>
          <w:color w:val="000000"/>
          <w:szCs w:val="22"/>
        </w:rPr>
        <w:t>2014-15</w:t>
      </w:r>
      <w:r w:rsidRPr="006B2224">
        <w:rPr>
          <w:i/>
          <w:color w:val="000000"/>
          <w:szCs w:val="22"/>
        </w:rPr>
        <w:t xml:space="preserve"> monitoring period (left); and long-term monthly mean and maximum within seagrass canopy temperature at each site (right).</w:t>
      </w:r>
      <w:bookmarkEnd w:id="1155"/>
    </w:p>
    <w:p w:rsidR="00273002" w:rsidRPr="006B2224" w:rsidRDefault="00273002" w:rsidP="00273002">
      <w:pPr>
        <w:rPr>
          <w:color w:val="000000"/>
          <w:szCs w:val="22"/>
          <w:lang w:val="en-GB"/>
        </w:rPr>
      </w:pPr>
    </w:p>
    <w:p w:rsidR="002E6139" w:rsidRDefault="002E6139">
      <w:pPr>
        <w:spacing w:before="0" w:after="0"/>
        <w:rPr>
          <w:color w:val="000000"/>
          <w:szCs w:val="22"/>
        </w:rPr>
      </w:pPr>
      <w:r>
        <w:rPr>
          <w:color w:val="000000"/>
          <w:szCs w:val="22"/>
        </w:rPr>
        <w:br w:type="page"/>
      </w:r>
    </w:p>
    <w:p w:rsidR="002E6139" w:rsidRPr="00F12624" w:rsidRDefault="002E6139" w:rsidP="00F12624">
      <w:pPr>
        <w:pStyle w:val="Heading3"/>
        <w:rPr>
          <w:rFonts w:asciiTheme="minorHAnsi" w:hAnsiTheme="minorHAnsi"/>
          <w:sz w:val="24"/>
          <w:szCs w:val="24"/>
        </w:rPr>
      </w:pPr>
      <w:bookmarkStart w:id="1156" w:name="_Toc462047405"/>
      <w:r w:rsidRPr="00F12624">
        <w:rPr>
          <w:rFonts w:asciiTheme="minorHAnsi" w:hAnsiTheme="minorHAnsi"/>
          <w:sz w:val="24"/>
          <w:szCs w:val="24"/>
        </w:rPr>
        <w:lastRenderedPageBreak/>
        <w:t>Light at seagrass canopy</w:t>
      </w:r>
      <w:bookmarkEnd w:id="1156"/>
    </w:p>
    <w:p w:rsidR="002E6139" w:rsidRDefault="002E6139" w:rsidP="002E6139">
      <w:pPr>
        <w:keepNext/>
        <w:jc w:val="center"/>
      </w:pPr>
      <w:r>
        <w:rPr>
          <w:noProof/>
          <w:lang w:eastAsia="en-AU"/>
        </w:rPr>
        <w:drawing>
          <wp:inline distT="0" distB="0" distL="0" distR="0" wp14:anchorId="494C90FC" wp14:editId="1962EF69">
            <wp:extent cx="4320000" cy="7714800"/>
            <wp:effectExtent l="0" t="0" r="4445" b="635"/>
            <wp:docPr id="56" name="Picture 56" descr="Set of line graphs showing daily light and approximate light threshold required for positive growth in Halodule uninervis dominated communities at Cape York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 28d light all combined.png"/>
                    <pic:cNvPicPr/>
                  </pic:nvPicPr>
                  <pic:blipFill>
                    <a:blip r:embed="rId274" cstate="print">
                      <a:extLst>
                        <a:ext uri="{28A0092B-C50C-407E-A947-70E740481C1C}">
                          <a14:useLocalDpi xmlns:a14="http://schemas.microsoft.com/office/drawing/2010/main" val="0"/>
                        </a:ext>
                      </a:extLst>
                    </a:blip>
                    <a:stretch>
                      <a:fillRect/>
                    </a:stretch>
                  </pic:blipFill>
                  <pic:spPr>
                    <a:xfrm>
                      <a:off x="0" y="0"/>
                      <a:ext cx="4320000" cy="7714800"/>
                    </a:xfrm>
                    <a:prstGeom prst="rect">
                      <a:avLst/>
                    </a:prstGeom>
                  </pic:spPr>
                </pic:pic>
              </a:graphicData>
            </a:graphic>
          </wp:inline>
        </w:drawing>
      </w:r>
    </w:p>
    <w:p w:rsidR="002E6139" w:rsidRPr="00CD6094" w:rsidRDefault="002E6139" w:rsidP="002E6139">
      <w:pPr>
        <w:rPr>
          <w:i/>
          <w:vanish/>
          <w:specVanish/>
        </w:rPr>
      </w:pPr>
      <w:bookmarkStart w:id="1157" w:name="_Ref410207664"/>
      <w:bookmarkStart w:id="1158" w:name="_Toc431493972"/>
      <w:bookmarkStart w:id="1159" w:name="_Toc462685018"/>
      <w:r>
        <w:t xml:space="preserve">Figure </w:t>
      </w:r>
      <w:fldSimple w:instr=" SEQ Figure \* ARABIC ">
        <w:r w:rsidR="009C068F">
          <w:rPr>
            <w:noProof/>
          </w:rPr>
          <w:t>178</w:t>
        </w:r>
      </w:fldSimple>
      <w:bookmarkEnd w:id="1157"/>
      <w:r>
        <w:t xml:space="preserve">. </w:t>
      </w:r>
      <w:r w:rsidRPr="006762AB">
        <w:rPr>
          <w:i/>
        </w:rPr>
        <w:t xml:space="preserve">Daily light (28-day rolling average) at </w:t>
      </w:r>
      <w:smartTag w:uri="urn:schemas-microsoft-com:office:smarttags" w:element="place">
        <w:r w:rsidRPr="006762AB">
          <w:rPr>
            <w:i/>
          </w:rPr>
          <w:t>Cape York</w:t>
        </w:r>
      </w:smartTag>
      <w:r w:rsidRPr="006762AB">
        <w:rPr>
          <w:i/>
        </w:rPr>
        <w:t xml:space="preserve"> </w:t>
      </w:r>
      <w:r>
        <w:rPr>
          <w:i/>
        </w:rPr>
        <w:t>locations</w:t>
      </w:r>
      <w:bookmarkEnd w:id="1158"/>
      <w:bookmarkEnd w:id="1159"/>
    </w:p>
    <w:p w:rsidR="002E6139" w:rsidRDefault="002E6139" w:rsidP="002E6139">
      <w:pPr>
        <w:rPr>
          <w:lang w:val="en-GB"/>
        </w:rPr>
      </w:pPr>
      <w:r w:rsidRPr="006762AB">
        <w:rPr>
          <w:i/>
        </w:rPr>
        <w:t xml:space="preserve">, also showing approximate light threshold required for positive growth in </w:t>
      </w:r>
      <w:proofErr w:type="spellStart"/>
      <w:r w:rsidRPr="006762AB">
        <w:rPr>
          <w:i/>
        </w:rPr>
        <w:t>Halodule</w:t>
      </w:r>
      <w:proofErr w:type="spellEnd"/>
      <w:r w:rsidRPr="006762AB">
        <w:rPr>
          <w:i/>
        </w:rPr>
        <w:t xml:space="preserve"> </w:t>
      </w:r>
      <w:proofErr w:type="spellStart"/>
      <w:r w:rsidRPr="006762AB">
        <w:rPr>
          <w:i/>
        </w:rPr>
        <w:t>uninervis</w:t>
      </w:r>
      <w:proofErr w:type="spellEnd"/>
      <w:r w:rsidRPr="006762AB">
        <w:rPr>
          <w:i/>
        </w:rPr>
        <w:t xml:space="preserve"> dominated communities (5 </w:t>
      </w:r>
      <w:proofErr w:type="spellStart"/>
      <w:r w:rsidRPr="006762AB">
        <w:rPr>
          <w:i/>
        </w:rPr>
        <w:t>mol</w:t>
      </w:r>
      <w:proofErr w:type="spellEnd"/>
      <w:r w:rsidRPr="006762AB">
        <w:rPr>
          <w:i/>
        </w:rPr>
        <w:t xml:space="preserve"> m</w:t>
      </w:r>
      <w:r w:rsidRPr="006762AB">
        <w:rPr>
          <w:i/>
          <w:vertAlign w:val="superscript"/>
        </w:rPr>
        <w:t>-2</w:t>
      </w:r>
      <w:r w:rsidRPr="006762AB">
        <w:rPr>
          <w:i/>
        </w:rPr>
        <w:t xml:space="preserve"> d</w:t>
      </w:r>
      <w:r w:rsidRPr="006762AB">
        <w:rPr>
          <w:i/>
          <w:vertAlign w:val="superscript"/>
        </w:rPr>
        <w:t>-1</w:t>
      </w:r>
      <w:r w:rsidRPr="006762AB">
        <w:rPr>
          <w:i/>
        </w:rPr>
        <w:t xml:space="preserve">) </w:t>
      </w:r>
      <w:hyperlink w:anchor="_ENREF_68" w:tooltip="Collier, 2012 #9288" w:history="1">
        <w:r w:rsidR="00E6043D">
          <w:rPr>
            <w:i/>
          </w:rPr>
          <w:fldChar w:fldCharType="begin"/>
        </w:r>
        <w:r w:rsidR="00E6043D">
          <w:rPr>
            <w:i/>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E6043D">
          <w:rPr>
            <w:i/>
          </w:rPr>
          <w:fldChar w:fldCharType="separate"/>
        </w:r>
        <w:r w:rsidR="00E6043D">
          <w:rPr>
            <w:i/>
            <w:noProof/>
          </w:rPr>
          <w:t>Collier, et al. 2012b</w:t>
        </w:r>
        <w:r w:rsidR="00E6043D">
          <w:rPr>
            <w:i/>
          </w:rPr>
          <w:fldChar w:fldCharType="end"/>
        </w:r>
      </w:hyperlink>
      <w:r w:rsidRPr="006762AB">
        <w:rPr>
          <w:i/>
        </w:rPr>
        <w:t xml:space="preserve"> NB threshold is based on 90-day average.</w:t>
      </w:r>
      <w:r>
        <w:rPr>
          <w:lang w:val="en-GB"/>
        </w:rPr>
        <w:t xml:space="preserve"> </w:t>
      </w:r>
    </w:p>
    <w:p w:rsidR="00497EAB" w:rsidRPr="00CD6094" w:rsidRDefault="00497EAB" w:rsidP="002E6139">
      <w:pPr>
        <w:rPr>
          <w:lang w:val="en-GB"/>
        </w:rPr>
      </w:pPr>
    </w:p>
    <w:p w:rsidR="002E6139" w:rsidRDefault="002E6139" w:rsidP="002E6139">
      <w:pPr>
        <w:keepNext/>
        <w:jc w:val="center"/>
        <w:rPr>
          <w:noProof/>
          <w:lang w:eastAsia="en-AU"/>
        </w:rPr>
      </w:pPr>
      <w:r>
        <w:rPr>
          <w:noProof/>
          <w:lang w:eastAsia="en-AU"/>
        </w:rPr>
        <w:drawing>
          <wp:inline distT="0" distB="0" distL="0" distR="0" wp14:anchorId="03875D26" wp14:editId="7B0D31A6">
            <wp:extent cx="4320000" cy="7401600"/>
            <wp:effectExtent l="0" t="0" r="4445" b="8890"/>
            <wp:docPr id="57" name="Picture 57" descr="Set of line graphs showing daily light and approximate light threshold required for positive growth in Halodule uninervis dominated communities at northern Wet Tropics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 Tropics north 28d RollAv_combined.png"/>
                    <pic:cNvPicPr/>
                  </pic:nvPicPr>
                  <pic:blipFill rotWithShape="1">
                    <a:blip r:embed="rId275" cstate="print">
                      <a:extLst>
                        <a:ext uri="{28A0092B-C50C-407E-A947-70E740481C1C}">
                          <a14:useLocalDpi xmlns:a14="http://schemas.microsoft.com/office/drawing/2010/main" val="0"/>
                        </a:ext>
                      </a:extLst>
                    </a:blip>
                    <a:srcRect t="5852"/>
                    <a:stretch/>
                  </pic:blipFill>
                  <pic:spPr bwMode="auto">
                    <a:xfrm>
                      <a:off x="0" y="0"/>
                      <a:ext cx="4320000" cy="7401600"/>
                    </a:xfrm>
                    <a:prstGeom prst="rect">
                      <a:avLst/>
                    </a:prstGeom>
                    <a:ln>
                      <a:noFill/>
                    </a:ln>
                    <a:extLst>
                      <a:ext uri="{53640926-AAD7-44D8-BBD7-CCE9431645EC}">
                        <a14:shadowObscured xmlns:a14="http://schemas.microsoft.com/office/drawing/2010/main"/>
                      </a:ext>
                    </a:extLst>
                  </pic:spPr>
                </pic:pic>
              </a:graphicData>
            </a:graphic>
          </wp:inline>
        </w:drawing>
      </w:r>
    </w:p>
    <w:p w:rsidR="002E6139" w:rsidRPr="00CD6094" w:rsidRDefault="002E6139" w:rsidP="002E6139">
      <w:pPr>
        <w:rPr>
          <w:i/>
          <w:vanish/>
          <w:color w:val="000000"/>
          <w:szCs w:val="22"/>
          <w:specVanish/>
        </w:rPr>
      </w:pPr>
      <w:bookmarkStart w:id="1160" w:name="_Ref410218392"/>
      <w:bookmarkStart w:id="1161" w:name="_Toc431493973"/>
      <w:bookmarkStart w:id="1162" w:name="_Toc462685019"/>
      <w:r>
        <w:t xml:space="preserve">Figure </w:t>
      </w:r>
      <w:fldSimple w:instr=" SEQ Figure \* ARABIC ">
        <w:r w:rsidR="009C068F">
          <w:rPr>
            <w:noProof/>
          </w:rPr>
          <w:t>179</w:t>
        </w:r>
      </w:fldSimple>
      <w:bookmarkEnd w:id="1160"/>
      <w:r>
        <w:t xml:space="preserve">. </w:t>
      </w:r>
      <w:bookmarkEnd w:id="1161"/>
      <w:r w:rsidRPr="006762AB">
        <w:rPr>
          <w:i/>
          <w:color w:val="000000"/>
          <w:szCs w:val="22"/>
        </w:rPr>
        <w:t xml:space="preserve">Daily light (yellow line) and 28-day rolling average (orange, bold line) </w:t>
      </w:r>
      <w:r>
        <w:rPr>
          <w:i/>
          <w:color w:val="000000"/>
          <w:szCs w:val="22"/>
        </w:rPr>
        <w:t>for locations in the northern Wet Tropics</w:t>
      </w:r>
      <w:bookmarkEnd w:id="1162"/>
    </w:p>
    <w:p w:rsidR="002E6139" w:rsidRDefault="002E6139" w:rsidP="002E6139">
      <w:pPr>
        <w:rPr>
          <w:i/>
          <w:color w:val="000000"/>
          <w:szCs w:val="22"/>
        </w:rPr>
      </w:pPr>
      <w:r>
        <w:rPr>
          <w:i/>
          <w:color w:val="000000"/>
          <w:szCs w:val="22"/>
        </w:rPr>
        <w:t>.</w:t>
      </w:r>
      <w:r w:rsidRPr="006762AB">
        <w:rPr>
          <w:i/>
          <w:color w:val="000000"/>
          <w:szCs w:val="22"/>
        </w:rPr>
        <w:t xml:space="preserve"> </w:t>
      </w:r>
      <w:r w:rsidRPr="002E6139">
        <w:rPr>
          <w:i/>
          <w:color w:val="000000"/>
          <w:szCs w:val="22"/>
        </w:rPr>
        <w:t xml:space="preserve">Also shown is an event-based light threshold </w:t>
      </w:r>
      <w:r w:rsidRPr="006762AB">
        <w:rPr>
          <w:i/>
          <w:color w:val="000000"/>
          <w:szCs w:val="22"/>
        </w:rPr>
        <w:t xml:space="preserve">(5 </w:t>
      </w:r>
      <w:proofErr w:type="spellStart"/>
      <w:r w:rsidRPr="006762AB">
        <w:rPr>
          <w:i/>
          <w:color w:val="000000"/>
          <w:szCs w:val="22"/>
        </w:rPr>
        <w:t>mol</w:t>
      </w:r>
      <w:proofErr w:type="spellEnd"/>
      <w:r w:rsidRPr="006762AB">
        <w:rPr>
          <w:i/>
          <w:color w:val="000000"/>
          <w:szCs w:val="22"/>
        </w:rPr>
        <w:t xml:space="preserve">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w:t>
      </w:r>
      <w:proofErr w:type="spellStart"/>
      <w:r w:rsidRPr="002E6139">
        <w:rPr>
          <w:i/>
          <w:color w:val="000000"/>
          <w:szCs w:val="22"/>
        </w:rPr>
        <w:t>uninervis</w:t>
      </w:r>
      <w:proofErr w:type="spellEnd"/>
      <w:r>
        <w:rPr>
          <w:i/>
          <w:color w:val="000000"/>
          <w:szCs w:val="22"/>
        </w:rPr>
        <w:t xml:space="preserve"> (</w:t>
      </w:r>
      <w:hyperlink w:anchor="_ENREF_68" w:tooltip="Collier, 2012 #9288" w:history="1">
        <w:r w:rsidR="00E6043D">
          <w:rPr>
            <w:i/>
            <w:color w:val="000000"/>
            <w:szCs w:val="22"/>
          </w:rPr>
          <w:fldChar w:fldCharType="begin"/>
        </w:r>
        <w:r w:rsidR="00E6043D">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E6043D">
          <w:rPr>
            <w:i/>
            <w:color w:val="000000"/>
            <w:szCs w:val="22"/>
          </w:rPr>
          <w:fldChar w:fldCharType="separate"/>
        </w:r>
        <w:r w:rsidR="00E6043D">
          <w:rPr>
            <w:i/>
            <w:noProof/>
            <w:color w:val="000000"/>
            <w:szCs w:val="22"/>
          </w:rPr>
          <w:t>Collier, et al. 2012b</w:t>
        </w:r>
        <w:r w:rsidR="00E6043D">
          <w:rPr>
            <w:i/>
            <w:color w:val="000000"/>
            <w:szCs w:val="22"/>
          </w:rPr>
          <w:fldChar w:fldCharType="end"/>
        </w:r>
      </w:hyperlink>
      <w:r>
        <w:rPr>
          <w:i/>
          <w:color w:val="000000"/>
          <w:szCs w:val="22"/>
        </w:rPr>
        <w:t>)</w:t>
      </w:r>
    </w:p>
    <w:p w:rsidR="00497EAB" w:rsidRPr="00497EAB" w:rsidRDefault="00497EAB" w:rsidP="002E6139"/>
    <w:p w:rsidR="002E6139" w:rsidRDefault="002E6139" w:rsidP="002E6139">
      <w:pPr>
        <w:jc w:val="center"/>
        <w:rPr>
          <w:noProof/>
          <w:lang w:eastAsia="en-AU"/>
        </w:rPr>
      </w:pPr>
      <w:r>
        <w:rPr>
          <w:noProof/>
          <w:lang w:eastAsia="en-AU"/>
        </w:rPr>
        <w:lastRenderedPageBreak/>
        <w:drawing>
          <wp:inline distT="0" distB="0" distL="0" distR="0" wp14:anchorId="4436AC02" wp14:editId="0071A890">
            <wp:extent cx="4320000" cy="3160800"/>
            <wp:effectExtent l="0" t="0" r="4445" b="1905"/>
            <wp:docPr id="58" name="Picture 58" descr="Set of line graphs showing daily light and approximate light threshold required for positive growth in Halodule uninervis dominated communities at southern Wet Tropics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 south 28d RollAv combined.png"/>
                    <pic:cNvPicPr/>
                  </pic:nvPicPr>
                  <pic:blipFill>
                    <a:blip r:embed="rId276" cstate="print">
                      <a:extLst>
                        <a:ext uri="{28A0092B-C50C-407E-A947-70E740481C1C}">
                          <a14:useLocalDpi xmlns:a14="http://schemas.microsoft.com/office/drawing/2010/main" val="0"/>
                        </a:ext>
                      </a:extLst>
                    </a:blip>
                    <a:stretch>
                      <a:fillRect/>
                    </a:stretch>
                  </pic:blipFill>
                  <pic:spPr>
                    <a:xfrm>
                      <a:off x="0" y="0"/>
                      <a:ext cx="4320000" cy="3160800"/>
                    </a:xfrm>
                    <a:prstGeom prst="rect">
                      <a:avLst/>
                    </a:prstGeom>
                  </pic:spPr>
                </pic:pic>
              </a:graphicData>
            </a:graphic>
          </wp:inline>
        </w:drawing>
      </w:r>
    </w:p>
    <w:p w:rsidR="002E6139" w:rsidRPr="00CD6094" w:rsidRDefault="002E6139" w:rsidP="002E6139">
      <w:pPr>
        <w:rPr>
          <w:i/>
          <w:vanish/>
          <w:color w:val="000000"/>
          <w:szCs w:val="22"/>
          <w:specVanish/>
        </w:rPr>
      </w:pPr>
      <w:bookmarkStart w:id="1163" w:name="_Ref410218397"/>
      <w:bookmarkStart w:id="1164" w:name="_Toc431493974"/>
      <w:bookmarkStart w:id="1165" w:name="_Toc462685020"/>
      <w:r>
        <w:t xml:space="preserve">Figure </w:t>
      </w:r>
      <w:fldSimple w:instr=" SEQ Figure \* ARABIC ">
        <w:r w:rsidR="009C068F">
          <w:rPr>
            <w:noProof/>
          </w:rPr>
          <w:t>180</w:t>
        </w:r>
      </w:fldSimple>
      <w:bookmarkEnd w:id="1163"/>
      <w:r>
        <w:t xml:space="preserve">. </w:t>
      </w:r>
      <w:r w:rsidRPr="006762AB">
        <w:rPr>
          <w:i/>
          <w:color w:val="000000"/>
          <w:szCs w:val="22"/>
        </w:rPr>
        <w:t xml:space="preserve">Daily light (yellow line) and 28-day rolling average (orange, bold line) </w:t>
      </w:r>
      <w:r>
        <w:rPr>
          <w:i/>
          <w:color w:val="000000"/>
          <w:szCs w:val="22"/>
        </w:rPr>
        <w:t>for locations in the southern Wet Tropics</w:t>
      </w:r>
      <w:bookmarkEnd w:id="1164"/>
      <w:bookmarkEnd w:id="1165"/>
    </w:p>
    <w:p w:rsidR="002E6139" w:rsidRPr="00CD6094" w:rsidRDefault="002E6139" w:rsidP="002E6139">
      <w:pPr>
        <w:rPr>
          <w:lang w:val="en-GB"/>
        </w:rPr>
      </w:pPr>
      <w:r>
        <w:rPr>
          <w:i/>
          <w:color w:val="000000"/>
          <w:szCs w:val="22"/>
        </w:rPr>
        <w:t>.</w:t>
      </w:r>
      <w:r w:rsidRPr="006762AB">
        <w:rPr>
          <w:i/>
          <w:color w:val="000000"/>
          <w:szCs w:val="22"/>
        </w:rPr>
        <w:t xml:space="preserve"> </w:t>
      </w:r>
      <w:r w:rsidRPr="002E6139">
        <w:rPr>
          <w:i/>
          <w:color w:val="000000"/>
          <w:szCs w:val="22"/>
        </w:rPr>
        <w:t xml:space="preserve">Also shown is an event-based light threshold </w:t>
      </w:r>
      <w:r w:rsidRPr="006762AB">
        <w:rPr>
          <w:i/>
          <w:color w:val="000000"/>
          <w:szCs w:val="22"/>
        </w:rPr>
        <w:t xml:space="preserve">(5 </w:t>
      </w:r>
      <w:proofErr w:type="spellStart"/>
      <w:r w:rsidRPr="006762AB">
        <w:rPr>
          <w:i/>
          <w:color w:val="000000"/>
          <w:szCs w:val="22"/>
        </w:rPr>
        <w:t>mol</w:t>
      </w:r>
      <w:proofErr w:type="spellEnd"/>
      <w:r w:rsidRPr="006762AB">
        <w:rPr>
          <w:i/>
          <w:color w:val="000000"/>
          <w:szCs w:val="22"/>
        </w:rPr>
        <w:t xml:space="preserve">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w:t>
      </w:r>
      <w:proofErr w:type="spellStart"/>
      <w:r w:rsidRPr="002E6139">
        <w:rPr>
          <w:i/>
          <w:color w:val="000000"/>
          <w:szCs w:val="22"/>
        </w:rPr>
        <w:t>uninervis</w:t>
      </w:r>
      <w:proofErr w:type="spellEnd"/>
      <w:r>
        <w:rPr>
          <w:i/>
          <w:color w:val="000000"/>
          <w:szCs w:val="22"/>
        </w:rPr>
        <w:t xml:space="preserve"> (</w:t>
      </w:r>
      <w:hyperlink w:anchor="_ENREF_68" w:tooltip="Collier, 2012 #9288" w:history="1">
        <w:r w:rsidR="00E6043D">
          <w:rPr>
            <w:i/>
            <w:color w:val="000000"/>
            <w:szCs w:val="22"/>
          </w:rPr>
          <w:fldChar w:fldCharType="begin"/>
        </w:r>
        <w:r w:rsidR="00E6043D">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E6043D">
          <w:rPr>
            <w:i/>
            <w:color w:val="000000"/>
            <w:szCs w:val="22"/>
          </w:rPr>
          <w:fldChar w:fldCharType="separate"/>
        </w:r>
        <w:r w:rsidR="00E6043D">
          <w:rPr>
            <w:i/>
            <w:noProof/>
            <w:color w:val="000000"/>
            <w:szCs w:val="22"/>
          </w:rPr>
          <w:t>Collier, et al. 2012b</w:t>
        </w:r>
        <w:r w:rsidR="00E6043D">
          <w:rPr>
            <w:i/>
            <w:color w:val="000000"/>
            <w:szCs w:val="22"/>
          </w:rPr>
          <w:fldChar w:fldCharType="end"/>
        </w:r>
      </w:hyperlink>
      <w:r>
        <w:rPr>
          <w:i/>
          <w:color w:val="000000"/>
          <w:szCs w:val="22"/>
        </w:rPr>
        <w:t>)</w:t>
      </w:r>
    </w:p>
    <w:p w:rsidR="002E6139" w:rsidRDefault="002E6139" w:rsidP="002E6139"/>
    <w:p w:rsidR="002E6139" w:rsidRDefault="002E6139" w:rsidP="002E6139">
      <w:pPr>
        <w:jc w:val="center"/>
      </w:pPr>
      <w:r>
        <w:rPr>
          <w:noProof/>
          <w:lang w:eastAsia="en-AU"/>
        </w:rPr>
        <w:lastRenderedPageBreak/>
        <w:drawing>
          <wp:inline distT="0" distB="0" distL="0" distR="0" wp14:anchorId="235C5C01" wp14:editId="294254FA">
            <wp:extent cx="4320000" cy="7790400"/>
            <wp:effectExtent l="0" t="0" r="4445" b="1270"/>
            <wp:docPr id="59" name="Picture 59" descr="Set of line graphs showing daily light and approximate light threshold required for positive growth in Halodule uninervis dominated communities at location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 all combined 28d RollAv.png"/>
                    <pic:cNvPicPr/>
                  </pic:nvPicPr>
                  <pic:blipFill>
                    <a:blip r:embed="rId277" cstate="print">
                      <a:extLst>
                        <a:ext uri="{28A0092B-C50C-407E-A947-70E740481C1C}">
                          <a14:useLocalDpi xmlns:a14="http://schemas.microsoft.com/office/drawing/2010/main" val="0"/>
                        </a:ext>
                      </a:extLst>
                    </a:blip>
                    <a:stretch>
                      <a:fillRect/>
                    </a:stretch>
                  </pic:blipFill>
                  <pic:spPr>
                    <a:xfrm>
                      <a:off x="0" y="0"/>
                      <a:ext cx="4320000" cy="7790400"/>
                    </a:xfrm>
                    <a:prstGeom prst="rect">
                      <a:avLst/>
                    </a:prstGeom>
                  </pic:spPr>
                </pic:pic>
              </a:graphicData>
            </a:graphic>
          </wp:inline>
        </w:drawing>
      </w:r>
    </w:p>
    <w:p w:rsidR="002E6139" w:rsidRPr="00CD6094" w:rsidRDefault="002E6139" w:rsidP="002E6139">
      <w:pPr>
        <w:rPr>
          <w:vanish/>
          <w:color w:val="000000"/>
          <w:szCs w:val="22"/>
          <w:specVanish/>
        </w:rPr>
      </w:pPr>
      <w:bookmarkStart w:id="1166" w:name="_Ref410288144"/>
      <w:bookmarkStart w:id="1167" w:name="_Toc431493978"/>
      <w:bookmarkStart w:id="1168" w:name="_Toc462685021"/>
      <w:r>
        <w:t xml:space="preserve">Figure </w:t>
      </w:r>
      <w:fldSimple w:instr=" SEQ Figure \* ARABIC ">
        <w:r w:rsidR="009C068F">
          <w:rPr>
            <w:noProof/>
          </w:rPr>
          <w:t>181</w:t>
        </w:r>
      </w:fldSimple>
      <w:bookmarkEnd w:id="1166"/>
      <w:r>
        <w:t xml:space="preserve">. </w:t>
      </w:r>
      <w:r w:rsidRPr="006762AB">
        <w:rPr>
          <w:i/>
          <w:color w:val="000000"/>
          <w:szCs w:val="22"/>
        </w:rPr>
        <w:t xml:space="preserve">Daily light (yellow line) and 28-day rolling average (orange, bold line) at </w:t>
      </w:r>
      <w:r>
        <w:rPr>
          <w:i/>
          <w:color w:val="000000"/>
          <w:szCs w:val="22"/>
        </w:rPr>
        <w:t xml:space="preserve">locations in the </w:t>
      </w:r>
      <w:r w:rsidRPr="006762AB">
        <w:rPr>
          <w:i/>
          <w:color w:val="000000"/>
          <w:szCs w:val="22"/>
        </w:rPr>
        <w:t xml:space="preserve">Burdekin </w:t>
      </w:r>
      <w:r>
        <w:rPr>
          <w:i/>
          <w:color w:val="000000"/>
          <w:szCs w:val="22"/>
        </w:rPr>
        <w:t>region</w:t>
      </w:r>
      <w:bookmarkEnd w:id="1167"/>
      <w:bookmarkEnd w:id="1168"/>
    </w:p>
    <w:p w:rsidR="002E6139" w:rsidRPr="00CD6094" w:rsidRDefault="002E6139" w:rsidP="002E6139">
      <w:pPr>
        <w:rPr>
          <w:lang w:val="en-GB"/>
        </w:rPr>
      </w:pPr>
      <w:r>
        <w:rPr>
          <w:i/>
          <w:color w:val="000000"/>
          <w:szCs w:val="22"/>
        </w:rPr>
        <w:t xml:space="preserve">. </w:t>
      </w:r>
      <w:r w:rsidRPr="006762AB">
        <w:rPr>
          <w:i/>
          <w:color w:val="000000"/>
          <w:szCs w:val="22"/>
        </w:rPr>
        <w:t xml:space="preserve"> </w:t>
      </w:r>
      <w:r w:rsidRPr="002E6139">
        <w:rPr>
          <w:i/>
          <w:color w:val="000000"/>
          <w:szCs w:val="22"/>
        </w:rPr>
        <w:t xml:space="preserve">Also shown is an event-based light threshold </w:t>
      </w:r>
      <w:r w:rsidRPr="006762AB">
        <w:rPr>
          <w:i/>
          <w:color w:val="000000"/>
          <w:szCs w:val="22"/>
        </w:rPr>
        <w:t xml:space="preserve">(5 </w:t>
      </w:r>
      <w:proofErr w:type="spellStart"/>
      <w:r w:rsidRPr="006762AB">
        <w:rPr>
          <w:i/>
          <w:color w:val="000000"/>
          <w:szCs w:val="22"/>
        </w:rPr>
        <w:t>mol</w:t>
      </w:r>
      <w:proofErr w:type="spellEnd"/>
      <w:r w:rsidRPr="006762AB">
        <w:rPr>
          <w:i/>
          <w:color w:val="000000"/>
          <w:szCs w:val="22"/>
        </w:rPr>
        <w:t xml:space="preserve">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w:t>
      </w:r>
      <w:proofErr w:type="spellStart"/>
      <w:r w:rsidRPr="002E6139">
        <w:rPr>
          <w:i/>
          <w:color w:val="000000"/>
          <w:szCs w:val="22"/>
        </w:rPr>
        <w:t>uninervis</w:t>
      </w:r>
      <w:proofErr w:type="spellEnd"/>
      <w:r>
        <w:rPr>
          <w:i/>
          <w:color w:val="000000"/>
          <w:szCs w:val="22"/>
        </w:rPr>
        <w:t xml:space="preserve"> (</w:t>
      </w:r>
      <w:hyperlink w:anchor="_ENREF_68" w:tooltip="Collier, 2012 #9288" w:history="1">
        <w:r w:rsidR="00E6043D">
          <w:rPr>
            <w:i/>
            <w:color w:val="000000"/>
            <w:szCs w:val="22"/>
          </w:rPr>
          <w:fldChar w:fldCharType="begin"/>
        </w:r>
        <w:r w:rsidR="00E6043D">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E6043D">
          <w:rPr>
            <w:i/>
            <w:color w:val="000000"/>
            <w:szCs w:val="22"/>
          </w:rPr>
          <w:fldChar w:fldCharType="separate"/>
        </w:r>
        <w:r w:rsidR="00E6043D">
          <w:rPr>
            <w:i/>
            <w:noProof/>
            <w:color w:val="000000"/>
            <w:szCs w:val="22"/>
          </w:rPr>
          <w:t>Collier, et al. 2012b</w:t>
        </w:r>
        <w:r w:rsidR="00E6043D">
          <w:rPr>
            <w:i/>
            <w:color w:val="000000"/>
            <w:szCs w:val="22"/>
          </w:rPr>
          <w:fldChar w:fldCharType="end"/>
        </w:r>
      </w:hyperlink>
      <w:r>
        <w:rPr>
          <w:i/>
          <w:color w:val="000000"/>
          <w:szCs w:val="22"/>
        </w:rPr>
        <w:t>).</w:t>
      </w:r>
    </w:p>
    <w:p w:rsidR="002E6139" w:rsidRDefault="002E6139" w:rsidP="002E6139"/>
    <w:p w:rsidR="002E6139" w:rsidRDefault="002E6139" w:rsidP="002E6139"/>
    <w:p w:rsidR="002E6139" w:rsidRDefault="002E6139" w:rsidP="002E6139"/>
    <w:p w:rsidR="002E6139" w:rsidRPr="006762AB" w:rsidRDefault="002E6139" w:rsidP="002E6139">
      <w:pPr>
        <w:keepNext/>
        <w:jc w:val="center"/>
        <w:rPr>
          <w:color w:val="000000"/>
        </w:rPr>
      </w:pPr>
      <w:r>
        <w:rPr>
          <w:noProof/>
          <w:color w:val="000000"/>
          <w:lang w:eastAsia="en-AU"/>
        </w:rPr>
        <w:drawing>
          <wp:inline distT="0" distB="0" distL="0" distR="0" wp14:anchorId="70C2CC27" wp14:editId="7C1EE7BE">
            <wp:extent cx="4320000" cy="6055200"/>
            <wp:effectExtent l="0" t="0" r="4445" b="3175"/>
            <wp:docPr id="60" name="Picture 60" descr="Set of line graphs showing daily light and approximate light threshold required for positive growth in Halodule uninervis dominated communities at location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 all combined 28d RollAv.png"/>
                    <pic:cNvPicPr/>
                  </pic:nvPicPr>
                  <pic:blipFill>
                    <a:blip r:embed="rId278" cstate="print">
                      <a:extLst>
                        <a:ext uri="{28A0092B-C50C-407E-A947-70E740481C1C}">
                          <a14:useLocalDpi xmlns:a14="http://schemas.microsoft.com/office/drawing/2010/main" val="0"/>
                        </a:ext>
                      </a:extLst>
                    </a:blip>
                    <a:stretch>
                      <a:fillRect/>
                    </a:stretch>
                  </pic:blipFill>
                  <pic:spPr>
                    <a:xfrm>
                      <a:off x="0" y="0"/>
                      <a:ext cx="4320000" cy="6055200"/>
                    </a:xfrm>
                    <a:prstGeom prst="rect">
                      <a:avLst/>
                    </a:prstGeom>
                  </pic:spPr>
                </pic:pic>
              </a:graphicData>
            </a:graphic>
          </wp:inline>
        </w:drawing>
      </w:r>
    </w:p>
    <w:p w:rsidR="002E6139" w:rsidRPr="00A93D8C" w:rsidRDefault="002E6139" w:rsidP="002E6139">
      <w:pPr>
        <w:rPr>
          <w:vanish/>
          <w:color w:val="000000"/>
          <w:szCs w:val="22"/>
          <w:specVanish/>
        </w:rPr>
      </w:pPr>
      <w:bookmarkStart w:id="1169" w:name="_Ref410298084"/>
      <w:bookmarkStart w:id="1170" w:name="_Toc431493981"/>
      <w:bookmarkStart w:id="1171" w:name="_Toc462685022"/>
      <w:r w:rsidRPr="006762AB">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182</w:t>
      </w:r>
      <w:r w:rsidR="0073595B">
        <w:rPr>
          <w:color w:val="000000"/>
          <w:szCs w:val="22"/>
          <w:lang w:val="en-GB"/>
        </w:rPr>
        <w:fldChar w:fldCharType="end"/>
      </w:r>
      <w:bookmarkEnd w:id="1169"/>
      <w:r w:rsidRPr="006762AB">
        <w:rPr>
          <w:color w:val="000000"/>
          <w:szCs w:val="22"/>
          <w:lang w:val="en-GB"/>
        </w:rPr>
        <w:t>.</w:t>
      </w:r>
      <w:r w:rsidRPr="006762AB">
        <w:rPr>
          <w:i/>
          <w:color w:val="000000"/>
          <w:szCs w:val="22"/>
        </w:rPr>
        <w:t xml:space="preserve"> Daily light (yellow line) and 28-day rolling average (orange, bold line) at Mackay Whitsunday </w:t>
      </w:r>
      <w:r>
        <w:rPr>
          <w:i/>
          <w:color w:val="000000"/>
          <w:szCs w:val="22"/>
        </w:rPr>
        <w:t>habitats.</w:t>
      </w:r>
      <w:bookmarkEnd w:id="1170"/>
      <w:bookmarkEnd w:id="1171"/>
      <w:r>
        <w:rPr>
          <w:color w:val="000000"/>
          <w:szCs w:val="22"/>
        </w:rPr>
        <w:t xml:space="preserve"> </w:t>
      </w:r>
    </w:p>
    <w:p w:rsidR="002E6139" w:rsidRPr="006762AB" w:rsidRDefault="002E6139" w:rsidP="002E6139">
      <w:pPr>
        <w:rPr>
          <w:color w:val="000000"/>
          <w:szCs w:val="22"/>
        </w:rPr>
      </w:pPr>
      <w:r>
        <w:rPr>
          <w:i/>
          <w:color w:val="000000"/>
          <w:szCs w:val="22"/>
        </w:rPr>
        <w:t xml:space="preserve"> </w:t>
      </w:r>
      <w:r w:rsidRPr="002E6139">
        <w:rPr>
          <w:i/>
          <w:color w:val="000000"/>
          <w:szCs w:val="22"/>
        </w:rPr>
        <w:t xml:space="preserve">Also shown is an event-based light threshold </w:t>
      </w:r>
      <w:r w:rsidRPr="006762AB">
        <w:rPr>
          <w:i/>
          <w:color w:val="000000"/>
          <w:szCs w:val="22"/>
        </w:rPr>
        <w:t xml:space="preserve">(5 </w:t>
      </w:r>
      <w:proofErr w:type="spellStart"/>
      <w:r w:rsidRPr="006762AB">
        <w:rPr>
          <w:i/>
          <w:color w:val="000000"/>
          <w:szCs w:val="22"/>
        </w:rPr>
        <w:t>mol</w:t>
      </w:r>
      <w:proofErr w:type="spellEnd"/>
      <w:r w:rsidRPr="006762AB">
        <w:rPr>
          <w:i/>
          <w:color w:val="000000"/>
          <w:szCs w:val="22"/>
        </w:rPr>
        <w:t xml:space="preserve">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w:t>
      </w:r>
      <w:proofErr w:type="spellStart"/>
      <w:r w:rsidRPr="002E6139">
        <w:rPr>
          <w:i/>
          <w:color w:val="000000"/>
          <w:szCs w:val="22"/>
        </w:rPr>
        <w:t>uninervis</w:t>
      </w:r>
      <w:proofErr w:type="spellEnd"/>
      <w:r>
        <w:rPr>
          <w:i/>
          <w:color w:val="000000"/>
          <w:szCs w:val="22"/>
        </w:rPr>
        <w:t xml:space="preserve"> (</w:t>
      </w:r>
      <w:hyperlink w:anchor="_ENREF_68" w:tooltip="Collier, 2012 #9288" w:history="1">
        <w:r w:rsidR="00E6043D">
          <w:rPr>
            <w:i/>
            <w:color w:val="000000"/>
            <w:szCs w:val="22"/>
          </w:rPr>
          <w:fldChar w:fldCharType="begin"/>
        </w:r>
        <w:r w:rsidR="00E6043D">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E6043D">
          <w:rPr>
            <w:i/>
            <w:color w:val="000000"/>
            <w:szCs w:val="22"/>
          </w:rPr>
          <w:fldChar w:fldCharType="separate"/>
        </w:r>
        <w:r w:rsidR="00E6043D">
          <w:rPr>
            <w:i/>
            <w:noProof/>
            <w:color w:val="000000"/>
            <w:szCs w:val="22"/>
          </w:rPr>
          <w:t>Collier, et al. 2012b</w:t>
        </w:r>
        <w:r w:rsidR="00E6043D">
          <w:rPr>
            <w:i/>
            <w:color w:val="000000"/>
            <w:szCs w:val="22"/>
          </w:rPr>
          <w:fldChar w:fldCharType="end"/>
        </w:r>
      </w:hyperlink>
      <w:r>
        <w:rPr>
          <w:i/>
          <w:color w:val="000000"/>
          <w:szCs w:val="22"/>
        </w:rPr>
        <w:t>).</w:t>
      </w:r>
    </w:p>
    <w:p w:rsidR="002E6139" w:rsidRPr="006762AB" w:rsidRDefault="002E6139" w:rsidP="002E6139">
      <w:pPr>
        <w:rPr>
          <w:color w:val="000000"/>
          <w:szCs w:val="22"/>
        </w:rPr>
      </w:pPr>
    </w:p>
    <w:p w:rsidR="002E6139" w:rsidRDefault="002E6139" w:rsidP="002E6139">
      <w:pPr>
        <w:rPr>
          <w:szCs w:val="22"/>
        </w:rPr>
      </w:pPr>
    </w:p>
    <w:p w:rsidR="002E6139" w:rsidRDefault="002E6139" w:rsidP="002E6139">
      <w:pPr>
        <w:rPr>
          <w:szCs w:val="22"/>
        </w:rPr>
      </w:pPr>
    </w:p>
    <w:p w:rsidR="002E6139" w:rsidRPr="006762AB" w:rsidRDefault="002E6139" w:rsidP="002E6139">
      <w:pPr>
        <w:keepNext/>
        <w:jc w:val="center"/>
        <w:rPr>
          <w:color w:val="000000"/>
          <w:szCs w:val="22"/>
        </w:rPr>
      </w:pPr>
      <w:r>
        <w:rPr>
          <w:noProof/>
          <w:color w:val="000000"/>
          <w:szCs w:val="22"/>
          <w:lang w:eastAsia="en-AU"/>
        </w:rPr>
        <w:lastRenderedPageBreak/>
        <w:drawing>
          <wp:inline distT="0" distB="0" distL="0" distR="0" wp14:anchorId="48AD5816" wp14:editId="3D192BC5">
            <wp:extent cx="3960000" cy="4255200"/>
            <wp:effectExtent l="0" t="0" r="2540" b="0"/>
            <wp:docPr id="61" name="Picture 61" descr="Set of line graphs showing daily light and approximate light threshold required for positive growth in Halodule uninervis and Zostera muelleri dominated communities at location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inter 28d RollAv all combined.png"/>
                    <pic:cNvPicPr/>
                  </pic:nvPicPr>
                  <pic:blipFill rotWithShape="1">
                    <a:blip r:embed="rId279" cstate="print">
                      <a:extLst>
                        <a:ext uri="{28A0092B-C50C-407E-A947-70E740481C1C}">
                          <a14:useLocalDpi xmlns:a14="http://schemas.microsoft.com/office/drawing/2010/main" val="0"/>
                        </a:ext>
                      </a:extLst>
                    </a:blip>
                    <a:srcRect t="11743"/>
                    <a:stretch/>
                  </pic:blipFill>
                  <pic:spPr bwMode="auto">
                    <a:xfrm>
                      <a:off x="0" y="0"/>
                      <a:ext cx="3960000" cy="4255200"/>
                    </a:xfrm>
                    <a:prstGeom prst="rect">
                      <a:avLst/>
                    </a:prstGeom>
                    <a:ln>
                      <a:noFill/>
                    </a:ln>
                    <a:extLst>
                      <a:ext uri="{53640926-AAD7-44D8-BBD7-CCE9431645EC}">
                        <a14:shadowObscured xmlns:a14="http://schemas.microsoft.com/office/drawing/2010/main"/>
                      </a:ext>
                    </a:extLst>
                  </pic:spPr>
                </pic:pic>
              </a:graphicData>
            </a:graphic>
          </wp:inline>
        </w:drawing>
      </w:r>
    </w:p>
    <w:p w:rsidR="00222918" w:rsidRPr="00CD6094" w:rsidRDefault="002E6139" w:rsidP="00222918">
      <w:pPr>
        <w:rPr>
          <w:i/>
          <w:vanish/>
          <w:color w:val="000000"/>
          <w:szCs w:val="22"/>
          <w:specVanish/>
        </w:rPr>
      </w:pPr>
      <w:bookmarkStart w:id="1172" w:name="_Ref410307245"/>
      <w:bookmarkStart w:id="1173" w:name="_Toc431493982"/>
      <w:bookmarkStart w:id="1174" w:name="_Toc462685023"/>
      <w:r w:rsidRPr="006762AB">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9C068F">
        <w:rPr>
          <w:noProof/>
          <w:color w:val="000000"/>
          <w:szCs w:val="22"/>
        </w:rPr>
        <w:t>183</w:t>
      </w:r>
      <w:r w:rsidR="0073595B">
        <w:rPr>
          <w:color w:val="000000"/>
          <w:szCs w:val="22"/>
        </w:rPr>
        <w:fldChar w:fldCharType="end"/>
      </w:r>
      <w:bookmarkEnd w:id="1172"/>
      <w:r w:rsidRPr="006762AB">
        <w:rPr>
          <w:color w:val="000000"/>
          <w:szCs w:val="22"/>
        </w:rPr>
        <w:t xml:space="preserve">. </w:t>
      </w:r>
      <w:r w:rsidRPr="006762AB">
        <w:rPr>
          <w:i/>
          <w:color w:val="000000"/>
          <w:szCs w:val="22"/>
        </w:rPr>
        <w:t xml:space="preserve">Daily light (yellow line) and 28-day rolling average (orange, bold line) </w:t>
      </w:r>
      <w:bookmarkEnd w:id="1173"/>
      <w:r w:rsidR="00222918" w:rsidRPr="004C3A5D">
        <w:rPr>
          <w:i/>
          <w:color w:val="000000"/>
          <w:szCs w:val="22"/>
        </w:rPr>
        <w:t xml:space="preserve">at </w:t>
      </w:r>
      <w:r w:rsidR="00222918">
        <w:rPr>
          <w:i/>
          <w:color w:val="000000"/>
          <w:szCs w:val="22"/>
        </w:rPr>
        <w:t>monitoring locations in the Fitzroy</w:t>
      </w:r>
      <w:r w:rsidR="00222918" w:rsidRPr="004C3A5D">
        <w:rPr>
          <w:i/>
          <w:color w:val="000000"/>
          <w:szCs w:val="22"/>
        </w:rPr>
        <w:t xml:space="preserve"> NRM </w:t>
      </w:r>
      <w:r w:rsidR="00222918">
        <w:rPr>
          <w:i/>
          <w:color w:val="000000"/>
          <w:szCs w:val="22"/>
        </w:rPr>
        <w:t>region</w:t>
      </w:r>
      <w:bookmarkEnd w:id="1174"/>
    </w:p>
    <w:p w:rsidR="00222918" w:rsidRPr="004C3A5D" w:rsidRDefault="00222918" w:rsidP="00222918">
      <w:pPr>
        <w:rPr>
          <w:i/>
          <w:color w:val="000000"/>
          <w:szCs w:val="22"/>
        </w:rPr>
      </w:pPr>
      <w:r>
        <w:rPr>
          <w:i/>
          <w:color w:val="000000"/>
          <w:szCs w:val="22"/>
        </w:rPr>
        <w:t>.</w:t>
      </w:r>
      <w:r w:rsidRPr="004C3A5D">
        <w:rPr>
          <w:i/>
          <w:color w:val="000000"/>
          <w:szCs w:val="22"/>
        </w:rPr>
        <w:t xml:space="preserve"> </w:t>
      </w:r>
      <w:r>
        <w:rPr>
          <w:i/>
          <w:color w:val="000000"/>
          <w:szCs w:val="22"/>
        </w:rPr>
        <w:t>A</w:t>
      </w:r>
      <w:r w:rsidRPr="006762AB">
        <w:rPr>
          <w:i/>
          <w:color w:val="000000"/>
          <w:szCs w:val="22"/>
        </w:rPr>
        <w:t xml:space="preserve">lso </w:t>
      </w:r>
      <w:r>
        <w:rPr>
          <w:i/>
          <w:color w:val="000000"/>
          <w:szCs w:val="22"/>
        </w:rPr>
        <w:t>displayed is</w:t>
      </w:r>
      <w:r w:rsidRPr="006762AB">
        <w:rPr>
          <w:i/>
          <w:color w:val="000000"/>
          <w:szCs w:val="22"/>
        </w:rPr>
        <w:t xml:space="preserve"> </w:t>
      </w:r>
      <w:r>
        <w:rPr>
          <w:i/>
          <w:color w:val="000000"/>
          <w:szCs w:val="22"/>
        </w:rPr>
        <w:t>an event based</w:t>
      </w:r>
      <w:r w:rsidRPr="006762AB">
        <w:rPr>
          <w:i/>
          <w:color w:val="000000"/>
          <w:szCs w:val="22"/>
        </w:rPr>
        <w:t xml:space="preserve"> light threshold (5 </w:t>
      </w:r>
      <w:proofErr w:type="spellStart"/>
      <w:r w:rsidRPr="006762AB">
        <w:rPr>
          <w:i/>
          <w:color w:val="000000"/>
          <w:szCs w:val="22"/>
        </w:rPr>
        <w:t>mol</w:t>
      </w:r>
      <w:proofErr w:type="spellEnd"/>
      <w:r w:rsidRPr="006762AB">
        <w:rPr>
          <w:i/>
          <w:color w:val="000000"/>
          <w:szCs w:val="22"/>
        </w:rPr>
        <w:t xml:space="preserve">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Pr>
          <w:i/>
          <w:color w:val="000000"/>
          <w:szCs w:val="22"/>
        </w:rPr>
        <w:t>)</w:t>
      </w:r>
      <w:r w:rsidRPr="006762AB">
        <w:rPr>
          <w:i/>
          <w:color w:val="000000"/>
          <w:szCs w:val="22"/>
        </w:rPr>
        <w:t xml:space="preserve"> </w:t>
      </w:r>
      <w:r>
        <w:rPr>
          <w:i/>
          <w:color w:val="000000"/>
          <w:szCs w:val="22"/>
        </w:rPr>
        <w:t xml:space="preserve">for </w:t>
      </w:r>
      <w:proofErr w:type="spellStart"/>
      <w:r w:rsidRPr="006762AB">
        <w:rPr>
          <w:color w:val="000000"/>
          <w:szCs w:val="22"/>
        </w:rPr>
        <w:t>Halodule</w:t>
      </w:r>
      <w:proofErr w:type="spellEnd"/>
      <w:r w:rsidRPr="006762AB">
        <w:rPr>
          <w:color w:val="000000"/>
          <w:szCs w:val="22"/>
        </w:rPr>
        <w:t xml:space="preserve"> </w:t>
      </w:r>
      <w:proofErr w:type="spellStart"/>
      <w:r w:rsidRPr="006762AB">
        <w:rPr>
          <w:color w:val="000000"/>
          <w:szCs w:val="22"/>
        </w:rPr>
        <w:t>uninervis</w:t>
      </w:r>
      <w:proofErr w:type="spellEnd"/>
      <w:r w:rsidRPr="006762AB">
        <w:rPr>
          <w:i/>
          <w:color w:val="000000"/>
          <w:szCs w:val="22"/>
        </w:rPr>
        <w:t xml:space="preserve"> </w:t>
      </w:r>
      <w:r>
        <w:rPr>
          <w:i/>
          <w:color w:val="000000"/>
          <w:szCs w:val="22"/>
        </w:rPr>
        <w:t>(</w:t>
      </w:r>
      <w:hyperlink w:anchor="_ENREF_68" w:tooltip="Collier, 2012 #9288" w:history="1">
        <w:r w:rsidR="00E6043D">
          <w:rPr>
            <w:i/>
            <w:color w:val="000000"/>
            <w:szCs w:val="22"/>
          </w:rPr>
          <w:fldChar w:fldCharType="begin"/>
        </w:r>
        <w:r w:rsidR="00E6043D">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E6043D">
          <w:rPr>
            <w:i/>
            <w:color w:val="000000"/>
            <w:szCs w:val="22"/>
          </w:rPr>
          <w:fldChar w:fldCharType="separate"/>
        </w:r>
        <w:r w:rsidR="00E6043D">
          <w:rPr>
            <w:i/>
            <w:noProof/>
            <w:color w:val="000000"/>
            <w:szCs w:val="22"/>
          </w:rPr>
          <w:t>Collier, et al. 2012b</w:t>
        </w:r>
        <w:r w:rsidR="00E6043D">
          <w:rPr>
            <w:i/>
            <w:color w:val="000000"/>
            <w:szCs w:val="22"/>
          </w:rPr>
          <w:fldChar w:fldCharType="end"/>
        </w:r>
      </w:hyperlink>
      <w:r w:rsidRPr="006762AB">
        <w:rPr>
          <w:i/>
          <w:color w:val="000000"/>
          <w:szCs w:val="22"/>
        </w:rPr>
        <w:t>)</w:t>
      </w:r>
      <w:r>
        <w:rPr>
          <w:i/>
          <w:color w:val="000000"/>
          <w:szCs w:val="22"/>
        </w:rPr>
        <w:t xml:space="preserve"> or for</w:t>
      </w:r>
      <w:r w:rsidRPr="006762AB">
        <w:rPr>
          <w:i/>
          <w:color w:val="000000"/>
          <w:szCs w:val="22"/>
        </w:rPr>
        <w:t xml:space="preserve"> </w:t>
      </w:r>
      <w:proofErr w:type="spellStart"/>
      <w:r w:rsidRPr="006762AB">
        <w:rPr>
          <w:i/>
          <w:color w:val="000000"/>
          <w:szCs w:val="22"/>
        </w:rPr>
        <w:t>Zostera</w:t>
      </w:r>
      <w:proofErr w:type="spellEnd"/>
      <w:r w:rsidRPr="006762AB">
        <w:rPr>
          <w:i/>
          <w:color w:val="000000"/>
          <w:szCs w:val="22"/>
        </w:rPr>
        <w:t xml:space="preserve"> </w:t>
      </w:r>
      <w:proofErr w:type="spellStart"/>
      <w:r w:rsidRPr="006762AB">
        <w:rPr>
          <w:i/>
          <w:color w:val="000000"/>
          <w:szCs w:val="22"/>
        </w:rPr>
        <w:t>muelleri</w:t>
      </w:r>
      <w:proofErr w:type="spellEnd"/>
      <w:r w:rsidRPr="006762AB">
        <w:rPr>
          <w:i/>
          <w:color w:val="000000"/>
          <w:szCs w:val="22"/>
        </w:rPr>
        <w:t xml:space="preserve"> (6 </w:t>
      </w:r>
      <w:proofErr w:type="spellStart"/>
      <w:r w:rsidRPr="006762AB">
        <w:rPr>
          <w:i/>
          <w:color w:val="000000"/>
          <w:szCs w:val="22"/>
        </w:rPr>
        <w:t>mol</w:t>
      </w:r>
      <w:proofErr w:type="spellEnd"/>
      <w:r w:rsidRPr="006762AB">
        <w:rPr>
          <w:i/>
          <w:color w:val="000000"/>
          <w:szCs w:val="22"/>
        </w:rPr>
        <w:t xml:space="preserve">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Pr>
          <w:i/>
          <w:color w:val="000000"/>
          <w:szCs w:val="22"/>
        </w:rPr>
        <w:t xml:space="preserve"> </w:t>
      </w:r>
      <w:r w:rsidRPr="002E6139">
        <w:rPr>
          <w:i/>
          <w:color w:val="000000"/>
          <w:szCs w:val="22"/>
        </w:rPr>
        <w:t>(</w:t>
      </w:r>
      <w:hyperlink w:anchor="_ENREF_44" w:tooltip="Chartrand, 2016 #10720" w:history="1">
        <w:r w:rsidR="00E6043D">
          <w:rPr>
            <w:i/>
            <w:color w:val="000000"/>
            <w:szCs w:val="22"/>
          </w:rPr>
          <w:fldChar w:fldCharType="begin">
            <w:fldData xml:space="preserve">PEVuZE5vdGU+PENpdGU+PEF1dGhvcj5DaGFydHJhbmQ8L0F1dGhvcj48WWVhcj4yMDE2PC9ZZWFy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</w:fldData>
          </w:fldChar>
        </w:r>
        <w:r w:rsidR="00E6043D">
          <w:rPr>
            <w:i/>
            <w:color w:val="000000"/>
            <w:szCs w:val="22"/>
          </w:rPr>
          <w:instrText xml:space="preserve"> ADDIN EN.CITE </w:instrText>
        </w:r>
        <w:r w:rsidR="00E6043D">
          <w:rPr>
            <w:i/>
            <w:color w:val="000000"/>
            <w:szCs w:val="22"/>
          </w:rPr>
          <w:fldChar w:fldCharType="begin">
            <w:fldData xml:space="preserve">PEVuZE5vdGU+PENpdGU+PEF1dGhvcj5DaGFydHJhbmQ8L0F1dGhvcj48WWVhcj4yMDE2PC9ZZWFy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</w:fldData>
          </w:fldChar>
        </w:r>
        <w:r w:rsidR="00E6043D">
          <w:rPr>
            <w:i/>
            <w:color w:val="000000"/>
            <w:szCs w:val="22"/>
          </w:rPr>
          <w:instrText xml:space="preserve"> ADDIN EN.CITE.DATA </w:instrText>
        </w:r>
        <w:r w:rsidR="00E6043D">
          <w:rPr>
            <w:i/>
            <w:color w:val="000000"/>
            <w:szCs w:val="22"/>
          </w:rPr>
        </w:r>
        <w:r w:rsidR="00E6043D">
          <w:rPr>
            <w:i/>
            <w:color w:val="000000"/>
            <w:szCs w:val="22"/>
          </w:rPr>
          <w:fldChar w:fldCharType="end"/>
        </w:r>
        <w:r w:rsidR="00E6043D">
          <w:rPr>
            <w:i/>
            <w:color w:val="000000"/>
            <w:szCs w:val="22"/>
          </w:rPr>
        </w:r>
        <w:r w:rsidR="00E6043D">
          <w:rPr>
            <w:i/>
            <w:color w:val="000000"/>
            <w:szCs w:val="22"/>
          </w:rPr>
          <w:fldChar w:fldCharType="separate"/>
        </w:r>
        <w:r w:rsidR="00E6043D">
          <w:rPr>
            <w:i/>
            <w:noProof/>
            <w:color w:val="000000"/>
            <w:szCs w:val="22"/>
          </w:rPr>
          <w:t>Chartrand, et al. 2016</w:t>
        </w:r>
        <w:r w:rsidR="00E6043D">
          <w:rPr>
            <w:i/>
            <w:color w:val="000000"/>
            <w:szCs w:val="22"/>
          </w:rPr>
          <w:fldChar w:fldCharType="end"/>
        </w:r>
      </w:hyperlink>
      <w:r w:rsidRPr="002E6139">
        <w:rPr>
          <w:i/>
          <w:color w:val="000000"/>
          <w:szCs w:val="22"/>
        </w:rPr>
        <w:t>)</w:t>
      </w:r>
      <w:r>
        <w:rPr>
          <w:color w:val="000000"/>
          <w:szCs w:val="22"/>
        </w:rPr>
        <w:t>.</w:t>
      </w:r>
    </w:p>
    <w:p w:rsidR="002E6139" w:rsidRDefault="002E6139" w:rsidP="002E6139">
      <w:pPr>
        <w:keepNext/>
        <w:jc w:val="center"/>
        <w:rPr>
          <w:szCs w:val="22"/>
        </w:rPr>
      </w:pPr>
      <w:r>
        <w:rPr>
          <w:noProof/>
          <w:szCs w:val="22"/>
          <w:lang w:eastAsia="en-AU"/>
        </w:rPr>
        <w:drawing>
          <wp:inline distT="0" distB="0" distL="0" distR="0" wp14:anchorId="09B0EE00" wp14:editId="63A729C6">
            <wp:extent cx="3960000" cy="2818800"/>
            <wp:effectExtent l="0" t="0" r="2540" b="635"/>
            <wp:docPr id="62" name="Picture 62" descr="Set of line graphs showing daily light and approximate light threshold required for positive growth in Halodule uninervis and Zostera muelleri dominated communities at locations in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inter 28d RollAv_all combined.png"/>
                    <pic:cNvPicPr/>
                  </pic:nvPicPr>
                  <pic:blipFill>
                    <a:blip r:embed="rId280" cstate="print">
                      <a:extLst>
                        <a:ext uri="{28A0092B-C50C-407E-A947-70E740481C1C}">
                          <a14:useLocalDpi xmlns:a14="http://schemas.microsoft.com/office/drawing/2010/main" val="0"/>
                        </a:ext>
                      </a:extLst>
                    </a:blip>
                    <a:stretch>
                      <a:fillRect/>
                    </a:stretch>
                  </pic:blipFill>
                  <pic:spPr>
                    <a:xfrm>
                      <a:off x="0" y="0"/>
                      <a:ext cx="3960000" cy="2818800"/>
                    </a:xfrm>
                    <a:prstGeom prst="rect">
                      <a:avLst/>
                    </a:prstGeom>
                  </pic:spPr>
                </pic:pic>
              </a:graphicData>
            </a:graphic>
          </wp:inline>
        </w:drawing>
      </w:r>
    </w:p>
    <w:p w:rsidR="002E6139" w:rsidRPr="00CD6094" w:rsidRDefault="002E6139" w:rsidP="002E6139">
      <w:pPr>
        <w:rPr>
          <w:i/>
          <w:vanish/>
          <w:color w:val="000000"/>
          <w:szCs w:val="22"/>
          <w:specVanish/>
        </w:rPr>
      </w:pPr>
      <w:bookmarkStart w:id="1175" w:name="_Ref410310520"/>
      <w:bookmarkStart w:id="1176" w:name="_Toc431493983"/>
      <w:bookmarkStart w:id="1177" w:name="_Toc462685024"/>
      <w:r w:rsidRPr="004C3A5D">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9C068F">
        <w:rPr>
          <w:noProof/>
          <w:color w:val="000000"/>
          <w:szCs w:val="22"/>
          <w:lang w:val="en-GB"/>
        </w:rPr>
        <w:t>184</w:t>
      </w:r>
      <w:r w:rsidR="0073595B">
        <w:rPr>
          <w:color w:val="000000"/>
          <w:szCs w:val="22"/>
          <w:lang w:val="en-GB"/>
        </w:rPr>
        <w:fldChar w:fldCharType="end"/>
      </w:r>
      <w:bookmarkEnd w:id="1175"/>
      <w:r w:rsidRPr="004C3A5D">
        <w:rPr>
          <w:color w:val="000000"/>
          <w:szCs w:val="22"/>
          <w:lang w:val="en-GB"/>
        </w:rPr>
        <w:t xml:space="preserve">. </w:t>
      </w:r>
      <w:r w:rsidRPr="004C3A5D">
        <w:rPr>
          <w:i/>
          <w:color w:val="000000"/>
          <w:szCs w:val="22"/>
        </w:rPr>
        <w:t xml:space="preserve">Daily light (yellow line) and 28-day rolling average (orange, bold line) at </w:t>
      </w:r>
      <w:r>
        <w:rPr>
          <w:i/>
          <w:color w:val="000000"/>
          <w:szCs w:val="22"/>
        </w:rPr>
        <w:t xml:space="preserve">monitoring locations in the </w:t>
      </w:r>
      <w:r w:rsidRPr="004C3A5D">
        <w:rPr>
          <w:i/>
          <w:color w:val="000000"/>
          <w:szCs w:val="22"/>
        </w:rPr>
        <w:t xml:space="preserve">Burnett Mary NRM </w:t>
      </w:r>
      <w:bookmarkEnd w:id="1176"/>
      <w:r>
        <w:rPr>
          <w:i/>
          <w:color w:val="000000"/>
          <w:szCs w:val="22"/>
        </w:rPr>
        <w:t>region</w:t>
      </w:r>
      <w:bookmarkEnd w:id="1177"/>
    </w:p>
    <w:p w:rsidR="001268E0" w:rsidRDefault="002E6139" w:rsidP="00222918">
      <w:pPr>
        <w:rPr>
          <w:color w:val="000000"/>
          <w:szCs w:val="22"/>
          <w:lang w:val="en-GB"/>
        </w:rPr>
      </w:pPr>
      <w:r>
        <w:rPr>
          <w:i/>
          <w:color w:val="000000"/>
          <w:szCs w:val="22"/>
        </w:rPr>
        <w:t>.</w:t>
      </w:r>
      <w:r w:rsidRPr="004C3A5D">
        <w:rPr>
          <w:i/>
          <w:color w:val="000000"/>
          <w:szCs w:val="22"/>
        </w:rPr>
        <w:t xml:space="preserve"> </w:t>
      </w:r>
      <w:r>
        <w:rPr>
          <w:i/>
          <w:color w:val="000000"/>
          <w:szCs w:val="22"/>
        </w:rPr>
        <w:t>A</w:t>
      </w:r>
      <w:r w:rsidRPr="006762AB">
        <w:rPr>
          <w:i/>
          <w:color w:val="000000"/>
          <w:szCs w:val="22"/>
        </w:rPr>
        <w:t xml:space="preserve">lso </w:t>
      </w:r>
      <w:r>
        <w:rPr>
          <w:i/>
          <w:color w:val="000000"/>
          <w:szCs w:val="22"/>
        </w:rPr>
        <w:t>displayed is</w:t>
      </w:r>
      <w:r w:rsidRPr="006762AB">
        <w:rPr>
          <w:i/>
          <w:color w:val="000000"/>
          <w:szCs w:val="22"/>
        </w:rPr>
        <w:t xml:space="preserve"> </w:t>
      </w:r>
      <w:r>
        <w:rPr>
          <w:i/>
          <w:color w:val="000000"/>
          <w:szCs w:val="22"/>
        </w:rPr>
        <w:t>an event based</w:t>
      </w:r>
      <w:r w:rsidRPr="006762AB">
        <w:rPr>
          <w:i/>
          <w:color w:val="000000"/>
          <w:szCs w:val="22"/>
        </w:rPr>
        <w:t xml:space="preserve"> light threshold (5 </w:t>
      </w:r>
      <w:proofErr w:type="spellStart"/>
      <w:r w:rsidRPr="006762AB">
        <w:rPr>
          <w:i/>
          <w:color w:val="000000"/>
          <w:szCs w:val="22"/>
        </w:rPr>
        <w:t>mol</w:t>
      </w:r>
      <w:proofErr w:type="spellEnd"/>
      <w:r w:rsidRPr="006762AB">
        <w:rPr>
          <w:i/>
          <w:color w:val="000000"/>
          <w:szCs w:val="22"/>
        </w:rPr>
        <w:t xml:space="preserve">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Pr>
          <w:i/>
          <w:color w:val="000000"/>
          <w:szCs w:val="22"/>
        </w:rPr>
        <w:t>)</w:t>
      </w:r>
      <w:r w:rsidRPr="006762AB">
        <w:rPr>
          <w:i/>
          <w:color w:val="000000"/>
          <w:szCs w:val="22"/>
        </w:rPr>
        <w:t xml:space="preserve"> </w:t>
      </w:r>
      <w:r>
        <w:rPr>
          <w:i/>
          <w:color w:val="000000"/>
          <w:szCs w:val="22"/>
        </w:rPr>
        <w:t xml:space="preserve">for </w:t>
      </w:r>
      <w:proofErr w:type="spellStart"/>
      <w:r w:rsidRPr="006762AB">
        <w:rPr>
          <w:color w:val="000000"/>
          <w:szCs w:val="22"/>
        </w:rPr>
        <w:t>Halodule</w:t>
      </w:r>
      <w:proofErr w:type="spellEnd"/>
      <w:r w:rsidRPr="006762AB">
        <w:rPr>
          <w:color w:val="000000"/>
          <w:szCs w:val="22"/>
        </w:rPr>
        <w:t xml:space="preserve"> </w:t>
      </w:r>
      <w:proofErr w:type="spellStart"/>
      <w:r w:rsidRPr="006762AB">
        <w:rPr>
          <w:color w:val="000000"/>
          <w:szCs w:val="22"/>
        </w:rPr>
        <w:t>uninervis</w:t>
      </w:r>
      <w:proofErr w:type="spellEnd"/>
      <w:r w:rsidRPr="006762AB">
        <w:rPr>
          <w:i/>
          <w:color w:val="000000"/>
          <w:szCs w:val="22"/>
        </w:rPr>
        <w:t xml:space="preserve"> </w:t>
      </w:r>
      <w:r>
        <w:rPr>
          <w:i/>
          <w:color w:val="000000"/>
          <w:szCs w:val="22"/>
        </w:rPr>
        <w:t>(</w:t>
      </w:r>
      <w:hyperlink w:anchor="_ENREF_68" w:tooltip="Collier, 2012 #9288" w:history="1">
        <w:r w:rsidR="00E6043D">
          <w:rPr>
            <w:i/>
            <w:color w:val="000000"/>
            <w:szCs w:val="22"/>
          </w:rPr>
          <w:fldChar w:fldCharType="begin"/>
        </w:r>
        <w:r w:rsidR="00E6043D">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E6043D">
          <w:rPr>
            <w:i/>
            <w:color w:val="000000"/>
            <w:szCs w:val="22"/>
          </w:rPr>
          <w:fldChar w:fldCharType="separate"/>
        </w:r>
        <w:r w:rsidR="00E6043D">
          <w:rPr>
            <w:i/>
            <w:noProof/>
            <w:color w:val="000000"/>
            <w:szCs w:val="22"/>
          </w:rPr>
          <w:t>Collier, et al. 2012b</w:t>
        </w:r>
        <w:r w:rsidR="00E6043D">
          <w:rPr>
            <w:i/>
            <w:color w:val="000000"/>
            <w:szCs w:val="22"/>
          </w:rPr>
          <w:fldChar w:fldCharType="end"/>
        </w:r>
      </w:hyperlink>
      <w:r w:rsidRPr="006762AB">
        <w:rPr>
          <w:i/>
          <w:color w:val="000000"/>
          <w:szCs w:val="22"/>
        </w:rPr>
        <w:t>)</w:t>
      </w:r>
      <w:r>
        <w:rPr>
          <w:i/>
          <w:color w:val="000000"/>
          <w:szCs w:val="22"/>
        </w:rPr>
        <w:t xml:space="preserve"> or for</w:t>
      </w:r>
      <w:r w:rsidRPr="006762AB">
        <w:rPr>
          <w:i/>
          <w:color w:val="000000"/>
          <w:szCs w:val="22"/>
        </w:rPr>
        <w:t xml:space="preserve"> </w:t>
      </w:r>
      <w:proofErr w:type="spellStart"/>
      <w:r w:rsidRPr="006762AB">
        <w:rPr>
          <w:i/>
          <w:color w:val="000000"/>
          <w:szCs w:val="22"/>
        </w:rPr>
        <w:t>Zostera</w:t>
      </w:r>
      <w:proofErr w:type="spellEnd"/>
      <w:r w:rsidRPr="006762AB">
        <w:rPr>
          <w:i/>
          <w:color w:val="000000"/>
          <w:szCs w:val="22"/>
        </w:rPr>
        <w:t xml:space="preserve"> </w:t>
      </w:r>
      <w:proofErr w:type="spellStart"/>
      <w:r w:rsidRPr="006762AB">
        <w:rPr>
          <w:i/>
          <w:color w:val="000000"/>
          <w:szCs w:val="22"/>
        </w:rPr>
        <w:t>muelleri</w:t>
      </w:r>
      <w:proofErr w:type="spellEnd"/>
      <w:r w:rsidRPr="006762AB">
        <w:rPr>
          <w:i/>
          <w:color w:val="000000"/>
          <w:szCs w:val="22"/>
        </w:rPr>
        <w:t xml:space="preserve"> (6 </w:t>
      </w:r>
      <w:proofErr w:type="spellStart"/>
      <w:r w:rsidRPr="006762AB">
        <w:rPr>
          <w:i/>
          <w:color w:val="000000"/>
          <w:szCs w:val="22"/>
        </w:rPr>
        <w:t>mol</w:t>
      </w:r>
      <w:proofErr w:type="spellEnd"/>
      <w:r w:rsidRPr="006762AB">
        <w:rPr>
          <w:i/>
          <w:color w:val="000000"/>
          <w:szCs w:val="22"/>
        </w:rPr>
        <w:t xml:space="preserve">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Pr>
          <w:i/>
          <w:color w:val="000000"/>
          <w:szCs w:val="22"/>
        </w:rPr>
        <w:t xml:space="preserve"> </w:t>
      </w:r>
      <w:r w:rsidRPr="002E6139">
        <w:rPr>
          <w:i/>
          <w:color w:val="000000"/>
          <w:szCs w:val="22"/>
        </w:rPr>
        <w:t>(</w:t>
      </w:r>
      <w:hyperlink w:anchor="_ENREF_44" w:tooltip="Chartrand, 2016 #10720" w:history="1">
        <w:r w:rsidR="00E6043D">
          <w:rPr>
            <w:i/>
            <w:color w:val="000000"/>
            <w:szCs w:val="22"/>
          </w:rPr>
          <w:fldChar w:fldCharType="begin">
            <w:fldData xml:space="preserve">PEVuZE5vdGU+PENpdGU+PEF1dGhvcj5DaGFydHJhbmQ8L0F1dGhvcj48WWVhcj4yMDE2PC9ZZWFy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</w:fldData>
          </w:fldChar>
        </w:r>
        <w:r w:rsidR="00E6043D">
          <w:rPr>
            <w:i/>
            <w:color w:val="000000"/>
            <w:szCs w:val="22"/>
          </w:rPr>
          <w:instrText xml:space="preserve"> ADDIN EN.CITE </w:instrText>
        </w:r>
        <w:r w:rsidR="00E6043D">
          <w:rPr>
            <w:i/>
            <w:color w:val="000000"/>
            <w:szCs w:val="22"/>
          </w:rPr>
          <w:fldChar w:fldCharType="begin">
            <w:fldData xml:space="preserve">PEVuZE5vdGU+PENpdGU+PEF1dGhvcj5DaGFydHJhbmQ8L0F1dGhvcj48WWVhcj4yMDE2PC9ZZWFy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</w:fldData>
          </w:fldChar>
        </w:r>
        <w:r w:rsidR="00E6043D">
          <w:rPr>
            <w:i/>
            <w:color w:val="000000"/>
            <w:szCs w:val="22"/>
          </w:rPr>
          <w:instrText xml:space="preserve"> ADDIN EN.CITE.DATA </w:instrText>
        </w:r>
        <w:r w:rsidR="00E6043D">
          <w:rPr>
            <w:i/>
            <w:color w:val="000000"/>
            <w:szCs w:val="22"/>
          </w:rPr>
        </w:r>
        <w:r w:rsidR="00E6043D">
          <w:rPr>
            <w:i/>
            <w:color w:val="000000"/>
            <w:szCs w:val="22"/>
          </w:rPr>
          <w:fldChar w:fldCharType="end"/>
        </w:r>
        <w:r w:rsidR="00E6043D">
          <w:rPr>
            <w:i/>
            <w:color w:val="000000"/>
            <w:szCs w:val="22"/>
          </w:rPr>
        </w:r>
        <w:r w:rsidR="00E6043D">
          <w:rPr>
            <w:i/>
            <w:color w:val="000000"/>
            <w:szCs w:val="22"/>
          </w:rPr>
          <w:fldChar w:fldCharType="separate"/>
        </w:r>
        <w:r w:rsidR="00E6043D">
          <w:rPr>
            <w:i/>
            <w:noProof/>
            <w:color w:val="000000"/>
            <w:szCs w:val="22"/>
          </w:rPr>
          <w:t>Chartrand, et al. 2016</w:t>
        </w:r>
        <w:r w:rsidR="00E6043D">
          <w:rPr>
            <w:i/>
            <w:color w:val="000000"/>
            <w:szCs w:val="22"/>
          </w:rPr>
          <w:fldChar w:fldCharType="end"/>
        </w:r>
      </w:hyperlink>
      <w:r w:rsidRPr="002E6139">
        <w:rPr>
          <w:i/>
          <w:color w:val="000000"/>
          <w:szCs w:val="22"/>
        </w:rPr>
        <w:t>)</w:t>
      </w:r>
      <w:r>
        <w:rPr>
          <w:color w:val="000000"/>
          <w:szCs w:val="22"/>
        </w:rPr>
        <w:t>.</w:t>
      </w:r>
      <w:r w:rsidR="00222918">
        <w:rPr>
          <w:color w:val="000000"/>
          <w:szCs w:val="22"/>
        </w:rPr>
        <w:t xml:space="preserve"> </w:t>
      </w:r>
      <w:r w:rsidR="001268E0">
        <w:rPr>
          <w:color w:val="000000"/>
          <w:szCs w:val="22"/>
          <w:lang w:val="en-GB"/>
        </w:rPr>
        <w:br w:type="page"/>
      </w:r>
    </w:p>
    <w:p w:rsidR="001268E0" w:rsidRPr="000440B8" w:rsidRDefault="001268E0" w:rsidP="000440B8">
      <w:pPr>
        <w:pStyle w:val="Heading3"/>
        <w:rPr>
          <w:rFonts w:asciiTheme="minorHAnsi" w:hAnsiTheme="minorHAnsi"/>
          <w:sz w:val="24"/>
          <w:szCs w:val="24"/>
        </w:rPr>
      </w:pPr>
      <w:bookmarkStart w:id="1178" w:name="_Toc462047406"/>
      <w:r w:rsidRPr="000440B8">
        <w:rPr>
          <w:rFonts w:asciiTheme="minorHAnsi" w:hAnsiTheme="minorHAnsi"/>
          <w:sz w:val="24"/>
          <w:szCs w:val="24"/>
        </w:rPr>
        <w:lastRenderedPageBreak/>
        <w:t>Sediments</w:t>
      </w:r>
      <w:r w:rsidR="000464BD" w:rsidRPr="000440B8">
        <w:rPr>
          <w:rFonts w:asciiTheme="minorHAnsi" w:hAnsiTheme="minorHAnsi"/>
          <w:sz w:val="24"/>
          <w:szCs w:val="24"/>
        </w:rPr>
        <w:t xml:space="preserve"> composition</w:t>
      </w:r>
      <w:bookmarkEnd w:id="1178"/>
    </w:p>
    <w:p w:rsidR="001268E0" w:rsidRDefault="001268E0" w:rsidP="00CC19F0">
      <w:pPr>
        <w:keepNext/>
        <w:widowControl w:val="0"/>
        <w:spacing w:after="0"/>
        <w:jc w:val="center"/>
        <w:rPr>
          <w:color w:val="000000"/>
          <w:szCs w:val="22"/>
          <w:lang w:val="en-GB"/>
        </w:rPr>
      </w:pPr>
      <w:r>
        <w:rPr>
          <w:noProof/>
          <w:color w:val="000000"/>
          <w:szCs w:val="22"/>
          <w:lang w:eastAsia="en-AU"/>
        </w:rPr>
        <w:drawing>
          <wp:inline distT="0" distB="0" distL="0" distR="0" wp14:anchorId="1EFA7E7A" wp14:editId="0AD2D73B">
            <wp:extent cx="3960000" cy="6832800"/>
            <wp:effectExtent l="0" t="0" r="2540" b="6350"/>
            <wp:docPr id="102" name="Picture 102" descr="Set of bar graphs showing sediment grain size composition at reef habitat monitoring sites in the Cape York region each monitoring event from 2003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sediment_reef_2015.png"/>
                    <pic:cNvPicPr/>
                  </pic:nvPicPr>
                  <pic:blipFill>
                    <a:blip r:embed="rId281" cstate="print">
                      <a:extLst>
                        <a:ext uri="{28A0092B-C50C-407E-A947-70E740481C1C}">
                          <a14:useLocalDpi xmlns:a14="http://schemas.microsoft.com/office/drawing/2010/main" val="0"/>
                        </a:ext>
                      </a:extLst>
                    </a:blip>
                    <a:stretch>
                      <a:fillRect/>
                    </a:stretch>
                  </pic:blipFill>
                  <pic:spPr>
                    <a:xfrm>
                      <a:off x="0" y="0"/>
                      <a:ext cx="3960000" cy="6832800"/>
                    </a:xfrm>
                    <a:prstGeom prst="rect">
                      <a:avLst/>
                    </a:prstGeom>
                  </pic:spPr>
                </pic:pic>
              </a:graphicData>
            </a:graphic>
          </wp:inline>
        </w:drawing>
      </w:r>
    </w:p>
    <w:p w:rsidR="00CC19F0" w:rsidRPr="00CC19F0" w:rsidRDefault="000464BD" w:rsidP="000464BD">
      <w:pPr>
        <w:rPr>
          <w:i/>
          <w:vanish/>
          <w:specVanish/>
        </w:rPr>
      </w:pPr>
      <w:bookmarkStart w:id="1179" w:name="_Toc462685025"/>
      <w:r>
        <w:t xml:space="preserve">Figure </w:t>
      </w:r>
      <w:fldSimple w:instr=" SEQ Figure \* ARABIC ">
        <w:r w:rsidR="009C068F">
          <w:rPr>
            <w:noProof/>
          </w:rPr>
          <w:t>185</w:t>
        </w:r>
      </w:fldSimple>
      <w:r>
        <w:t xml:space="preserve">. </w:t>
      </w:r>
      <w:r w:rsidRPr="00CC19F0">
        <w:rPr>
          <w:i/>
        </w:rPr>
        <w:t xml:space="preserve">Sediment grain size composition at </w:t>
      </w:r>
      <w:r w:rsidR="00CC19F0" w:rsidRPr="00CC19F0">
        <w:rPr>
          <w:i/>
        </w:rPr>
        <w:t xml:space="preserve">reef habitat </w:t>
      </w:r>
      <w:r w:rsidR="00CC19F0">
        <w:rPr>
          <w:i/>
        </w:rPr>
        <w:t>monitoring sites</w:t>
      </w:r>
      <w:r w:rsidRPr="00CC19F0">
        <w:rPr>
          <w:i/>
        </w:rPr>
        <w:t xml:space="preserve"> in the Cape York region</w:t>
      </w:r>
      <w:r w:rsidR="00CC19F0">
        <w:rPr>
          <w:i/>
        </w:rPr>
        <w:t>, 2003-2015</w:t>
      </w:r>
      <w:r w:rsidRPr="00CC19F0">
        <w:rPr>
          <w:i/>
        </w:rPr>
        <w:t>.</w:t>
      </w:r>
      <w:bookmarkEnd w:id="1179"/>
    </w:p>
    <w:p w:rsidR="001268E0" w:rsidRDefault="000464BD" w:rsidP="000464BD">
      <w:pPr>
        <w:rPr>
          <w:i/>
        </w:rPr>
      </w:pPr>
      <w:r w:rsidRPr="00CC19F0">
        <w:rPr>
          <w:i/>
        </w:rPr>
        <w:t xml:space="preserve"> Dashed line is the </w:t>
      </w:r>
      <w:r w:rsidR="00CC19F0">
        <w:rPr>
          <w:i/>
        </w:rPr>
        <w:t xml:space="preserve">GBR </w:t>
      </w:r>
      <w:r w:rsidRPr="00CC19F0">
        <w:rPr>
          <w:i/>
        </w:rPr>
        <w:t xml:space="preserve">long-term average </w:t>
      </w:r>
      <w:r w:rsidR="00CC19F0">
        <w:rPr>
          <w:i/>
        </w:rPr>
        <w:t xml:space="preserve">proportion </w:t>
      </w:r>
      <w:r w:rsidRPr="00CC19F0">
        <w:rPr>
          <w:i/>
        </w:rPr>
        <w:t>of mud.</w:t>
      </w:r>
    </w:p>
    <w:p w:rsidR="00497EAB" w:rsidRPr="00CC19F0" w:rsidRDefault="00497EAB" w:rsidP="000464BD">
      <w:pPr>
        <w:rPr>
          <w:i/>
          <w:color w:val="000000"/>
          <w:szCs w:val="22"/>
        </w:rPr>
      </w:pPr>
    </w:p>
    <w:p w:rsidR="001268E0" w:rsidRDefault="001268E0" w:rsidP="000464BD">
      <w:pPr>
        <w:keepNext/>
        <w:widowControl w:val="0"/>
        <w:jc w:val="center"/>
        <w:rPr>
          <w:color w:val="000000"/>
          <w:szCs w:val="22"/>
          <w:lang w:val="en-GB"/>
        </w:rPr>
      </w:pPr>
      <w:r>
        <w:rPr>
          <w:noProof/>
          <w:color w:val="000000"/>
          <w:szCs w:val="22"/>
          <w:lang w:eastAsia="en-AU"/>
        </w:rPr>
        <w:lastRenderedPageBreak/>
        <w:drawing>
          <wp:inline distT="0" distB="0" distL="0" distR="0" wp14:anchorId="55979BCB" wp14:editId="34409EC7">
            <wp:extent cx="4320000" cy="5104800"/>
            <wp:effectExtent l="0" t="0" r="4445" b="635"/>
            <wp:docPr id="103" name="Picture 103" descr="Set of bar graphs showing sediment grain size composition at coastal habitat monitoring sites in the Cape York region each monitoring event from 2013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sediment_coast_2015.png"/>
                    <pic:cNvPicPr/>
                  </pic:nvPicPr>
                  <pic:blipFill>
                    <a:blip r:embed="rId282" cstate="print">
                      <a:extLst>
                        <a:ext uri="{28A0092B-C50C-407E-A947-70E740481C1C}">
                          <a14:useLocalDpi xmlns:a14="http://schemas.microsoft.com/office/drawing/2010/main" val="0"/>
                        </a:ext>
                      </a:extLst>
                    </a:blip>
                    <a:stretch>
                      <a:fillRect/>
                    </a:stretch>
                  </pic:blipFill>
                  <pic:spPr>
                    <a:xfrm>
                      <a:off x="0" y="0"/>
                      <a:ext cx="4320000" cy="5104800"/>
                    </a:xfrm>
                    <a:prstGeom prst="rect">
                      <a:avLst/>
                    </a:prstGeom>
                  </pic:spPr>
                </pic:pic>
              </a:graphicData>
            </a:graphic>
          </wp:inline>
        </w:drawing>
      </w:r>
    </w:p>
    <w:p w:rsidR="00CC19F0" w:rsidRPr="00CC19F0" w:rsidRDefault="000464BD" w:rsidP="00CC19F0">
      <w:pPr>
        <w:rPr>
          <w:i/>
          <w:vanish/>
          <w:specVanish/>
        </w:rPr>
      </w:pPr>
      <w:bookmarkStart w:id="1180" w:name="_Toc462685026"/>
      <w:r>
        <w:t xml:space="preserve">Figure </w:t>
      </w:r>
      <w:fldSimple w:instr=" SEQ Figure \* ARABIC ">
        <w:r w:rsidR="009C068F">
          <w:rPr>
            <w:noProof/>
          </w:rPr>
          <w:t>186</w:t>
        </w:r>
      </w:fldSimple>
      <w:r>
        <w:t xml:space="preserve">. </w:t>
      </w:r>
      <w:r w:rsidR="00CC19F0" w:rsidRPr="00CC19F0">
        <w:rPr>
          <w:i/>
        </w:rPr>
        <w:t xml:space="preserve">Sediment grain size composition at </w:t>
      </w:r>
      <w:r w:rsidR="00CC19F0">
        <w:rPr>
          <w:i/>
        </w:rPr>
        <w:t>coastal</w:t>
      </w:r>
      <w:r w:rsidR="00CC19F0" w:rsidRPr="00CC19F0">
        <w:rPr>
          <w:i/>
        </w:rPr>
        <w:t xml:space="preserve"> habitat </w:t>
      </w:r>
      <w:r w:rsidR="00CC19F0">
        <w:rPr>
          <w:i/>
        </w:rPr>
        <w:t>monitoring sites</w:t>
      </w:r>
      <w:r w:rsidR="00CC19F0" w:rsidRPr="00CC19F0">
        <w:rPr>
          <w:i/>
        </w:rPr>
        <w:t xml:space="preserve"> in the Cape York region</w:t>
      </w:r>
      <w:r w:rsidR="00CC19F0">
        <w:rPr>
          <w:i/>
        </w:rPr>
        <w:t>, 2013-2015</w:t>
      </w:r>
      <w:r w:rsidR="00CC19F0" w:rsidRPr="00CC19F0">
        <w:rPr>
          <w:i/>
        </w:rPr>
        <w:t>.</w:t>
      </w:r>
      <w:bookmarkEnd w:id="1180"/>
    </w:p>
    <w:p w:rsidR="001268E0" w:rsidRDefault="00CC19F0" w:rsidP="00CC19F0">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2E6139">
      <w:pPr>
        <w:rPr>
          <w:color w:val="000000"/>
          <w:szCs w:val="22"/>
          <w:lang w:val="en-GB"/>
        </w:rPr>
      </w:pPr>
    </w:p>
    <w:p w:rsidR="001268E0" w:rsidRDefault="001268E0" w:rsidP="002E6139">
      <w:pPr>
        <w:rPr>
          <w:color w:val="000000"/>
          <w:szCs w:val="22"/>
          <w:lang w:val="en-GB"/>
        </w:rPr>
      </w:pPr>
    </w:p>
    <w:p w:rsidR="001268E0" w:rsidRDefault="001268E0" w:rsidP="002E6139">
      <w:pPr>
        <w:rPr>
          <w:color w:val="000000"/>
          <w:szCs w:val="22"/>
          <w:lang w:val="en-GB"/>
        </w:rPr>
      </w:pPr>
    </w:p>
    <w:p w:rsidR="001268E0" w:rsidRDefault="001268E0" w:rsidP="00CC19F0">
      <w:pPr>
        <w:keepNext/>
        <w:widowControl w:val="0"/>
        <w:spacing w:after="0"/>
        <w:jc w:val="center"/>
        <w:rPr>
          <w:color w:val="000000"/>
          <w:szCs w:val="22"/>
          <w:lang w:val="en-GB"/>
        </w:rPr>
      </w:pPr>
      <w:r>
        <w:rPr>
          <w:noProof/>
          <w:color w:val="000000"/>
          <w:szCs w:val="22"/>
          <w:lang w:eastAsia="en-AU"/>
        </w:rPr>
        <w:lastRenderedPageBreak/>
        <w:drawing>
          <wp:inline distT="0" distB="0" distL="0" distR="0" wp14:anchorId="2E17FE94" wp14:editId="698E35C6">
            <wp:extent cx="4320000" cy="5101200"/>
            <wp:effectExtent l="0" t="0" r="4445" b="4445"/>
            <wp:docPr id="104" name="Picture 104" descr="Set of bar graphs showing sediment grain size composition at coastal habitat monitoring sites in the Wet Tropics region each monitoring event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sediment_coast_2015.png"/>
                    <pic:cNvPicPr/>
                  </pic:nvPicPr>
                  <pic:blipFill>
                    <a:blip r:embed="rId283" cstate="print">
                      <a:extLst>
                        <a:ext uri="{28A0092B-C50C-407E-A947-70E740481C1C}">
                          <a14:useLocalDpi xmlns:a14="http://schemas.microsoft.com/office/drawing/2010/main" val="0"/>
                        </a:ext>
                      </a:extLst>
                    </a:blip>
                    <a:stretch>
                      <a:fillRect/>
                    </a:stretch>
                  </pic:blipFill>
                  <pic:spPr>
                    <a:xfrm>
                      <a:off x="0" y="0"/>
                      <a:ext cx="4320000" cy="5101200"/>
                    </a:xfrm>
                    <a:prstGeom prst="rect">
                      <a:avLst/>
                    </a:prstGeom>
                  </pic:spPr>
                </pic:pic>
              </a:graphicData>
            </a:graphic>
          </wp:inline>
        </w:drawing>
      </w:r>
    </w:p>
    <w:p w:rsidR="00CC19F0" w:rsidRPr="00CC19F0" w:rsidRDefault="00CC19F0" w:rsidP="00CC19F0">
      <w:pPr>
        <w:rPr>
          <w:i/>
          <w:vanish/>
          <w:specVanish/>
        </w:rPr>
      </w:pPr>
      <w:bookmarkStart w:id="1181" w:name="_Toc462685027"/>
      <w:r>
        <w:t xml:space="preserve">Figure </w:t>
      </w:r>
      <w:fldSimple w:instr=" SEQ Figure \* ARABIC ">
        <w:r w:rsidR="009C068F">
          <w:rPr>
            <w:noProof/>
          </w:rPr>
          <w:t>187</w:t>
        </w:r>
      </w:fldSimple>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Wet Tropics</w:t>
      </w:r>
      <w:r w:rsidRPr="00CC19F0">
        <w:rPr>
          <w:i/>
        </w:rPr>
        <w:t xml:space="preserve"> region</w:t>
      </w:r>
      <w:r>
        <w:rPr>
          <w:i/>
        </w:rPr>
        <w:t>, 2001-2015</w:t>
      </w:r>
      <w:r w:rsidRPr="00CC19F0">
        <w:rPr>
          <w:i/>
        </w:rPr>
        <w:t>.</w:t>
      </w:r>
      <w:bookmarkEnd w:id="1181"/>
    </w:p>
    <w:p w:rsidR="001268E0" w:rsidRDefault="00CC19F0" w:rsidP="00CC19F0">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2E6139">
      <w:pPr>
        <w:rPr>
          <w:color w:val="000000"/>
          <w:szCs w:val="22"/>
          <w:lang w:val="en-GB"/>
        </w:rPr>
      </w:pPr>
    </w:p>
    <w:p w:rsidR="001268E0" w:rsidRDefault="001268E0" w:rsidP="00CC19F0">
      <w:pPr>
        <w:keepNext/>
        <w:widowControl w:val="0"/>
        <w:spacing w:after="0"/>
        <w:jc w:val="center"/>
        <w:rPr>
          <w:color w:val="000000"/>
          <w:szCs w:val="22"/>
          <w:lang w:val="en-GB"/>
        </w:rPr>
      </w:pPr>
      <w:r>
        <w:rPr>
          <w:noProof/>
          <w:color w:val="000000"/>
          <w:szCs w:val="22"/>
          <w:lang w:eastAsia="en-AU"/>
        </w:rPr>
        <w:lastRenderedPageBreak/>
        <w:drawing>
          <wp:inline distT="0" distB="0" distL="0" distR="0" wp14:anchorId="0FB1EE1C" wp14:editId="38086158">
            <wp:extent cx="4320000" cy="6271200"/>
            <wp:effectExtent l="0" t="0" r="4445" b="0"/>
            <wp:docPr id="105" name="Picture 105" descr="Set of bar graphs showing sediment grain size composition at intertidal reef habitat monitoring sites in the Wet Tropics region each monitoring event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sediment_reef_2015.png"/>
                    <pic:cNvPicPr/>
                  </pic:nvPicPr>
                  <pic:blipFill>
                    <a:blip r:embed="rId284" cstate="print">
                      <a:extLst>
                        <a:ext uri="{28A0092B-C50C-407E-A947-70E740481C1C}">
                          <a14:useLocalDpi xmlns:a14="http://schemas.microsoft.com/office/drawing/2010/main" val="0"/>
                        </a:ext>
                      </a:extLst>
                    </a:blip>
                    <a:stretch>
                      <a:fillRect/>
                    </a:stretch>
                  </pic:blipFill>
                  <pic:spPr>
                    <a:xfrm>
                      <a:off x="0" y="0"/>
                      <a:ext cx="4320000" cy="6271200"/>
                    </a:xfrm>
                    <a:prstGeom prst="rect">
                      <a:avLst/>
                    </a:prstGeom>
                  </pic:spPr>
                </pic:pic>
              </a:graphicData>
            </a:graphic>
          </wp:inline>
        </w:drawing>
      </w:r>
    </w:p>
    <w:p w:rsidR="00CC19F0" w:rsidRPr="00CC19F0" w:rsidRDefault="00CC19F0" w:rsidP="00CC19F0">
      <w:pPr>
        <w:rPr>
          <w:i/>
          <w:vanish/>
          <w:specVanish/>
        </w:rPr>
      </w:pPr>
      <w:bookmarkStart w:id="1182" w:name="_Toc462685028"/>
      <w:r>
        <w:t xml:space="preserve">Figure </w:t>
      </w:r>
      <w:fldSimple w:instr=" SEQ Figure \* ARABIC ">
        <w:r w:rsidR="009C068F">
          <w:rPr>
            <w:noProof/>
          </w:rPr>
          <w:t>188</w:t>
        </w:r>
      </w:fldSimple>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Wet Tropics</w:t>
      </w:r>
      <w:r w:rsidRPr="00CC19F0">
        <w:rPr>
          <w:i/>
        </w:rPr>
        <w:t xml:space="preserve"> region</w:t>
      </w:r>
      <w:r>
        <w:rPr>
          <w:i/>
        </w:rPr>
        <w:t>, 20</w:t>
      </w:r>
      <w:r w:rsidR="00144F99">
        <w:rPr>
          <w:i/>
        </w:rPr>
        <w:t>01</w:t>
      </w:r>
      <w:r>
        <w:rPr>
          <w:i/>
        </w:rPr>
        <w:t>-2015</w:t>
      </w:r>
      <w:r w:rsidRPr="00CC19F0">
        <w:rPr>
          <w:i/>
        </w:rPr>
        <w:t>.</w:t>
      </w:r>
      <w:bookmarkEnd w:id="1182"/>
    </w:p>
    <w:p w:rsidR="001268E0" w:rsidRDefault="00CC19F0" w:rsidP="00CC19F0">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2E6139">
      <w:pPr>
        <w:rPr>
          <w:color w:val="000000"/>
          <w:szCs w:val="22"/>
          <w:lang w:val="en-GB"/>
        </w:rPr>
      </w:pPr>
    </w:p>
    <w:p w:rsidR="001268E0" w:rsidRDefault="001268E0" w:rsidP="00CC19F0">
      <w:pPr>
        <w:keepNext/>
        <w:widowControl w:val="0"/>
        <w:spacing w:after="0"/>
        <w:jc w:val="center"/>
        <w:rPr>
          <w:color w:val="000000"/>
          <w:szCs w:val="22"/>
          <w:lang w:val="en-GB"/>
        </w:rPr>
      </w:pPr>
      <w:r>
        <w:rPr>
          <w:noProof/>
          <w:color w:val="000000"/>
          <w:szCs w:val="22"/>
          <w:lang w:eastAsia="en-AU"/>
        </w:rPr>
        <w:lastRenderedPageBreak/>
        <w:drawing>
          <wp:inline distT="0" distB="0" distL="0" distR="0" wp14:anchorId="348B3726" wp14:editId="5BCF7FE6">
            <wp:extent cx="3960000" cy="3628800"/>
            <wp:effectExtent l="0" t="0" r="2540" b="0"/>
            <wp:docPr id="106" name="Picture 106" descr="Set of bar graphs showing sediment grain size composition at subtidal reef habitat monitoring sites in the Wet Tropics region each monitoring event from 2008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sediment_subtidal_2015.png"/>
                    <pic:cNvPicPr/>
                  </pic:nvPicPr>
                  <pic:blipFill>
                    <a:blip r:embed="rId285" cstate="print">
                      <a:extLst>
                        <a:ext uri="{28A0092B-C50C-407E-A947-70E740481C1C}">
                          <a14:useLocalDpi xmlns:a14="http://schemas.microsoft.com/office/drawing/2010/main" val="0"/>
                        </a:ext>
                      </a:extLst>
                    </a:blip>
                    <a:stretch>
                      <a:fillRect/>
                    </a:stretch>
                  </pic:blipFill>
                  <pic:spPr>
                    <a:xfrm>
                      <a:off x="0" y="0"/>
                      <a:ext cx="3960000" cy="3628800"/>
                    </a:xfrm>
                    <a:prstGeom prst="rect">
                      <a:avLst/>
                    </a:prstGeom>
                  </pic:spPr>
                </pic:pic>
              </a:graphicData>
            </a:graphic>
          </wp:inline>
        </w:drawing>
      </w:r>
    </w:p>
    <w:p w:rsidR="00CC19F0" w:rsidRPr="00CC19F0" w:rsidRDefault="00CC19F0" w:rsidP="00CC19F0">
      <w:pPr>
        <w:rPr>
          <w:i/>
          <w:vanish/>
          <w:specVanish/>
        </w:rPr>
      </w:pPr>
      <w:bookmarkStart w:id="1183" w:name="_Toc462685029"/>
      <w:r>
        <w:t xml:space="preserve">Figure </w:t>
      </w:r>
      <w:fldSimple w:instr=" SEQ Figure \* ARABIC ">
        <w:r w:rsidR="009C068F">
          <w:rPr>
            <w:noProof/>
          </w:rPr>
          <w:t>189</w:t>
        </w:r>
      </w:fldSimple>
      <w:r>
        <w:t xml:space="preserve">.  </w:t>
      </w:r>
      <w:r w:rsidRPr="00CC19F0">
        <w:rPr>
          <w:i/>
        </w:rPr>
        <w:t xml:space="preserve">Sediment grain size composition at </w:t>
      </w:r>
      <w:r>
        <w:rPr>
          <w:i/>
        </w:rPr>
        <w:t>subtidal reef</w:t>
      </w:r>
      <w:r w:rsidRPr="00CC19F0">
        <w:rPr>
          <w:i/>
        </w:rPr>
        <w:t xml:space="preserve"> habitat </w:t>
      </w:r>
      <w:r>
        <w:rPr>
          <w:i/>
        </w:rPr>
        <w:t>monitoring sites</w:t>
      </w:r>
      <w:r w:rsidRPr="00CC19F0">
        <w:rPr>
          <w:i/>
        </w:rPr>
        <w:t xml:space="preserve"> in the </w:t>
      </w:r>
      <w:r>
        <w:rPr>
          <w:i/>
        </w:rPr>
        <w:t>Wet Tropics</w:t>
      </w:r>
      <w:r w:rsidRPr="00CC19F0">
        <w:rPr>
          <w:i/>
        </w:rPr>
        <w:t xml:space="preserve"> region</w:t>
      </w:r>
      <w:r>
        <w:rPr>
          <w:i/>
        </w:rPr>
        <w:t>, 20</w:t>
      </w:r>
      <w:r w:rsidR="00144F99">
        <w:rPr>
          <w:i/>
        </w:rPr>
        <w:t>08-</w:t>
      </w:r>
      <w:r>
        <w:rPr>
          <w:i/>
        </w:rPr>
        <w:t>2015</w:t>
      </w:r>
      <w:r w:rsidRPr="00CC19F0">
        <w:rPr>
          <w:i/>
        </w:rPr>
        <w:t>.</w:t>
      </w:r>
      <w:bookmarkEnd w:id="1183"/>
    </w:p>
    <w:p w:rsidR="001268E0" w:rsidRDefault="00CC19F0" w:rsidP="00CC19F0">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2E6139">
      <w:pPr>
        <w:rPr>
          <w:color w:val="000000"/>
          <w:szCs w:val="22"/>
          <w:lang w:val="en-GB"/>
        </w:rPr>
      </w:pPr>
    </w:p>
    <w:p w:rsidR="001268E0" w:rsidRDefault="001268E0" w:rsidP="00985543">
      <w:pPr>
        <w:keepNext/>
        <w:widowControl w:val="0"/>
        <w:spacing w:after="0"/>
        <w:jc w:val="center"/>
        <w:rPr>
          <w:color w:val="000000"/>
          <w:szCs w:val="22"/>
          <w:lang w:val="en-GB"/>
        </w:rPr>
      </w:pPr>
      <w:r>
        <w:rPr>
          <w:noProof/>
          <w:color w:val="000000"/>
          <w:szCs w:val="22"/>
          <w:lang w:eastAsia="en-AU"/>
        </w:rPr>
        <w:lastRenderedPageBreak/>
        <w:drawing>
          <wp:inline distT="0" distB="0" distL="0" distR="0" wp14:anchorId="426A8541" wp14:editId="0B86DB45">
            <wp:extent cx="3960000" cy="4676400"/>
            <wp:effectExtent l="0" t="0" r="2540" b="0"/>
            <wp:docPr id="107" name="Picture 107" descr="Set of bar graphs showing sediment grain size composition at coastal habitat monitoring sites in the Burdekin region each monitoring event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sediment_coast_2015.png"/>
                    <pic:cNvPicPr/>
                  </pic:nvPicPr>
                  <pic:blipFill>
                    <a:blip r:embed="rId286" cstate="print">
                      <a:extLst>
                        <a:ext uri="{28A0092B-C50C-407E-A947-70E740481C1C}">
                          <a14:useLocalDpi xmlns:a14="http://schemas.microsoft.com/office/drawing/2010/main" val="0"/>
                        </a:ext>
                      </a:extLst>
                    </a:blip>
                    <a:stretch>
                      <a:fillRect/>
                    </a:stretch>
                  </pic:blipFill>
                  <pic:spPr>
                    <a:xfrm>
                      <a:off x="0" y="0"/>
                      <a:ext cx="3960000" cy="4676400"/>
                    </a:xfrm>
                    <a:prstGeom prst="rect">
                      <a:avLst/>
                    </a:prstGeom>
                  </pic:spPr>
                </pic:pic>
              </a:graphicData>
            </a:graphic>
          </wp:inline>
        </w:drawing>
      </w:r>
    </w:p>
    <w:p w:rsidR="00985543" w:rsidRPr="00CC19F0" w:rsidRDefault="00985543" w:rsidP="00985543">
      <w:pPr>
        <w:rPr>
          <w:i/>
          <w:vanish/>
          <w:specVanish/>
        </w:rPr>
      </w:pPr>
      <w:bookmarkStart w:id="1184" w:name="_Toc462685030"/>
      <w:r>
        <w:t xml:space="preserve">Figure </w:t>
      </w:r>
      <w:fldSimple w:instr=" SEQ Figure \* ARABIC ">
        <w:r w:rsidR="009C068F">
          <w:rPr>
            <w:noProof/>
          </w:rPr>
          <w:t>190</w:t>
        </w:r>
      </w:fldSimple>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Burdekin</w:t>
      </w:r>
      <w:r w:rsidRPr="00CC19F0">
        <w:rPr>
          <w:i/>
        </w:rPr>
        <w:t xml:space="preserve"> region</w:t>
      </w:r>
      <w:r>
        <w:rPr>
          <w:i/>
        </w:rPr>
        <w:t>, 2001-2015</w:t>
      </w:r>
      <w:r w:rsidRPr="00CC19F0">
        <w:rPr>
          <w:i/>
        </w:rPr>
        <w:t>.</w:t>
      </w:r>
      <w:bookmarkEnd w:id="1184"/>
    </w:p>
    <w:p w:rsidR="001268E0" w:rsidRDefault="00985543" w:rsidP="00985543">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985543">
      <w:pPr>
        <w:keepNext/>
        <w:widowControl w:val="0"/>
        <w:spacing w:after="0"/>
        <w:jc w:val="center"/>
        <w:rPr>
          <w:color w:val="000000"/>
          <w:szCs w:val="22"/>
          <w:lang w:val="en-GB"/>
        </w:rPr>
      </w:pPr>
      <w:r>
        <w:rPr>
          <w:noProof/>
          <w:color w:val="000000"/>
          <w:szCs w:val="22"/>
          <w:lang w:eastAsia="en-AU"/>
        </w:rPr>
        <w:drawing>
          <wp:inline distT="0" distB="0" distL="0" distR="0" wp14:anchorId="4F969293" wp14:editId="5E81E732">
            <wp:extent cx="3960000" cy="2512800"/>
            <wp:effectExtent l="0" t="0" r="2540" b="1905"/>
            <wp:docPr id="108" name="Picture 108" descr="Set of bar graphs showing sediment grain size composition at intertidal reef habitat monitoring sites in the Burdekin region each monitoring event from 2004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sediment_reef_2015.png"/>
                    <pic:cNvPicPr/>
                  </pic:nvPicPr>
                  <pic:blipFill>
                    <a:blip r:embed="rId287" cstate="print">
                      <a:extLst>
                        <a:ext uri="{28A0092B-C50C-407E-A947-70E740481C1C}">
                          <a14:useLocalDpi xmlns:a14="http://schemas.microsoft.com/office/drawing/2010/main" val="0"/>
                        </a:ext>
                      </a:extLst>
                    </a:blip>
                    <a:stretch>
                      <a:fillRect/>
                    </a:stretch>
                  </pic:blipFill>
                  <pic:spPr>
                    <a:xfrm>
                      <a:off x="0" y="0"/>
                      <a:ext cx="3960000" cy="2512800"/>
                    </a:xfrm>
                    <a:prstGeom prst="rect">
                      <a:avLst/>
                    </a:prstGeom>
                  </pic:spPr>
                </pic:pic>
              </a:graphicData>
            </a:graphic>
          </wp:inline>
        </w:drawing>
      </w:r>
    </w:p>
    <w:p w:rsidR="00985543" w:rsidRPr="00CC19F0" w:rsidRDefault="00985543" w:rsidP="00985543">
      <w:pPr>
        <w:rPr>
          <w:i/>
          <w:vanish/>
          <w:specVanish/>
        </w:rPr>
      </w:pPr>
      <w:bookmarkStart w:id="1185" w:name="_Toc462685031"/>
      <w:r>
        <w:t xml:space="preserve">Figure </w:t>
      </w:r>
      <w:fldSimple w:instr=" SEQ Figure \* ARABIC ">
        <w:r w:rsidR="009C068F">
          <w:rPr>
            <w:noProof/>
          </w:rPr>
          <w:t>191</w:t>
        </w:r>
      </w:fldSimple>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Burdekin</w:t>
      </w:r>
      <w:r w:rsidRPr="00CC19F0">
        <w:rPr>
          <w:i/>
        </w:rPr>
        <w:t xml:space="preserve"> region</w:t>
      </w:r>
      <w:r>
        <w:rPr>
          <w:i/>
        </w:rPr>
        <w:t>, 2004-2015</w:t>
      </w:r>
      <w:r w:rsidRPr="00CC19F0">
        <w:rPr>
          <w:i/>
        </w:rPr>
        <w:t>.</w:t>
      </w:r>
      <w:bookmarkEnd w:id="1185"/>
    </w:p>
    <w:p w:rsidR="00985543" w:rsidRDefault="00985543" w:rsidP="00985543">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2E6139">
      <w:pPr>
        <w:rPr>
          <w:color w:val="000000"/>
          <w:szCs w:val="22"/>
          <w:lang w:val="en-GB"/>
        </w:rPr>
      </w:pPr>
    </w:p>
    <w:p w:rsidR="001268E0" w:rsidRDefault="001268E0" w:rsidP="002E6139">
      <w:pPr>
        <w:rPr>
          <w:color w:val="000000"/>
          <w:szCs w:val="22"/>
          <w:lang w:val="en-GB"/>
        </w:rPr>
      </w:pPr>
    </w:p>
    <w:p w:rsidR="001268E0" w:rsidRDefault="001268E0" w:rsidP="002E6139">
      <w:pPr>
        <w:rPr>
          <w:color w:val="000000"/>
          <w:szCs w:val="22"/>
          <w:lang w:val="en-GB"/>
        </w:rPr>
      </w:pPr>
    </w:p>
    <w:p w:rsidR="001268E0" w:rsidRDefault="001268E0" w:rsidP="00985543">
      <w:pPr>
        <w:keepNext/>
        <w:widowControl w:val="0"/>
        <w:spacing w:after="0"/>
        <w:jc w:val="center"/>
        <w:rPr>
          <w:color w:val="000000"/>
          <w:szCs w:val="22"/>
          <w:lang w:val="en-GB"/>
        </w:rPr>
      </w:pPr>
      <w:r>
        <w:rPr>
          <w:noProof/>
          <w:color w:val="000000"/>
          <w:szCs w:val="22"/>
          <w:lang w:eastAsia="en-AU"/>
        </w:rPr>
        <w:drawing>
          <wp:inline distT="0" distB="0" distL="0" distR="0" wp14:anchorId="388F422E" wp14:editId="6AEAB075">
            <wp:extent cx="3960000" cy="1407600"/>
            <wp:effectExtent l="0" t="0" r="2540" b="2540"/>
            <wp:docPr id="109" name="Picture 109" descr="Set of bar graphs showing sediment grain size composition at subtidal reef habitat monitoring sites in the Burdekin region each monitoring event from 2010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sediment_subtidal_2015.png"/>
                    <pic:cNvPicPr/>
                  </pic:nvPicPr>
                  <pic:blipFill>
                    <a:blip r:embed="rId288" cstate="print">
                      <a:extLst>
                        <a:ext uri="{28A0092B-C50C-407E-A947-70E740481C1C}">
                          <a14:useLocalDpi xmlns:a14="http://schemas.microsoft.com/office/drawing/2010/main" val="0"/>
                        </a:ext>
                      </a:extLst>
                    </a:blip>
                    <a:stretch>
                      <a:fillRect/>
                    </a:stretch>
                  </pic:blipFill>
                  <pic:spPr>
                    <a:xfrm>
                      <a:off x="0" y="0"/>
                      <a:ext cx="3960000" cy="1407600"/>
                    </a:xfrm>
                    <a:prstGeom prst="rect">
                      <a:avLst/>
                    </a:prstGeom>
                  </pic:spPr>
                </pic:pic>
              </a:graphicData>
            </a:graphic>
          </wp:inline>
        </w:drawing>
      </w:r>
    </w:p>
    <w:p w:rsidR="00985543" w:rsidRPr="00CC19F0" w:rsidRDefault="00985543" w:rsidP="00985543">
      <w:pPr>
        <w:rPr>
          <w:i/>
          <w:vanish/>
          <w:specVanish/>
        </w:rPr>
      </w:pPr>
      <w:bookmarkStart w:id="1186" w:name="_Toc462685032"/>
      <w:r>
        <w:t xml:space="preserve">Figure </w:t>
      </w:r>
      <w:fldSimple w:instr=" SEQ Figure \* ARABIC ">
        <w:r w:rsidR="009C068F">
          <w:rPr>
            <w:noProof/>
          </w:rPr>
          <w:t>192</w:t>
        </w:r>
      </w:fldSimple>
      <w:r>
        <w:t xml:space="preserve">.  </w:t>
      </w:r>
      <w:r w:rsidRPr="00CC19F0">
        <w:rPr>
          <w:i/>
        </w:rPr>
        <w:t xml:space="preserve">Sediment grain size composition at </w:t>
      </w:r>
      <w:r>
        <w:rPr>
          <w:i/>
        </w:rPr>
        <w:t>subtidal reef</w:t>
      </w:r>
      <w:r w:rsidRPr="00CC19F0">
        <w:rPr>
          <w:i/>
        </w:rPr>
        <w:t xml:space="preserve"> habitat </w:t>
      </w:r>
      <w:r>
        <w:rPr>
          <w:i/>
        </w:rPr>
        <w:t>monitoring sites</w:t>
      </w:r>
      <w:r w:rsidRPr="00CC19F0">
        <w:rPr>
          <w:i/>
        </w:rPr>
        <w:t xml:space="preserve"> in the </w:t>
      </w:r>
      <w:r>
        <w:rPr>
          <w:i/>
        </w:rPr>
        <w:t>Burdekin</w:t>
      </w:r>
      <w:r w:rsidRPr="00CC19F0">
        <w:rPr>
          <w:i/>
        </w:rPr>
        <w:t xml:space="preserve"> region</w:t>
      </w:r>
      <w:r>
        <w:rPr>
          <w:i/>
        </w:rPr>
        <w:t>, 2010-2015</w:t>
      </w:r>
      <w:r w:rsidRPr="00CC19F0">
        <w:rPr>
          <w:i/>
        </w:rPr>
        <w:t>.</w:t>
      </w:r>
      <w:bookmarkEnd w:id="1186"/>
    </w:p>
    <w:p w:rsidR="001268E0" w:rsidRDefault="00985543" w:rsidP="00985543">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985543" w:rsidRDefault="00985543" w:rsidP="002E6139">
      <w:pPr>
        <w:rPr>
          <w:color w:val="000000"/>
          <w:szCs w:val="22"/>
          <w:lang w:val="en-GB"/>
        </w:rPr>
      </w:pPr>
    </w:p>
    <w:p w:rsidR="001268E0" w:rsidRDefault="001268E0" w:rsidP="00985543">
      <w:pPr>
        <w:keepNext/>
        <w:widowControl w:val="0"/>
        <w:spacing w:after="0"/>
        <w:jc w:val="center"/>
        <w:rPr>
          <w:color w:val="000000"/>
          <w:szCs w:val="22"/>
          <w:lang w:val="en-GB"/>
        </w:rPr>
      </w:pPr>
      <w:r>
        <w:rPr>
          <w:noProof/>
          <w:color w:val="000000"/>
          <w:szCs w:val="22"/>
          <w:lang w:eastAsia="en-AU"/>
        </w:rPr>
        <w:drawing>
          <wp:inline distT="0" distB="0" distL="0" distR="0" wp14:anchorId="488058DD" wp14:editId="7EDDE089">
            <wp:extent cx="3960000" cy="2512800"/>
            <wp:effectExtent l="0" t="0" r="2540" b="1905"/>
            <wp:docPr id="111" name="Picture 111" descr="Set of bar graphs showing sediment grain size composition at estuary habitat monitoring sites in the Mackay Whitsunday region each monitoring event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sediment_estuary_2015.png"/>
                    <pic:cNvPicPr/>
                  </pic:nvPicPr>
                  <pic:blipFill>
                    <a:blip r:embed="rId289" cstate="print">
                      <a:extLst>
                        <a:ext uri="{28A0092B-C50C-407E-A947-70E740481C1C}">
                          <a14:useLocalDpi xmlns:a14="http://schemas.microsoft.com/office/drawing/2010/main" val="0"/>
                        </a:ext>
                      </a:extLst>
                    </a:blip>
                    <a:stretch>
                      <a:fillRect/>
                    </a:stretch>
                  </pic:blipFill>
                  <pic:spPr>
                    <a:xfrm>
                      <a:off x="0" y="0"/>
                      <a:ext cx="3960000" cy="2512800"/>
                    </a:xfrm>
                    <a:prstGeom prst="rect">
                      <a:avLst/>
                    </a:prstGeom>
                  </pic:spPr>
                </pic:pic>
              </a:graphicData>
            </a:graphic>
          </wp:inline>
        </w:drawing>
      </w:r>
    </w:p>
    <w:p w:rsidR="00985543" w:rsidRPr="00CC19F0" w:rsidRDefault="00985543" w:rsidP="00985543">
      <w:pPr>
        <w:rPr>
          <w:i/>
          <w:vanish/>
          <w:specVanish/>
        </w:rPr>
      </w:pPr>
      <w:bookmarkStart w:id="1187" w:name="_Toc462685033"/>
      <w:r>
        <w:t xml:space="preserve">Figure </w:t>
      </w:r>
      <w:fldSimple w:instr=" SEQ Figure \* ARABIC ">
        <w:r w:rsidR="009C068F">
          <w:rPr>
            <w:noProof/>
          </w:rPr>
          <w:t>193</w:t>
        </w:r>
      </w:fldSimple>
      <w:r>
        <w:t xml:space="preserve">.  </w:t>
      </w:r>
      <w:r w:rsidRPr="00CC19F0">
        <w:rPr>
          <w:i/>
        </w:rPr>
        <w:t xml:space="preserve">Sediment grain size composition at </w:t>
      </w:r>
      <w:r>
        <w:rPr>
          <w:i/>
        </w:rPr>
        <w:t>intertidal estuary</w:t>
      </w:r>
      <w:r w:rsidRPr="00CC19F0">
        <w:rPr>
          <w:i/>
        </w:rPr>
        <w:t xml:space="preserve"> habitat </w:t>
      </w:r>
      <w:r>
        <w:rPr>
          <w:i/>
        </w:rPr>
        <w:t>monitoring sites</w:t>
      </w:r>
      <w:r w:rsidRPr="00CC19F0">
        <w:rPr>
          <w:i/>
        </w:rPr>
        <w:t xml:space="preserve"> in the </w:t>
      </w:r>
      <w:r>
        <w:rPr>
          <w:i/>
        </w:rPr>
        <w:t>Mack</w:t>
      </w:r>
      <w:r w:rsidR="0007459F">
        <w:rPr>
          <w:i/>
        </w:rPr>
        <w:t>ay</w:t>
      </w:r>
      <w:r>
        <w:rPr>
          <w:i/>
        </w:rPr>
        <w:t xml:space="preserve"> Whitsunday</w:t>
      </w:r>
      <w:r w:rsidRPr="00CC19F0">
        <w:rPr>
          <w:i/>
        </w:rPr>
        <w:t xml:space="preserve"> region</w:t>
      </w:r>
      <w:r>
        <w:rPr>
          <w:i/>
        </w:rPr>
        <w:t>, 2005-2015</w:t>
      </w:r>
      <w:r w:rsidRPr="00CC19F0">
        <w:rPr>
          <w:i/>
        </w:rPr>
        <w:t>.</w:t>
      </w:r>
      <w:bookmarkEnd w:id="1187"/>
    </w:p>
    <w:p w:rsidR="001268E0" w:rsidRDefault="00985543" w:rsidP="00985543">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2E6139">
      <w:pPr>
        <w:rPr>
          <w:color w:val="000000"/>
          <w:szCs w:val="22"/>
          <w:lang w:val="en-GB"/>
        </w:rPr>
      </w:pPr>
    </w:p>
    <w:p w:rsidR="001268E0" w:rsidRDefault="001268E0" w:rsidP="002E6139">
      <w:pPr>
        <w:rPr>
          <w:color w:val="000000"/>
          <w:szCs w:val="22"/>
          <w:lang w:val="en-GB"/>
        </w:rPr>
      </w:pPr>
    </w:p>
    <w:p w:rsidR="001268E0" w:rsidRDefault="001268E0" w:rsidP="0007459F">
      <w:pPr>
        <w:keepNext/>
        <w:widowControl w:val="0"/>
        <w:spacing w:after="0"/>
        <w:jc w:val="center"/>
        <w:rPr>
          <w:color w:val="000000"/>
          <w:szCs w:val="22"/>
          <w:lang w:val="en-GB"/>
        </w:rPr>
      </w:pPr>
      <w:r>
        <w:rPr>
          <w:noProof/>
          <w:color w:val="000000"/>
          <w:szCs w:val="22"/>
          <w:lang w:eastAsia="en-AU"/>
        </w:rPr>
        <w:lastRenderedPageBreak/>
        <w:drawing>
          <wp:inline distT="0" distB="0" distL="0" distR="0" wp14:anchorId="20FBE833" wp14:editId="7B07ACE3">
            <wp:extent cx="3960000" cy="4676400"/>
            <wp:effectExtent l="0" t="0" r="2540" b="0"/>
            <wp:docPr id="110" name="Picture 110" descr="Set of bar graphs showing sediment grain size composition at coastal habitat monitoring sites in the Mackay Whitsunday region each monitoring event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sediment_coast_2015.png"/>
                    <pic:cNvPicPr/>
                  </pic:nvPicPr>
                  <pic:blipFill>
                    <a:blip r:embed="rId290" cstate="print">
                      <a:extLst>
                        <a:ext uri="{28A0092B-C50C-407E-A947-70E740481C1C}">
                          <a14:useLocalDpi xmlns:a14="http://schemas.microsoft.com/office/drawing/2010/main" val="0"/>
                        </a:ext>
                      </a:extLst>
                    </a:blip>
                    <a:stretch>
                      <a:fillRect/>
                    </a:stretch>
                  </pic:blipFill>
                  <pic:spPr>
                    <a:xfrm>
                      <a:off x="0" y="0"/>
                      <a:ext cx="3960000" cy="4676400"/>
                    </a:xfrm>
                    <a:prstGeom prst="rect">
                      <a:avLst/>
                    </a:prstGeom>
                  </pic:spPr>
                </pic:pic>
              </a:graphicData>
            </a:graphic>
          </wp:inline>
        </w:drawing>
      </w:r>
    </w:p>
    <w:p w:rsidR="0007459F" w:rsidRPr="00CC19F0" w:rsidRDefault="0007459F" w:rsidP="0007459F">
      <w:pPr>
        <w:rPr>
          <w:i/>
          <w:vanish/>
          <w:specVanish/>
        </w:rPr>
      </w:pPr>
      <w:bookmarkStart w:id="1188" w:name="_Toc462685034"/>
      <w:r>
        <w:t xml:space="preserve">Figure </w:t>
      </w:r>
      <w:fldSimple w:instr=" SEQ Figure \* ARABIC ">
        <w:r w:rsidR="009C068F">
          <w:rPr>
            <w:noProof/>
          </w:rPr>
          <w:t>194</w:t>
        </w:r>
      </w:fldSimple>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Mackay Whitsunday</w:t>
      </w:r>
      <w:r w:rsidRPr="00CC19F0">
        <w:rPr>
          <w:i/>
        </w:rPr>
        <w:t xml:space="preserve"> region</w:t>
      </w:r>
      <w:r>
        <w:rPr>
          <w:i/>
        </w:rPr>
        <w:t>, 1999-2015</w:t>
      </w:r>
      <w:r w:rsidRPr="00CC19F0">
        <w:rPr>
          <w:i/>
        </w:rPr>
        <w:t>.</w:t>
      </w:r>
      <w:bookmarkEnd w:id="1188"/>
    </w:p>
    <w:p w:rsidR="0007459F" w:rsidRDefault="0007459F" w:rsidP="0007459F">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07459F">
      <w:pPr>
        <w:keepNext/>
        <w:widowControl w:val="0"/>
        <w:spacing w:after="0"/>
        <w:jc w:val="center"/>
        <w:rPr>
          <w:color w:val="000000"/>
          <w:szCs w:val="22"/>
          <w:lang w:val="en-GB"/>
        </w:rPr>
      </w:pPr>
      <w:r>
        <w:rPr>
          <w:noProof/>
          <w:color w:val="000000"/>
          <w:szCs w:val="22"/>
          <w:lang w:eastAsia="en-AU"/>
        </w:rPr>
        <w:drawing>
          <wp:inline distT="0" distB="0" distL="0" distR="0" wp14:anchorId="708081CA" wp14:editId="0D001002">
            <wp:extent cx="3960000" cy="2512800"/>
            <wp:effectExtent l="0" t="0" r="2540" b="1905"/>
            <wp:docPr id="116" name="Picture 116" descr="Set of bar graphs showing sediment grain size composition at intertidal reef habitat monitoring sites in the Mackay Whitsunday region each monitoring event from 2007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M_sediment_reef_2015.png"/>
                    <pic:cNvPicPr/>
                  </pic:nvPicPr>
                  <pic:blipFill>
                    <a:blip r:embed="rId291" cstate="print">
                      <a:extLst>
                        <a:ext uri="{28A0092B-C50C-407E-A947-70E740481C1C}">
                          <a14:useLocalDpi xmlns:a14="http://schemas.microsoft.com/office/drawing/2010/main" val="0"/>
                        </a:ext>
                      </a:extLst>
                    </a:blip>
                    <a:stretch>
                      <a:fillRect/>
                    </a:stretch>
                  </pic:blipFill>
                  <pic:spPr>
                    <a:xfrm>
                      <a:off x="0" y="0"/>
                      <a:ext cx="3960000" cy="2512800"/>
                    </a:xfrm>
                    <a:prstGeom prst="rect">
                      <a:avLst/>
                    </a:prstGeom>
                  </pic:spPr>
                </pic:pic>
              </a:graphicData>
            </a:graphic>
          </wp:inline>
        </w:drawing>
      </w:r>
    </w:p>
    <w:p w:rsidR="0007459F" w:rsidRPr="00CC19F0" w:rsidRDefault="0007459F" w:rsidP="0007459F">
      <w:pPr>
        <w:rPr>
          <w:i/>
          <w:vanish/>
          <w:specVanish/>
        </w:rPr>
      </w:pPr>
      <w:bookmarkStart w:id="1189" w:name="_Toc462685035"/>
      <w:r>
        <w:t xml:space="preserve">Figure </w:t>
      </w:r>
      <w:fldSimple w:instr=" SEQ Figure \* ARABIC ">
        <w:r w:rsidR="009C068F">
          <w:rPr>
            <w:noProof/>
          </w:rPr>
          <w:t>195</w:t>
        </w:r>
      </w:fldSimple>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Mackay Whitsunday</w:t>
      </w:r>
      <w:r w:rsidRPr="00CC19F0">
        <w:rPr>
          <w:i/>
        </w:rPr>
        <w:t xml:space="preserve"> region</w:t>
      </w:r>
      <w:r>
        <w:rPr>
          <w:i/>
        </w:rPr>
        <w:t>, 2007-2015</w:t>
      </w:r>
      <w:r w:rsidRPr="00CC19F0">
        <w:rPr>
          <w:i/>
        </w:rPr>
        <w:t>.</w:t>
      </w:r>
      <w:bookmarkEnd w:id="1189"/>
    </w:p>
    <w:p w:rsidR="0007459F" w:rsidRDefault="0007459F" w:rsidP="0007459F">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07459F">
      <w:pPr>
        <w:rPr>
          <w:color w:val="000000"/>
          <w:szCs w:val="22"/>
        </w:rPr>
      </w:pPr>
    </w:p>
    <w:p w:rsidR="001268E0" w:rsidRDefault="001268E0" w:rsidP="002E6139">
      <w:pPr>
        <w:rPr>
          <w:color w:val="000000"/>
          <w:szCs w:val="22"/>
          <w:lang w:val="en-GB"/>
        </w:rPr>
      </w:pPr>
    </w:p>
    <w:p w:rsidR="001268E0" w:rsidRDefault="001268E0" w:rsidP="0007459F">
      <w:pPr>
        <w:keepNext/>
        <w:widowControl w:val="0"/>
        <w:spacing w:after="0"/>
        <w:jc w:val="center"/>
        <w:rPr>
          <w:color w:val="000000"/>
          <w:szCs w:val="22"/>
          <w:lang w:val="en-GB"/>
        </w:rPr>
      </w:pPr>
      <w:r>
        <w:rPr>
          <w:noProof/>
          <w:color w:val="000000"/>
          <w:szCs w:val="22"/>
          <w:lang w:eastAsia="en-AU"/>
        </w:rPr>
        <w:lastRenderedPageBreak/>
        <w:drawing>
          <wp:inline distT="0" distB="0" distL="0" distR="0" wp14:anchorId="5672C650" wp14:editId="0C2EBDA3">
            <wp:extent cx="3960000" cy="2512800"/>
            <wp:effectExtent l="0" t="0" r="2540" b="1905"/>
            <wp:docPr id="112" name="Picture 112" descr="Set of bar graphs showing sediment grain size composition at estaury habitat monitoring sites in the Fitzroy region each monitoring event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sediment_estuary_2015.png"/>
                    <pic:cNvPicPr/>
                  </pic:nvPicPr>
                  <pic:blipFill>
                    <a:blip r:embed="rId292" cstate="print">
                      <a:extLst>
                        <a:ext uri="{28A0092B-C50C-407E-A947-70E740481C1C}">
                          <a14:useLocalDpi xmlns:a14="http://schemas.microsoft.com/office/drawing/2010/main" val="0"/>
                        </a:ext>
                      </a:extLst>
                    </a:blip>
                    <a:stretch>
                      <a:fillRect/>
                    </a:stretch>
                  </pic:blipFill>
                  <pic:spPr>
                    <a:xfrm>
                      <a:off x="0" y="0"/>
                      <a:ext cx="3960000" cy="2512800"/>
                    </a:xfrm>
                    <a:prstGeom prst="rect">
                      <a:avLst/>
                    </a:prstGeom>
                  </pic:spPr>
                </pic:pic>
              </a:graphicData>
            </a:graphic>
          </wp:inline>
        </w:drawing>
      </w:r>
    </w:p>
    <w:p w:rsidR="0007459F" w:rsidRPr="00CC19F0" w:rsidRDefault="0007459F" w:rsidP="0007459F">
      <w:pPr>
        <w:rPr>
          <w:i/>
          <w:vanish/>
          <w:specVanish/>
        </w:rPr>
      </w:pPr>
      <w:bookmarkStart w:id="1190" w:name="_Toc462685036"/>
      <w:r>
        <w:t xml:space="preserve">Figure </w:t>
      </w:r>
      <w:fldSimple w:instr=" SEQ Figure \* ARABIC ">
        <w:r w:rsidR="009C068F">
          <w:rPr>
            <w:noProof/>
          </w:rPr>
          <w:t>196</w:t>
        </w:r>
      </w:fldSimple>
      <w:r>
        <w:t xml:space="preserve">.  </w:t>
      </w:r>
      <w:r w:rsidRPr="00CC19F0">
        <w:rPr>
          <w:i/>
        </w:rPr>
        <w:t xml:space="preserve">Sediment grain size composition at </w:t>
      </w:r>
      <w:r>
        <w:rPr>
          <w:i/>
        </w:rPr>
        <w:t>intertidal estuary</w:t>
      </w:r>
      <w:r w:rsidRPr="00CC19F0">
        <w:rPr>
          <w:i/>
        </w:rPr>
        <w:t xml:space="preserve"> habitat </w:t>
      </w:r>
      <w:r>
        <w:rPr>
          <w:i/>
        </w:rPr>
        <w:t>monitoring sites</w:t>
      </w:r>
      <w:r w:rsidRPr="00CC19F0">
        <w:rPr>
          <w:i/>
        </w:rPr>
        <w:t xml:space="preserve"> in the </w:t>
      </w:r>
      <w:r>
        <w:rPr>
          <w:i/>
        </w:rPr>
        <w:t>Fitzroy</w:t>
      </w:r>
      <w:r w:rsidRPr="00CC19F0">
        <w:rPr>
          <w:i/>
        </w:rPr>
        <w:t xml:space="preserve"> region</w:t>
      </w:r>
      <w:r>
        <w:rPr>
          <w:i/>
        </w:rPr>
        <w:t>, 2005-2015</w:t>
      </w:r>
      <w:r w:rsidRPr="00CC19F0">
        <w:rPr>
          <w:i/>
        </w:rPr>
        <w:t>.</w:t>
      </w:r>
      <w:bookmarkEnd w:id="1190"/>
    </w:p>
    <w:p w:rsidR="0007459F" w:rsidRDefault="0007459F" w:rsidP="0007459F">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2E6139">
      <w:pPr>
        <w:rPr>
          <w:color w:val="000000"/>
          <w:szCs w:val="22"/>
          <w:lang w:val="en-GB"/>
        </w:rPr>
      </w:pPr>
    </w:p>
    <w:p w:rsidR="001268E0" w:rsidRDefault="001268E0" w:rsidP="0007459F">
      <w:pPr>
        <w:keepNext/>
        <w:widowControl w:val="0"/>
        <w:spacing w:after="0"/>
        <w:jc w:val="center"/>
        <w:rPr>
          <w:color w:val="000000"/>
          <w:szCs w:val="22"/>
          <w:lang w:val="en-GB"/>
        </w:rPr>
      </w:pPr>
      <w:r>
        <w:rPr>
          <w:noProof/>
          <w:color w:val="000000"/>
          <w:szCs w:val="22"/>
          <w:lang w:eastAsia="en-AU"/>
        </w:rPr>
        <w:drawing>
          <wp:inline distT="0" distB="0" distL="0" distR="0" wp14:anchorId="782DD022" wp14:editId="109691DB">
            <wp:extent cx="3960000" cy="2516400"/>
            <wp:effectExtent l="0" t="0" r="2540" b="0"/>
            <wp:docPr id="113" name="Picture 113" descr="Set of bar graphs showing sediment grain size composition at coastal habitat monitoring sites in the Fitzroy region each monitoring event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sediment_coast_2015.png"/>
                    <pic:cNvPicPr/>
                  </pic:nvPicPr>
                  <pic:blipFill>
                    <a:blip r:embed="rId293" cstate="print">
                      <a:extLst>
                        <a:ext uri="{28A0092B-C50C-407E-A947-70E740481C1C}">
                          <a14:useLocalDpi xmlns:a14="http://schemas.microsoft.com/office/drawing/2010/main" val="0"/>
                        </a:ext>
                      </a:extLst>
                    </a:blip>
                    <a:stretch>
                      <a:fillRect/>
                    </a:stretch>
                  </pic:blipFill>
                  <pic:spPr>
                    <a:xfrm>
                      <a:off x="0" y="0"/>
                      <a:ext cx="3960000" cy="2516400"/>
                    </a:xfrm>
                    <a:prstGeom prst="rect">
                      <a:avLst/>
                    </a:prstGeom>
                  </pic:spPr>
                </pic:pic>
              </a:graphicData>
            </a:graphic>
          </wp:inline>
        </w:drawing>
      </w:r>
    </w:p>
    <w:p w:rsidR="0007459F" w:rsidRPr="00CC19F0" w:rsidRDefault="0007459F" w:rsidP="0007459F">
      <w:pPr>
        <w:rPr>
          <w:i/>
          <w:vanish/>
          <w:specVanish/>
        </w:rPr>
      </w:pPr>
      <w:bookmarkStart w:id="1191" w:name="_Toc462685037"/>
      <w:r>
        <w:t xml:space="preserve">Figure </w:t>
      </w:r>
      <w:fldSimple w:instr=" SEQ Figure \* ARABIC ">
        <w:r w:rsidR="009C068F">
          <w:rPr>
            <w:noProof/>
          </w:rPr>
          <w:t>197</w:t>
        </w:r>
      </w:fldSimple>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Fitzroy</w:t>
      </w:r>
      <w:r w:rsidRPr="00CC19F0">
        <w:rPr>
          <w:i/>
        </w:rPr>
        <w:t xml:space="preserve"> region</w:t>
      </w:r>
      <w:r>
        <w:rPr>
          <w:i/>
        </w:rPr>
        <w:t>, 2005-2015</w:t>
      </w:r>
      <w:r w:rsidRPr="00CC19F0">
        <w:rPr>
          <w:i/>
        </w:rPr>
        <w:t>.</w:t>
      </w:r>
      <w:bookmarkEnd w:id="1191"/>
    </w:p>
    <w:p w:rsidR="001268E0" w:rsidRDefault="0007459F" w:rsidP="0007459F">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2E6139">
      <w:pPr>
        <w:rPr>
          <w:color w:val="000000"/>
          <w:szCs w:val="22"/>
          <w:lang w:val="en-GB"/>
        </w:rPr>
      </w:pPr>
    </w:p>
    <w:p w:rsidR="001268E0" w:rsidRDefault="001268E0" w:rsidP="0007459F">
      <w:pPr>
        <w:keepNext/>
        <w:widowControl w:val="0"/>
        <w:spacing w:after="0"/>
        <w:jc w:val="center"/>
        <w:rPr>
          <w:color w:val="000000"/>
          <w:szCs w:val="22"/>
          <w:lang w:val="en-GB"/>
        </w:rPr>
      </w:pPr>
      <w:r>
        <w:rPr>
          <w:noProof/>
          <w:color w:val="000000"/>
          <w:szCs w:val="22"/>
          <w:lang w:eastAsia="en-AU"/>
        </w:rPr>
        <w:lastRenderedPageBreak/>
        <w:drawing>
          <wp:inline distT="0" distB="0" distL="0" distR="0" wp14:anchorId="7B662871" wp14:editId="192A657F">
            <wp:extent cx="4320000" cy="2739600"/>
            <wp:effectExtent l="0" t="0" r="4445" b="3810"/>
            <wp:docPr id="114" name="Picture 114" descr="Set of bar graphs showing sediment grain size composition at intertidal reef habitat monitoring sites in the Fitzroy region each monitoring event from 2007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sediment_reef_2015.png"/>
                    <pic:cNvPicPr/>
                  </pic:nvPicPr>
                  <pic:blipFill>
                    <a:blip r:embed="rId294" cstate="print">
                      <a:extLst>
                        <a:ext uri="{28A0092B-C50C-407E-A947-70E740481C1C}">
                          <a14:useLocalDpi xmlns:a14="http://schemas.microsoft.com/office/drawing/2010/main" val="0"/>
                        </a:ext>
                      </a:extLst>
                    </a:blip>
                    <a:stretch>
                      <a:fillRect/>
                    </a:stretch>
                  </pic:blipFill>
                  <pic:spPr>
                    <a:xfrm>
                      <a:off x="0" y="0"/>
                      <a:ext cx="4320000" cy="2739600"/>
                    </a:xfrm>
                    <a:prstGeom prst="rect">
                      <a:avLst/>
                    </a:prstGeom>
                  </pic:spPr>
                </pic:pic>
              </a:graphicData>
            </a:graphic>
          </wp:inline>
        </w:drawing>
      </w:r>
    </w:p>
    <w:p w:rsidR="0007459F" w:rsidRPr="00CC19F0" w:rsidRDefault="0007459F" w:rsidP="0007459F">
      <w:pPr>
        <w:rPr>
          <w:i/>
          <w:vanish/>
          <w:specVanish/>
        </w:rPr>
      </w:pPr>
      <w:bookmarkStart w:id="1192" w:name="_Toc462685038"/>
      <w:r>
        <w:t xml:space="preserve">Figure </w:t>
      </w:r>
      <w:fldSimple w:instr=" SEQ Figure \* ARABIC ">
        <w:r w:rsidR="009C068F">
          <w:rPr>
            <w:noProof/>
          </w:rPr>
          <w:t>198</w:t>
        </w:r>
      </w:fldSimple>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Fitzroy</w:t>
      </w:r>
      <w:r w:rsidRPr="00CC19F0">
        <w:rPr>
          <w:i/>
        </w:rPr>
        <w:t xml:space="preserve"> region</w:t>
      </w:r>
      <w:r>
        <w:rPr>
          <w:i/>
        </w:rPr>
        <w:t>, 2007-2015</w:t>
      </w:r>
      <w:r w:rsidRPr="00CC19F0">
        <w:rPr>
          <w:i/>
        </w:rPr>
        <w:t>.</w:t>
      </w:r>
      <w:bookmarkEnd w:id="1192"/>
    </w:p>
    <w:p w:rsidR="001268E0" w:rsidRDefault="0007459F" w:rsidP="0007459F">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1268E0" w:rsidRDefault="001268E0" w:rsidP="0007459F">
      <w:pPr>
        <w:keepNext/>
        <w:widowControl w:val="0"/>
        <w:spacing w:after="0"/>
        <w:jc w:val="center"/>
        <w:rPr>
          <w:color w:val="000000"/>
          <w:szCs w:val="22"/>
          <w:lang w:val="en-GB"/>
        </w:rPr>
      </w:pPr>
      <w:r>
        <w:rPr>
          <w:noProof/>
          <w:color w:val="000000"/>
          <w:szCs w:val="22"/>
          <w:lang w:eastAsia="en-AU"/>
        </w:rPr>
        <w:drawing>
          <wp:inline distT="0" distB="0" distL="0" distR="0" wp14:anchorId="0A848917" wp14:editId="198BE391">
            <wp:extent cx="3960000" cy="4665600"/>
            <wp:effectExtent l="0" t="0" r="2540" b="1905"/>
            <wp:docPr id="115" name="Picture 115" descr="Set of bar graphs showing sediment grain size composition at coastal habitat monitoring sites in the Burnett Mary region each monitoring event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sediment_estuary_2015.png"/>
                    <pic:cNvPicPr/>
                  </pic:nvPicPr>
                  <pic:blipFill>
                    <a:blip r:embed="rId295" cstate="print">
                      <a:extLst>
                        <a:ext uri="{28A0092B-C50C-407E-A947-70E740481C1C}">
                          <a14:useLocalDpi xmlns:a14="http://schemas.microsoft.com/office/drawing/2010/main" val="0"/>
                        </a:ext>
                      </a:extLst>
                    </a:blip>
                    <a:stretch>
                      <a:fillRect/>
                    </a:stretch>
                  </pic:blipFill>
                  <pic:spPr>
                    <a:xfrm>
                      <a:off x="0" y="0"/>
                      <a:ext cx="3960000" cy="4665600"/>
                    </a:xfrm>
                    <a:prstGeom prst="rect">
                      <a:avLst/>
                    </a:prstGeom>
                  </pic:spPr>
                </pic:pic>
              </a:graphicData>
            </a:graphic>
          </wp:inline>
        </w:drawing>
      </w:r>
    </w:p>
    <w:p w:rsidR="0007459F" w:rsidRPr="00CC19F0" w:rsidRDefault="0007459F" w:rsidP="0007459F">
      <w:pPr>
        <w:rPr>
          <w:i/>
          <w:vanish/>
          <w:specVanish/>
        </w:rPr>
      </w:pPr>
      <w:bookmarkStart w:id="1193" w:name="_Ref461779411"/>
      <w:bookmarkStart w:id="1194" w:name="_Toc462685039"/>
      <w:r>
        <w:t xml:space="preserve">Figure </w:t>
      </w:r>
      <w:fldSimple w:instr=" SEQ Figure \* ARABIC ">
        <w:r w:rsidR="009C068F">
          <w:rPr>
            <w:noProof/>
          </w:rPr>
          <w:t>199</w:t>
        </w:r>
      </w:fldSimple>
      <w:bookmarkEnd w:id="1193"/>
      <w:r>
        <w:t xml:space="preserve">.  </w:t>
      </w:r>
      <w:r w:rsidRPr="00CC19F0">
        <w:rPr>
          <w:i/>
        </w:rPr>
        <w:t xml:space="preserve">Sediment grain size composition at </w:t>
      </w:r>
      <w:r>
        <w:rPr>
          <w:i/>
        </w:rPr>
        <w:t>intertidal estuary</w:t>
      </w:r>
      <w:r w:rsidRPr="00CC19F0">
        <w:rPr>
          <w:i/>
        </w:rPr>
        <w:t xml:space="preserve"> habitat </w:t>
      </w:r>
      <w:r>
        <w:rPr>
          <w:i/>
        </w:rPr>
        <w:t>monitoring sites</w:t>
      </w:r>
      <w:r w:rsidRPr="00CC19F0">
        <w:rPr>
          <w:i/>
        </w:rPr>
        <w:t xml:space="preserve"> in the </w:t>
      </w:r>
      <w:r>
        <w:rPr>
          <w:i/>
        </w:rPr>
        <w:t>Burnett Mary</w:t>
      </w:r>
      <w:r w:rsidRPr="00CC19F0">
        <w:rPr>
          <w:i/>
        </w:rPr>
        <w:t xml:space="preserve"> region</w:t>
      </w:r>
      <w:r>
        <w:rPr>
          <w:i/>
        </w:rPr>
        <w:t>, 1999-2015</w:t>
      </w:r>
      <w:r w:rsidRPr="00CC19F0">
        <w:rPr>
          <w:i/>
        </w:rPr>
        <w:t>.</w:t>
      </w:r>
      <w:bookmarkEnd w:id="1194"/>
    </w:p>
    <w:p w:rsidR="0007459F" w:rsidRDefault="0007459F" w:rsidP="0007459F">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rsidR="00C54DD1" w:rsidRDefault="00C54DD1">
      <w:pPr>
        <w:spacing w:before="0" w:after="0"/>
        <w:rPr>
          <w:color w:val="000000"/>
          <w:szCs w:val="22"/>
        </w:rPr>
      </w:pPr>
      <w:r>
        <w:rPr>
          <w:color w:val="000000"/>
          <w:szCs w:val="22"/>
        </w:rPr>
        <w:br w:type="page"/>
      </w:r>
    </w:p>
    <w:p w:rsidR="00D93689" w:rsidRPr="00F12624" w:rsidRDefault="00D93689" w:rsidP="00D93689">
      <w:pPr>
        <w:pStyle w:val="Heading2"/>
      </w:pPr>
      <w:bookmarkStart w:id="1195" w:name="_Toc462047407"/>
      <w:r>
        <w:lastRenderedPageBreak/>
        <w:t xml:space="preserve">Seagrass </w:t>
      </w:r>
      <w:r w:rsidR="00E150BC">
        <w:t xml:space="preserve">community and </w:t>
      </w:r>
      <w:r>
        <w:t>environment</w:t>
      </w:r>
      <w:bookmarkEnd w:id="1195"/>
    </w:p>
    <w:p w:rsidR="00D93689" w:rsidRPr="00F12624" w:rsidRDefault="00D93689" w:rsidP="00D93689">
      <w:pPr>
        <w:pStyle w:val="Heading3"/>
        <w:keepNext w:val="0"/>
        <w:widowControl w:val="0"/>
        <w:rPr>
          <w:rFonts w:asciiTheme="minorHAnsi" w:hAnsiTheme="minorHAnsi"/>
          <w:sz w:val="24"/>
          <w:szCs w:val="24"/>
        </w:rPr>
      </w:pPr>
      <w:bookmarkStart w:id="1196" w:name="_Toc462047408"/>
      <w:r>
        <w:rPr>
          <w:rFonts w:asciiTheme="minorHAnsi" w:hAnsiTheme="minorHAnsi"/>
          <w:sz w:val="24"/>
          <w:szCs w:val="24"/>
        </w:rPr>
        <w:t xml:space="preserve">Epiphytes and </w:t>
      </w:r>
      <w:proofErr w:type="spellStart"/>
      <w:r>
        <w:rPr>
          <w:rFonts w:asciiTheme="minorHAnsi" w:hAnsiTheme="minorHAnsi"/>
          <w:sz w:val="24"/>
          <w:szCs w:val="24"/>
        </w:rPr>
        <w:t>macroalgae</w:t>
      </w:r>
      <w:bookmarkEnd w:id="1196"/>
      <w:proofErr w:type="spellEnd"/>
    </w:p>
    <w:p w:rsidR="00625C14" w:rsidRPr="004F234C" w:rsidRDefault="00625C14" w:rsidP="00625C14">
      <w:pPr>
        <w:keepNext/>
        <w:jc w:val="center"/>
      </w:pPr>
      <w:r>
        <w:rPr>
          <w:noProof/>
          <w:lang w:eastAsia="en-AU"/>
        </w:rPr>
        <w:drawing>
          <wp:inline distT="0" distB="0" distL="0" distR="0" wp14:anchorId="427904B8" wp14:editId="37B6EE19">
            <wp:extent cx="3600000" cy="2584800"/>
            <wp:effectExtent l="0" t="0" r="635" b="6350"/>
            <wp:docPr id="63" name="Picture 63" descr="Set of line graphs showing long-term trend in mean abundance of epiphytes and macroalgae at intertidal coastal habitats in the Cape York NRM region from 2012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epi_coast_15.png"/>
                    <pic:cNvPicPr/>
                  </pic:nvPicPr>
                  <pic:blipFill>
                    <a:blip r:embed="rId296" cstate="print">
                      <a:extLst>
                        <a:ext uri="{28A0092B-C50C-407E-A947-70E740481C1C}">
                          <a14:useLocalDpi xmlns:a14="http://schemas.microsoft.com/office/drawing/2010/main" val="0"/>
                        </a:ext>
                      </a:extLst>
                    </a:blip>
                    <a:stretch>
                      <a:fillRect/>
                    </a:stretch>
                  </pic:blipFill>
                  <pic:spPr>
                    <a:xfrm>
                      <a:off x="0" y="0"/>
                      <a:ext cx="3600000" cy="2584800"/>
                    </a:xfrm>
                    <a:prstGeom prst="rect">
                      <a:avLst/>
                    </a:prstGeom>
                  </pic:spPr>
                </pic:pic>
              </a:graphicData>
            </a:graphic>
          </wp:inline>
        </w:drawing>
      </w:r>
    </w:p>
    <w:p w:rsidR="00625C14" w:rsidRPr="002E6AD0" w:rsidRDefault="00625C14" w:rsidP="00625C14">
      <w:pPr>
        <w:rPr>
          <w:i/>
          <w:vanish/>
          <w:specVanish/>
        </w:rPr>
      </w:pPr>
      <w:bookmarkStart w:id="1197" w:name="_Ref410207162"/>
      <w:bookmarkStart w:id="1198" w:name="_Toc431493941"/>
      <w:bookmarkStart w:id="1199" w:name="_Toc462685040"/>
      <w:r>
        <w:t xml:space="preserve">Figure </w:t>
      </w:r>
      <w:fldSimple w:instr=" SEQ Figure \* ARABIC ">
        <w:r w:rsidR="009C068F">
          <w:rPr>
            <w:noProof/>
          </w:rPr>
          <w:t>200</w:t>
        </w:r>
      </w:fldSimple>
      <w:bookmarkEnd w:id="1197"/>
      <w:r>
        <w:t xml:space="preserve">. </w:t>
      </w:r>
      <w:r w:rsidRPr="002E6AD0">
        <w:rPr>
          <w:i/>
        </w:rPr>
        <w:t xml:space="preserve">Long-term trend in mean abundance (% cover) (± Standard Error) of epiphytes and </w:t>
      </w:r>
      <w:proofErr w:type="spellStart"/>
      <w:r w:rsidRPr="002E6AD0">
        <w:rPr>
          <w:i/>
        </w:rPr>
        <w:t>macroalgae</w:t>
      </w:r>
      <w:proofErr w:type="spellEnd"/>
      <w:r w:rsidRPr="002E6AD0">
        <w:rPr>
          <w:i/>
        </w:rPr>
        <w:t xml:space="preserve"> at intertidal coastal habitats (sites pooled), </w:t>
      </w:r>
      <w:smartTag w:uri="urn:schemas-microsoft-com:office:smarttags" w:element="place">
        <w:r w:rsidRPr="002E6AD0">
          <w:rPr>
            <w:i/>
          </w:rPr>
          <w:t>Cape York</w:t>
        </w:r>
      </w:smartTag>
      <w:r w:rsidRPr="002E6AD0">
        <w:rPr>
          <w:i/>
        </w:rPr>
        <w:t xml:space="preserve"> NRM region</w:t>
      </w:r>
      <w:bookmarkEnd w:id="1198"/>
      <w:bookmarkEnd w:id="1199"/>
    </w:p>
    <w:p w:rsidR="00625C14" w:rsidRDefault="00625C14" w:rsidP="00625C14">
      <w:r w:rsidRPr="002E6AD0">
        <w:rPr>
          <w:i/>
        </w:rPr>
        <w:t xml:space="preserve">.  Red line = GBR long-term average; epiphytes=15.0%, </w:t>
      </w:r>
      <w:proofErr w:type="spellStart"/>
      <w:r w:rsidRPr="002E6AD0">
        <w:rPr>
          <w:i/>
        </w:rPr>
        <w:t>macroalgae</w:t>
      </w:r>
      <w:proofErr w:type="spellEnd"/>
      <w:r w:rsidRPr="002E6AD0">
        <w:rPr>
          <w:i/>
        </w:rPr>
        <w:t>=3.2%.</w:t>
      </w:r>
      <w:r>
        <w:t xml:space="preserve"> </w:t>
      </w:r>
    </w:p>
    <w:p w:rsidR="00D93689" w:rsidRPr="002E6AD0" w:rsidRDefault="00D93689" w:rsidP="00625C14">
      <w:pPr>
        <w:rPr>
          <w:lang w:val="en-GB"/>
        </w:rPr>
      </w:pPr>
    </w:p>
    <w:p w:rsidR="00625C14" w:rsidRPr="004F234C" w:rsidRDefault="00625C14" w:rsidP="00625C14">
      <w:pPr>
        <w:keepNext/>
        <w:jc w:val="center"/>
        <w:rPr>
          <w:szCs w:val="22"/>
        </w:rPr>
      </w:pPr>
      <w:r>
        <w:rPr>
          <w:noProof/>
          <w:szCs w:val="22"/>
          <w:lang w:eastAsia="en-AU"/>
        </w:rPr>
        <w:drawing>
          <wp:inline distT="0" distB="0" distL="0" distR="0" wp14:anchorId="7FD8F418" wp14:editId="411933B5">
            <wp:extent cx="3600000" cy="3819600"/>
            <wp:effectExtent l="0" t="0" r="635" b="0"/>
            <wp:docPr id="64" name="Picture 64" descr="Set of line graphs showing long-term trend in mean abundance of epiphytes and macroalgae at intertidal reef habitats in the Cape York NRM region from 2002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epi_reef_15.png"/>
                    <pic:cNvPicPr/>
                  </pic:nvPicPr>
                  <pic:blipFill>
                    <a:blip r:embed="rId297" cstate="print">
                      <a:extLst>
                        <a:ext uri="{28A0092B-C50C-407E-A947-70E740481C1C}">
                          <a14:useLocalDpi xmlns:a14="http://schemas.microsoft.com/office/drawing/2010/main" val="0"/>
                        </a:ext>
                      </a:extLst>
                    </a:blip>
                    <a:stretch>
                      <a:fillRect/>
                    </a:stretch>
                  </pic:blipFill>
                  <pic:spPr>
                    <a:xfrm>
                      <a:off x="0" y="0"/>
                      <a:ext cx="3600000" cy="3819600"/>
                    </a:xfrm>
                    <a:prstGeom prst="rect">
                      <a:avLst/>
                    </a:prstGeom>
                  </pic:spPr>
                </pic:pic>
              </a:graphicData>
            </a:graphic>
          </wp:inline>
        </w:drawing>
      </w:r>
    </w:p>
    <w:p w:rsidR="00625C14" w:rsidRPr="00A93D8C" w:rsidRDefault="00625C14" w:rsidP="00625C14">
      <w:pPr>
        <w:rPr>
          <w:i/>
          <w:vanish/>
          <w:specVanish/>
        </w:rPr>
      </w:pPr>
      <w:bookmarkStart w:id="1200" w:name="_Ref382147489"/>
      <w:bookmarkStart w:id="1201" w:name="_Toc431493942"/>
      <w:bookmarkStart w:id="1202" w:name="_Toc462685041"/>
      <w:r w:rsidRPr="00C86706">
        <w:t xml:space="preserve">Figure </w:t>
      </w:r>
      <w:fldSimple w:instr=" SEQ Figure \* ARABIC ">
        <w:r w:rsidR="009C068F">
          <w:rPr>
            <w:noProof/>
          </w:rPr>
          <w:t>201</w:t>
        </w:r>
      </w:fldSimple>
      <w:bookmarkEnd w:id="1200"/>
      <w:r w:rsidRPr="00C86706">
        <w:t xml:space="preserve">. </w:t>
      </w:r>
      <w:r w:rsidRPr="00A93D8C">
        <w:rPr>
          <w:i/>
        </w:rPr>
        <w:t xml:space="preserve">Long-term trend in mean abundance (% cover) (± Standard Error) of epiphytes and </w:t>
      </w:r>
      <w:proofErr w:type="spellStart"/>
      <w:r w:rsidRPr="00A93D8C">
        <w:rPr>
          <w:i/>
        </w:rPr>
        <w:t>macroalgae</w:t>
      </w:r>
      <w:proofErr w:type="spellEnd"/>
      <w:r w:rsidRPr="00A93D8C">
        <w:rPr>
          <w:i/>
        </w:rPr>
        <w:t xml:space="preserve"> at intertidal reef habitats (sites pooled), </w:t>
      </w:r>
      <w:smartTag w:uri="urn:schemas-microsoft-com:office:smarttags" w:element="place">
        <w:r w:rsidRPr="00A93D8C">
          <w:rPr>
            <w:i/>
          </w:rPr>
          <w:t>Cape York</w:t>
        </w:r>
      </w:smartTag>
      <w:r w:rsidRPr="00A93D8C">
        <w:rPr>
          <w:i/>
        </w:rPr>
        <w:t xml:space="preserve"> NRM region</w:t>
      </w:r>
      <w:bookmarkEnd w:id="1201"/>
      <w:bookmarkEnd w:id="1202"/>
    </w:p>
    <w:p w:rsidR="00625C14" w:rsidRPr="00A93D8C" w:rsidRDefault="00625C14" w:rsidP="00625C14">
      <w:r w:rsidRPr="00A93D8C">
        <w:rPr>
          <w:i/>
        </w:rPr>
        <w:t xml:space="preserve">.  Red line = GBR long-term average; epiphytes=20.2%, </w:t>
      </w:r>
      <w:proofErr w:type="spellStart"/>
      <w:r w:rsidRPr="00A93D8C">
        <w:rPr>
          <w:i/>
        </w:rPr>
        <w:t>macroalgae</w:t>
      </w:r>
      <w:proofErr w:type="spellEnd"/>
      <w:r w:rsidRPr="00A93D8C">
        <w:rPr>
          <w:i/>
        </w:rPr>
        <w:t xml:space="preserve">=6.1%. </w:t>
      </w:r>
      <w:r>
        <w:t xml:space="preserve"> </w:t>
      </w:r>
    </w:p>
    <w:p w:rsidR="00625C14" w:rsidRPr="00C86706" w:rsidRDefault="00625C14" w:rsidP="00625C14">
      <w:pPr>
        <w:keepNext/>
        <w:spacing w:before="0"/>
        <w:jc w:val="center"/>
        <w:rPr>
          <w:color w:val="000000"/>
        </w:rPr>
      </w:pPr>
      <w:r>
        <w:rPr>
          <w:noProof/>
          <w:color w:val="000000"/>
          <w:lang w:eastAsia="en-AU"/>
        </w:rPr>
        <w:lastRenderedPageBreak/>
        <w:drawing>
          <wp:inline distT="0" distB="0" distL="0" distR="0" wp14:anchorId="7EE16B4F" wp14:editId="28DEBD9F">
            <wp:extent cx="3960000" cy="4258800"/>
            <wp:effectExtent l="0" t="0" r="2540" b="8890"/>
            <wp:docPr id="66" name="Picture 66" descr="Set of line graphs showing long-term trend in mean abundance of epiphytes and macroalgae at intertidal reef habitats in the Wet Tropics NRM region from 2004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epi_reef_15.png"/>
                    <pic:cNvPicPr/>
                  </pic:nvPicPr>
                  <pic:blipFill>
                    <a:blip r:embed="rId298" cstate="print">
                      <a:extLst>
                        <a:ext uri="{28A0092B-C50C-407E-A947-70E740481C1C}">
                          <a14:useLocalDpi xmlns:a14="http://schemas.microsoft.com/office/drawing/2010/main" val="0"/>
                        </a:ext>
                      </a:extLst>
                    </a:blip>
                    <a:stretch>
                      <a:fillRect/>
                    </a:stretch>
                  </pic:blipFill>
                  <pic:spPr>
                    <a:xfrm>
                      <a:off x="0" y="0"/>
                      <a:ext cx="3960000" cy="4258800"/>
                    </a:xfrm>
                    <a:prstGeom prst="rect">
                      <a:avLst/>
                    </a:prstGeom>
                  </pic:spPr>
                </pic:pic>
              </a:graphicData>
            </a:graphic>
          </wp:inline>
        </w:drawing>
      </w:r>
    </w:p>
    <w:p w:rsidR="00625C14" w:rsidRPr="00A93D8C" w:rsidRDefault="00625C14" w:rsidP="00625C14">
      <w:pPr>
        <w:rPr>
          <w:i/>
          <w:vanish/>
          <w:specVanish/>
        </w:rPr>
      </w:pPr>
      <w:bookmarkStart w:id="1203" w:name="_Ref211846521"/>
      <w:bookmarkStart w:id="1204" w:name="_Toc431493943"/>
      <w:bookmarkStart w:id="1205" w:name="_Toc462685042"/>
      <w:bookmarkStart w:id="1206" w:name="_Toc232845975"/>
      <w:bookmarkStart w:id="1207" w:name="_Toc354915854"/>
      <w:r w:rsidRPr="00F65CF3">
        <w:t xml:space="preserve">Figure </w:t>
      </w:r>
      <w:fldSimple w:instr=" SEQ Figure \* ARABIC ">
        <w:r w:rsidR="009C068F">
          <w:rPr>
            <w:noProof/>
          </w:rPr>
          <w:t>202</w:t>
        </w:r>
      </w:fldSimple>
      <w:bookmarkEnd w:id="1203"/>
      <w:r w:rsidRPr="00F65CF3">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intertidal reef seagrass monitoring locations (sites pooled) in the Wet Tropics NRM region</w:t>
      </w:r>
      <w:bookmarkEnd w:id="1204"/>
      <w:bookmarkEnd w:id="1205"/>
    </w:p>
    <w:p w:rsidR="00625C14" w:rsidRPr="00F65CF3" w:rsidRDefault="00625C14" w:rsidP="00625C14">
      <w:pPr>
        <w:rPr>
          <w:color w:val="000000"/>
          <w:szCs w:val="22"/>
        </w:rPr>
      </w:pPr>
      <w:r w:rsidRPr="00A93D8C">
        <w:rPr>
          <w:i/>
        </w:rPr>
        <w:t xml:space="preserve">.  </w:t>
      </w:r>
      <w:bookmarkEnd w:id="1206"/>
      <w:bookmarkEnd w:id="1207"/>
      <w:r w:rsidRPr="00A93D8C">
        <w:rPr>
          <w:i/>
        </w:rPr>
        <w:t xml:space="preserve">Red line = GBR long-term average; epiphytes=20.2%, </w:t>
      </w:r>
      <w:proofErr w:type="spellStart"/>
      <w:r w:rsidRPr="00A93D8C">
        <w:rPr>
          <w:i/>
        </w:rPr>
        <w:t>macroalgae</w:t>
      </w:r>
      <w:proofErr w:type="spellEnd"/>
      <w:r w:rsidRPr="00A93D8C">
        <w:rPr>
          <w:i/>
        </w:rPr>
        <w:t xml:space="preserve">=6.1%. </w:t>
      </w:r>
      <w:r w:rsidRPr="00A93D8C">
        <w:rPr>
          <w:i/>
          <w:color w:val="000000"/>
          <w:szCs w:val="22"/>
        </w:rPr>
        <w:t xml:space="preserve"> </w:t>
      </w:r>
    </w:p>
    <w:p w:rsidR="00625C14" w:rsidRPr="006225BC" w:rsidRDefault="00625C14" w:rsidP="00625C14">
      <w:pPr>
        <w:keepNext/>
        <w:jc w:val="center"/>
        <w:rPr>
          <w:color w:val="000000"/>
          <w:szCs w:val="22"/>
        </w:rPr>
      </w:pPr>
      <w:r>
        <w:rPr>
          <w:noProof/>
          <w:color w:val="000000"/>
          <w:szCs w:val="22"/>
          <w:lang w:eastAsia="en-AU"/>
        </w:rPr>
        <w:drawing>
          <wp:inline distT="0" distB="0" distL="0" distR="0" wp14:anchorId="041D436C" wp14:editId="71B044B9">
            <wp:extent cx="3960000" cy="2844000"/>
            <wp:effectExtent l="0" t="0" r="2540" b="0"/>
            <wp:docPr id="65" name="Picture 65" descr="Set of line graphs showing long-term trend in mean abundance of epiphytes and macroalgae at intertidal coastal habitats in the Wet Tropics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epi_coast_15.png"/>
                    <pic:cNvPicPr/>
                  </pic:nvPicPr>
                  <pic:blipFill>
                    <a:blip r:embed="rId299" cstate="print">
                      <a:extLst>
                        <a:ext uri="{28A0092B-C50C-407E-A947-70E740481C1C}">
                          <a14:useLocalDpi xmlns:a14="http://schemas.microsoft.com/office/drawing/2010/main" val="0"/>
                        </a:ext>
                      </a:extLst>
                    </a:blip>
                    <a:stretch>
                      <a:fillRect/>
                    </a:stretch>
                  </pic:blipFill>
                  <pic:spPr>
                    <a:xfrm>
                      <a:off x="0" y="0"/>
                      <a:ext cx="3960000" cy="2844000"/>
                    </a:xfrm>
                    <a:prstGeom prst="rect">
                      <a:avLst/>
                    </a:prstGeom>
                  </pic:spPr>
                </pic:pic>
              </a:graphicData>
            </a:graphic>
          </wp:inline>
        </w:drawing>
      </w:r>
    </w:p>
    <w:p w:rsidR="00625C14" w:rsidRPr="00A93D8C" w:rsidRDefault="00625C14" w:rsidP="00625C14">
      <w:pPr>
        <w:rPr>
          <w:i/>
          <w:vanish/>
          <w:specVanish/>
        </w:rPr>
      </w:pPr>
      <w:bookmarkStart w:id="1208" w:name="_Ref211846231"/>
      <w:bookmarkStart w:id="1209" w:name="_Toc431493944"/>
      <w:bookmarkStart w:id="1210" w:name="_Toc462685043"/>
      <w:bookmarkStart w:id="1211" w:name="_Toc232845974"/>
      <w:bookmarkStart w:id="1212" w:name="_Toc354915853"/>
      <w:r w:rsidRPr="006225BC">
        <w:t xml:space="preserve">Figure </w:t>
      </w:r>
      <w:fldSimple w:instr=" SEQ Figure \* ARABIC ">
        <w:r w:rsidR="009C068F">
          <w:rPr>
            <w:noProof/>
          </w:rPr>
          <w:t>203</w:t>
        </w:r>
      </w:fldSimple>
      <w:bookmarkEnd w:id="1208"/>
      <w:r w:rsidRPr="006225BC">
        <w:t xml:space="preserve">. </w:t>
      </w:r>
      <w:bookmarkStart w:id="1213" w:name="OLE_LINK10"/>
      <w:bookmarkStart w:id="1214" w:name="OLE_LINK13"/>
      <w:r w:rsidRPr="00A93D8C">
        <w:rPr>
          <w:i/>
        </w:rPr>
        <w:t xml:space="preserve">Mean abundance (% cover) (± Standard Error) of epiphytes and </w:t>
      </w:r>
      <w:proofErr w:type="spellStart"/>
      <w:r w:rsidRPr="00A93D8C">
        <w:rPr>
          <w:i/>
        </w:rPr>
        <w:t>macroalgae</w:t>
      </w:r>
      <w:proofErr w:type="spellEnd"/>
      <w:r w:rsidRPr="00A93D8C">
        <w:rPr>
          <w:i/>
        </w:rPr>
        <w:t xml:space="preserve"> at coastal intertidal seagrass monitoring locations (sites pooled) in the Wet Tropics NRM region</w:t>
      </w:r>
      <w:bookmarkEnd w:id="1209"/>
      <w:bookmarkEnd w:id="1210"/>
    </w:p>
    <w:p w:rsidR="00625C14" w:rsidRPr="00F65CF3" w:rsidRDefault="00625C14" w:rsidP="00625C14">
      <w:pPr>
        <w:rPr>
          <w:color w:val="000000"/>
          <w:szCs w:val="22"/>
        </w:rPr>
      </w:pPr>
      <w:r w:rsidRPr="00A93D8C">
        <w:rPr>
          <w:i/>
        </w:rPr>
        <w:t xml:space="preserve">.  </w:t>
      </w:r>
      <w:bookmarkEnd w:id="1211"/>
      <w:bookmarkEnd w:id="1213"/>
      <w:bookmarkEnd w:id="1214"/>
      <w:r w:rsidRPr="00A93D8C">
        <w:rPr>
          <w:i/>
        </w:rPr>
        <w:t xml:space="preserve">Red line = GBR long-term average; epiphytes=15%, </w:t>
      </w:r>
      <w:proofErr w:type="spellStart"/>
      <w:r w:rsidRPr="00A93D8C">
        <w:rPr>
          <w:i/>
        </w:rPr>
        <w:t>macroalgae</w:t>
      </w:r>
      <w:proofErr w:type="spellEnd"/>
      <w:r w:rsidRPr="00A93D8C">
        <w:rPr>
          <w:i/>
        </w:rPr>
        <w:t>=3.2%.</w:t>
      </w:r>
      <w:bookmarkEnd w:id="1212"/>
      <w:r w:rsidRPr="00A93D8C">
        <w:rPr>
          <w:i/>
        </w:rPr>
        <w:t xml:space="preserve"> </w:t>
      </w:r>
      <w:r w:rsidRPr="00A93D8C">
        <w:rPr>
          <w:i/>
          <w:color w:val="000000"/>
          <w:szCs w:val="22"/>
        </w:rPr>
        <w:t xml:space="preserve"> </w:t>
      </w:r>
    </w:p>
    <w:p w:rsidR="00625C14" w:rsidRPr="00642F1C" w:rsidRDefault="00625C14" w:rsidP="00625C14">
      <w:pPr>
        <w:keepNext/>
        <w:spacing w:before="0" w:after="0"/>
        <w:jc w:val="center"/>
        <w:rPr>
          <w:noProof/>
          <w:color w:val="000000"/>
        </w:rPr>
      </w:pPr>
      <w:bookmarkStart w:id="1215" w:name="_Toc354915855"/>
      <w:r>
        <w:rPr>
          <w:noProof/>
          <w:color w:val="000000"/>
          <w:lang w:eastAsia="en-AU"/>
        </w:rPr>
        <w:lastRenderedPageBreak/>
        <w:drawing>
          <wp:inline distT="0" distB="0" distL="0" distR="0" wp14:anchorId="124959C8" wp14:editId="230608C7">
            <wp:extent cx="3960000" cy="4194000"/>
            <wp:effectExtent l="0" t="0" r="2540" b="0"/>
            <wp:docPr id="67" name="Picture 67" descr="Set of line graphs showing long-term trend in mean abundance of epiphytes and macroalgae at subtidal reef habitats in the Wet Tropics NRM region from 2008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epi_sub_15.png"/>
                    <pic:cNvPicPr/>
                  </pic:nvPicPr>
                  <pic:blipFill>
                    <a:blip r:embed="rId300" cstate="print">
                      <a:extLst>
                        <a:ext uri="{28A0092B-C50C-407E-A947-70E740481C1C}">
                          <a14:useLocalDpi xmlns:a14="http://schemas.microsoft.com/office/drawing/2010/main" val="0"/>
                        </a:ext>
                      </a:extLst>
                    </a:blip>
                    <a:stretch>
                      <a:fillRect/>
                    </a:stretch>
                  </pic:blipFill>
                  <pic:spPr>
                    <a:xfrm>
                      <a:off x="0" y="0"/>
                      <a:ext cx="3960000" cy="4194000"/>
                    </a:xfrm>
                    <a:prstGeom prst="rect">
                      <a:avLst/>
                    </a:prstGeom>
                  </pic:spPr>
                </pic:pic>
              </a:graphicData>
            </a:graphic>
          </wp:inline>
        </w:drawing>
      </w:r>
    </w:p>
    <w:p w:rsidR="00625C14" w:rsidRPr="00A93D8C" w:rsidRDefault="00625C14" w:rsidP="00625C14">
      <w:pPr>
        <w:rPr>
          <w:i/>
          <w:vanish/>
          <w:specVanish/>
        </w:rPr>
      </w:pPr>
      <w:bookmarkStart w:id="1216" w:name="_Ref410233525"/>
      <w:bookmarkStart w:id="1217" w:name="_Toc431493945"/>
      <w:bookmarkStart w:id="1218" w:name="_Toc462685044"/>
      <w:r w:rsidRPr="00642F1C">
        <w:t xml:space="preserve">Figure </w:t>
      </w:r>
      <w:fldSimple w:instr=" SEQ Figure \* ARABIC ">
        <w:r w:rsidR="009C068F">
          <w:rPr>
            <w:noProof/>
          </w:rPr>
          <w:t>204</w:t>
        </w:r>
      </w:fldSimple>
      <w:bookmarkEnd w:id="1216"/>
      <w:r w:rsidRPr="00642F1C">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subtidal reef seagrass monitoring sites in the Wet Tropics NRM region</w:t>
      </w:r>
      <w:bookmarkEnd w:id="1217"/>
      <w:bookmarkEnd w:id="1218"/>
    </w:p>
    <w:p w:rsidR="00625C14" w:rsidRPr="00A93D8C" w:rsidRDefault="00625C14" w:rsidP="00625C14">
      <w:r w:rsidRPr="00A93D8C">
        <w:rPr>
          <w:i/>
        </w:rPr>
        <w:t xml:space="preserve">.  Red line = GBR long-term average for subtidal sites; epiphytes=7.5%, </w:t>
      </w:r>
      <w:proofErr w:type="spellStart"/>
      <w:r w:rsidRPr="00A93D8C">
        <w:rPr>
          <w:i/>
        </w:rPr>
        <w:t>macroalgae</w:t>
      </w:r>
      <w:proofErr w:type="spellEnd"/>
      <w:r w:rsidRPr="00A93D8C">
        <w:rPr>
          <w:i/>
        </w:rPr>
        <w:t>=4.9%.</w:t>
      </w:r>
      <w:bookmarkEnd w:id="1215"/>
      <w:r w:rsidRPr="00A93D8C">
        <w:rPr>
          <w:i/>
        </w:rPr>
        <w:t xml:space="preserve"> </w:t>
      </w:r>
      <w:r>
        <w:t xml:space="preserve"> </w:t>
      </w:r>
    </w:p>
    <w:p w:rsidR="00625C14" w:rsidRPr="00642F1C" w:rsidRDefault="00625C14" w:rsidP="00625C14">
      <w:pPr>
        <w:rPr>
          <w:color w:val="000000"/>
          <w:szCs w:val="22"/>
        </w:rPr>
      </w:pPr>
    </w:p>
    <w:p w:rsidR="00625C14" w:rsidRPr="007D1D68" w:rsidRDefault="00625C14" w:rsidP="00625C14">
      <w:pPr>
        <w:keepNext/>
        <w:spacing w:after="0"/>
        <w:jc w:val="center"/>
        <w:rPr>
          <w:color w:val="000000"/>
          <w:szCs w:val="22"/>
        </w:rPr>
      </w:pPr>
      <w:r>
        <w:rPr>
          <w:noProof/>
          <w:color w:val="000000"/>
          <w:szCs w:val="22"/>
          <w:lang w:eastAsia="en-AU"/>
        </w:rPr>
        <w:drawing>
          <wp:inline distT="0" distB="0" distL="0" distR="0" wp14:anchorId="398B79D5" wp14:editId="36CDBB6B">
            <wp:extent cx="3960000" cy="2844000"/>
            <wp:effectExtent l="0" t="0" r="2540" b="0"/>
            <wp:docPr id="68" name="Picture 68" descr="Set of line graphs showing long-term trend in mean abundance of epiphytes and macroalgae at coastal habitats in the Burdekin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epi_coast_15.png"/>
                    <pic:cNvPicPr/>
                  </pic:nvPicPr>
                  <pic:blipFill>
                    <a:blip r:embed="rId301" cstate="print">
                      <a:extLst>
                        <a:ext uri="{28A0092B-C50C-407E-A947-70E740481C1C}">
                          <a14:useLocalDpi xmlns:a14="http://schemas.microsoft.com/office/drawing/2010/main" val="0"/>
                        </a:ext>
                      </a:extLst>
                    </a:blip>
                    <a:stretch>
                      <a:fillRect/>
                    </a:stretch>
                  </pic:blipFill>
                  <pic:spPr>
                    <a:xfrm>
                      <a:off x="0" y="0"/>
                      <a:ext cx="3960000" cy="2844000"/>
                    </a:xfrm>
                    <a:prstGeom prst="rect">
                      <a:avLst/>
                    </a:prstGeom>
                  </pic:spPr>
                </pic:pic>
              </a:graphicData>
            </a:graphic>
          </wp:inline>
        </w:drawing>
      </w:r>
    </w:p>
    <w:p w:rsidR="00625C14" w:rsidRPr="00A93D8C" w:rsidRDefault="00625C14" w:rsidP="00625C14">
      <w:pPr>
        <w:rPr>
          <w:i/>
          <w:vanish/>
          <w:specVanish/>
        </w:rPr>
      </w:pPr>
      <w:bookmarkStart w:id="1219" w:name="_Ref382202839"/>
      <w:bookmarkStart w:id="1220" w:name="_Toc431493946"/>
      <w:bookmarkStart w:id="1221" w:name="_Toc462685045"/>
      <w:r w:rsidRPr="007D1D68">
        <w:t xml:space="preserve">Figure </w:t>
      </w:r>
      <w:fldSimple w:instr=" SEQ Figure \* ARABIC ">
        <w:r w:rsidR="009C068F">
          <w:rPr>
            <w:noProof/>
          </w:rPr>
          <w:t>205</w:t>
        </w:r>
      </w:fldSimple>
      <w:bookmarkEnd w:id="1219"/>
      <w:r w:rsidRPr="007D1D68">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coastal intertidal seagrass monitoring locations (sites pooled) in the Burdekin NRM region</w:t>
      </w:r>
      <w:bookmarkEnd w:id="1220"/>
      <w:bookmarkEnd w:id="1221"/>
    </w:p>
    <w:p w:rsidR="00625C14" w:rsidRPr="00A93D8C" w:rsidRDefault="00625C14" w:rsidP="00625C14">
      <w:r w:rsidRPr="00A93D8C">
        <w:rPr>
          <w:i/>
        </w:rPr>
        <w:t xml:space="preserve">.  Red line = GBR long-term average; epiphytes=15%, </w:t>
      </w:r>
      <w:proofErr w:type="spellStart"/>
      <w:r w:rsidRPr="00A93D8C">
        <w:rPr>
          <w:i/>
        </w:rPr>
        <w:t>macroalgae</w:t>
      </w:r>
      <w:proofErr w:type="spellEnd"/>
      <w:r w:rsidRPr="00A93D8C">
        <w:rPr>
          <w:i/>
        </w:rPr>
        <w:t xml:space="preserve">=3.2%.  </w:t>
      </w:r>
    </w:p>
    <w:p w:rsidR="00625C14" w:rsidRPr="002F7DCC" w:rsidRDefault="00625C14" w:rsidP="00625C14">
      <w:pPr>
        <w:rPr>
          <w:color w:val="000000"/>
          <w:szCs w:val="22"/>
        </w:rPr>
      </w:pPr>
    </w:p>
    <w:p w:rsidR="00625C14" w:rsidRPr="002F7DCC" w:rsidRDefault="00625C14" w:rsidP="00625C14">
      <w:pPr>
        <w:rPr>
          <w:color w:val="000000"/>
          <w:lang w:val="en-GB"/>
        </w:rPr>
      </w:pPr>
    </w:p>
    <w:p w:rsidR="00625C14" w:rsidRPr="007D1D68" w:rsidRDefault="00625C14" w:rsidP="00625C14">
      <w:pPr>
        <w:keepNext/>
        <w:spacing w:after="0"/>
        <w:jc w:val="center"/>
        <w:rPr>
          <w:color w:val="000000"/>
          <w:szCs w:val="22"/>
        </w:rPr>
      </w:pPr>
      <w:r>
        <w:rPr>
          <w:noProof/>
          <w:color w:val="000000"/>
          <w:szCs w:val="22"/>
          <w:lang w:eastAsia="en-AU"/>
        </w:rPr>
        <w:drawing>
          <wp:inline distT="0" distB="0" distL="0" distR="0" wp14:anchorId="0D9BC5F3" wp14:editId="2C05B918">
            <wp:extent cx="3960000" cy="1508400"/>
            <wp:effectExtent l="0" t="0" r="2540" b="0"/>
            <wp:docPr id="69" name="Picture 69" descr="Set of line graphs showing long-term trend in mean abundance of epiphytes and macroalgae at intertidal reef habitats in the Burdekin NRM region from 2004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epi_reef_15.png"/>
                    <pic:cNvPicPr/>
                  </pic:nvPicPr>
                  <pic:blipFill>
                    <a:blip r:embed="rId302" cstate="print">
                      <a:extLst>
                        <a:ext uri="{28A0092B-C50C-407E-A947-70E740481C1C}">
                          <a14:useLocalDpi xmlns:a14="http://schemas.microsoft.com/office/drawing/2010/main" val="0"/>
                        </a:ext>
                      </a:extLst>
                    </a:blip>
                    <a:stretch>
                      <a:fillRect/>
                    </a:stretch>
                  </pic:blipFill>
                  <pic:spPr>
                    <a:xfrm>
                      <a:off x="0" y="0"/>
                      <a:ext cx="3960000" cy="1508400"/>
                    </a:xfrm>
                    <a:prstGeom prst="rect">
                      <a:avLst/>
                    </a:prstGeom>
                  </pic:spPr>
                </pic:pic>
              </a:graphicData>
            </a:graphic>
          </wp:inline>
        </w:drawing>
      </w:r>
    </w:p>
    <w:p w:rsidR="00625C14" w:rsidRPr="00A93D8C" w:rsidRDefault="00625C14" w:rsidP="00625C14">
      <w:pPr>
        <w:spacing w:before="0"/>
        <w:rPr>
          <w:i/>
          <w:vanish/>
          <w:specVanish/>
        </w:rPr>
      </w:pPr>
      <w:bookmarkStart w:id="1222" w:name="_Ref382203034"/>
      <w:bookmarkStart w:id="1223" w:name="_Toc431493947"/>
      <w:bookmarkStart w:id="1224" w:name="_Toc462685046"/>
      <w:r w:rsidRPr="002F7DCC">
        <w:t xml:space="preserve">Figure </w:t>
      </w:r>
      <w:fldSimple w:instr=" SEQ Figure \* ARABIC ">
        <w:r w:rsidR="009C068F">
          <w:rPr>
            <w:noProof/>
          </w:rPr>
          <w:t>206</w:t>
        </w:r>
      </w:fldSimple>
      <w:bookmarkEnd w:id="1222"/>
      <w:r w:rsidRPr="002F7DCC">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intertidal reef seagrass monitoring locations (sites pooled) in the Burdekin NRM region</w:t>
      </w:r>
      <w:bookmarkEnd w:id="1223"/>
      <w:bookmarkEnd w:id="1224"/>
    </w:p>
    <w:p w:rsidR="00625C14" w:rsidRPr="00A93D8C" w:rsidRDefault="00625C14" w:rsidP="00625C14">
      <w:pPr>
        <w:spacing w:before="0"/>
      </w:pPr>
      <w:r w:rsidRPr="00A93D8C">
        <w:rPr>
          <w:i/>
        </w:rPr>
        <w:t xml:space="preserve">.  Red line = GBR long-term average; epiphytes=20.2%, </w:t>
      </w:r>
      <w:proofErr w:type="spellStart"/>
      <w:r w:rsidRPr="00A93D8C">
        <w:rPr>
          <w:i/>
        </w:rPr>
        <w:t>macroalgae</w:t>
      </w:r>
      <w:proofErr w:type="spellEnd"/>
      <w:r w:rsidRPr="00A93D8C">
        <w:rPr>
          <w:i/>
        </w:rPr>
        <w:t xml:space="preserve">=6.1%. </w:t>
      </w:r>
      <w:r>
        <w:t xml:space="preserve"> </w:t>
      </w:r>
    </w:p>
    <w:p w:rsidR="00625C14" w:rsidRPr="007D1D68" w:rsidRDefault="00625C14" w:rsidP="00625C14">
      <w:pPr>
        <w:keepNext/>
        <w:spacing w:before="240" w:after="0"/>
        <w:jc w:val="center"/>
        <w:rPr>
          <w:color w:val="000000"/>
        </w:rPr>
      </w:pPr>
      <w:r>
        <w:rPr>
          <w:noProof/>
          <w:color w:val="000000"/>
          <w:lang w:eastAsia="en-AU"/>
        </w:rPr>
        <w:drawing>
          <wp:inline distT="0" distB="0" distL="0" distR="0" wp14:anchorId="729AA1EF" wp14:editId="31435452">
            <wp:extent cx="3960000" cy="1515600"/>
            <wp:effectExtent l="0" t="0" r="2540" b="8890"/>
            <wp:docPr id="70" name="Picture 70" descr="Set of line graphs showing long-term trend in mean abundance of epiphytes and macroalgae at subtidal reef habitats in the Burdekin NRM region from 2008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epi_sub_15.png"/>
                    <pic:cNvPicPr/>
                  </pic:nvPicPr>
                  <pic:blipFill>
                    <a:blip r:embed="rId303" cstate="print">
                      <a:extLst>
                        <a:ext uri="{28A0092B-C50C-407E-A947-70E740481C1C}">
                          <a14:useLocalDpi xmlns:a14="http://schemas.microsoft.com/office/drawing/2010/main" val="0"/>
                        </a:ext>
                      </a:extLst>
                    </a:blip>
                    <a:stretch>
                      <a:fillRect/>
                    </a:stretch>
                  </pic:blipFill>
                  <pic:spPr>
                    <a:xfrm>
                      <a:off x="0" y="0"/>
                      <a:ext cx="3960000" cy="1515600"/>
                    </a:xfrm>
                    <a:prstGeom prst="rect">
                      <a:avLst/>
                    </a:prstGeom>
                  </pic:spPr>
                </pic:pic>
              </a:graphicData>
            </a:graphic>
          </wp:inline>
        </w:drawing>
      </w:r>
    </w:p>
    <w:p w:rsidR="00625C14" w:rsidRPr="00A93D8C" w:rsidRDefault="00625C14" w:rsidP="00625C14">
      <w:pPr>
        <w:spacing w:before="0"/>
        <w:rPr>
          <w:i/>
          <w:vanish/>
          <w:specVanish/>
        </w:rPr>
      </w:pPr>
      <w:bookmarkStart w:id="1225" w:name="_Ref410234536"/>
      <w:bookmarkStart w:id="1226" w:name="_Toc431493948"/>
      <w:bookmarkStart w:id="1227" w:name="_Toc462685047"/>
      <w:r w:rsidRPr="007D1D68">
        <w:t xml:space="preserve">Figure </w:t>
      </w:r>
      <w:fldSimple w:instr=" SEQ Figure \* ARABIC ">
        <w:r w:rsidR="009C068F">
          <w:rPr>
            <w:noProof/>
          </w:rPr>
          <w:t>207</w:t>
        </w:r>
      </w:fldSimple>
      <w:bookmarkEnd w:id="1225"/>
      <w:r w:rsidRPr="007D1D68">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subtidal reef monitoring sites in </w:t>
      </w:r>
      <w:smartTag w:uri="urn:schemas-microsoft-com:office:smarttags" w:element="place">
        <w:smartTag w:uri="urn:schemas-microsoft-com:office:smarttags" w:element="PlaceName">
          <w:r w:rsidRPr="00A93D8C">
            <w:rPr>
              <w:i/>
            </w:rPr>
            <w:t>Picnic</w:t>
          </w:r>
        </w:smartTag>
        <w:r w:rsidRPr="00A93D8C">
          <w:rPr>
            <w:i/>
          </w:rPr>
          <w:t xml:space="preserve"> </w:t>
        </w:r>
        <w:smartTag w:uri="urn:schemas-microsoft-com:office:smarttags" w:element="PlaceType">
          <w:r w:rsidRPr="00A93D8C">
            <w:rPr>
              <w:i/>
            </w:rPr>
            <w:t>Bay</w:t>
          </w:r>
        </w:smartTag>
      </w:smartTag>
      <w:r w:rsidRPr="00A93D8C">
        <w:rPr>
          <w:i/>
        </w:rPr>
        <w:t>, Burdekin NRM region</w:t>
      </w:r>
      <w:bookmarkEnd w:id="1226"/>
      <w:bookmarkEnd w:id="1227"/>
    </w:p>
    <w:p w:rsidR="00625C14" w:rsidRPr="00A93D8C" w:rsidRDefault="00625C14" w:rsidP="00625C14">
      <w:pPr>
        <w:spacing w:before="0"/>
      </w:pPr>
      <w:r w:rsidRPr="00A93D8C">
        <w:rPr>
          <w:i/>
        </w:rPr>
        <w:t xml:space="preserve">.  Red line = GBR long-term average; epiphytes=7.5%, </w:t>
      </w:r>
      <w:proofErr w:type="spellStart"/>
      <w:r w:rsidRPr="00A93D8C">
        <w:rPr>
          <w:i/>
        </w:rPr>
        <w:t>macroalgae</w:t>
      </w:r>
      <w:proofErr w:type="spellEnd"/>
      <w:r w:rsidRPr="00A93D8C">
        <w:rPr>
          <w:i/>
        </w:rPr>
        <w:t xml:space="preserve">=4.9%. </w:t>
      </w:r>
      <w:r>
        <w:t xml:space="preserve"> </w:t>
      </w:r>
    </w:p>
    <w:p w:rsidR="00625C14" w:rsidRPr="00234B94" w:rsidRDefault="00625C14" w:rsidP="00625C14">
      <w:pPr>
        <w:keepNext/>
        <w:spacing w:before="240" w:after="0"/>
        <w:jc w:val="center"/>
        <w:rPr>
          <w:color w:val="000000"/>
          <w:szCs w:val="22"/>
        </w:rPr>
      </w:pPr>
      <w:r>
        <w:rPr>
          <w:noProof/>
          <w:color w:val="000000"/>
          <w:szCs w:val="22"/>
          <w:lang w:eastAsia="en-AU"/>
        </w:rPr>
        <w:drawing>
          <wp:inline distT="0" distB="0" distL="0" distR="0" wp14:anchorId="7F06A96C" wp14:editId="3D9E9A0F">
            <wp:extent cx="3960000" cy="2887200"/>
            <wp:effectExtent l="0" t="0" r="2540" b="8890"/>
            <wp:docPr id="71" name="Picture 71" descr="Set of line graphs showing long-term trend in mean abundance of epiphytes and macroalgae at coastal habitats in the Mackay Whitsunday NRM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epi_coast_15.png"/>
                    <pic:cNvPicPr/>
                  </pic:nvPicPr>
                  <pic:blipFill>
                    <a:blip r:embed="rId304" cstate="print">
                      <a:extLst>
                        <a:ext uri="{28A0092B-C50C-407E-A947-70E740481C1C}">
                          <a14:useLocalDpi xmlns:a14="http://schemas.microsoft.com/office/drawing/2010/main" val="0"/>
                        </a:ext>
                      </a:extLst>
                    </a:blip>
                    <a:stretch>
                      <a:fillRect/>
                    </a:stretch>
                  </pic:blipFill>
                  <pic:spPr>
                    <a:xfrm>
                      <a:off x="0" y="0"/>
                      <a:ext cx="3960000" cy="2887200"/>
                    </a:xfrm>
                    <a:prstGeom prst="rect">
                      <a:avLst/>
                    </a:prstGeom>
                  </pic:spPr>
                </pic:pic>
              </a:graphicData>
            </a:graphic>
          </wp:inline>
        </w:drawing>
      </w:r>
    </w:p>
    <w:p w:rsidR="00625C14" w:rsidRPr="00A93D8C" w:rsidRDefault="00625C14" w:rsidP="00625C14">
      <w:pPr>
        <w:spacing w:before="0"/>
        <w:rPr>
          <w:i/>
          <w:vanish/>
          <w:specVanish/>
        </w:rPr>
      </w:pPr>
      <w:bookmarkStart w:id="1228" w:name="_Ref382206987"/>
      <w:bookmarkStart w:id="1229" w:name="_Toc431493949"/>
      <w:bookmarkStart w:id="1230" w:name="_Toc462685048"/>
      <w:r w:rsidRPr="00234B94">
        <w:t xml:space="preserve">Figure </w:t>
      </w:r>
      <w:fldSimple w:instr=" SEQ Figure \* ARABIC ">
        <w:r w:rsidR="009C068F">
          <w:rPr>
            <w:noProof/>
          </w:rPr>
          <w:t>208</w:t>
        </w:r>
      </w:fldSimple>
      <w:bookmarkEnd w:id="1228"/>
      <w:r w:rsidRPr="00234B94">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coastal intertidal seagrass monitoring locations (sites pooled) in the Mackay Whitsunday NRM region</w:t>
      </w:r>
      <w:bookmarkEnd w:id="1229"/>
      <w:bookmarkEnd w:id="1230"/>
    </w:p>
    <w:p w:rsidR="00625C14" w:rsidRPr="00A93D8C" w:rsidRDefault="00625C14" w:rsidP="00625C14">
      <w:pPr>
        <w:spacing w:before="0"/>
      </w:pPr>
      <w:r w:rsidRPr="00A93D8C">
        <w:rPr>
          <w:i/>
        </w:rPr>
        <w:t xml:space="preserve">.  Red line = GBR long-term average; epiphytes=15%, </w:t>
      </w:r>
      <w:proofErr w:type="spellStart"/>
      <w:r w:rsidRPr="00A93D8C">
        <w:rPr>
          <w:i/>
        </w:rPr>
        <w:t>macroalgae</w:t>
      </w:r>
      <w:proofErr w:type="spellEnd"/>
      <w:r w:rsidRPr="00A93D8C">
        <w:rPr>
          <w:i/>
        </w:rPr>
        <w:t xml:space="preserve">=3.2%. </w:t>
      </w:r>
      <w:r>
        <w:t xml:space="preserve"> </w:t>
      </w:r>
    </w:p>
    <w:p w:rsidR="00625C14" w:rsidRPr="00234B94" w:rsidRDefault="00625C14" w:rsidP="00625C14">
      <w:pPr>
        <w:keepNext/>
        <w:spacing w:before="240" w:after="0"/>
        <w:jc w:val="center"/>
        <w:rPr>
          <w:color w:val="000000"/>
          <w:szCs w:val="22"/>
        </w:rPr>
      </w:pPr>
      <w:r>
        <w:rPr>
          <w:noProof/>
          <w:color w:val="000000"/>
          <w:szCs w:val="22"/>
          <w:lang w:eastAsia="en-AU"/>
        </w:rPr>
        <w:lastRenderedPageBreak/>
        <w:drawing>
          <wp:inline distT="0" distB="0" distL="0" distR="0" wp14:anchorId="0888F4D0" wp14:editId="09248E5B">
            <wp:extent cx="3960000" cy="1508400"/>
            <wp:effectExtent l="0" t="0" r="2540" b="0"/>
            <wp:docPr id="73" name="Picture 73" descr="Set of line graphs showing long-term trend in mean abundance of epiphytes and macroalgae at estuarine habitats in the Mackay Whitsunday NRM region from 2004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epi_estuary_15.png"/>
                    <pic:cNvPicPr/>
                  </pic:nvPicPr>
                  <pic:blipFill>
                    <a:blip r:embed="rId305" cstate="print">
                      <a:extLst>
                        <a:ext uri="{28A0092B-C50C-407E-A947-70E740481C1C}">
                          <a14:useLocalDpi xmlns:a14="http://schemas.microsoft.com/office/drawing/2010/main" val="0"/>
                        </a:ext>
                      </a:extLst>
                    </a:blip>
                    <a:stretch>
                      <a:fillRect/>
                    </a:stretch>
                  </pic:blipFill>
                  <pic:spPr>
                    <a:xfrm>
                      <a:off x="0" y="0"/>
                      <a:ext cx="3960000" cy="1508400"/>
                    </a:xfrm>
                    <a:prstGeom prst="rect">
                      <a:avLst/>
                    </a:prstGeom>
                  </pic:spPr>
                </pic:pic>
              </a:graphicData>
            </a:graphic>
          </wp:inline>
        </w:drawing>
      </w:r>
    </w:p>
    <w:p w:rsidR="00625C14" w:rsidRPr="00A93D8C" w:rsidRDefault="00625C14" w:rsidP="00625C14">
      <w:pPr>
        <w:spacing w:before="0"/>
        <w:rPr>
          <w:i/>
          <w:vanish/>
          <w:specVanish/>
        </w:rPr>
      </w:pPr>
      <w:bookmarkStart w:id="1231" w:name="_Ref382207016"/>
      <w:bookmarkStart w:id="1232" w:name="_Toc431493950"/>
      <w:bookmarkStart w:id="1233" w:name="_Toc462685049"/>
      <w:r w:rsidRPr="00234B94">
        <w:t xml:space="preserve">Figure </w:t>
      </w:r>
      <w:fldSimple w:instr=" SEQ Figure \* ARABIC ">
        <w:r w:rsidR="009C068F">
          <w:rPr>
            <w:noProof/>
          </w:rPr>
          <w:t>209</w:t>
        </w:r>
      </w:fldSimple>
      <w:bookmarkEnd w:id="1231"/>
      <w:r w:rsidRPr="00234B94">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estuarine seagrass monitoring locations (sites pooled) in the Mackay Whitsunday NRM region</w:t>
      </w:r>
      <w:bookmarkEnd w:id="1232"/>
      <w:bookmarkEnd w:id="1233"/>
    </w:p>
    <w:p w:rsidR="00625C14" w:rsidRPr="00A93D8C" w:rsidRDefault="00625C14" w:rsidP="00625C14">
      <w:pPr>
        <w:spacing w:before="0"/>
      </w:pPr>
      <w:r w:rsidRPr="00A93D8C">
        <w:rPr>
          <w:i/>
        </w:rPr>
        <w:t xml:space="preserve">.  Red line = GBR long-term average; epiphytes=15.4%, </w:t>
      </w:r>
      <w:proofErr w:type="spellStart"/>
      <w:r w:rsidRPr="00A93D8C">
        <w:rPr>
          <w:i/>
        </w:rPr>
        <w:t>macroalgae</w:t>
      </w:r>
      <w:proofErr w:type="spellEnd"/>
      <w:r w:rsidRPr="00A93D8C">
        <w:rPr>
          <w:i/>
        </w:rPr>
        <w:t xml:space="preserve">=2.6%.  </w:t>
      </w:r>
    </w:p>
    <w:p w:rsidR="00625C14" w:rsidRPr="00234B94" w:rsidRDefault="00625C14" w:rsidP="00625C14">
      <w:pPr>
        <w:keepNext/>
        <w:jc w:val="center"/>
        <w:rPr>
          <w:color w:val="000000"/>
          <w:szCs w:val="22"/>
        </w:rPr>
      </w:pPr>
      <w:r>
        <w:rPr>
          <w:noProof/>
          <w:color w:val="000000"/>
          <w:szCs w:val="22"/>
          <w:lang w:eastAsia="en-AU"/>
        </w:rPr>
        <w:drawing>
          <wp:inline distT="0" distB="0" distL="0" distR="0" wp14:anchorId="5A75F4C6" wp14:editId="7A3C4736">
            <wp:extent cx="3960000" cy="1494000"/>
            <wp:effectExtent l="0" t="0" r="2540" b="0"/>
            <wp:docPr id="74" name="Picture 74" descr="Set of line graphs showing long-term trend in mean abundance of epiphytes and macroalgae at intertidal reef habitats in the Mackay Whitsunday NRM region from 2007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epi_reef_15.png"/>
                    <pic:cNvPicPr/>
                  </pic:nvPicPr>
                  <pic:blipFill>
                    <a:blip r:embed="rId306" cstate="print">
                      <a:extLst>
                        <a:ext uri="{28A0092B-C50C-407E-A947-70E740481C1C}">
                          <a14:useLocalDpi xmlns:a14="http://schemas.microsoft.com/office/drawing/2010/main" val="0"/>
                        </a:ext>
                      </a:extLst>
                    </a:blip>
                    <a:stretch>
                      <a:fillRect/>
                    </a:stretch>
                  </pic:blipFill>
                  <pic:spPr>
                    <a:xfrm>
                      <a:off x="0" y="0"/>
                      <a:ext cx="3960000" cy="1494000"/>
                    </a:xfrm>
                    <a:prstGeom prst="rect">
                      <a:avLst/>
                    </a:prstGeom>
                  </pic:spPr>
                </pic:pic>
              </a:graphicData>
            </a:graphic>
          </wp:inline>
        </w:drawing>
      </w:r>
    </w:p>
    <w:p w:rsidR="00625C14" w:rsidRPr="00A93D8C" w:rsidRDefault="00625C14" w:rsidP="00625C14">
      <w:pPr>
        <w:spacing w:before="0"/>
        <w:rPr>
          <w:i/>
          <w:vanish/>
          <w:specVanish/>
        </w:rPr>
      </w:pPr>
      <w:bookmarkStart w:id="1234" w:name="_Ref382207017"/>
      <w:bookmarkStart w:id="1235" w:name="_Toc431493951"/>
      <w:bookmarkStart w:id="1236" w:name="_Toc462685050"/>
      <w:r w:rsidRPr="00234B94">
        <w:t xml:space="preserve">Figure </w:t>
      </w:r>
      <w:fldSimple w:instr=" SEQ Figure \* ARABIC ">
        <w:r w:rsidR="009C068F">
          <w:rPr>
            <w:noProof/>
          </w:rPr>
          <w:t>210</w:t>
        </w:r>
      </w:fldSimple>
      <w:bookmarkEnd w:id="1234"/>
      <w:r w:rsidRPr="00234B94">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reef seagrass monitoring locations (sites pooled) in the Mackay Whitsunday NRM region</w:t>
      </w:r>
      <w:bookmarkEnd w:id="1235"/>
      <w:bookmarkEnd w:id="1236"/>
    </w:p>
    <w:p w:rsidR="00625C14" w:rsidRPr="00A93D8C" w:rsidRDefault="00625C14" w:rsidP="00625C14">
      <w:pPr>
        <w:spacing w:before="0"/>
      </w:pPr>
      <w:r w:rsidRPr="00A93D8C">
        <w:rPr>
          <w:i/>
        </w:rPr>
        <w:t xml:space="preserve">.  Red line = GBR long-term average; epiphytes=20.2%, </w:t>
      </w:r>
      <w:proofErr w:type="spellStart"/>
      <w:r w:rsidRPr="00A93D8C">
        <w:rPr>
          <w:i/>
        </w:rPr>
        <w:t>macroalgae</w:t>
      </w:r>
      <w:proofErr w:type="spellEnd"/>
      <w:r w:rsidRPr="00A93D8C">
        <w:rPr>
          <w:i/>
        </w:rPr>
        <w:t xml:space="preserve">=6.1%.  </w:t>
      </w:r>
    </w:p>
    <w:p w:rsidR="00625C14" w:rsidRPr="00B5072B" w:rsidRDefault="00625C14" w:rsidP="00625C14">
      <w:pPr>
        <w:keepNext/>
        <w:jc w:val="center"/>
        <w:rPr>
          <w:color w:val="000000"/>
          <w:szCs w:val="22"/>
        </w:rPr>
      </w:pPr>
      <w:r>
        <w:rPr>
          <w:noProof/>
          <w:color w:val="000000"/>
          <w:szCs w:val="22"/>
          <w:lang w:eastAsia="en-AU"/>
        </w:rPr>
        <w:drawing>
          <wp:inline distT="0" distB="0" distL="0" distR="0" wp14:anchorId="7584E969" wp14:editId="06FB58A9">
            <wp:extent cx="3960000" cy="1526400"/>
            <wp:effectExtent l="0" t="0" r="2540" b="0"/>
            <wp:docPr id="75" name="Picture 75" descr="Set of line graphs showing long-term trend in mean abundance of epiphytes and macroalgae at coastal habitats in the Fitzroy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epi_coast_15.png"/>
                    <pic:cNvPicPr/>
                  </pic:nvPicPr>
                  <pic:blipFill>
                    <a:blip r:embed="rId307" cstate="print">
                      <a:extLst>
                        <a:ext uri="{28A0092B-C50C-407E-A947-70E740481C1C}">
                          <a14:useLocalDpi xmlns:a14="http://schemas.microsoft.com/office/drawing/2010/main" val="0"/>
                        </a:ext>
                      </a:extLst>
                    </a:blip>
                    <a:stretch>
                      <a:fillRect/>
                    </a:stretch>
                  </pic:blipFill>
                  <pic:spPr>
                    <a:xfrm>
                      <a:off x="0" y="0"/>
                      <a:ext cx="3960000" cy="1526400"/>
                    </a:xfrm>
                    <a:prstGeom prst="rect">
                      <a:avLst/>
                    </a:prstGeom>
                  </pic:spPr>
                </pic:pic>
              </a:graphicData>
            </a:graphic>
          </wp:inline>
        </w:drawing>
      </w:r>
    </w:p>
    <w:p w:rsidR="00625C14" w:rsidRPr="00A93D8C" w:rsidRDefault="00625C14" w:rsidP="00625C14">
      <w:pPr>
        <w:spacing w:before="0"/>
        <w:rPr>
          <w:i/>
          <w:vanish/>
          <w:specVanish/>
        </w:rPr>
      </w:pPr>
      <w:bookmarkStart w:id="1237" w:name="_Ref382209889"/>
      <w:bookmarkStart w:id="1238" w:name="_Toc431493952"/>
      <w:bookmarkStart w:id="1239" w:name="_Toc462685051"/>
      <w:r w:rsidRPr="00B5072B">
        <w:t xml:space="preserve">Figure </w:t>
      </w:r>
      <w:fldSimple w:instr=" SEQ Figure \* ARABIC ">
        <w:r w:rsidR="009C068F">
          <w:rPr>
            <w:noProof/>
          </w:rPr>
          <w:t>211</w:t>
        </w:r>
      </w:fldSimple>
      <w:bookmarkEnd w:id="1237"/>
      <w:r w:rsidRPr="00B5072B">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coastal intertidal seagrass monitoring locations (sites pooled) in the Fitzroy NRM region</w:t>
      </w:r>
      <w:bookmarkEnd w:id="1238"/>
      <w:bookmarkEnd w:id="1239"/>
    </w:p>
    <w:p w:rsidR="00625C14" w:rsidRPr="00A93D8C" w:rsidRDefault="00625C14" w:rsidP="00625C14">
      <w:pPr>
        <w:spacing w:before="0"/>
        <w:rPr>
          <w:i/>
        </w:rPr>
      </w:pPr>
      <w:r w:rsidRPr="00A93D8C">
        <w:rPr>
          <w:i/>
        </w:rPr>
        <w:t xml:space="preserve">.  Red line = GBR long-term average; epiphytes=15%, </w:t>
      </w:r>
      <w:proofErr w:type="spellStart"/>
      <w:r w:rsidRPr="00A93D8C">
        <w:rPr>
          <w:i/>
        </w:rPr>
        <w:t>macroalgae</w:t>
      </w:r>
      <w:proofErr w:type="spellEnd"/>
      <w:r w:rsidRPr="00A93D8C">
        <w:rPr>
          <w:i/>
        </w:rPr>
        <w:t xml:space="preserve">=3.2%.  </w:t>
      </w:r>
    </w:p>
    <w:p w:rsidR="00625C14" w:rsidRPr="00B5072B" w:rsidRDefault="00625C14" w:rsidP="00625C14">
      <w:pPr>
        <w:keepNext/>
        <w:jc w:val="center"/>
        <w:rPr>
          <w:color w:val="000000"/>
          <w:szCs w:val="22"/>
        </w:rPr>
      </w:pPr>
      <w:r>
        <w:rPr>
          <w:noProof/>
          <w:color w:val="000000"/>
          <w:szCs w:val="22"/>
          <w:lang w:eastAsia="en-AU"/>
        </w:rPr>
        <w:drawing>
          <wp:inline distT="0" distB="0" distL="0" distR="0" wp14:anchorId="7384F414" wp14:editId="4E94954E">
            <wp:extent cx="3960000" cy="1526400"/>
            <wp:effectExtent l="0" t="0" r="2540" b="0"/>
            <wp:docPr id="76" name="Picture 76" descr="Set of line graphs showing long-term trend in mean abundance of epiphytes and macroalgae at estuarine habitats in the Fitzroy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epi_estuary_15.png"/>
                    <pic:cNvPicPr/>
                  </pic:nvPicPr>
                  <pic:blipFill>
                    <a:blip r:embed="rId308" cstate="print">
                      <a:extLst>
                        <a:ext uri="{28A0092B-C50C-407E-A947-70E740481C1C}">
                          <a14:useLocalDpi xmlns:a14="http://schemas.microsoft.com/office/drawing/2010/main" val="0"/>
                        </a:ext>
                      </a:extLst>
                    </a:blip>
                    <a:stretch>
                      <a:fillRect/>
                    </a:stretch>
                  </pic:blipFill>
                  <pic:spPr>
                    <a:xfrm>
                      <a:off x="0" y="0"/>
                      <a:ext cx="3960000" cy="1526400"/>
                    </a:xfrm>
                    <a:prstGeom prst="rect">
                      <a:avLst/>
                    </a:prstGeom>
                  </pic:spPr>
                </pic:pic>
              </a:graphicData>
            </a:graphic>
          </wp:inline>
        </w:drawing>
      </w:r>
    </w:p>
    <w:p w:rsidR="00625C14" w:rsidRPr="00A93D8C" w:rsidRDefault="00625C14" w:rsidP="00625C14">
      <w:pPr>
        <w:spacing w:before="0"/>
        <w:rPr>
          <w:i/>
          <w:vanish/>
          <w:specVanish/>
        </w:rPr>
      </w:pPr>
      <w:bookmarkStart w:id="1240" w:name="_Ref382209825"/>
      <w:bookmarkStart w:id="1241" w:name="_Toc431493953"/>
      <w:bookmarkStart w:id="1242" w:name="_Toc462685052"/>
      <w:r w:rsidRPr="00B5072B">
        <w:t xml:space="preserve">Figure </w:t>
      </w:r>
      <w:fldSimple w:instr=" SEQ Figure \* ARABIC ">
        <w:r w:rsidR="009C068F">
          <w:rPr>
            <w:noProof/>
          </w:rPr>
          <w:t>212</w:t>
        </w:r>
      </w:fldSimple>
      <w:bookmarkEnd w:id="1240"/>
      <w:r w:rsidRPr="00B5072B">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estuarine seagrass monitoring locations (sites pooled) in the Fitzroy NRM region</w:t>
      </w:r>
      <w:bookmarkEnd w:id="1241"/>
      <w:bookmarkEnd w:id="1242"/>
    </w:p>
    <w:p w:rsidR="00625C14" w:rsidRPr="00A93D8C" w:rsidRDefault="00625C14" w:rsidP="00625C14">
      <w:pPr>
        <w:spacing w:before="0"/>
      </w:pPr>
      <w:r w:rsidRPr="00A93D8C">
        <w:rPr>
          <w:i/>
        </w:rPr>
        <w:t xml:space="preserve">.  Red line = GBR long-term average; epiphytes=15.4%, </w:t>
      </w:r>
      <w:proofErr w:type="spellStart"/>
      <w:r w:rsidRPr="00A93D8C">
        <w:rPr>
          <w:i/>
        </w:rPr>
        <w:t>macroalgae</w:t>
      </w:r>
      <w:proofErr w:type="spellEnd"/>
      <w:r w:rsidRPr="00A93D8C">
        <w:rPr>
          <w:i/>
        </w:rPr>
        <w:t xml:space="preserve">=2.6%.  </w:t>
      </w:r>
    </w:p>
    <w:p w:rsidR="00625C14" w:rsidRPr="00B5072B" w:rsidRDefault="00625C14" w:rsidP="00625C14">
      <w:pPr>
        <w:rPr>
          <w:color w:val="000000"/>
          <w:szCs w:val="22"/>
        </w:rPr>
      </w:pPr>
    </w:p>
    <w:p w:rsidR="00625C14" w:rsidRPr="00B5072B" w:rsidRDefault="00625C14" w:rsidP="00625C14">
      <w:pPr>
        <w:keepNext/>
        <w:jc w:val="center"/>
        <w:rPr>
          <w:color w:val="000000"/>
          <w:szCs w:val="22"/>
        </w:rPr>
      </w:pPr>
      <w:r>
        <w:rPr>
          <w:noProof/>
          <w:color w:val="000000"/>
          <w:szCs w:val="22"/>
          <w:lang w:eastAsia="en-AU"/>
        </w:rPr>
        <w:drawing>
          <wp:inline distT="0" distB="0" distL="0" distR="0" wp14:anchorId="3530BCDC" wp14:editId="29CA1080">
            <wp:extent cx="3960000" cy="1508400"/>
            <wp:effectExtent l="0" t="0" r="2540" b="0"/>
            <wp:docPr id="77" name="Picture 77" descr="Set of line graphs showing long-term trend in mean abundance of epiphytes and macroalgae at intertidal reef habitats in the Fitzroy NRM region from 2008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epi_reef_15.png"/>
                    <pic:cNvPicPr/>
                  </pic:nvPicPr>
                  <pic:blipFill>
                    <a:blip r:embed="rId309" cstate="print">
                      <a:extLst>
                        <a:ext uri="{28A0092B-C50C-407E-A947-70E740481C1C}">
                          <a14:useLocalDpi xmlns:a14="http://schemas.microsoft.com/office/drawing/2010/main" val="0"/>
                        </a:ext>
                      </a:extLst>
                    </a:blip>
                    <a:stretch>
                      <a:fillRect/>
                    </a:stretch>
                  </pic:blipFill>
                  <pic:spPr>
                    <a:xfrm>
                      <a:off x="0" y="0"/>
                      <a:ext cx="3960000" cy="1508400"/>
                    </a:xfrm>
                    <a:prstGeom prst="rect">
                      <a:avLst/>
                    </a:prstGeom>
                  </pic:spPr>
                </pic:pic>
              </a:graphicData>
            </a:graphic>
          </wp:inline>
        </w:drawing>
      </w:r>
    </w:p>
    <w:p w:rsidR="00625C14" w:rsidRPr="00A93D8C" w:rsidRDefault="00625C14" w:rsidP="00625C14">
      <w:pPr>
        <w:spacing w:before="0"/>
        <w:rPr>
          <w:i/>
          <w:vanish/>
          <w:specVanish/>
        </w:rPr>
      </w:pPr>
      <w:bookmarkStart w:id="1243" w:name="_Ref382209827"/>
      <w:bookmarkStart w:id="1244" w:name="_Toc431493954"/>
      <w:bookmarkStart w:id="1245" w:name="_Toc462685053"/>
      <w:r w:rsidRPr="00B5072B">
        <w:t xml:space="preserve">Figure </w:t>
      </w:r>
      <w:fldSimple w:instr=" SEQ Figure \* ARABIC ">
        <w:r w:rsidR="009C068F">
          <w:rPr>
            <w:noProof/>
          </w:rPr>
          <w:t>213</w:t>
        </w:r>
      </w:fldSimple>
      <w:bookmarkEnd w:id="1243"/>
      <w:r w:rsidRPr="00B5072B">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reef seagrass monitoring locations (sites pooled) in the Fitzroy NRM region</w:t>
      </w:r>
      <w:bookmarkEnd w:id="1244"/>
      <w:bookmarkEnd w:id="1245"/>
    </w:p>
    <w:p w:rsidR="00625C14" w:rsidRPr="00A93D8C" w:rsidRDefault="00625C14" w:rsidP="00625C14">
      <w:pPr>
        <w:spacing w:before="0"/>
      </w:pPr>
      <w:r w:rsidRPr="00A93D8C">
        <w:rPr>
          <w:i/>
        </w:rPr>
        <w:t xml:space="preserve">.  Red line = GBR long-term average; epiphytes=20.2%, </w:t>
      </w:r>
      <w:proofErr w:type="spellStart"/>
      <w:r w:rsidRPr="00A93D8C">
        <w:rPr>
          <w:i/>
        </w:rPr>
        <w:t>macroalgae</w:t>
      </w:r>
      <w:proofErr w:type="spellEnd"/>
      <w:r w:rsidRPr="00A93D8C">
        <w:rPr>
          <w:i/>
        </w:rPr>
        <w:t xml:space="preserve">=6.1%. </w:t>
      </w:r>
      <w:r>
        <w:t xml:space="preserve"> </w:t>
      </w:r>
    </w:p>
    <w:p w:rsidR="00625C14" w:rsidRPr="00B5072B" w:rsidRDefault="00625C14" w:rsidP="00625C14">
      <w:pPr>
        <w:rPr>
          <w:color w:val="000000"/>
          <w:szCs w:val="22"/>
        </w:rPr>
      </w:pPr>
    </w:p>
    <w:p w:rsidR="00625C14" w:rsidRPr="00B5072B" w:rsidRDefault="00625C14" w:rsidP="00625C14">
      <w:pPr>
        <w:jc w:val="center"/>
        <w:rPr>
          <w:color w:val="000000"/>
          <w:szCs w:val="22"/>
        </w:rPr>
      </w:pPr>
      <w:r>
        <w:rPr>
          <w:noProof/>
          <w:color w:val="000000"/>
          <w:szCs w:val="22"/>
          <w:lang w:eastAsia="en-AU"/>
        </w:rPr>
        <w:drawing>
          <wp:inline distT="0" distB="0" distL="0" distR="0" wp14:anchorId="47E7CA67" wp14:editId="224CAB56">
            <wp:extent cx="3960000" cy="2865600"/>
            <wp:effectExtent l="0" t="0" r="2540" b="0"/>
            <wp:docPr id="78" name="Picture 78" descr="Set of line graphs showing long-term trend in mean abundance of epiphytes and macroalgae at estuarine habitats in the Burnett Mary NRM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epi_estuary_15.png"/>
                    <pic:cNvPicPr/>
                  </pic:nvPicPr>
                  <pic:blipFill>
                    <a:blip r:embed="rId310" cstate="print">
                      <a:extLst>
                        <a:ext uri="{28A0092B-C50C-407E-A947-70E740481C1C}">
                          <a14:useLocalDpi xmlns:a14="http://schemas.microsoft.com/office/drawing/2010/main" val="0"/>
                        </a:ext>
                      </a:extLst>
                    </a:blip>
                    <a:stretch>
                      <a:fillRect/>
                    </a:stretch>
                  </pic:blipFill>
                  <pic:spPr>
                    <a:xfrm>
                      <a:off x="0" y="0"/>
                      <a:ext cx="3960000" cy="2865600"/>
                    </a:xfrm>
                    <a:prstGeom prst="rect">
                      <a:avLst/>
                    </a:prstGeom>
                  </pic:spPr>
                </pic:pic>
              </a:graphicData>
            </a:graphic>
          </wp:inline>
        </w:drawing>
      </w:r>
    </w:p>
    <w:p w:rsidR="00625C14" w:rsidRPr="00A93D8C" w:rsidRDefault="00625C14" w:rsidP="00625C14">
      <w:pPr>
        <w:rPr>
          <w:i/>
          <w:vanish/>
          <w:specVanish/>
        </w:rPr>
      </w:pPr>
      <w:bookmarkStart w:id="1246" w:name="_Ref382211537"/>
      <w:bookmarkStart w:id="1247" w:name="_Toc431493955"/>
      <w:bookmarkStart w:id="1248" w:name="_Toc462685054"/>
      <w:r w:rsidRPr="00B5072B">
        <w:t xml:space="preserve">Figure </w:t>
      </w:r>
      <w:fldSimple w:instr=" SEQ Figure \* ARABIC ">
        <w:r w:rsidR="009C068F">
          <w:rPr>
            <w:noProof/>
          </w:rPr>
          <w:t>214</w:t>
        </w:r>
      </w:fldSimple>
      <w:bookmarkEnd w:id="1246"/>
      <w:r w:rsidRPr="00B5072B">
        <w:t xml:space="preserve">. </w:t>
      </w:r>
      <w:r w:rsidRPr="00A93D8C">
        <w:rPr>
          <w:i/>
        </w:rPr>
        <w:t xml:space="preserve">Mean abundance (% cover) (± Standard Error) of epiphytes and </w:t>
      </w:r>
      <w:proofErr w:type="spellStart"/>
      <w:r w:rsidRPr="00A93D8C">
        <w:rPr>
          <w:i/>
        </w:rPr>
        <w:t>macroalgae</w:t>
      </w:r>
      <w:proofErr w:type="spellEnd"/>
      <w:r w:rsidRPr="00A93D8C">
        <w:rPr>
          <w:i/>
        </w:rPr>
        <w:t xml:space="preserve"> at estuarine seagrass monitoring locations (sites pooled) in the Burnett Mary NRM region.</w:t>
      </w:r>
      <w:bookmarkEnd w:id="1247"/>
      <w:bookmarkEnd w:id="1248"/>
      <w:r w:rsidRPr="00285AB6">
        <w:rPr>
          <w:i/>
          <w:vanish/>
          <w:specVanish/>
        </w:rPr>
        <w:t xml:space="preserve"> </w:t>
      </w:r>
    </w:p>
    <w:p w:rsidR="00625C14" w:rsidRDefault="00625C14" w:rsidP="00625C14">
      <w:pPr>
        <w:spacing w:before="0"/>
        <w:rPr>
          <w:i/>
        </w:rPr>
      </w:pPr>
      <w:r w:rsidRPr="00A93D8C">
        <w:rPr>
          <w:i/>
        </w:rPr>
        <w:t xml:space="preserve"> Red line = GBR long-term average; epiphytes=15.4%, </w:t>
      </w:r>
      <w:proofErr w:type="spellStart"/>
      <w:r w:rsidRPr="00A93D8C">
        <w:rPr>
          <w:i/>
        </w:rPr>
        <w:t>macroalgae</w:t>
      </w:r>
      <w:proofErr w:type="spellEnd"/>
      <w:r w:rsidRPr="00A93D8C">
        <w:rPr>
          <w:i/>
        </w:rPr>
        <w:t xml:space="preserve">=2.6%.  </w:t>
      </w:r>
    </w:p>
    <w:p w:rsidR="001268E0" w:rsidRDefault="001268E0" w:rsidP="001268E0">
      <w:pPr>
        <w:rPr>
          <w:lang w:val="en-GB"/>
        </w:rPr>
      </w:pPr>
    </w:p>
    <w:p w:rsidR="001268E0" w:rsidRDefault="001268E0" w:rsidP="001268E0">
      <w:pPr>
        <w:rPr>
          <w:lang w:val="en-GB"/>
        </w:rPr>
      </w:pPr>
    </w:p>
    <w:p w:rsidR="001268E0" w:rsidRDefault="001268E0" w:rsidP="001268E0">
      <w:pPr>
        <w:rPr>
          <w:lang w:val="en-GB"/>
        </w:rPr>
      </w:pPr>
    </w:p>
    <w:p w:rsidR="001268E0" w:rsidRPr="001268E0" w:rsidRDefault="001268E0" w:rsidP="001268E0">
      <w:pPr>
        <w:rPr>
          <w:lang w:val="en-GB"/>
        </w:rPr>
      </w:pPr>
    </w:p>
    <w:p w:rsidR="001268E0" w:rsidRDefault="001268E0" w:rsidP="00625C14">
      <w:pPr>
        <w:rPr>
          <w:color w:val="000000"/>
          <w:szCs w:val="22"/>
        </w:rPr>
        <w:sectPr w:rsidR="001268E0" w:rsidSect="001268E0">
          <w:pgSz w:w="11906" w:h="16838"/>
          <w:pgMar w:top="1418" w:right="1418" w:bottom="1418" w:left="1418" w:header="709" w:footer="709" w:gutter="0"/>
          <w:cols w:space="720"/>
        </w:sectPr>
      </w:pPr>
    </w:p>
    <w:p w:rsidR="00925F0B" w:rsidRPr="00E150BC" w:rsidRDefault="00925F0B" w:rsidP="00E150BC">
      <w:pPr>
        <w:pStyle w:val="Heading3"/>
        <w:keepNext w:val="0"/>
        <w:widowControl w:val="0"/>
        <w:rPr>
          <w:rFonts w:asciiTheme="minorHAnsi" w:hAnsiTheme="minorHAnsi"/>
          <w:sz w:val="24"/>
          <w:szCs w:val="24"/>
        </w:rPr>
      </w:pPr>
      <w:bookmarkStart w:id="1249" w:name="_Toc462047409"/>
      <w:r w:rsidRPr="00E150BC">
        <w:rPr>
          <w:rFonts w:asciiTheme="minorHAnsi" w:hAnsiTheme="minorHAnsi"/>
          <w:sz w:val="24"/>
          <w:szCs w:val="24"/>
        </w:rPr>
        <w:lastRenderedPageBreak/>
        <w:t>Seagrass extent</w:t>
      </w:r>
      <w:bookmarkEnd w:id="1249"/>
    </w:p>
    <w:p w:rsidR="00925F0B" w:rsidRDefault="00925F0B" w:rsidP="00925F0B">
      <w:pPr>
        <w:ind w:left="540" w:hanging="540"/>
        <w:rPr>
          <w:color w:val="000000"/>
        </w:rPr>
      </w:pPr>
    </w:p>
    <w:p w:rsidR="007B1E97" w:rsidRPr="00517276" w:rsidRDefault="00925F0B" w:rsidP="007B1E97">
      <w:pPr>
        <w:jc w:val="center"/>
        <w:rPr>
          <w:i/>
          <w:vanish/>
          <w:color w:val="000000"/>
          <w:szCs w:val="22"/>
          <w:specVanish/>
        </w:rPr>
      </w:pPr>
      <w:bookmarkStart w:id="1250" w:name="_Toc462685116"/>
      <w:r>
        <w:t xml:space="preserve">Table </w:t>
      </w:r>
      <w:fldSimple w:instr=" SEQ Table \* ARABIC ">
        <w:r w:rsidR="009C068F">
          <w:rPr>
            <w:noProof/>
          </w:rPr>
          <w:t>47</w:t>
        </w:r>
      </w:fldSimple>
      <w:r>
        <w:t xml:space="preserve">. </w:t>
      </w:r>
      <w:r>
        <w:rPr>
          <w:i/>
        </w:rPr>
        <w:t>Proportion of area (within 100m radius of each monitoring site) which is covered by seagrass in the Cape York and Wet Tropics NRM regions.</w:t>
      </w:r>
      <w:bookmarkEnd w:id="1250"/>
      <w:r w:rsidR="007B1E97" w:rsidRPr="007B1E97">
        <w:rPr>
          <w:i/>
          <w:vanish/>
          <w:color w:val="000000"/>
          <w:szCs w:val="22"/>
          <w:specVanish/>
        </w:rPr>
        <w:t xml:space="preserve"> </w:t>
      </w:r>
    </w:p>
    <w:p w:rsidR="00925F0B" w:rsidRDefault="00925F0B" w:rsidP="00925F0B">
      <w:pPr>
        <w:jc w:val="center"/>
      </w:pPr>
      <w:r>
        <w:rPr>
          <w:i/>
        </w:rPr>
        <w:t xml:space="preserve"> For sites codes, see Table 5. Shading indicates area of seagrass declined &gt;5% (or absent) from previous assessment.</w:t>
      </w:r>
    </w:p>
    <w:p w:rsidR="00925F0B" w:rsidRDefault="00925F0B" w:rsidP="00925F0B">
      <w:pPr>
        <w:ind w:left="540" w:hanging="540"/>
        <w:rPr>
          <w:color w:val="000000"/>
        </w:rPr>
      </w:pPr>
    </w:p>
    <w:tbl>
      <w:tblPr>
        <w:tblW w:w="14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557"/>
        <w:gridCol w:w="602"/>
        <w:gridCol w:w="602"/>
        <w:gridCol w:w="603"/>
        <w:gridCol w:w="603"/>
        <w:gridCol w:w="603"/>
        <w:gridCol w:w="603"/>
        <w:gridCol w:w="603"/>
        <w:gridCol w:w="603"/>
        <w:gridCol w:w="603"/>
        <w:gridCol w:w="603"/>
        <w:gridCol w:w="700"/>
        <w:gridCol w:w="603"/>
        <w:gridCol w:w="603"/>
        <w:gridCol w:w="603"/>
        <w:gridCol w:w="700"/>
        <w:gridCol w:w="603"/>
        <w:gridCol w:w="603"/>
        <w:gridCol w:w="700"/>
        <w:gridCol w:w="700"/>
        <w:gridCol w:w="700"/>
        <w:gridCol w:w="547"/>
      </w:tblGrid>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bCs/>
                <w:color w:val="000000"/>
                <w:sz w:val="16"/>
                <w:szCs w:val="16"/>
                <w:lang w:eastAsia="en-AU"/>
              </w:rPr>
            </w:pPr>
            <w:r>
              <w:rPr>
                <w:b/>
                <w:bCs/>
                <w:color w:val="000000"/>
                <w:sz w:val="16"/>
                <w:szCs w:val="16"/>
                <w:lang w:eastAsia="en-AU"/>
              </w:rPr>
              <w:t>Date</w:t>
            </w:r>
          </w:p>
        </w:tc>
        <w:tc>
          <w:tcPr>
            <w:tcW w:w="55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SR1</w:t>
            </w:r>
          </w:p>
        </w:tc>
        <w:tc>
          <w:tcPr>
            <w:tcW w:w="602"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SR2</w:t>
            </w:r>
          </w:p>
        </w:tc>
        <w:tc>
          <w:tcPr>
            <w:tcW w:w="602"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FR1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FR2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ST1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ST2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BY1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BY2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AP1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AP2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LI1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LI2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YP1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YP2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GI1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GI2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GI3</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LB1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LB2</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DI1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DI2</w:t>
            </w:r>
          </w:p>
        </w:tc>
        <w:tc>
          <w:tcPr>
            <w:tcW w:w="5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DI3</w:t>
            </w: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Oct-05</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0.34</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Apr-06</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0.27</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Oct-06</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0.33</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Apr-07</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0.22</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Oct-07</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0.82</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0.22</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0.63</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0.76</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Apr-08</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0.27</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Oct-08</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0.54</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0.82</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0.36</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Apr-09</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0.62</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0.23</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0.60</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Oct-09</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0.42</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0.23</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0.62</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0.79</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Apr-10</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0.09</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0.75</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Oct-10</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0.79</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0.03</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0.62</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Apr-11</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0.002</w:t>
            </w:r>
          </w:p>
        </w:tc>
        <w:tc>
          <w:tcPr>
            <w:tcW w:w="5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rPr>
                <w:rFonts w:ascii="Times New Roman" w:hAnsi="Times New Roman"/>
                <w:sz w:val="20"/>
                <w:szCs w:val="20"/>
              </w:rPr>
            </w:pP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Oct-11</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0.05</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Apr-12</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0.94</w:t>
            </w: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0.03</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Oct-12</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0.93</w:t>
            </w: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0.05</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Apr-13</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0.94</w:t>
            </w: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0.89</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0.97</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0.001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0.38</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0.04</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0.12</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Oct-13</w:t>
            </w:r>
          </w:p>
        </w:tc>
        <w:tc>
          <w:tcPr>
            <w:tcW w:w="55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0.92</w:t>
            </w:r>
          </w:p>
        </w:tc>
        <w:tc>
          <w:tcPr>
            <w:tcW w:w="602"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0.91</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0.63</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0.002</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0.015</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0.24</w:t>
            </w:r>
          </w:p>
        </w:tc>
        <w:tc>
          <w:tcPr>
            <w:tcW w:w="70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0.21</w:t>
            </w:r>
          </w:p>
        </w:tc>
        <w:tc>
          <w:tcPr>
            <w:tcW w:w="5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Apr-14</w:t>
            </w:r>
          </w:p>
        </w:tc>
        <w:tc>
          <w:tcPr>
            <w:tcW w:w="557"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0.92</w:t>
            </w:r>
          </w:p>
        </w:tc>
        <w:tc>
          <w:tcPr>
            <w:tcW w:w="602"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0.93</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700"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0.002</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0.46</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0.61</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0.97</w:t>
            </w:r>
          </w:p>
        </w:tc>
        <w:tc>
          <w:tcPr>
            <w:tcW w:w="700"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0.85</w:t>
            </w:r>
          </w:p>
        </w:tc>
        <w:tc>
          <w:tcPr>
            <w:tcW w:w="603" w:type="dxa"/>
            <w:tcBorders>
              <w:top w:val="single" w:sz="4" w:space="0" w:color="auto"/>
              <w:left w:val="single" w:sz="4" w:space="0" w:color="auto"/>
              <w:bottom w:val="single" w:sz="4" w:space="0" w:color="auto"/>
              <w:right w:val="single" w:sz="4" w:space="0" w:color="auto"/>
            </w:tcBorders>
            <w:shd w:val="clear" w:color="auto" w:fill="CCFFCC"/>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3"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0.28</w:t>
            </w:r>
          </w:p>
        </w:tc>
        <w:tc>
          <w:tcPr>
            <w:tcW w:w="700"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0.24</w:t>
            </w:r>
          </w:p>
        </w:tc>
        <w:tc>
          <w:tcPr>
            <w:tcW w:w="547"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Oct-14</w:t>
            </w:r>
          </w:p>
        </w:tc>
        <w:tc>
          <w:tcPr>
            <w:tcW w:w="557"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0.91</w:t>
            </w:r>
          </w:p>
        </w:tc>
        <w:tc>
          <w:tcPr>
            <w:tcW w:w="602"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0.90</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0.70</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0.95</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1.68</w:t>
            </w:r>
          </w:p>
        </w:tc>
        <w:tc>
          <w:tcPr>
            <w:tcW w:w="700"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shd w:val="clear" w:color="auto" w:fill="CCFFCC"/>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0.36</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0.32</w:t>
            </w:r>
          </w:p>
        </w:tc>
        <w:tc>
          <w:tcPr>
            <w:tcW w:w="700"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0.31</w:t>
            </w:r>
          </w:p>
        </w:tc>
        <w:tc>
          <w:tcPr>
            <w:tcW w:w="547"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1.00</w:t>
            </w:r>
          </w:p>
        </w:tc>
      </w:tr>
      <w:tr w:rsidR="00925F0B" w:rsidTr="00805748">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Apr-15</w:t>
            </w:r>
          </w:p>
        </w:tc>
        <w:tc>
          <w:tcPr>
            <w:tcW w:w="557"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0.93</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0.29</w:t>
            </w:r>
          </w:p>
        </w:tc>
        <w:tc>
          <w:tcPr>
            <w:tcW w:w="603"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0.49</w:t>
            </w:r>
          </w:p>
        </w:tc>
        <w:tc>
          <w:tcPr>
            <w:tcW w:w="603"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0.97</w:t>
            </w:r>
          </w:p>
        </w:tc>
        <w:tc>
          <w:tcPr>
            <w:tcW w:w="700"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0.85</w:t>
            </w:r>
          </w:p>
        </w:tc>
        <w:tc>
          <w:tcPr>
            <w:tcW w:w="603"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0.31</w:t>
            </w:r>
          </w:p>
        </w:tc>
        <w:tc>
          <w:tcPr>
            <w:tcW w:w="700"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0.37</w:t>
            </w:r>
          </w:p>
        </w:tc>
        <w:tc>
          <w:tcPr>
            <w:tcW w:w="547"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r>
    </w:tbl>
    <w:p w:rsidR="00925F0B" w:rsidRDefault="00925F0B" w:rsidP="00925F0B">
      <w:pPr>
        <w:ind w:left="540" w:hanging="540"/>
        <w:rPr>
          <w:color w:val="000000"/>
        </w:rPr>
      </w:pPr>
    </w:p>
    <w:p w:rsidR="00925F0B" w:rsidRDefault="00925F0B" w:rsidP="00925F0B">
      <w:pPr>
        <w:ind w:left="540" w:hanging="540"/>
        <w:rPr>
          <w:color w:val="000000"/>
        </w:rPr>
      </w:pPr>
    </w:p>
    <w:p w:rsidR="00925F0B" w:rsidRDefault="00925F0B" w:rsidP="00925F0B">
      <w:pPr>
        <w:ind w:left="540" w:hanging="540"/>
        <w:rPr>
          <w:color w:val="000000"/>
        </w:rPr>
      </w:pPr>
    </w:p>
    <w:p w:rsidR="007B1E97" w:rsidRPr="00517276" w:rsidRDefault="00925F0B" w:rsidP="007B1E97">
      <w:pPr>
        <w:jc w:val="center"/>
        <w:rPr>
          <w:i/>
          <w:vanish/>
          <w:color w:val="000000"/>
          <w:szCs w:val="22"/>
          <w:specVanish/>
        </w:rPr>
      </w:pPr>
      <w:bookmarkStart w:id="1251" w:name="_Toc462685117"/>
      <w:r>
        <w:t xml:space="preserve">Table </w:t>
      </w:r>
      <w:fldSimple w:instr=" SEQ Table \* ARABIC ">
        <w:r w:rsidR="009C068F">
          <w:rPr>
            <w:noProof/>
          </w:rPr>
          <w:t>48</w:t>
        </w:r>
      </w:fldSimple>
      <w:r>
        <w:t xml:space="preserve">. </w:t>
      </w:r>
      <w:r>
        <w:rPr>
          <w:i/>
        </w:rPr>
        <w:t>Proportion of area (within 100m radius of each monitoring site) which is covered by seagrass in the Burdekin, Mackay Whitsunday, Fitzroy and Burnett Mary NRM regions.</w:t>
      </w:r>
      <w:bookmarkEnd w:id="1251"/>
      <w:r w:rsidR="007B1E97" w:rsidRPr="007B1E97">
        <w:rPr>
          <w:i/>
          <w:vanish/>
          <w:color w:val="000000"/>
          <w:szCs w:val="22"/>
          <w:specVanish/>
        </w:rPr>
        <w:t xml:space="preserve"> </w:t>
      </w:r>
    </w:p>
    <w:p w:rsidR="00925F0B" w:rsidRDefault="00925F0B" w:rsidP="00925F0B">
      <w:pPr>
        <w:jc w:val="center"/>
      </w:pPr>
      <w:r>
        <w:rPr>
          <w:i/>
        </w:rPr>
        <w:t xml:space="preserve"> For sites codes, see Table 5. Shading indicates area of seagrass declined &gt;5% (or absent) from previous assessment</w:t>
      </w:r>
    </w:p>
    <w:p w:rsidR="00925F0B" w:rsidRDefault="00925F0B" w:rsidP="00925F0B">
      <w:pPr>
        <w:ind w:left="540" w:hanging="540"/>
        <w:rPr>
          <w:color w:val="000000"/>
        </w:rPr>
      </w:pPr>
    </w:p>
    <w:tbl>
      <w:tblPr>
        <w:tblW w:w="16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606"/>
        <w:gridCol w:w="606"/>
        <w:gridCol w:w="705"/>
        <w:gridCol w:w="605"/>
        <w:gridCol w:w="605"/>
        <w:gridCol w:w="520"/>
        <w:gridCol w:w="605"/>
        <w:gridCol w:w="605"/>
        <w:gridCol w:w="605"/>
        <w:gridCol w:w="647"/>
        <w:gridCol w:w="647"/>
        <w:gridCol w:w="602"/>
        <w:gridCol w:w="602"/>
        <w:gridCol w:w="605"/>
        <w:gridCol w:w="605"/>
        <w:gridCol w:w="569"/>
        <w:gridCol w:w="654"/>
        <w:gridCol w:w="605"/>
        <w:gridCol w:w="605"/>
        <w:gridCol w:w="605"/>
        <w:gridCol w:w="605"/>
        <w:gridCol w:w="605"/>
        <w:gridCol w:w="605"/>
        <w:gridCol w:w="704"/>
        <w:gridCol w:w="607"/>
      </w:tblGrid>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jc w:val="center"/>
              <w:rPr>
                <w:b/>
                <w:bCs/>
                <w:color w:val="000000"/>
                <w:sz w:val="16"/>
                <w:szCs w:val="16"/>
                <w:lang w:eastAsia="en-AU"/>
              </w:rPr>
            </w:pPr>
            <w:r>
              <w:rPr>
                <w:b/>
                <w:bCs/>
                <w:color w:val="000000"/>
                <w:sz w:val="16"/>
                <w:szCs w:val="16"/>
                <w:lang w:eastAsia="en-AU"/>
              </w:rPr>
              <w:t>Date</w:t>
            </w:r>
          </w:p>
        </w:tc>
        <w:tc>
          <w:tcPr>
            <w:tcW w:w="606"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BB1</w:t>
            </w:r>
          </w:p>
        </w:tc>
        <w:tc>
          <w:tcPr>
            <w:tcW w:w="606"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SB1</w:t>
            </w:r>
          </w:p>
        </w:tc>
        <w:tc>
          <w:tcPr>
            <w:tcW w:w="7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MI1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MI2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MI3</w:t>
            </w:r>
          </w:p>
        </w:tc>
        <w:tc>
          <w:tcPr>
            <w:tcW w:w="52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JR1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JR2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PI2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PI3</w:t>
            </w:r>
          </w:p>
        </w:tc>
        <w:tc>
          <w:tcPr>
            <w:tcW w:w="6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HM1</w:t>
            </w:r>
          </w:p>
        </w:tc>
        <w:tc>
          <w:tcPr>
            <w:tcW w:w="6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HM2</w:t>
            </w:r>
          </w:p>
        </w:tc>
        <w:tc>
          <w:tcPr>
            <w:tcW w:w="602" w:type="dxa"/>
            <w:tcBorders>
              <w:top w:val="single" w:sz="4" w:space="0" w:color="auto"/>
              <w:left w:val="single" w:sz="4" w:space="0" w:color="auto"/>
              <w:bottom w:val="single" w:sz="4" w:space="0" w:color="auto"/>
              <w:right w:val="single" w:sz="4" w:space="0" w:color="auto"/>
            </w:tcBorders>
            <w:shd w:val="clear" w:color="auto" w:fill="BBE0E3"/>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MP2</w:t>
            </w:r>
          </w:p>
        </w:tc>
        <w:tc>
          <w:tcPr>
            <w:tcW w:w="602" w:type="dxa"/>
            <w:tcBorders>
              <w:top w:val="single" w:sz="4" w:space="0" w:color="auto"/>
              <w:left w:val="single" w:sz="4" w:space="0" w:color="auto"/>
              <w:bottom w:val="single" w:sz="4" w:space="0" w:color="auto"/>
              <w:right w:val="single" w:sz="4" w:space="0" w:color="auto"/>
            </w:tcBorders>
            <w:shd w:val="clear" w:color="auto" w:fill="BBE0E3"/>
            <w:vAlign w:val="center"/>
            <w:hideMark/>
          </w:tcPr>
          <w:p w:rsidR="00925F0B" w:rsidRDefault="00925F0B" w:rsidP="00805748">
            <w:pPr>
              <w:spacing w:before="0" w:after="0"/>
              <w:jc w:val="center"/>
              <w:rPr>
                <w:b/>
                <w:color w:val="000000"/>
                <w:sz w:val="16"/>
                <w:szCs w:val="16"/>
                <w:lang w:eastAsia="en-AU"/>
              </w:rPr>
            </w:pPr>
            <w:r>
              <w:rPr>
                <w:b/>
                <w:color w:val="000000"/>
                <w:sz w:val="16"/>
                <w:szCs w:val="16"/>
                <w:lang w:eastAsia="en-AU"/>
              </w:rPr>
              <w:t>MP3</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SI1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SI2</w:t>
            </w:r>
          </w:p>
        </w:tc>
        <w:tc>
          <w:tcPr>
            <w:tcW w:w="569"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RC1</w:t>
            </w:r>
          </w:p>
        </w:tc>
        <w:tc>
          <w:tcPr>
            <w:tcW w:w="654"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WH1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GH1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GH2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GK1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GK2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RD1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RD2</w:t>
            </w:r>
          </w:p>
        </w:tc>
        <w:tc>
          <w:tcPr>
            <w:tcW w:w="704"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UG1</w:t>
            </w:r>
          </w:p>
        </w:tc>
        <w:tc>
          <w:tcPr>
            <w:tcW w:w="60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rsidR="00925F0B" w:rsidRDefault="00925F0B" w:rsidP="00805748">
            <w:pPr>
              <w:spacing w:before="0" w:after="0"/>
              <w:rPr>
                <w:b/>
                <w:color w:val="000000"/>
                <w:sz w:val="16"/>
                <w:szCs w:val="16"/>
                <w:lang w:eastAsia="en-AU"/>
              </w:rPr>
            </w:pPr>
            <w:r>
              <w:rPr>
                <w:b/>
                <w:color w:val="000000"/>
                <w:sz w:val="16"/>
                <w:szCs w:val="16"/>
                <w:lang w:eastAsia="en-AU"/>
              </w:rPr>
              <w:t>UG2</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Oct-05</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0.81</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0.55</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0.65</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0.46</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0.64</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0.71</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Apr-06</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0.66</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0.64</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0.38</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w:t>
            </w:r>
            <w:r>
              <w:rPr>
                <w:color w:val="000000"/>
                <w:sz w:val="16"/>
                <w:szCs w:val="16"/>
                <w:shd w:val="clear" w:color="auto" w:fill="E6E6E6"/>
                <w:lang w:eastAsia="en-AU"/>
              </w:rPr>
              <w:t>7</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Oct-06</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0.54</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0.74</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0.84</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Apr-07</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0.74</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0.84</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Oct-07</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0.85</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0.12</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0.66</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0.001</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Apr-08</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0.39</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0.79</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0.34</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0.35</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0.24</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0.65</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0.07</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0.29</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Oct-08</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0.31</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0.81</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0.28</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0.07</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0.71</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0.94</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0.06</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0.52</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Apr-09</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0.43</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0.22</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0.85</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0.84</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0.25</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0.27</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0.66</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60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0.09</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Oct-09</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0.51</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0.91</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w:t>
            </w:r>
            <w:r>
              <w:rPr>
                <w:color w:val="000000"/>
                <w:sz w:val="16"/>
                <w:szCs w:val="16"/>
                <w:shd w:val="clear" w:color="auto" w:fill="CCFFCC"/>
                <w:lang w:eastAsia="en-AU"/>
              </w:rPr>
              <w:t>8</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0.02</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0.47</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0.46</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0.51</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0.06</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0.19</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Apr-10</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0.47</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0.39</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0.13</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0.17</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0.74</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0.34</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Oct-10</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0.21</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0.75</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0.26</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0.27</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0.23</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0.27</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Apr-11</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0.48</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0.05</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0.19</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0.15</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0.05</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0.04</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0.02</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0.06</w:t>
            </w:r>
          </w:p>
        </w:tc>
        <w:tc>
          <w:tcPr>
            <w:tcW w:w="60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0.38</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0.16</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0.75</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0.63</w:t>
            </w: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0.16</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0.32</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0.03</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0.69</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0.25</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0.05</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0.01</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0.07</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0.43</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Apr-12</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0.21</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0.16</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0.34</w:t>
            </w: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0.49</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0.54</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0.03</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0.09</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0.54</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Oct-12</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0.94</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0.97</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0.39</w:t>
            </w: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0.64</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0.05</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0.38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r>
              <w:rPr>
                <w:color w:val="000000"/>
                <w:sz w:val="16"/>
                <w:szCs w:val="16"/>
                <w:shd w:val="clear" w:color="auto" w:fill="CCFFCC"/>
                <w:lang w:eastAsia="en-AU"/>
              </w:rPr>
              <w:t>1</w:t>
            </w:r>
            <w:r>
              <w:rPr>
                <w:color w:val="000000"/>
                <w:sz w:val="16"/>
                <w:szCs w:val="16"/>
                <w:lang w:eastAsia="en-AU"/>
              </w:rPr>
              <w:t>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0.03</w:t>
            </w:r>
          </w:p>
        </w:tc>
        <w:tc>
          <w:tcPr>
            <w:tcW w:w="704"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Apr-13</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0.87</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w:t>
            </w: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0.62</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0.21</w:t>
            </w:r>
          </w:p>
        </w:tc>
        <w:tc>
          <w:tcPr>
            <w:tcW w:w="60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0.61</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Oct-13</w:t>
            </w:r>
          </w:p>
        </w:tc>
        <w:tc>
          <w:tcPr>
            <w:tcW w:w="606"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7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0.59</w:t>
            </w:r>
          </w:p>
        </w:tc>
        <w:tc>
          <w:tcPr>
            <w:tcW w:w="520"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0.95</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6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0.06</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0.76</w:t>
            </w:r>
          </w:p>
        </w:tc>
        <w:tc>
          <w:tcPr>
            <w:tcW w:w="569"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0.86</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0.15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w:t>
            </w:r>
          </w:p>
        </w:tc>
        <w:tc>
          <w:tcPr>
            <w:tcW w:w="60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0.53</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Apr-14</w:t>
            </w:r>
          </w:p>
        </w:tc>
        <w:tc>
          <w:tcPr>
            <w:tcW w:w="606"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705"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0.53</w:t>
            </w:r>
          </w:p>
        </w:tc>
        <w:tc>
          <w:tcPr>
            <w:tcW w:w="605"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rsidR="00925F0B" w:rsidRDefault="00925F0B" w:rsidP="00805748">
            <w:pPr>
              <w:spacing w:before="0" w:after="0"/>
              <w:jc w:val="center"/>
              <w:rPr>
                <w:color w:val="000000"/>
                <w:sz w:val="16"/>
                <w:szCs w:val="16"/>
                <w:lang w:eastAsia="en-AU"/>
              </w:rPr>
            </w:pPr>
            <w:r>
              <w:rPr>
                <w:color w:val="000000"/>
                <w:sz w:val="16"/>
                <w:szCs w:val="16"/>
                <w:shd w:val="clear" w:color="auto" w:fill="CCFFCC"/>
                <w:lang w:eastAsia="en-AU"/>
              </w:rPr>
              <w:t>0</w:t>
            </w:r>
            <w:r>
              <w:rPr>
                <w:color w:val="000000"/>
                <w:sz w:val="16"/>
                <w:szCs w:val="16"/>
                <w:lang w:eastAsia="en-AU"/>
              </w:rPr>
              <w:t>.34</w:t>
            </w:r>
          </w:p>
        </w:tc>
        <w:tc>
          <w:tcPr>
            <w:tcW w:w="520"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0.97</w:t>
            </w:r>
          </w:p>
        </w:tc>
        <w:tc>
          <w:tcPr>
            <w:tcW w:w="605"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0.97</w:t>
            </w:r>
          </w:p>
        </w:tc>
        <w:tc>
          <w:tcPr>
            <w:tcW w:w="647" w:type="dxa"/>
            <w:tcBorders>
              <w:top w:val="single" w:sz="4" w:space="0" w:color="auto"/>
              <w:left w:val="single" w:sz="4" w:space="0" w:color="auto"/>
              <w:bottom w:val="single" w:sz="4" w:space="0" w:color="auto"/>
              <w:right w:val="single" w:sz="4" w:space="0" w:color="auto"/>
            </w:tcBorders>
            <w:shd w:val="clear" w:color="auto" w:fill="CCFFCC"/>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0.53</w:t>
            </w:r>
          </w:p>
        </w:tc>
        <w:tc>
          <w:tcPr>
            <w:tcW w:w="647"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0.67</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0.69</w:t>
            </w:r>
          </w:p>
        </w:tc>
        <w:tc>
          <w:tcPr>
            <w:tcW w:w="569"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0.85</w:t>
            </w:r>
          </w:p>
        </w:tc>
        <w:tc>
          <w:tcPr>
            <w:tcW w:w="605"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0.28</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0.04</w:t>
            </w:r>
          </w:p>
        </w:tc>
        <w:tc>
          <w:tcPr>
            <w:tcW w:w="605"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0.02</w:t>
            </w:r>
          </w:p>
        </w:tc>
        <w:tc>
          <w:tcPr>
            <w:tcW w:w="605"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0.02</w:t>
            </w:r>
          </w:p>
        </w:tc>
        <w:tc>
          <w:tcPr>
            <w:tcW w:w="704"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0.27</w:t>
            </w:r>
          </w:p>
        </w:tc>
        <w:tc>
          <w:tcPr>
            <w:tcW w:w="607"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center"/>
              <w:rPr>
                <w:color w:val="000000"/>
                <w:sz w:val="16"/>
                <w:szCs w:val="16"/>
                <w:lang w:eastAsia="en-AU"/>
              </w:rPr>
            </w:pPr>
            <w:r>
              <w:rPr>
                <w:color w:val="000000"/>
                <w:sz w:val="16"/>
                <w:szCs w:val="16"/>
                <w:lang w:eastAsia="en-AU"/>
              </w:rPr>
              <w:t>0.64</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Oct-14</w:t>
            </w:r>
          </w:p>
        </w:tc>
        <w:tc>
          <w:tcPr>
            <w:tcW w:w="606"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7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0.55</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0.80</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47" w:type="dxa"/>
            <w:tcBorders>
              <w:top w:val="single" w:sz="4" w:space="0" w:color="auto"/>
              <w:left w:val="single" w:sz="4" w:space="0" w:color="auto"/>
              <w:bottom w:val="single" w:sz="4" w:space="0" w:color="auto"/>
              <w:right w:val="single" w:sz="4" w:space="0" w:color="auto"/>
            </w:tcBorders>
            <w:shd w:val="clear" w:color="auto" w:fill="CCFFCC"/>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0.21</w:t>
            </w:r>
          </w:p>
        </w:tc>
        <w:tc>
          <w:tcPr>
            <w:tcW w:w="647"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0.08</w:t>
            </w:r>
          </w:p>
        </w:tc>
        <w:tc>
          <w:tcPr>
            <w:tcW w:w="602"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602"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0.71</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0.80</w:t>
            </w:r>
          </w:p>
        </w:tc>
        <w:tc>
          <w:tcPr>
            <w:tcW w:w="569"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0.92</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0.50</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0.69</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0.28</w:t>
            </w:r>
          </w:p>
        </w:tc>
        <w:tc>
          <w:tcPr>
            <w:tcW w:w="605"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0.45</w:t>
            </w:r>
          </w:p>
        </w:tc>
        <w:tc>
          <w:tcPr>
            <w:tcW w:w="704"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0.71</w:t>
            </w:r>
          </w:p>
        </w:tc>
        <w:tc>
          <w:tcPr>
            <w:tcW w:w="607"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0.81</w:t>
            </w:r>
          </w:p>
        </w:tc>
      </w:tr>
      <w:tr w:rsidR="00925F0B" w:rsidTr="00805748">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rsidR="00925F0B" w:rsidRDefault="00925F0B" w:rsidP="00805748">
            <w:pPr>
              <w:spacing w:before="0" w:after="0"/>
              <w:jc w:val="right"/>
              <w:rPr>
                <w:b/>
                <w:bCs/>
                <w:color w:val="000000"/>
                <w:sz w:val="16"/>
                <w:szCs w:val="16"/>
                <w:lang w:eastAsia="en-AU"/>
              </w:rPr>
            </w:pPr>
            <w:r>
              <w:rPr>
                <w:b/>
                <w:bCs/>
                <w:color w:val="000000"/>
                <w:sz w:val="16"/>
                <w:szCs w:val="16"/>
                <w:lang w:eastAsia="en-AU"/>
              </w:rPr>
              <w:t>Apr-15</w:t>
            </w:r>
          </w:p>
        </w:tc>
        <w:tc>
          <w:tcPr>
            <w:tcW w:w="606"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0.96</w:t>
            </w:r>
          </w:p>
        </w:tc>
        <w:tc>
          <w:tcPr>
            <w:tcW w:w="705"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0.55</w:t>
            </w:r>
          </w:p>
        </w:tc>
        <w:tc>
          <w:tcPr>
            <w:tcW w:w="605"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0.80</w:t>
            </w:r>
          </w:p>
        </w:tc>
        <w:tc>
          <w:tcPr>
            <w:tcW w:w="605"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47"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0.21</w:t>
            </w:r>
          </w:p>
        </w:tc>
        <w:tc>
          <w:tcPr>
            <w:tcW w:w="647"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0.03</w:t>
            </w:r>
          </w:p>
        </w:tc>
        <w:tc>
          <w:tcPr>
            <w:tcW w:w="602"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602" w:type="dxa"/>
            <w:tcBorders>
              <w:top w:val="single" w:sz="4" w:space="0" w:color="auto"/>
              <w:left w:val="single" w:sz="4" w:space="0" w:color="auto"/>
              <w:bottom w:val="single" w:sz="4" w:space="0" w:color="auto"/>
              <w:right w:val="single" w:sz="4" w:space="0" w:color="auto"/>
            </w:tcBorders>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0.58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0.72</w:t>
            </w:r>
          </w:p>
        </w:tc>
        <w:tc>
          <w:tcPr>
            <w:tcW w:w="569"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54"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bottom"/>
          </w:tcPr>
          <w:p w:rsidR="00925F0B" w:rsidRDefault="00925F0B" w:rsidP="00805748">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0.93</w:t>
            </w:r>
          </w:p>
        </w:tc>
        <w:tc>
          <w:tcPr>
            <w:tcW w:w="607" w:type="dxa"/>
            <w:tcBorders>
              <w:top w:val="single" w:sz="4" w:space="0" w:color="auto"/>
              <w:left w:val="single" w:sz="4" w:space="0" w:color="auto"/>
              <w:bottom w:val="single" w:sz="4" w:space="0" w:color="auto"/>
              <w:right w:val="single" w:sz="4" w:space="0" w:color="auto"/>
            </w:tcBorders>
            <w:noWrap/>
            <w:vAlign w:val="bottom"/>
            <w:hideMark/>
          </w:tcPr>
          <w:p w:rsidR="00925F0B" w:rsidRDefault="00925F0B" w:rsidP="00805748">
            <w:pPr>
              <w:spacing w:before="0" w:after="0"/>
              <w:jc w:val="center"/>
              <w:rPr>
                <w:color w:val="000000"/>
                <w:sz w:val="16"/>
                <w:szCs w:val="16"/>
                <w:lang w:eastAsia="en-AU"/>
              </w:rPr>
            </w:pPr>
            <w:r>
              <w:rPr>
                <w:color w:val="000000"/>
                <w:sz w:val="16"/>
                <w:szCs w:val="16"/>
                <w:lang w:eastAsia="en-AU"/>
              </w:rPr>
              <w:t>0.81</w:t>
            </w:r>
          </w:p>
        </w:tc>
      </w:tr>
    </w:tbl>
    <w:p w:rsidR="00925F0B" w:rsidRDefault="00925F0B" w:rsidP="00925F0B">
      <w:pPr>
        <w:ind w:left="540" w:hanging="540"/>
        <w:rPr>
          <w:color w:val="000000"/>
        </w:rPr>
      </w:pPr>
    </w:p>
    <w:p w:rsidR="00925F0B" w:rsidRDefault="00925F0B" w:rsidP="00925F0B">
      <w:pPr>
        <w:ind w:left="540" w:hanging="540"/>
        <w:rPr>
          <w:color w:val="000000"/>
        </w:rPr>
      </w:pPr>
    </w:p>
    <w:p w:rsidR="00925F0B" w:rsidRDefault="00925F0B" w:rsidP="00925F0B">
      <w:pPr>
        <w:spacing w:before="0" w:after="0"/>
        <w:rPr>
          <w:color w:val="000000"/>
          <w:szCs w:val="22"/>
        </w:rPr>
        <w:sectPr w:rsidR="00925F0B">
          <w:pgSz w:w="16838" w:h="11906" w:orient="landscape"/>
          <w:pgMar w:top="1418" w:right="1418" w:bottom="1418" w:left="1418" w:header="709" w:footer="709" w:gutter="0"/>
          <w:cols w:space="720"/>
        </w:sectPr>
      </w:pPr>
    </w:p>
    <w:p w:rsidR="00925F0B" w:rsidRPr="00E150BC" w:rsidRDefault="00925F0B" w:rsidP="00E150BC">
      <w:pPr>
        <w:pStyle w:val="Heading3"/>
        <w:keepNext w:val="0"/>
        <w:widowControl w:val="0"/>
        <w:rPr>
          <w:rFonts w:asciiTheme="minorHAnsi" w:hAnsiTheme="minorHAnsi"/>
          <w:sz w:val="24"/>
          <w:szCs w:val="24"/>
        </w:rPr>
      </w:pPr>
      <w:bookmarkStart w:id="1252" w:name="_Toc462047410"/>
      <w:r w:rsidRPr="00E150BC">
        <w:rPr>
          <w:rFonts w:asciiTheme="minorHAnsi" w:hAnsiTheme="minorHAnsi"/>
          <w:sz w:val="24"/>
          <w:szCs w:val="24"/>
        </w:rPr>
        <w:lastRenderedPageBreak/>
        <w:t>Species composition and distribution</w:t>
      </w:r>
      <w:bookmarkEnd w:id="1252"/>
    </w:p>
    <w:p w:rsidR="00925F0B" w:rsidRDefault="00925F0B" w:rsidP="00925F0B">
      <w:pPr>
        <w:rPr>
          <w:color w:val="000000"/>
          <w:szCs w:val="22"/>
        </w:rPr>
      </w:pPr>
    </w:p>
    <w:p w:rsidR="00925F0B" w:rsidRDefault="00925F0B" w:rsidP="00925F0B">
      <w:pPr>
        <w:rPr>
          <w:color w:val="000000"/>
          <w:szCs w:val="22"/>
        </w:rPr>
      </w:pPr>
      <w:r>
        <w:rPr>
          <w:noProof/>
          <w:color w:val="000000"/>
          <w:szCs w:val="22"/>
          <w:lang w:eastAsia="en-AU"/>
        </w:rPr>
        <w:drawing>
          <wp:inline distT="0" distB="0" distL="0" distR="0" wp14:anchorId="7255B484" wp14:editId="5CFB2795">
            <wp:extent cx="5759450" cy="7228840"/>
            <wp:effectExtent l="0" t="0" r="0" b="0"/>
            <wp:docPr id="86" name="Picture 86" descr="Map with set of bar graphs showing location and species composition of each long-term seagrass monitoring site in the Cape York region from 2004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e_York_NRM_2015.png"/>
                    <pic:cNvPicPr/>
                  </pic:nvPicPr>
                  <pic:blipFill>
                    <a:blip r:embed="rId311" cstate="print">
                      <a:extLst>
                        <a:ext uri="{28A0092B-C50C-407E-A947-70E740481C1C}">
                          <a14:useLocalDpi xmlns:a14="http://schemas.microsoft.com/office/drawing/2010/main" val="0"/>
                        </a:ext>
                      </a:extLst>
                    </a:blip>
                    <a:stretch>
                      <a:fillRect/>
                    </a:stretch>
                  </pic:blipFill>
                  <pic:spPr>
                    <a:xfrm>
                      <a:off x="0" y="0"/>
                      <a:ext cx="5759450" cy="7228840"/>
                    </a:xfrm>
                    <a:prstGeom prst="rect">
                      <a:avLst/>
                    </a:prstGeom>
                  </pic:spPr>
                </pic:pic>
              </a:graphicData>
            </a:graphic>
          </wp:inline>
        </w:drawing>
      </w:r>
    </w:p>
    <w:p w:rsidR="00603D74" w:rsidRPr="00517276" w:rsidRDefault="00925F0B" w:rsidP="00603D74">
      <w:pPr>
        <w:rPr>
          <w:i/>
          <w:vanish/>
          <w:color w:val="000000"/>
          <w:szCs w:val="22"/>
          <w:specVanish/>
        </w:rPr>
      </w:pPr>
      <w:bookmarkStart w:id="1253" w:name="_Ref442553657"/>
      <w:bookmarkStart w:id="1254" w:name="_Toc462685055"/>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215</w:t>
      </w:r>
      <w:r w:rsidR="0073595B">
        <w:rPr>
          <w:color w:val="000000"/>
        </w:rPr>
        <w:fldChar w:fldCharType="end"/>
      </w:r>
      <w:bookmarkEnd w:id="1253"/>
      <w:r>
        <w:rPr>
          <w:color w:val="000000"/>
        </w:rPr>
        <w:t xml:space="preserve">. </w:t>
      </w:r>
      <w:r>
        <w:rPr>
          <w:i/>
          <w:color w:val="000000"/>
        </w:rPr>
        <w:t>Location and species composition of each long-term seagrass monitoring site (MMP) in the Cape York region.</w:t>
      </w:r>
      <w:bookmarkEnd w:id="1254"/>
    </w:p>
    <w:p w:rsidR="00925F0B" w:rsidRPr="00E150BC" w:rsidRDefault="00925F0B" w:rsidP="00603D74">
      <w:pPr>
        <w:rPr>
          <w:i/>
        </w:rPr>
      </w:pPr>
      <w:r>
        <w:rPr>
          <w:i/>
          <w:color w:val="000000"/>
        </w:rPr>
        <w:t xml:space="preserve"> Please note: replicate sites within 500m of each other. Also shown is </w:t>
      </w:r>
      <w:r w:rsidRPr="00E150BC">
        <w:rPr>
          <w:i/>
        </w:rPr>
        <w:t xml:space="preserve">distribution of seagrass as the modelled distribution (including likelihood of presence from 0.5-1.0 </w:t>
      </w:r>
      <w:hyperlink w:anchor="_ENREF_180" w:tooltip="McKenzie, 2010 #9646" w:history="1">
        <w:r w:rsidR="00E6043D" w:rsidRPr="00E150BC">
          <w:rPr>
            <w:i/>
          </w:rPr>
          <w:fldChar w:fldCharType="begin"/>
        </w:r>
        <w:r w:rsidR="00E6043D" w:rsidRPr="00E150BC">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sidRPr="00E150BC">
          <w:rPr>
            <w:i/>
          </w:rPr>
          <w:fldChar w:fldCharType="separate"/>
        </w:r>
        <w:r w:rsidR="00E6043D" w:rsidRPr="00E150BC">
          <w:rPr>
            <w:i/>
            <w:noProof/>
          </w:rPr>
          <w:t>McKenzie, et al. 2010c</w:t>
        </w:r>
        <w:r w:rsidR="00E6043D" w:rsidRPr="00E150BC">
          <w:rPr>
            <w:i/>
          </w:rPr>
          <w:fldChar w:fldCharType="end"/>
        </w:r>
      </w:hyperlink>
      <w:r w:rsidRPr="00E150BC">
        <w:rPr>
          <w:i/>
        </w:rPr>
        <w:t>) and composite of mapped distribution (</w:t>
      </w:r>
      <w:hyperlink w:anchor="_ENREF_181" w:tooltip="McKenzie, 2014 #9838" w:history="1">
        <w:r w:rsidR="00E6043D" w:rsidRPr="00E150BC">
          <w:rPr>
            <w:i/>
          </w:rPr>
          <w:fldChar w:fldCharType="begin"/>
        </w:r>
        <w:r w:rsidR="00E6043D" w:rsidRPr="00E150BC">
          <w:rPr>
            <w:i/>
          </w:rPr>
          <w:instrText xml:space="preserve"> ADDIN EN.CITE &lt;EndNote&gt;&lt;Cite&gt;&lt;Author&gt;McKenzie&lt;/Author&gt;&lt;Year&gt;2014&lt;/Year&gt;&lt;RecNum&gt;9838&lt;/RecNum&gt;&lt;DisplayText&gt;McKenzie&lt;style face="italic"&gt; et al.&lt;/style&gt; 2014b&lt;/DisplayText&gt;&lt;record&gt;&lt;rec-number&gt;9838&lt;/rec-number&gt;&lt;foreign-keys&gt;&lt;key app="EN" db-id="0eve55x9y5vfd6e9dacxtew4eatve2dzds9a"&gt;9838&lt;/key&gt;&lt;/foreign-keys&gt;&lt;ref-type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E6043D" w:rsidRPr="00E150BC">
          <w:rPr>
            <w:i/>
          </w:rPr>
          <w:fldChar w:fldCharType="separate"/>
        </w:r>
        <w:r w:rsidR="00E6043D" w:rsidRPr="00E150BC">
          <w:rPr>
            <w:i/>
            <w:noProof/>
          </w:rPr>
          <w:t>McKenzie et al. 2014b</w:t>
        </w:r>
        <w:r w:rsidR="00E6043D" w:rsidRPr="00E150BC">
          <w:rPr>
            <w:i/>
          </w:rPr>
          <w:fldChar w:fldCharType="end"/>
        </w:r>
      </w:hyperlink>
      <w:r w:rsidRPr="00E150BC">
        <w:rPr>
          <w:i/>
        </w:rPr>
        <w:t xml:space="preserve">). </w:t>
      </w:r>
    </w:p>
    <w:p w:rsidR="00925F0B" w:rsidRDefault="00925F0B" w:rsidP="00925F0B">
      <w:pPr>
        <w:rPr>
          <w:color w:val="000000"/>
          <w:szCs w:val="22"/>
        </w:rPr>
      </w:pPr>
    </w:p>
    <w:p w:rsidR="00925F0B" w:rsidRDefault="00925F0B" w:rsidP="00925F0B">
      <w:pPr>
        <w:rPr>
          <w:color w:val="000000"/>
          <w:szCs w:val="22"/>
        </w:rPr>
      </w:pPr>
      <w:r>
        <w:rPr>
          <w:noProof/>
          <w:color w:val="000000"/>
          <w:szCs w:val="22"/>
          <w:lang w:eastAsia="en-AU"/>
        </w:rPr>
        <w:lastRenderedPageBreak/>
        <w:drawing>
          <wp:inline distT="0" distB="0" distL="0" distR="0" wp14:anchorId="2A2A743E" wp14:editId="39BA44B1">
            <wp:extent cx="5759450" cy="7221855"/>
            <wp:effectExtent l="0" t="0" r="0" b="0"/>
            <wp:docPr id="87" name="Picture 87" descr="Map with set of bar graphs showing location and species composition of each long-term seagrass monitoring site in the Wet Tropics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_tropics_NRM_2015.png"/>
                    <pic:cNvPicPr/>
                  </pic:nvPicPr>
                  <pic:blipFill>
                    <a:blip r:embed="rId312" cstate="print">
                      <a:extLst>
                        <a:ext uri="{28A0092B-C50C-407E-A947-70E740481C1C}">
                          <a14:useLocalDpi xmlns:a14="http://schemas.microsoft.com/office/drawing/2010/main" val="0"/>
                        </a:ext>
                      </a:extLst>
                    </a:blip>
                    <a:stretch>
                      <a:fillRect/>
                    </a:stretch>
                  </pic:blipFill>
                  <pic:spPr>
                    <a:xfrm>
                      <a:off x="0" y="0"/>
                      <a:ext cx="5759450" cy="7221855"/>
                    </a:xfrm>
                    <a:prstGeom prst="rect">
                      <a:avLst/>
                    </a:prstGeom>
                  </pic:spPr>
                </pic:pic>
              </a:graphicData>
            </a:graphic>
          </wp:inline>
        </w:drawing>
      </w:r>
    </w:p>
    <w:p w:rsidR="00603D74" w:rsidRPr="00517276" w:rsidRDefault="00925F0B" w:rsidP="00603D74">
      <w:pPr>
        <w:rPr>
          <w:i/>
          <w:vanish/>
          <w:color w:val="000000"/>
          <w:szCs w:val="22"/>
          <w:specVanish/>
        </w:rPr>
      </w:pPr>
      <w:bookmarkStart w:id="1255" w:name="_Ref442554072"/>
      <w:bookmarkStart w:id="1256" w:name="_Toc462685056"/>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216</w:t>
      </w:r>
      <w:r w:rsidR="0073595B">
        <w:rPr>
          <w:color w:val="000000"/>
        </w:rPr>
        <w:fldChar w:fldCharType="end"/>
      </w:r>
      <w:bookmarkEnd w:id="1255"/>
      <w:r>
        <w:rPr>
          <w:color w:val="000000"/>
        </w:rPr>
        <w:t xml:space="preserve">. </w:t>
      </w:r>
      <w:r>
        <w:rPr>
          <w:i/>
          <w:color w:val="000000"/>
        </w:rPr>
        <w:t xml:space="preserve">Location and species composition of each long-term seagrass monitoring site (MMP) in the Wet Tropics </w:t>
      </w:r>
      <w:proofErr w:type="spellStart"/>
      <w:r>
        <w:rPr>
          <w:i/>
          <w:color w:val="000000"/>
        </w:rPr>
        <w:t>region.</w:t>
      </w:r>
      <w:bookmarkEnd w:id="1256"/>
      <w:r w:rsidR="00603D74" w:rsidRPr="00603D74">
        <w:rPr>
          <w:i/>
          <w:vanish/>
          <w:color w:val="000000"/>
          <w:szCs w:val="22"/>
          <w:specVanish/>
        </w:rPr>
        <w:t xml:space="preserve"> </w:t>
      </w:r>
    </w:p>
    <w:p w:rsidR="00925F0B" w:rsidRPr="00E150BC" w:rsidRDefault="00925F0B" w:rsidP="00603D74">
      <w:r>
        <w:rPr>
          <w:i/>
          <w:color w:val="000000"/>
        </w:rPr>
        <w:t>Please</w:t>
      </w:r>
      <w:proofErr w:type="spellEnd"/>
      <w:r>
        <w:rPr>
          <w:i/>
          <w:color w:val="000000"/>
        </w:rPr>
        <w:t xml:space="preserve"> note: replicate sites within 500m of each other. Also shown is </w:t>
      </w:r>
      <w:r w:rsidRPr="00E150BC">
        <w:rPr>
          <w:i/>
        </w:rPr>
        <w:t xml:space="preserve">distribution of seagrass as the modelled distribution (including likelihood of presence from </w:t>
      </w:r>
      <w:r w:rsidR="00E3099F" w:rsidRPr="00E150BC">
        <w:rPr>
          <w:i/>
        </w:rPr>
        <w:t xml:space="preserve">0.5-1.0 </w:t>
      </w:r>
      <w:hyperlink w:anchor="_ENREF_180" w:tooltip="McKenzie, 2010 #9646" w:history="1">
        <w:r w:rsidR="00E6043D" w:rsidRPr="00E150BC">
          <w:rPr>
            <w:i/>
          </w:rPr>
          <w:fldChar w:fldCharType="begin"/>
        </w:r>
        <w:r w:rsidR="00E6043D" w:rsidRPr="00E150BC">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sidRPr="00E150BC">
          <w:rPr>
            <w:i/>
          </w:rPr>
          <w:fldChar w:fldCharType="separate"/>
        </w:r>
        <w:r w:rsidR="00E6043D" w:rsidRPr="00E150BC">
          <w:rPr>
            <w:i/>
            <w:noProof/>
          </w:rPr>
          <w:t>McKenzie, et al. 2010c</w:t>
        </w:r>
        <w:r w:rsidR="00E6043D" w:rsidRPr="00E150BC">
          <w:rPr>
            <w:i/>
          </w:rPr>
          <w:fldChar w:fldCharType="end"/>
        </w:r>
      </w:hyperlink>
      <w:r w:rsidR="00E3099F" w:rsidRPr="00E150BC">
        <w:rPr>
          <w:i/>
        </w:rPr>
        <w:t>) and composite of mapped distribution (</w:t>
      </w:r>
      <w:hyperlink w:anchor="_ENREF_181" w:tooltip="McKenzie, 2014 #9838" w:history="1">
        <w:r w:rsidR="00E6043D" w:rsidRPr="00E150BC">
          <w:rPr>
            <w:i/>
          </w:rPr>
          <w:fldChar w:fldCharType="begin"/>
        </w:r>
        <w:r w:rsidR="00E6043D" w:rsidRPr="00E150BC">
          <w:rPr>
            <w:i/>
          </w:rPr>
          <w:instrText xml:space="preserve"> ADDIN EN.CITE &lt;EndNote&gt;&lt;Cite&gt;&lt;Author&gt;McKenzie&lt;/Author&gt;&lt;Year&gt;2014&lt;/Year&gt;&lt;RecNum&gt;9838&lt;/RecNum&gt;&lt;DisplayText&gt;McKenzie&lt;style face="italic"&gt;, et al.&lt;/style&gt; 2014b&lt;/DisplayText&gt;&lt;record&gt;&lt;rec-number&gt;9838&lt;/rec-number&gt;&lt;foreign-keys&gt;&lt;key app="EN" db-id="0eve55x9y5vfd6e9dacxtew4eatve2dzds9a"&gt;9838&lt;/key&gt;&lt;/foreign-keys&gt;&lt;ref-type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E6043D" w:rsidRPr="00E150BC">
          <w:rPr>
            <w:i/>
          </w:rPr>
          <w:fldChar w:fldCharType="separate"/>
        </w:r>
        <w:r w:rsidR="00E6043D" w:rsidRPr="00E150BC">
          <w:rPr>
            <w:i/>
            <w:noProof/>
          </w:rPr>
          <w:t>McKenzie, et al. 2014b</w:t>
        </w:r>
        <w:r w:rsidR="00E6043D" w:rsidRPr="00E150BC">
          <w:rPr>
            <w:i/>
          </w:rPr>
          <w:fldChar w:fldCharType="end"/>
        </w:r>
      </w:hyperlink>
      <w:r w:rsidR="00E3099F" w:rsidRPr="00E150BC">
        <w:rPr>
          <w:i/>
        </w:rPr>
        <w:t>)</w:t>
      </w:r>
      <w:r w:rsidRPr="00E150BC">
        <w:rPr>
          <w:i/>
        </w:rPr>
        <w:t xml:space="preserve">. </w:t>
      </w:r>
    </w:p>
    <w:p w:rsidR="00925F0B" w:rsidRDefault="00925F0B" w:rsidP="00925F0B">
      <w:pPr>
        <w:rPr>
          <w:color w:val="000000"/>
          <w:szCs w:val="22"/>
        </w:rPr>
      </w:pPr>
    </w:p>
    <w:p w:rsidR="00925F0B" w:rsidRDefault="00925F0B" w:rsidP="00925F0B"/>
    <w:p w:rsidR="00925F0B" w:rsidRDefault="00925F0B" w:rsidP="00925F0B">
      <w:r>
        <w:br w:type="column"/>
      </w:r>
      <w:r>
        <w:rPr>
          <w:noProof/>
          <w:lang w:eastAsia="en-AU"/>
        </w:rPr>
        <w:lastRenderedPageBreak/>
        <w:drawing>
          <wp:inline distT="0" distB="0" distL="0" distR="0" wp14:anchorId="39EA0FCB" wp14:editId="636CC240">
            <wp:extent cx="5751195" cy="7217410"/>
            <wp:effectExtent l="0" t="0" r="1905" b="2540"/>
            <wp:docPr id="88" name="Picture 88" descr="Map with set of bar graphs showing location and species composition of each long-term seagrass monitoring site in the Burdekin region from 200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13" cstate="print">
                      <a:extLst>
                        <a:ext uri="{28A0092B-C50C-407E-A947-70E740481C1C}">
                          <a14:useLocalDpi xmlns:a14="http://schemas.microsoft.com/office/drawing/2010/main" val="0"/>
                        </a:ext>
                      </a:extLst>
                    </a:blip>
                    <a:srcRect/>
                    <a:stretch>
                      <a:fillRect/>
                    </a:stretch>
                  </pic:blipFill>
                  <pic:spPr bwMode="auto">
                    <a:xfrm>
                      <a:off x="0" y="0"/>
                      <a:ext cx="5751195" cy="7217410"/>
                    </a:xfrm>
                    <a:prstGeom prst="rect">
                      <a:avLst/>
                    </a:prstGeom>
                    <a:noFill/>
                    <a:ln>
                      <a:noFill/>
                    </a:ln>
                  </pic:spPr>
                </pic:pic>
              </a:graphicData>
            </a:graphic>
          </wp:inline>
        </w:drawing>
      </w:r>
    </w:p>
    <w:p w:rsidR="00603D74" w:rsidRPr="00517276" w:rsidRDefault="00925F0B" w:rsidP="00603D74">
      <w:pPr>
        <w:rPr>
          <w:i/>
          <w:vanish/>
          <w:color w:val="000000"/>
          <w:szCs w:val="22"/>
          <w:specVanish/>
        </w:rPr>
      </w:pPr>
      <w:bookmarkStart w:id="1257" w:name="_Toc462685057"/>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217</w:t>
      </w:r>
      <w:r w:rsidR="0073595B">
        <w:rPr>
          <w:color w:val="000000"/>
        </w:rPr>
        <w:fldChar w:fldCharType="end"/>
      </w:r>
      <w:r>
        <w:rPr>
          <w:color w:val="000000"/>
        </w:rPr>
        <w:t xml:space="preserve">. </w:t>
      </w:r>
      <w:r>
        <w:rPr>
          <w:i/>
          <w:color w:val="000000"/>
        </w:rPr>
        <w:t xml:space="preserve">Location and species composition of each long-term seagrass monitoring site (MMP) in </w:t>
      </w:r>
      <w:r w:rsidRPr="00E150BC">
        <w:rPr>
          <w:i/>
        </w:rPr>
        <w:t>the Burdekin region.</w:t>
      </w:r>
      <w:bookmarkEnd w:id="1257"/>
    </w:p>
    <w:p w:rsidR="00925F0B" w:rsidRPr="00E150BC" w:rsidRDefault="00925F0B" w:rsidP="00603D74">
      <w:r w:rsidRPr="00E150BC">
        <w:rPr>
          <w:i/>
        </w:rPr>
        <w:t xml:space="preserve"> Please note: replicate sites within 500m of each other. Also shown is distribution of seagrass as the modelled distribution (including likelihood of presence from </w:t>
      </w:r>
      <w:r w:rsidR="00E3099F" w:rsidRPr="00E150BC">
        <w:rPr>
          <w:i/>
        </w:rPr>
        <w:t xml:space="preserve">0.5-1.0 </w:t>
      </w:r>
      <w:hyperlink w:anchor="_ENREF_180" w:tooltip="McKenzie, 2010 #9646" w:history="1">
        <w:r w:rsidR="00E6043D" w:rsidRPr="00E150BC">
          <w:rPr>
            <w:i/>
          </w:rPr>
          <w:fldChar w:fldCharType="begin"/>
        </w:r>
        <w:r w:rsidR="00E6043D" w:rsidRPr="00E150BC">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sidRPr="00E150BC">
          <w:rPr>
            <w:i/>
          </w:rPr>
          <w:fldChar w:fldCharType="separate"/>
        </w:r>
        <w:r w:rsidR="00E6043D" w:rsidRPr="00E150BC">
          <w:rPr>
            <w:i/>
            <w:noProof/>
          </w:rPr>
          <w:t>McKenzie, et al. 2010c</w:t>
        </w:r>
        <w:r w:rsidR="00E6043D" w:rsidRPr="00E150BC">
          <w:rPr>
            <w:i/>
          </w:rPr>
          <w:fldChar w:fldCharType="end"/>
        </w:r>
      </w:hyperlink>
      <w:r w:rsidR="00E3099F" w:rsidRPr="00E150BC">
        <w:rPr>
          <w:i/>
        </w:rPr>
        <w:t>) and composite of mapped distribution (</w:t>
      </w:r>
      <w:hyperlink w:anchor="_ENREF_181" w:tooltip="McKenzie, 2014 #9838" w:history="1">
        <w:r w:rsidR="00E6043D" w:rsidRPr="00E150BC">
          <w:rPr>
            <w:i/>
          </w:rPr>
          <w:fldChar w:fldCharType="begin"/>
        </w:r>
        <w:r w:rsidR="00E6043D" w:rsidRPr="00E150BC">
          <w:rPr>
            <w:i/>
          </w:rPr>
          <w:instrText xml:space="preserve"> ADDIN EN.CITE &lt;EndNote&gt;&lt;Cite&gt;&lt;Author&gt;McKenzie&lt;/Author&gt;&lt;Year&gt;2014&lt;/Year&gt;&lt;RecNum&gt;9838&lt;/RecNum&gt;&lt;DisplayText&gt;McKenzie&lt;style face="italic"&gt;, et al.&lt;/style&gt; 2014b&lt;/DisplayText&gt;&lt;record&gt;&lt;rec-number&gt;9838&lt;/rec-number&gt;&lt;foreign-keys&gt;&lt;key app="EN" db-id="0eve55x9y5vfd6e9dacxtew4eatve2dzds9a"&gt;9838&lt;/key&gt;&lt;/foreign-keys&gt;&lt;ref-type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E6043D" w:rsidRPr="00E150BC">
          <w:rPr>
            <w:i/>
          </w:rPr>
          <w:fldChar w:fldCharType="separate"/>
        </w:r>
        <w:r w:rsidR="00E6043D" w:rsidRPr="00E150BC">
          <w:rPr>
            <w:i/>
            <w:noProof/>
          </w:rPr>
          <w:t>McKenzie, et al. 2014b</w:t>
        </w:r>
        <w:r w:rsidR="00E6043D" w:rsidRPr="00E150BC">
          <w:rPr>
            <w:i/>
          </w:rPr>
          <w:fldChar w:fldCharType="end"/>
        </w:r>
      </w:hyperlink>
      <w:r w:rsidR="00E3099F" w:rsidRPr="00E150BC">
        <w:rPr>
          <w:i/>
        </w:rPr>
        <w:t>)</w:t>
      </w:r>
      <w:r w:rsidRPr="00E150BC">
        <w:rPr>
          <w:i/>
        </w:rPr>
        <w:t xml:space="preserve">. </w:t>
      </w:r>
    </w:p>
    <w:p w:rsidR="00925F0B" w:rsidRDefault="00925F0B" w:rsidP="00925F0B"/>
    <w:p w:rsidR="00925F0B" w:rsidRDefault="00925F0B" w:rsidP="00925F0B"/>
    <w:p w:rsidR="00925F0B" w:rsidRDefault="00925F0B" w:rsidP="00925F0B">
      <w:r>
        <w:rPr>
          <w:noProof/>
          <w:lang w:eastAsia="en-AU"/>
        </w:rPr>
        <w:lastRenderedPageBreak/>
        <w:drawing>
          <wp:inline distT="0" distB="0" distL="0" distR="0" wp14:anchorId="5E64F37B" wp14:editId="61DD948B">
            <wp:extent cx="5762625" cy="7228840"/>
            <wp:effectExtent l="0" t="0" r="9525" b="0"/>
            <wp:docPr id="89" name="Picture 89" descr="Map with set of bar graphs showing location and species composition of each long-term seagrass monitoring site in the Mackay Whitsunday region from 2000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14" cstate="print">
                      <a:extLst>
                        <a:ext uri="{28A0092B-C50C-407E-A947-70E740481C1C}">
                          <a14:useLocalDpi xmlns:a14="http://schemas.microsoft.com/office/drawing/2010/main" val="0"/>
                        </a:ext>
                      </a:extLst>
                    </a:blip>
                    <a:srcRect/>
                    <a:stretch>
                      <a:fillRect/>
                    </a:stretch>
                  </pic:blipFill>
                  <pic:spPr bwMode="auto">
                    <a:xfrm>
                      <a:off x="0" y="0"/>
                      <a:ext cx="5762625" cy="7228840"/>
                    </a:xfrm>
                    <a:prstGeom prst="rect">
                      <a:avLst/>
                    </a:prstGeom>
                    <a:noFill/>
                    <a:ln>
                      <a:noFill/>
                    </a:ln>
                  </pic:spPr>
                </pic:pic>
              </a:graphicData>
            </a:graphic>
          </wp:inline>
        </w:drawing>
      </w:r>
    </w:p>
    <w:p w:rsidR="00603D74" w:rsidRPr="00517276" w:rsidRDefault="00925F0B" w:rsidP="00603D74">
      <w:pPr>
        <w:rPr>
          <w:i/>
          <w:vanish/>
          <w:color w:val="000000"/>
          <w:szCs w:val="22"/>
          <w:specVanish/>
        </w:rPr>
      </w:pPr>
      <w:bookmarkStart w:id="1258" w:name="_Ref179444954"/>
      <w:bookmarkStart w:id="1259" w:name="_Toc232845996"/>
      <w:bookmarkStart w:id="1260" w:name="_Toc176158898"/>
      <w:bookmarkStart w:id="1261" w:name="_Toc462685058"/>
      <w:bookmarkStart w:id="1262" w:name="_Toc431493871"/>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218</w:t>
      </w:r>
      <w:r w:rsidR="0073595B">
        <w:rPr>
          <w:color w:val="000000"/>
        </w:rPr>
        <w:fldChar w:fldCharType="end"/>
      </w:r>
      <w:bookmarkEnd w:id="1258"/>
      <w:r>
        <w:rPr>
          <w:color w:val="000000"/>
        </w:rPr>
        <w:t xml:space="preserve">. </w:t>
      </w:r>
      <w:bookmarkEnd w:id="1259"/>
      <w:bookmarkEnd w:id="1260"/>
      <w:r>
        <w:rPr>
          <w:i/>
          <w:color w:val="000000"/>
        </w:rPr>
        <w:t xml:space="preserve">Location and species composition of each long-term seagrass monitoring site (MMP) in </w:t>
      </w:r>
      <w:r w:rsidRPr="00E150BC">
        <w:rPr>
          <w:i/>
        </w:rPr>
        <w:t>the Mackay Whitsunday region.</w:t>
      </w:r>
      <w:bookmarkEnd w:id="1261"/>
    </w:p>
    <w:p w:rsidR="00925F0B" w:rsidRPr="00E150BC" w:rsidRDefault="00925F0B" w:rsidP="00603D74">
      <w:pPr>
        <w:rPr>
          <w:i/>
        </w:rPr>
      </w:pPr>
      <w:r w:rsidRPr="00E150BC">
        <w:rPr>
          <w:i/>
        </w:rPr>
        <w:t xml:space="preserve"> Please note: replicate sites within 500m of each other. Also shown is distribution of seagrass as the modelled distribution (including likelihood of presence from </w:t>
      </w:r>
      <w:r w:rsidR="00E3099F" w:rsidRPr="00E150BC">
        <w:rPr>
          <w:i/>
        </w:rPr>
        <w:t xml:space="preserve">0.5-1.0 </w:t>
      </w:r>
      <w:hyperlink w:anchor="_ENREF_180" w:tooltip="McKenzie, 2010 #9646" w:history="1">
        <w:r w:rsidR="00E6043D" w:rsidRPr="00E150BC">
          <w:rPr>
            <w:i/>
          </w:rPr>
          <w:fldChar w:fldCharType="begin"/>
        </w:r>
        <w:r w:rsidR="00E6043D" w:rsidRPr="00E150BC">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sidRPr="00E150BC">
          <w:rPr>
            <w:i/>
          </w:rPr>
          <w:fldChar w:fldCharType="separate"/>
        </w:r>
        <w:r w:rsidR="00E6043D" w:rsidRPr="00E150BC">
          <w:rPr>
            <w:i/>
            <w:noProof/>
          </w:rPr>
          <w:t>McKenzie, et al. 2010c</w:t>
        </w:r>
        <w:r w:rsidR="00E6043D" w:rsidRPr="00E150BC">
          <w:rPr>
            <w:i/>
          </w:rPr>
          <w:fldChar w:fldCharType="end"/>
        </w:r>
      </w:hyperlink>
      <w:r w:rsidR="00E3099F" w:rsidRPr="00E150BC">
        <w:rPr>
          <w:i/>
        </w:rPr>
        <w:t>) and composite of mapped distribution (</w:t>
      </w:r>
      <w:hyperlink w:anchor="_ENREF_181" w:tooltip="McKenzie, 2014 #9838" w:history="1">
        <w:r w:rsidR="00E6043D" w:rsidRPr="00E150BC">
          <w:rPr>
            <w:i/>
          </w:rPr>
          <w:fldChar w:fldCharType="begin"/>
        </w:r>
        <w:r w:rsidR="00E6043D" w:rsidRPr="00E150BC">
          <w:rPr>
            <w:i/>
          </w:rPr>
          <w:instrText xml:space="preserve"> ADDIN EN.CITE &lt;EndNote&gt;&lt;Cite&gt;&lt;Author&gt;McKenzie&lt;/Author&gt;&lt;Year&gt;2014&lt;/Year&gt;&lt;RecNum&gt;9838&lt;/RecNum&gt;&lt;DisplayText&gt;McKenzie&lt;style face="italic"&gt;, et al.&lt;/style&gt; 2014b&lt;/DisplayText&gt;&lt;record&gt;&lt;rec-number&gt;9838&lt;/rec-number&gt;&lt;foreign-keys&gt;&lt;key app="EN" db-id="0eve55x9y5vfd6e9dacxtew4eatve2dzds9a"&gt;9838&lt;/key&gt;&lt;/foreign-keys&gt;&lt;ref-type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E6043D" w:rsidRPr="00E150BC">
          <w:rPr>
            <w:i/>
          </w:rPr>
          <w:fldChar w:fldCharType="separate"/>
        </w:r>
        <w:r w:rsidR="00E6043D" w:rsidRPr="00E150BC">
          <w:rPr>
            <w:i/>
            <w:noProof/>
          </w:rPr>
          <w:t>McKenzie, et al. 2014b</w:t>
        </w:r>
        <w:r w:rsidR="00E6043D" w:rsidRPr="00E150BC">
          <w:rPr>
            <w:i/>
          </w:rPr>
          <w:fldChar w:fldCharType="end"/>
        </w:r>
      </w:hyperlink>
      <w:r w:rsidR="00E3099F" w:rsidRPr="00E150BC">
        <w:rPr>
          <w:i/>
        </w:rPr>
        <w:t>)</w:t>
      </w:r>
      <w:r w:rsidRPr="00E150BC">
        <w:rPr>
          <w:i/>
        </w:rPr>
        <w:t>.</w:t>
      </w:r>
      <w:bookmarkEnd w:id="1262"/>
      <w:r w:rsidRPr="00E150BC">
        <w:rPr>
          <w:i/>
        </w:rPr>
        <w:t xml:space="preserve"> </w:t>
      </w:r>
    </w:p>
    <w:p w:rsidR="00925F0B" w:rsidRDefault="00925F0B" w:rsidP="00925F0B">
      <w:pPr>
        <w:rPr>
          <w:color w:val="000000"/>
        </w:rPr>
      </w:pPr>
      <w:r>
        <w:rPr>
          <w:color w:val="000000"/>
        </w:rPr>
        <w:br w:type="column"/>
      </w:r>
      <w:r>
        <w:rPr>
          <w:noProof/>
          <w:color w:val="000000"/>
          <w:lang w:eastAsia="en-AU"/>
        </w:rPr>
        <w:lastRenderedPageBreak/>
        <w:drawing>
          <wp:inline distT="0" distB="0" distL="0" distR="0" wp14:anchorId="0C9870B1" wp14:editId="4F27E1C2">
            <wp:extent cx="5762625" cy="7228840"/>
            <wp:effectExtent l="0" t="0" r="9525" b="0"/>
            <wp:docPr id="90" name="Picture 90" descr="Map with set of bar graphs showing location and species composition of each long-term seagrass monitoring site in the Fitzroy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15" cstate="print">
                      <a:extLst>
                        <a:ext uri="{28A0092B-C50C-407E-A947-70E740481C1C}">
                          <a14:useLocalDpi xmlns:a14="http://schemas.microsoft.com/office/drawing/2010/main" val="0"/>
                        </a:ext>
                      </a:extLst>
                    </a:blip>
                    <a:srcRect/>
                    <a:stretch>
                      <a:fillRect/>
                    </a:stretch>
                  </pic:blipFill>
                  <pic:spPr bwMode="auto">
                    <a:xfrm>
                      <a:off x="0" y="0"/>
                      <a:ext cx="5762625" cy="7228840"/>
                    </a:xfrm>
                    <a:prstGeom prst="rect">
                      <a:avLst/>
                    </a:prstGeom>
                    <a:noFill/>
                    <a:ln>
                      <a:noFill/>
                    </a:ln>
                  </pic:spPr>
                </pic:pic>
              </a:graphicData>
            </a:graphic>
          </wp:inline>
        </w:drawing>
      </w:r>
    </w:p>
    <w:p w:rsidR="00603D74" w:rsidRPr="00517276" w:rsidRDefault="00925F0B" w:rsidP="00603D74">
      <w:pPr>
        <w:rPr>
          <w:i/>
          <w:vanish/>
          <w:color w:val="000000"/>
          <w:szCs w:val="22"/>
          <w:specVanish/>
        </w:rPr>
      </w:pPr>
      <w:bookmarkStart w:id="1263" w:name="_Toc462685059"/>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219</w:t>
      </w:r>
      <w:r w:rsidR="0073595B">
        <w:rPr>
          <w:color w:val="000000"/>
        </w:rPr>
        <w:fldChar w:fldCharType="end"/>
      </w:r>
      <w:r>
        <w:rPr>
          <w:color w:val="000000"/>
        </w:rPr>
        <w:t xml:space="preserve">. </w:t>
      </w:r>
      <w:r>
        <w:rPr>
          <w:i/>
          <w:color w:val="000000"/>
        </w:rPr>
        <w:t xml:space="preserve">Location and species composition of each long-term seagrass monitoring site (MMP) in </w:t>
      </w:r>
      <w:r w:rsidRPr="00E150BC">
        <w:rPr>
          <w:i/>
        </w:rPr>
        <w:t>the Fitzroy region.</w:t>
      </w:r>
      <w:bookmarkEnd w:id="1263"/>
      <w:r w:rsidR="00603D74" w:rsidRPr="00603D74">
        <w:rPr>
          <w:i/>
          <w:vanish/>
          <w:color w:val="000000"/>
          <w:szCs w:val="22"/>
          <w:specVanish/>
        </w:rPr>
        <w:t xml:space="preserve"> </w:t>
      </w:r>
    </w:p>
    <w:p w:rsidR="00925F0B" w:rsidRPr="00E150BC" w:rsidRDefault="00925F0B" w:rsidP="00603D74">
      <w:r w:rsidRPr="00E150BC">
        <w:rPr>
          <w:i/>
        </w:rPr>
        <w:t xml:space="preserve"> Please note: replicate sites within 500m of each other. Also shown is distribution of seagrass as the modelled distribution (including likelihood of presence from </w:t>
      </w:r>
      <w:r w:rsidR="00E3099F" w:rsidRPr="00E150BC">
        <w:rPr>
          <w:i/>
        </w:rPr>
        <w:t xml:space="preserve">0.5-1.0 </w:t>
      </w:r>
      <w:hyperlink w:anchor="_ENREF_180" w:tooltip="McKenzie, 2010 #9646" w:history="1">
        <w:r w:rsidR="00E6043D" w:rsidRPr="00E150BC">
          <w:rPr>
            <w:i/>
          </w:rPr>
          <w:fldChar w:fldCharType="begin"/>
        </w:r>
        <w:r w:rsidR="00E6043D" w:rsidRPr="00E150BC">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sidRPr="00E150BC">
          <w:rPr>
            <w:i/>
          </w:rPr>
          <w:fldChar w:fldCharType="separate"/>
        </w:r>
        <w:r w:rsidR="00E6043D" w:rsidRPr="00E150BC">
          <w:rPr>
            <w:i/>
            <w:noProof/>
          </w:rPr>
          <w:t>McKenzie, et al. 2010c</w:t>
        </w:r>
        <w:r w:rsidR="00E6043D" w:rsidRPr="00E150BC">
          <w:rPr>
            <w:i/>
          </w:rPr>
          <w:fldChar w:fldCharType="end"/>
        </w:r>
      </w:hyperlink>
      <w:r w:rsidR="00E3099F" w:rsidRPr="00E150BC">
        <w:rPr>
          <w:i/>
        </w:rPr>
        <w:t>) and composite of mapped distribution (</w:t>
      </w:r>
      <w:hyperlink w:anchor="_ENREF_181" w:tooltip="McKenzie, 2014 #9838" w:history="1">
        <w:r w:rsidR="00E6043D" w:rsidRPr="00E150BC">
          <w:rPr>
            <w:i/>
          </w:rPr>
          <w:fldChar w:fldCharType="begin"/>
        </w:r>
        <w:r w:rsidR="00E6043D" w:rsidRPr="00E150BC">
          <w:rPr>
            <w:i/>
          </w:rPr>
          <w:instrText xml:space="preserve"> ADDIN EN.CITE &lt;EndNote&gt;&lt;Cite&gt;&lt;Author&gt;McKenzie&lt;/Author&gt;&lt;Year&gt;2014&lt;/Year&gt;&lt;RecNum&gt;9838&lt;/RecNum&gt;&lt;DisplayText&gt;McKenzie&lt;style face="italic"&gt;, et al.&lt;/style&gt; 2014b&lt;/DisplayText&gt;&lt;record&gt;&lt;rec-number&gt;9838&lt;/rec-number&gt;&lt;foreign-keys&gt;&lt;key app="EN" db-id="0eve55x9y5vfd6e9dacxtew4eatve2dzds9a"&gt;9838&lt;/key&gt;&lt;/foreign-keys&gt;&lt;ref-type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E6043D" w:rsidRPr="00E150BC">
          <w:rPr>
            <w:i/>
          </w:rPr>
          <w:fldChar w:fldCharType="separate"/>
        </w:r>
        <w:r w:rsidR="00E6043D" w:rsidRPr="00E150BC">
          <w:rPr>
            <w:i/>
            <w:noProof/>
          </w:rPr>
          <w:t>McKenzie, et al. 2014b</w:t>
        </w:r>
        <w:r w:rsidR="00E6043D" w:rsidRPr="00E150BC">
          <w:rPr>
            <w:i/>
          </w:rPr>
          <w:fldChar w:fldCharType="end"/>
        </w:r>
      </w:hyperlink>
      <w:r w:rsidR="00E3099F" w:rsidRPr="00E150BC">
        <w:rPr>
          <w:i/>
        </w:rPr>
        <w:t>)</w:t>
      </w:r>
      <w:r w:rsidRPr="00E150BC">
        <w:rPr>
          <w:i/>
        </w:rPr>
        <w:t xml:space="preserve">. </w:t>
      </w:r>
    </w:p>
    <w:p w:rsidR="00925F0B" w:rsidRDefault="00925F0B" w:rsidP="00925F0B"/>
    <w:p w:rsidR="00925F0B" w:rsidRDefault="00925F0B" w:rsidP="00925F0B">
      <w:r>
        <w:br w:type="column"/>
      </w:r>
      <w:r>
        <w:rPr>
          <w:noProof/>
          <w:lang w:eastAsia="en-AU"/>
        </w:rPr>
        <w:lastRenderedPageBreak/>
        <w:drawing>
          <wp:inline distT="0" distB="0" distL="0" distR="0" wp14:anchorId="480CB6CD" wp14:editId="2ACDC2D2">
            <wp:extent cx="5762625" cy="7228840"/>
            <wp:effectExtent l="0" t="0" r="9525" b="0"/>
            <wp:docPr id="91" name="Picture 91" descr="Map with set of bar graphs showing location and species composition of each long-term seagrass monitoring site in the Burnett Mary region from 1999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16" cstate="print">
                      <a:extLst>
                        <a:ext uri="{28A0092B-C50C-407E-A947-70E740481C1C}">
                          <a14:useLocalDpi xmlns:a14="http://schemas.microsoft.com/office/drawing/2010/main" val="0"/>
                        </a:ext>
                      </a:extLst>
                    </a:blip>
                    <a:srcRect/>
                    <a:stretch>
                      <a:fillRect/>
                    </a:stretch>
                  </pic:blipFill>
                  <pic:spPr bwMode="auto">
                    <a:xfrm>
                      <a:off x="0" y="0"/>
                      <a:ext cx="5762625" cy="7228840"/>
                    </a:xfrm>
                    <a:prstGeom prst="rect">
                      <a:avLst/>
                    </a:prstGeom>
                    <a:noFill/>
                    <a:ln>
                      <a:noFill/>
                    </a:ln>
                  </pic:spPr>
                </pic:pic>
              </a:graphicData>
            </a:graphic>
          </wp:inline>
        </w:drawing>
      </w:r>
    </w:p>
    <w:p w:rsidR="00603D74" w:rsidRPr="00517276" w:rsidRDefault="00925F0B" w:rsidP="00603D74">
      <w:pPr>
        <w:rPr>
          <w:i/>
          <w:vanish/>
          <w:color w:val="000000"/>
          <w:szCs w:val="22"/>
          <w:specVanish/>
        </w:rPr>
      </w:pPr>
      <w:bookmarkStart w:id="1264" w:name="_Toc462685060"/>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220</w:t>
      </w:r>
      <w:r w:rsidR="0073595B">
        <w:rPr>
          <w:color w:val="000000"/>
        </w:rPr>
        <w:fldChar w:fldCharType="end"/>
      </w:r>
      <w:r>
        <w:rPr>
          <w:color w:val="000000"/>
        </w:rPr>
        <w:t xml:space="preserve">. </w:t>
      </w:r>
      <w:r>
        <w:rPr>
          <w:i/>
          <w:color w:val="000000"/>
        </w:rPr>
        <w:t>Location and species composition of each long-term seagrass monitoring site (MMP) in the Burnett Mary region.</w:t>
      </w:r>
      <w:bookmarkEnd w:id="1264"/>
      <w:r w:rsidR="00603D74" w:rsidRPr="00603D74">
        <w:rPr>
          <w:i/>
          <w:vanish/>
          <w:color w:val="000000"/>
          <w:szCs w:val="22"/>
          <w:specVanish/>
        </w:rPr>
        <w:t xml:space="preserve"> </w:t>
      </w:r>
    </w:p>
    <w:p w:rsidR="00925F0B" w:rsidRPr="00E150BC" w:rsidRDefault="00925F0B" w:rsidP="00603D74">
      <w:r>
        <w:rPr>
          <w:i/>
          <w:color w:val="000000"/>
        </w:rPr>
        <w:t xml:space="preserve"> Please note: replicate sites within 500m of each other. Also shown is </w:t>
      </w:r>
      <w:r w:rsidRPr="00E150BC">
        <w:rPr>
          <w:i/>
        </w:rPr>
        <w:t xml:space="preserve">distribution of seagrass as the modelled distribution (including likelihood of presence from </w:t>
      </w:r>
      <w:r w:rsidR="00E3099F" w:rsidRPr="00E150BC">
        <w:rPr>
          <w:i/>
        </w:rPr>
        <w:t xml:space="preserve">0.5-1.0 </w:t>
      </w:r>
      <w:hyperlink w:anchor="_ENREF_180" w:tooltip="McKenzie, 2010 #9646" w:history="1">
        <w:r w:rsidR="00E6043D" w:rsidRPr="00E150BC">
          <w:rPr>
            <w:i/>
          </w:rPr>
          <w:fldChar w:fldCharType="begin"/>
        </w:r>
        <w:r w:rsidR="00E6043D" w:rsidRPr="00E150BC">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E6043D" w:rsidRPr="00E150BC">
          <w:rPr>
            <w:i/>
          </w:rPr>
          <w:fldChar w:fldCharType="separate"/>
        </w:r>
        <w:r w:rsidR="00E6043D" w:rsidRPr="00E150BC">
          <w:rPr>
            <w:i/>
            <w:noProof/>
          </w:rPr>
          <w:t>McKenzie, et al. 2010c</w:t>
        </w:r>
        <w:r w:rsidR="00E6043D" w:rsidRPr="00E150BC">
          <w:rPr>
            <w:i/>
          </w:rPr>
          <w:fldChar w:fldCharType="end"/>
        </w:r>
      </w:hyperlink>
      <w:r w:rsidR="00E3099F" w:rsidRPr="00E150BC">
        <w:rPr>
          <w:i/>
        </w:rPr>
        <w:t>) and composite of mapped distribution (</w:t>
      </w:r>
      <w:hyperlink w:anchor="_ENREF_181" w:tooltip="McKenzie, 2014 #9838" w:history="1">
        <w:r w:rsidR="00E6043D" w:rsidRPr="00E150BC">
          <w:rPr>
            <w:i/>
          </w:rPr>
          <w:fldChar w:fldCharType="begin"/>
        </w:r>
        <w:r w:rsidR="00E6043D" w:rsidRPr="00E150BC">
          <w:rPr>
            <w:i/>
          </w:rPr>
          <w:instrText xml:space="preserve"> ADDIN EN.CITE &lt;EndNote&gt;&lt;Cite&gt;&lt;Author&gt;McKenzie&lt;/Author&gt;&lt;Year&gt;2014&lt;/Year&gt;&lt;RecNum&gt;9838&lt;/RecNum&gt;&lt;DisplayText&gt;McKenzie&lt;style face="italic"&gt;, et al.&lt;/style&gt; 2014b&lt;/DisplayText&gt;&lt;record&gt;&lt;rec-number&gt;9838&lt;/rec-number&gt;&lt;foreign-keys&gt;&lt;key app="EN" db-id="0eve55x9y5vfd6e9dacxtew4eatve2dzds9a"&gt;9838&lt;/key&gt;&lt;/foreign-keys&gt;&lt;ref-type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E6043D" w:rsidRPr="00E150BC">
          <w:rPr>
            <w:i/>
          </w:rPr>
          <w:fldChar w:fldCharType="separate"/>
        </w:r>
        <w:r w:rsidR="00E6043D" w:rsidRPr="00E150BC">
          <w:rPr>
            <w:i/>
            <w:noProof/>
          </w:rPr>
          <w:t>McKenzie, et al. 2014b</w:t>
        </w:r>
        <w:r w:rsidR="00E6043D" w:rsidRPr="00E150BC">
          <w:rPr>
            <w:i/>
          </w:rPr>
          <w:fldChar w:fldCharType="end"/>
        </w:r>
      </w:hyperlink>
      <w:r w:rsidR="00E3099F" w:rsidRPr="00E150BC">
        <w:rPr>
          <w:i/>
        </w:rPr>
        <w:t>)</w:t>
      </w:r>
      <w:r w:rsidRPr="00E150BC">
        <w:rPr>
          <w:i/>
        </w:rPr>
        <w:t xml:space="preserve">. </w:t>
      </w:r>
    </w:p>
    <w:p w:rsidR="00273002" w:rsidRPr="00273002" w:rsidRDefault="00273002" w:rsidP="00273002">
      <w:pPr>
        <w:rPr>
          <w:color w:val="000000"/>
          <w:szCs w:val="22"/>
        </w:rPr>
      </w:pPr>
    </w:p>
    <w:p w:rsidR="00925F0B" w:rsidRPr="00B4094B" w:rsidRDefault="00FA17EB" w:rsidP="001A5B75">
      <w:pPr>
        <w:numPr>
          <w:ilvl w:val="1"/>
          <w:numId w:val="10"/>
        </w:numPr>
        <w:tabs>
          <w:tab w:val="clear" w:pos="792"/>
          <w:tab w:val="num" w:pos="709"/>
        </w:tabs>
        <w:ind w:left="709" w:hanging="709"/>
        <w:rPr>
          <w:rFonts w:cs="Segoe UI"/>
          <w:b/>
          <w:sz w:val="28"/>
          <w:szCs w:val="28"/>
        </w:rPr>
      </w:pPr>
      <w:r w:rsidRPr="00B4094B">
        <w:rPr>
          <w:lang w:val="en-GB"/>
        </w:rPr>
        <w:br w:type="page"/>
      </w:r>
    </w:p>
    <w:p w:rsidR="00120016" w:rsidRPr="00E150BC" w:rsidRDefault="00120016" w:rsidP="00E150BC">
      <w:pPr>
        <w:pStyle w:val="Heading3"/>
        <w:keepNext w:val="0"/>
        <w:widowControl w:val="0"/>
        <w:rPr>
          <w:rFonts w:asciiTheme="minorHAnsi" w:hAnsiTheme="minorHAnsi"/>
          <w:sz w:val="24"/>
          <w:szCs w:val="24"/>
        </w:rPr>
      </w:pPr>
      <w:bookmarkStart w:id="1265" w:name="_Toc462047411"/>
      <w:r w:rsidRPr="00E150BC">
        <w:rPr>
          <w:rFonts w:asciiTheme="minorHAnsi" w:hAnsiTheme="minorHAnsi"/>
          <w:sz w:val="24"/>
          <w:szCs w:val="24"/>
        </w:rPr>
        <w:lastRenderedPageBreak/>
        <w:t>Seagrass leaf tissue</w:t>
      </w:r>
      <w:bookmarkEnd w:id="1265"/>
    </w:p>
    <w:p w:rsidR="00F1783F" w:rsidRPr="006365D0" w:rsidRDefault="00DA2F28" w:rsidP="006365D0">
      <w:pPr>
        <w:rPr>
          <w:szCs w:val="22"/>
        </w:rPr>
      </w:pPr>
      <w:r>
        <w:rPr>
          <w:lang w:eastAsia="en-AU"/>
        </w:rPr>
        <w:t>The following graphs display the e</w:t>
      </w:r>
      <w:r w:rsidRPr="00EB666B">
        <w:rPr>
          <w:lang w:eastAsia="en-AU"/>
        </w:rPr>
        <w:t>lemental ratios (atomic) of seagrass leaf tissue C:N</w:t>
      </w:r>
      <w:r>
        <w:rPr>
          <w:lang w:eastAsia="en-AU"/>
        </w:rPr>
        <w:t xml:space="preserve">, </w:t>
      </w:r>
      <w:r w:rsidRPr="00EB666B">
        <w:rPr>
          <w:iCs/>
          <w:szCs w:val="22"/>
          <w:lang w:eastAsia="en-AU"/>
        </w:rPr>
        <w:t>N:P and C:P</w:t>
      </w:r>
      <w:r w:rsidRPr="00EB666B">
        <w:rPr>
          <w:lang w:eastAsia="en-AU"/>
        </w:rPr>
        <w:t xml:space="preserve"> for </w:t>
      </w:r>
      <w:r w:rsidRPr="00EB666B">
        <w:t xml:space="preserve">the foundation seagrass species examined at each </w:t>
      </w:r>
      <w:r>
        <w:t>habitat or location</w:t>
      </w:r>
      <w:r w:rsidRPr="00EB666B">
        <w:t xml:space="preserve"> in the </w:t>
      </w:r>
      <w:r w:rsidR="006365D0">
        <w:t xml:space="preserve">NRM regions of the </w:t>
      </w:r>
      <w:smartTag w:uri="urn:schemas-microsoft-com:office:smarttags" w:element="place">
        <w:r w:rsidR="006365D0">
          <w:t>Great Barrier Reef</w:t>
        </w:r>
      </w:smartTag>
      <w:r w:rsidRPr="00DA2F28">
        <w:rPr>
          <w:lang w:eastAsia="en-AU"/>
        </w:rPr>
        <w:t>.</w:t>
      </w:r>
      <w:r w:rsidR="006365D0">
        <w:rPr>
          <w:lang w:eastAsia="en-AU"/>
        </w:rPr>
        <w:t xml:space="preserve"> The h</w:t>
      </w:r>
      <w:r w:rsidRPr="006365D0">
        <w:rPr>
          <w:lang w:eastAsia="en-AU"/>
        </w:rPr>
        <w:t>orizontal shaded band on the C:N ratio panel</w:t>
      </w:r>
      <w:r w:rsidR="006365D0">
        <w:rPr>
          <w:lang w:eastAsia="en-AU"/>
        </w:rPr>
        <w:t>s</w:t>
      </w:r>
      <w:r w:rsidRPr="006365D0">
        <w:rPr>
          <w:lang w:eastAsia="en-AU"/>
        </w:rPr>
        <w:t xml:space="preserve"> represent the accepted </w:t>
      </w:r>
      <w:r w:rsidRPr="006365D0">
        <w:t xml:space="preserve">guideline </w:t>
      </w:r>
      <w:r w:rsidRPr="006365D0">
        <w:rPr>
          <w:lang w:eastAsia="en-AU"/>
        </w:rPr>
        <w:t xml:space="preserve">seagrass “Redfield” ratio </w:t>
      </w:r>
      <w:r w:rsidRPr="006365D0">
        <w:t>of 20:1 (</w:t>
      </w:r>
      <w:r w:rsidR="00644A84">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instrText xml:space="preserve"> ADDIN EN.CITE </w:instrText>
      </w:r>
      <w:r w:rsidR="00644A84">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YWN4dGV3NGVhdHZlMmR6ZHM5YSI+NzQwNTwva2V5PjwvZm9yZWlnbi1rZXlzPjxyZWYtdHlwZSBu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</w:fldData>
        </w:fldChar>
      </w:r>
      <w:r w:rsidR="00644A84">
        <w:instrText xml:space="preserve"> ADDIN EN.CITE.DATA </w:instrText>
      </w:r>
      <w:r w:rsidR="00644A84">
        <w:fldChar w:fldCharType="end"/>
      </w:r>
      <w:r w:rsidR="00644A84">
        <w:fldChar w:fldCharType="separate"/>
      </w:r>
      <w:hyperlink w:anchor="_ENREF_2" w:tooltip="Abal, 1994 #7405" w:history="1">
        <w:r w:rsidR="00E6043D">
          <w:rPr>
            <w:noProof/>
          </w:rPr>
          <w:t>Abal</w:t>
        </w:r>
        <w:r w:rsidR="00E6043D" w:rsidRPr="00644A84">
          <w:rPr>
            <w:i/>
            <w:noProof/>
          </w:rPr>
          <w:t>, et al.</w:t>
        </w:r>
        <w:r w:rsidR="00E6043D">
          <w:rPr>
            <w:noProof/>
          </w:rPr>
          <w:t xml:space="preserve"> 1994</w:t>
        </w:r>
      </w:hyperlink>
      <w:r w:rsidR="00644A84">
        <w:rPr>
          <w:noProof/>
        </w:rPr>
        <w:t xml:space="preserve">; </w:t>
      </w:r>
      <w:hyperlink w:anchor="_ENREF_118" w:tooltip="Grice, 1996 #1346" w:history="1">
        <w:r w:rsidR="00E6043D">
          <w:rPr>
            <w:noProof/>
          </w:rPr>
          <w:t>Grice</w:t>
        </w:r>
        <w:r w:rsidR="00E6043D" w:rsidRPr="00644A84">
          <w:rPr>
            <w:i/>
            <w:noProof/>
          </w:rPr>
          <w:t>, et al.</w:t>
        </w:r>
        <w:r w:rsidR="00E6043D">
          <w:rPr>
            <w:noProof/>
          </w:rPr>
          <w:t xml:space="preserve"> 1996</w:t>
        </w:r>
      </w:hyperlink>
      <w:r w:rsidR="00644A84">
        <w:fldChar w:fldCharType="end"/>
      </w:r>
      <w:r w:rsidRPr="006365D0">
        <w:t>)</w:t>
      </w:r>
      <w:r w:rsidRPr="006365D0">
        <w:rPr>
          <w:lang w:eastAsia="en-AU"/>
        </w:rPr>
        <w:t xml:space="preserve">. C:N ratios below this line may </w:t>
      </w:r>
      <w:r w:rsidRPr="006365D0">
        <w:t xml:space="preserve">indicate reduced light availability and/or N enrichment. </w:t>
      </w:r>
      <w:r w:rsidR="006365D0">
        <w:rPr>
          <w:iCs/>
          <w:szCs w:val="22"/>
          <w:lang w:eastAsia="en-AU"/>
        </w:rPr>
        <w:t>The h</w:t>
      </w:r>
      <w:r w:rsidRPr="006365D0">
        <w:rPr>
          <w:iCs/>
          <w:szCs w:val="22"/>
          <w:lang w:eastAsia="en-AU"/>
        </w:rPr>
        <w:t>orizontal shaded band on the N:P ratio panel</w:t>
      </w:r>
      <w:r w:rsidR="006365D0">
        <w:rPr>
          <w:iCs/>
          <w:szCs w:val="22"/>
          <w:lang w:eastAsia="en-AU"/>
        </w:rPr>
        <w:t>s</w:t>
      </w:r>
      <w:r w:rsidRPr="006365D0">
        <w:rPr>
          <w:iCs/>
          <w:szCs w:val="22"/>
          <w:lang w:eastAsia="en-AU"/>
        </w:rPr>
        <w:t xml:space="preserve"> represent the range of value associated with N:P balance ratio in the plant tissues, i.e. a seagrass “Redfield” ratio (</w:t>
      </w:r>
      <w:r w:rsidR="00644A84">
        <w:rPr>
          <w:iCs/>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Cs/>
          <w:szCs w:val="22"/>
          <w:lang w:eastAsia="en-AU"/>
        </w:rPr>
        <w:instrText xml:space="preserve"> ADDIN EN.CITE </w:instrText>
      </w:r>
      <w:r w:rsidR="00644A84">
        <w:rPr>
          <w:iCs/>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YWN4dGV3NGVhdHZlMmR6ZHM5YSI+NjI5Mjwva2V5PjwvZm9yZWlnbi1rZXlzPjxyZWYtdHlwZSBu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</w:fldData>
        </w:fldChar>
      </w:r>
      <w:r w:rsidR="00644A84">
        <w:rPr>
          <w:iCs/>
          <w:szCs w:val="22"/>
          <w:lang w:eastAsia="en-AU"/>
        </w:rPr>
        <w:instrText xml:space="preserve"> ADDIN EN.CITE.DATA </w:instrText>
      </w:r>
      <w:r w:rsidR="00644A84">
        <w:rPr>
          <w:iCs/>
          <w:szCs w:val="22"/>
          <w:lang w:eastAsia="en-AU"/>
        </w:rPr>
      </w:r>
      <w:r w:rsidR="00644A84">
        <w:rPr>
          <w:iCs/>
          <w:szCs w:val="22"/>
          <w:lang w:eastAsia="en-AU"/>
        </w:rPr>
        <w:fldChar w:fldCharType="end"/>
      </w:r>
      <w:r w:rsidR="00644A84">
        <w:rPr>
          <w:iCs/>
          <w:szCs w:val="22"/>
          <w:lang w:eastAsia="en-AU"/>
        </w:rPr>
      </w:r>
      <w:r w:rsidR="00644A84">
        <w:rPr>
          <w:iCs/>
          <w:szCs w:val="22"/>
          <w:lang w:eastAsia="en-AU"/>
        </w:rPr>
        <w:fldChar w:fldCharType="separate"/>
      </w:r>
      <w:hyperlink w:anchor="_ENREF_9" w:tooltip="Atkinson, 1983 #6292" w:history="1">
        <w:r w:rsidR="00E6043D">
          <w:rPr>
            <w:iCs/>
            <w:noProof/>
            <w:szCs w:val="22"/>
            <w:lang w:eastAsia="en-AU"/>
          </w:rPr>
          <w:t>Atkinson and Smith 1983</w:t>
        </w:r>
      </w:hyperlink>
      <w:r w:rsidR="00644A84">
        <w:rPr>
          <w:iCs/>
          <w:noProof/>
          <w:szCs w:val="22"/>
          <w:lang w:eastAsia="en-AU"/>
        </w:rPr>
        <w:t xml:space="preserve">; </w:t>
      </w:r>
      <w:hyperlink w:anchor="_ENREF_96" w:tooltip="Duarte, 1990 #1954" w:history="1">
        <w:r w:rsidR="00E6043D">
          <w:rPr>
            <w:iCs/>
            <w:noProof/>
            <w:szCs w:val="22"/>
            <w:lang w:eastAsia="en-AU"/>
          </w:rPr>
          <w:t>Duarte 1990</w:t>
        </w:r>
      </w:hyperlink>
      <w:r w:rsidR="00644A84">
        <w:rPr>
          <w:iCs/>
          <w:noProof/>
          <w:szCs w:val="22"/>
          <w:lang w:eastAsia="en-AU"/>
        </w:rPr>
        <w:t xml:space="preserve">; </w:t>
      </w:r>
      <w:hyperlink w:anchor="_ENREF_112" w:tooltip="Fourqurean, 1992 #9493" w:history="1">
        <w:r w:rsidR="00E6043D">
          <w:rPr>
            <w:iCs/>
            <w:noProof/>
            <w:szCs w:val="22"/>
            <w:lang w:eastAsia="en-AU"/>
          </w:rPr>
          <w:t>Fourqurean</w:t>
        </w:r>
        <w:r w:rsidR="00E6043D" w:rsidRPr="00644A84">
          <w:rPr>
            <w:i/>
            <w:iCs/>
            <w:noProof/>
            <w:szCs w:val="22"/>
            <w:lang w:eastAsia="en-AU"/>
          </w:rPr>
          <w:t>, et al.</w:t>
        </w:r>
        <w:r w:rsidR="00E6043D">
          <w:rPr>
            <w:iCs/>
            <w:noProof/>
            <w:szCs w:val="22"/>
            <w:lang w:eastAsia="en-AU"/>
          </w:rPr>
          <w:t xml:space="preserve"> 1992b</w:t>
        </w:r>
      </w:hyperlink>
      <w:r w:rsidR="00644A84">
        <w:rPr>
          <w:iCs/>
          <w:szCs w:val="22"/>
          <w:lang w:eastAsia="en-AU"/>
        </w:rPr>
        <w:fldChar w:fldCharType="end"/>
      </w:r>
      <w:r w:rsidRPr="006365D0">
        <w:rPr>
          <w:iCs/>
          <w:szCs w:val="22"/>
          <w:lang w:eastAsia="en-AU"/>
        </w:rPr>
        <w:t xml:space="preserve">; </w:t>
      </w:r>
      <w:hyperlink w:anchor="_ENREF_106" w:tooltip="Fourqurean, 2001 #9492" w:history="1">
        <w:r w:rsidR="00E6043D">
          <w:rPr>
            <w:iCs/>
            <w:szCs w:val="22"/>
            <w:lang w:eastAsia="en-AU"/>
          </w:rPr>
          <w:fldChar w:fldCharType="begin"/>
        </w:r>
        <w:r w:rsidR="00E6043D">
          <w:rPr>
            <w:iCs/>
            <w:szCs w:val="22"/>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E6043D">
          <w:rPr>
            <w:iCs/>
            <w:szCs w:val="22"/>
            <w:lang w:eastAsia="en-AU"/>
          </w:rPr>
          <w:fldChar w:fldCharType="separate"/>
        </w:r>
        <w:r w:rsidR="00E6043D">
          <w:rPr>
            <w:iCs/>
            <w:noProof/>
            <w:szCs w:val="22"/>
            <w:lang w:eastAsia="en-AU"/>
          </w:rPr>
          <w:t>Fourqurean and Cai 2001</w:t>
        </w:r>
        <w:r w:rsidR="00E6043D">
          <w:rPr>
            <w:iCs/>
            <w:szCs w:val="22"/>
            <w:lang w:eastAsia="en-AU"/>
          </w:rPr>
          <w:fldChar w:fldCharType="end"/>
        </w:r>
      </w:hyperlink>
      <w:r w:rsidRPr="006365D0">
        <w:rPr>
          <w:iCs/>
          <w:szCs w:val="22"/>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p>
    <w:p w:rsidR="00DA2F28" w:rsidRDefault="00DA2F28" w:rsidP="00F1783F">
      <w:pPr>
        <w:rPr>
          <w:szCs w:val="22"/>
        </w:rPr>
      </w:pPr>
    </w:p>
    <w:p w:rsidR="00620C8B" w:rsidRPr="006365D0" w:rsidRDefault="00620C8B" w:rsidP="00620C8B">
      <w:pPr>
        <w:keepNext/>
        <w:jc w:val="center"/>
      </w:pPr>
      <w:r>
        <w:rPr>
          <w:noProof/>
          <w:lang w:eastAsia="en-AU"/>
        </w:rPr>
        <w:drawing>
          <wp:inline distT="0" distB="0" distL="0" distR="0" wp14:anchorId="32B7BECB" wp14:editId="4E1F36AE">
            <wp:extent cx="2880000" cy="3564000"/>
            <wp:effectExtent l="0" t="0" r="0" b="0"/>
            <wp:docPr id="93" name="Picture 93" descr="Set of line and point graphs showing trends in elemental ratios of seagrass leaf tissue C:N, N:P and C:P for the foundation seagrass species examined at each coastal location in the Cape York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CNP_coast_yr_Dec15.png"/>
                    <pic:cNvPicPr/>
                  </pic:nvPicPr>
                  <pic:blipFill>
                    <a:blip r:embed="rId317" cstate="print">
                      <a:extLst>
                        <a:ext uri="{28A0092B-C50C-407E-A947-70E740481C1C}">
                          <a14:useLocalDpi xmlns:a14="http://schemas.microsoft.com/office/drawing/2010/main" val="0"/>
                        </a:ext>
                      </a:extLst>
                    </a:blip>
                    <a:stretch>
                      <a:fillRect/>
                    </a:stretch>
                  </pic:blipFill>
                  <pic:spPr>
                    <a:xfrm>
                      <a:off x="0" y="0"/>
                      <a:ext cx="2880000" cy="3564000"/>
                    </a:xfrm>
                    <a:prstGeom prst="rect">
                      <a:avLst/>
                    </a:prstGeom>
                  </pic:spPr>
                </pic:pic>
              </a:graphicData>
            </a:graphic>
          </wp:inline>
        </w:drawing>
      </w:r>
    </w:p>
    <w:p w:rsidR="00CE1FF0" w:rsidRPr="00517276" w:rsidRDefault="00620C8B" w:rsidP="00CE1FF0">
      <w:pPr>
        <w:jc w:val="center"/>
        <w:rPr>
          <w:i/>
          <w:vanish/>
          <w:color w:val="000000"/>
          <w:szCs w:val="22"/>
          <w:specVanish/>
        </w:rPr>
      </w:pPr>
      <w:bookmarkStart w:id="1266" w:name="_Ref410202723"/>
      <w:bookmarkStart w:id="1267" w:name="_Toc462685061"/>
      <w:bookmarkStart w:id="1268" w:name="_Toc431493934"/>
      <w:r>
        <w:t xml:space="preserve">Figure </w:t>
      </w:r>
      <w:fldSimple w:instr=" SEQ Figure \* ARABIC ">
        <w:r w:rsidR="009C068F">
          <w:rPr>
            <w:noProof/>
          </w:rPr>
          <w:t>221</w:t>
        </w:r>
      </w:fldSimple>
      <w:bookmarkEnd w:id="1266"/>
      <w:r>
        <w:t xml:space="preserve">. </w:t>
      </w:r>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each </w:t>
      </w:r>
      <w:r>
        <w:rPr>
          <w:i/>
        </w:rPr>
        <w:t>coastal</w:t>
      </w:r>
      <w:r w:rsidRPr="006365D0">
        <w:rPr>
          <w:i/>
        </w:rPr>
        <w:t xml:space="preserve"> location in the </w:t>
      </w:r>
      <w:smartTag w:uri="urn:schemas-microsoft-com:office:smarttags" w:element="place">
        <w:r w:rsidRPr="006365D0">
          <w:rPr>
            <w:i/>
          </w:rPr>
          <w:t>Cape York</w:t>
        </w:r>
      </w:smartTag>
      <w:r w:rsidRPr="006365D0">
        <w:rPr>
          <w:i/>
        </w:rPr>
        <w:t xml:space="preserve"> region</w:t>
      </w:r>
      <w:r w:rsidRPr="006365D0">
        <w:rPr>
          <w:i/>
          <w:lang w:eastAsia="en-AU"/>
        </w:rPr>
        <w:t xml:space="preserve"> each year</w:t>
      </w:r>
      <w:bookmarkEnd w:id="1267"/>
    </w:p>
    <w:p w:rsidR="00620C8B" w:rsidRDefault="00620C8B" w:rsidP="00620C8B">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68"/>
    </w:p>
    <w:p w:rsidR="00620C8B" w:rsidRDefault="00620C8B" w:rsidP="00F1783F">
      <w:pPr>
        <w:rPr>
          <w:szCs w:val="22"/>
        </w:rPr>
      </w:pPr>
    </w:p>
    <w:p w:rsidR="00F1783F" w:rsidRPr="006365D0" w:rsidRDefault="00620C8B" w:rsidP="006365D0">
      <w:pPr>
        <w:keepNext/>
        <w:jc w:val="center"/>
      </w:pPr>
      <w:r>
        <w:rPr>
          <w:noProof/>
          <w:lang w:eastAsia="en-AU"/>
        </w:rPr>
        <w:lastRenderedPageBreak/>
        <w:drawing>
          <wp:inline distT="0" distB="0" distL="0" distR="0" wp14:anchorId="1E818F40" wp14:editId="6B613C26">
            <wp:extent cx="4320000" cy="3708000"/>
            <wp:effectExtent l="0" t="0" r="4445" b="6985"/>
            <wp:docPr id="92" name="Picture 92" descr="Set of line and point graphs showing trends in elemental ratios of seagrass leaf tissue C:N, N:P and C:P for the foundation seagrass species examined at each reef location in the Cape York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CNP_reef_yr_Dec15.png"/>
                    <pic:cNvPicPr/>
                  </pic:nvPicPr>
                  <pic:blipFill>
                    <a:blip r:embed="rId318" cstate="print">
                      <a:extLst>
                        <a:ext uri="{28A0092B-C50C-407E-A947-70E740481C1C}">
                          <a14:useLocalDpi xmlns:a14="http://schemas.microsoft.com/office/drawing/2010/main" val="0"/>
                        </a:ext>
                      </a:extLst>
                    </a:blip>
                    <a:stretch>
                      <a:fillRect/>
                    </a:stretch>
                  </pic:blipFill>
                  <pic:spPr>
                    <a:xfrm>
                      <a:off x="0" y="0"/>
                      <a:ext cx="4320000" cy="3708000"/>
                    </a:xfrm>
                    <a:prstGeom prst="rect">
                      <a:avLst/>
                    </a:prstGeom>
                  </pic:spPr>
                </pic:pic>
              </a:graphicData>
            </a:graphic>
          </wp:inline>
        </w:drawing>
      </w:r>
    </w:p>
    <w:p w:rsidR="00CE1FF0" w:rsidRPr="00517276" w:rsidRDefault="00DA2F28" w:rsidP="00CE1FF0">
      <w:pPr>
        <w:jc w:val="center"/>
        <w:rPr>
          <w:i/>
          <w:vanish/>
          <w:color w:val="000000"/>
          <w:szCs w:val="22"/>
          <w:specVanish/>
        </w:rPr>
      </w:pPr>
      <w:bookmarkStart w:id="1269" w:name="_Ref410201924"/>
      <w:bookmarkStart w:id="1270" w:name="_Toc462685062"/>
      <w:bookmarkStart w:id="1271" w:name="_Toc431493933"/>
      <w:r>
        <w:t xml:space="preserve">Figure </w:t>
      </w:r>
      <w:fldSimple w:instr=" SEQ Figure \* ARABIC ">
        <w:r w:rsidR="009C068F">
          <w:rPr>
            <w:noProof/>
          </w:rPr>
          <w:t>222</w:t>
        </w:r>
      </w:fldSimple>
      <w:bookmarkEnd w:id="1269"/>
      <w:r w:rsidRPr="006365D0">
        <w:rPr>
          <w:i/>
        </w:rPr>
        <w:t xml:space="preserve">. </w:t>
      </w:r>
      <w:bookmarkStart w:id="1272" w:name="OLE_LINK11"/>
      <w:bookmarkStart w:id="1273" w:name="OLE_LINK14"/>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each reef location in the </w:t>
      </w:r>
      <w:smartTag w:uri="urn:schemas-microsoft-com:office:smarttags" w:element="place">
        <w:r w:rsidRPr="006365D0">
          <w:rPr>
            <w:i/>
          </w:rPr>
          <w:t>Cape York</w:t>
        </w:r>
      </w:smartTag>
      <w:r w:rsidRPr="006365D0">
        <w:rPr>
          <w:i/>
        </w:rPr>
        <w:t xml:space="preserve"> region</w:t>
      </w:r>
      <w:r w:rsidRPr="006365D0">
        <w:rPr>
          <w:i/>
          <w:lang w:eastAsia="en-AU"/>
        </w:rPr>
        <w:t xml:space="preserve"> each year</w:t>
      </w:r>
      <w:bookmarkEnd w:id="1270"/>
    </w:p>
    <w:p w:rsidR="00DA2F28" w:rsidRPr="00DA2F28" w:rsidRDefault="00DA2F28" w:rsidP="006365D0">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71"/>
      <w:bookmarkEnd w:id="1272"/>
      <w:bookmarkEnd w:id="1273"/>
      <w:r w:rsidRPr="00DA2F28">
        <w:rPr>
          <w:lang w:eastAsia="en-AU"/>
        </w:rPr>
        <w:t xml:space="preserve"> </w:t>
      </w:r>
    </w:p>
    <w:p w:rsidR="00DA2F28" w:rsidRPr="00DA2F28" w:rsidRDefault="00DA2F28" w:rsidP="00DA2F28">
      <w:pPr>
        <w:rPr>
          <w:szCs w:val="22"/>
        </w:rPr>
      </w:pPr>
    </w:p>
    <w:p w:rsidR="00F1783F" w:rsidRPr="00DA2F28" w:rsidRDefault="00F1783F" w:rsidP="00F1783F">
      <w:pPr>
        <w:rPr>
          <w:color w:val="000000"/>
          <w:szCs w:val="22"/>
          <w:lang w:val="en-GB"/>
        </w:rPr>
      </w:pPr>
    </w:p>
    <w:p w:rsidR="00F1783F" w:rsidRPr="006365D0" w:rsidRDefault="00620C8B" w:rsidP="006365D0">
      <w:pPr>
        <w:keepNext/>
        <w:jc w:val="center"/>
      </w:pPr>
      <w:r>
        <w:rPr>
          <w:noProof/>
          <w:lang w:eastAsia="en-AU"/>
        </w:rPr>
        <w:lastRenderedPageBreak/>
        <w:drawing>
          <wp:inline distT="0" distB="0" distL="0" distR="0" wp14:anchorId="0C4D7CF6" wp14:editId="13BFA649">
            <wp:extent cx="4320000" cy="3902400"/>
            <wp:effectExtent l="0" t="0" r="4445" b="3175"/>
            <wp:docPr id="94" name="Picture 94" descr="Set of line and point graphs showing trends in elemental ratios of seagrass leaf tissue C:N for the foundation seagrass species examined at each seagrass habitat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CN_loc_yr_Dec15.png"/>
                    <pic:cNvPicPr/>
                  </pic:nvPicPr>
                  <pic:blipFill>
                    <a:blip r:embed="rId319" cstate="print">
                      <a:extLst>
                        <a:ext uri="{28A0092B-C50C-407E-A947-70E740481C1C}">
                          <a14:useLocalDpi xmlns:a14="http://schemas.microsoft.com/office/drawing/2010/main" val="0"/>
                        </a:ext>
                      </a:extLst>
                    </a:blip>
                    <a:stretch>
                      <a:fillRect/>
                    </a:stretch>
                  </pic:blipFill>
                  <pic:spPr>
                    <a:xfrm>
                      <a:off x="0" y="0"/>
                      <a:ext cx="4320000" cy="3902400"/>
                    </a:xfrm>
                    <a:prstGeom prst="rect">
                      <a:avLst/>
                    </a:prstGeom>
                  </pic:spPr>
                </pic:pic>
              </a:graphicData>
            </a:graphic>
          </wp:inline>
        </w:drawing>
      </w:r>
    </w:p>
    <w:p w:rsidR="00CE1FF0" w:rsidRPr="00517276" w:rsidRDefault="006365D0" w:rsidP="00CE1FF0">
      <w:pPr>
        <w:jc w:val="center"/>
        <w:rPr>
          <w:i/>
          <w:vanish/>
          <w:color w:val="000000"/>
          <w:szCs w:val="22"/>
          <w:specVanish/>
        </w:rPr>
      </w:pPr>
      <w:bookmarkStart w:id="1274" w:name="_Ref410211598"/>
      <w:bookmarkStart w:id="1275" w:name="_Toc462685063"/>
      <w:bookmarkStart w:id="1276" w:name="_Toc431493935"/>
      <w:r>
        <w:t xml:space="preserve">Figure </w:t>
      </w:r>
      <w:fldSimple w:instr=" SEQ Figure \* ARABIC ">
        <w:r w:rsidR="009C068F">
          <w:rPr>
            <w:noProof/>
          </w:rPr>
          <w:t>223</w:t>
        </w:r>
      </w:fldSimple>
      <w:bookmarkEnd w:id="1274"/>
      <w:r>
        <w:t xml:space="preserve">. </w:t>
      </w:r>
      <w:r w:rsidRPr="006365D0">
        <w:rPr>
          <w:i/>
          <w:lang w:eastAsia="en-AU"/>
        </w:rPr>
        <w:t xml:space="preserve">Elemental ratios (atomic) of seagrass leaf tissue C:N for </w:t>
      </w:r>
      <w:r w:rsidRPr="006365D0">
        <w:rPr>
          <w:i/>
        </w:rPr>
        <w:t xml:space="preserve">the foundation seagrass species examined at each </w:t>
      </w:r>
      <w:r>
        <w:rPr>
          <w:i/>
        </w:rPr>
        <w:t xml:space="preserve">habitat and </w:t>
      </w:r>
      <w:r w:rsidRPr="006365D0">
        <w:rPr>
          <w:i/>
        </w:rPr>
        <w:t xml:space="preserve">location in the </w:t>
      </w:r>
      <w:r>
        <w:rPr>
          <w:i/>
        </w:rPr>
        <w:t>Wet Tropics</w:t>
      </w:r>
      <w:r w:rsidRPr="006365D0">
        <w:rPr>
          <w:i/>
        </w:rPr>
        <w:t xml:space="preserve"> region</w:t>
      </w:r>
      <w:r w:rsidRPr="006365D0">
        <w:rPr>
          <w:i/>
          <w:lang w:eastAsia="en-AU"/>
        </w:rPr>
        <w:t xml:space="preserve"> each year</w:t>
      </w:r>
      <w:bookmarkEnd w:id="1275"/>
    </w:p>
    <w:p w:rsidR="006365D0" w:rsidRDefault="006365D0" w:rsidP="006365D0">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76"/>
    </w:p>
    <w:p w:rsidR="00F1783F" w:rsidRDefault="00F1783F" w:rsidP="006365D0">
      <w:pPr>
        <w:rPr>
          <w:szCs w:val="22"/>
        </w:rPr>
      </w:pPr>
    </w:p>
    <w:p w:rsidR="00F1783F" w:rsidRPr="006365D0" w:rsidRDefault="00620C8B" w:rsidP="006365D0">
      <w:pPr>
        <w:keepNext/>
        <w:jc w:val="center"/>
      </w:pPr>
      <w:r>
        <w:rPr>
          <w:noProof/>
          <w:lang w:eastAsia="en-AU"/>
        </w:rPr>
        <w:drawing>
          <wp:inline distT="0" distB="0" distL="0" distR="0" wp14:anchorId="3A5B0BD9" wp14:editId="51E248B1">
            <wp:extent cx="2880000" cy="2473200"/>
            <wp:effectExtent l="0" t="0" r="0" b="3810"/>
            <wp:docPr id="96" name="Picture 96" descr="Set of line and point graphs showing trends in elemental ratios of seagrass leaf tissue N:P and C:P for the foundation seagrass species examined at coastal seagrass habitats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CNP_coast_yr_Dec15.png"/>
                    <pic:cNvPicPr/>
                  </pic:nvPicPr>
                  <pic:blipFill>
                    <a:blip r:embed="rId320" cstate="print">
                      <a:extLst>
                        <a:ext uri="{28A0092B-C50C-407E-A947-70E740481C1C}">
                          <a14:useLocalDpi xmlns:a14="http://schemas.microsoft.com/office/drawing/2010/main" val="0"/>
                        </a:ext>
                      </a:extLst>
                    </a:blip>
                    <a:stretch>
                      <a:fillRect/>
                    </a:stretch>
                  </pic:blipFill>
                  <pic:spPr>
                    <a:xfrm>
                      <a:off x="0" y="0"/>
                      <a:ext cx="2880000" cy="2473200"/>
                    </a:xfrm>
                    <a:prstGeom prst="rect">
                      <a:avLst/>
                    </a:prstGeom>
                  </pic:spPr>
                </pic:pic>
              </a:graphicData>
            </a:graphic>
          </wp:inline>
        </w:drawing>
      </w:r>
    </w:p>
    <w:p w:rsidR="00CE1FF0" w:rsidRPr="00517276" w:rsidRDefault="006365D0" w:rsidP="00CE1FF0">
      <w:pPr>
        <w:jc w:val="center"/>
        <w:rPr>
          <w:i/>
          <w:vanish/>
          <w:color w:val="000000"/>
          <w:szCs w:val="22"/>
          <w:specVanish/>
        </w:rPr>
      </w:pPr>
      <w:bookmarkStart w:id="1277" w:name="_Ref410215624"/>
      <w:bookmarkStart w:id="1278" w:name="_Toc462685064"/>
      <w:bookmarkStart w:id="1279" w:name="_Toc431493936"/>
      <w:r>
        <w:t xml:space="preserve">Figure </w:t>
      </w:r>
      <w:fldSimple w:instr=" SEQ Figure \* ARABIC ">
        <w:r w:rsidR="009C068F">
          <w:rPr>
            <w:noProof/>
          </w:rPr>
          <w:t>224</w:t>
        </w:r>
      </w:fldSimple>
      <w:bookmarkEnd w:id="1277"/>
      <w:r>
        <w:t xml:space="preserve">. </w:t>
      </w:r>
      <w:r w:rsidRPr="006365D0">
        <w:rPr>
          <w:i/>
          <w:lang w:eastAsia="en-AU"/>
        </w:rPr>
        <w:t>Elemental ratios (atomic) of seagrass leaf tissue C:</w:t>
      </w:r>
      <w:r>
        <w:rPr>
          <w:i/>
          <w:lang w:eastAsia="en-AU"/>
        </w:rPr>
        <w:t>P and N:P</w:t>
      </w:r>
      <w:r w:rsidRPr="006365D0">
        <w:rPr>
          <w:i/>
          <w:lang w:eastAsia="en-AU"/>
        </w:rPr>
        <w:t xml:space="preserve"> for </w:t>
      </w:r>
      <w:r w:rsidRPr="006365D0">
        <w:rPr>
          <w:i/>
        </w:rPr>
        <w:t xml:space="preserve">the foundation seagrass species examined at </w:t>
      </w:r>
      <w:r>
        <w:rPr>
          <w:i/>
        </w:rPr>
        <w:t xml:space="preserve">intertidal coastal habitats </w:t>
      </w:r>
      <w:r w:rsidRPr="006365D0">
        <w:rPr>
          <w:i/>
        </w:rPr>
        <w:t xml:space="preserve">in the </w:t>
      </w:r>
      <w:r>
        <w:rPr>
          <w:i/>
        </w:rPr>
        <w:t>Wet Tropics</w:t>
      </w:r>
      <w:r w:rsidRPr="006365D0">
        <w:rPr>
          <w:i/>
        </w:rPr>
        <w:t xml:space="preserve"> region</w:t>
      </w:r>
      <w:r w:rsidRPr="006365D0">
        <w:rPr>
          <w:i/>
          <w:lang w:eastAsia="en-AU"/>
        </w:rPr>
        <w:t xml:space="preserve"> each year</w:t>
      </w:r>
      <w:bookmarkEnd w:id="1278"/>
    </w:p>
    <w:p w:rsidR="006365D0" w:rsidRDefault="006365D0" w:rsidP="006365D0">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79"/>
    </w:p>
    <w:p w:rsidR="00F1783F" w:rsidRPr="006365D0" w:rsidRDefault="00620C8B" w:rsidP="006365D0">
      <w:pPr>
        <w:keepNext/>
        <w:jc w:val="center"/>
      </w:pPr>
      <w:r>
        <w:rPr>
          <w:noProof/>
          <w:lang w:eastAsia="en-AU"/>
        </w:rPr>
        <w:lastRenderedPageBreak/>
        <w:drawing>
          <wp:inline distT="0" distB="0" distL="0" distR="0" wp14:anchorId="710B855D" wp14:editId="62084389">
            <wp:extent cx="4320000" cy="2541600"/>
            <wp:effectExtent l="0" t="0" r="4445" b="0"/>
            <wp:docPr id="97" name="Picture 97" descr="Set of line and point graphs showing trends in elemental ratios of seagrass leaf tissue N:P and C:P for the foundation seagrass species examined at intertidal reef habitats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CNP_loc_yr_Dec15.png"/>
                    <pic:cNvPicPr/>
                  </pic:nvPicPr>
                  <pic:blipFill>
                    <a:blip r:embed="rId321" cstate="print">
                      <a:extLst>
                        <a:ext uri="{28A0092B-C50C-407E-A947-70E740481C1C}">
                          <a14:useLocalDpi xmlns:a14="http://schemas.microsoft.com/office/drawing/2010/main" val="0"/>
                        </a:ext>
                      </a:extLst>
                    </a:blip>
                    <a:stretch>
                      <a:fillRect/>
                    </a:stretch>
                  </pic:blipFill>
                  <pic:spPr>
                    <a:xfrm>
                      <a:off x="0" y="0"/>
                      <a:ext cx="4320000" cy="2541600"/>
                    </a:xfrm>
                    <a:prstGeom prst="rect">
                      <a:avLst/>
                    </a:prstGeom>
                  </pic:spPr>
                </pic:pic>
              </a:graphicData>
            </a:graphic>
          </wp:inline>
        </w:drawing>
      </w:r>
    </w:p>
    <w:p w:rsidR="00CE1FF0" w:rsidRPr="00517276" w:rsidRDefault="006365D0" w:rsidP="00CE1FF0">
      <w:pPr>
        <w:jc w:val="center"/>
        <w:rPr>
          <w:i/>
          <w:vanish/>
          <w:color w:val="000000"/>
          <w:szCs w:val="22"/>
          <w:specVanish/>
        </w:rPr>
      </w:pPr>
      <w:bookmarkStart w:id="1280" w:name="_Ref410215626"/>
      <w:bookmarkStart w:id="1281" w:name="_Toc462685065"/>
      <w:bookmarkStart w:id="1282" w:name="_Toc431493937"/>
      <w:r>
        <w:t xml:space="preserve">Figure </w:t>
      </w:r>
      <w:fldSimple w:instr=" SEQ Figure \* ARABIC ">
        <w:r w:rsidR="009C068F">
          <w:rPr>
            <w:noProof/>
          </w:rPr>
          <w:t>225</w:t>
        </w:r>
      </w:fldSimple>
      <w:bookmarkEnd w:id="1280"/>
      <w:r>
        <w:t xml:space="preserve">. </w:t>
      </w:r>
      <w:r w:rsidRPr="006365D0">
        <w:rPr>
          <w:i/>
          <w:lang w:eastAsia="en-AU"/>
        </w:rPr>
        <w:t>Elemental ratios (atomic) of seagrass leaf tissue C:</w:t>
      </w:r>
      <w:r>
        <w:rPr>
          <w:i/>
          <w:lang w:eastAsia="en-AU"/>
        </w:rPr>
        <w:t>P and N:P</w:t>
      </w:r>
      <w:r w:rsidRPr="006365D0">
        <w:rPr>
          <w:i/>
          <w:lang w:eastAsia="en-AU"/>
        </w:rPr>
        <w:t xml:space="preserve"> for </w:t>
      </w:r>
      <w:r w:rsidRPr="006365D0">
        <w:rPr>
          <w:i/>
        </w:rPr>
        <w:t xml:space="preserve">the foundation seagrass species examined at </w:t>
      </w:r>
      <w:r>
        <w:rPr>
          <w:i/>
        </w:rPr>
        <w:t xml:space="preserve">intertidal reef habitats </w:t>
      </w:r>
      <w:r w:rsidRPr="006365D0">
        <w:rPr>
          <w:i/>
        </w:rPr>
        <w:t xml:space="preserve">in the </w:t>
      </w:r>
      <w:r>
        <w:rPr>
          <w:i/>
        </w:rPr>
        <w:t>Wet Tropics</w:t>
      </w:r>
      <w:r w:rsidRPr="006365D0">
        <w:rPr>
          <w:i/>
        </w:rPr>
        <w:t xml:space="preserve"> region</w:t>
      </w:r>
      <w:r w:rsidRPr="006365D0">
        <w:rPr>
          <w:i/>
          <w:lang w:eastAsia="en-AU"/>
        </w:rPr>
        <w:t xml:space="preserve"> each year</w:t>
      </w:r>
      <w:bookmarkEnd w:id="1281"/>
    </w:p>
    <w:p w:rsidR="00F1783F" w:rsidRDefault="006365D0" w:rsidP="006365D0">
      <w:pPr>
        <w:rPr>
          <w:b/>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82"/>
    </w:p>
    <w:p w:rsidR="006365D0" w:rsidRDefault="006365D0" w:rsidP="00F1783F">
      <w:pPr>
        <w:rPr>
          <w:b/>
          <w:szCs w:val="22"/>
        </w:rPr>
      </w:pPr>
    </w:p>
    <w:p w:rsidR="006365D0" w:rsidRDefault="006365D0" w:rsidP="00F1783F">
      <w:pPr>
        <w:rPr>
          <w:szCs w:val="22"/>
        </w:rPr>
      </w:pPr>
    </w:p>
    <w:p w:rsidR="00F1783F" w:rsidRPr="006365D0" w:rsidRDefault="00620C8B" w:rsidP="006365D0">
      <w:pPr>
        <w:keepNext/>
        <w:jc w:val="center"/>
      </w:pPr>
      <w:r>
        <w:rPr>
          <w:noProof/>
          <w:lang w:eastAsia="en-AU"/>
        </w:rPr>
        <w:drawing>
          <wp:inline distT="0" distB="0" distL="0" distR="0" wp14:anchorId="7213B742" wp14:editId="796A4CAB">
            <wp:extent cx="4320000" cy="2541600"/>
            <wp:effectExtent l="0" t="0" r="4445" b="0"/>
            <wp:docPr id="98" name="Picture 98" descr="Set of line and point graphs showing trends in elemental ratios of seagrass leaf tissue N:P and C:P for the foundation seagrass species examined at subtidal reef habitats in the Wet Tropics region over the life of the MMP&#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CNP_sub_yr_Dec15.png"/>
                    <pic:cNvPicPr/>
                  </pic:nvPicPr>
                  <pic:blipFill>
                    <a:blip r:embed="rId322" cstate="print">
                      <a:extLst>
                        <a:ext uri="{28A0092B-C50C-407E-A947-70E740481C1C}">
                          <a14:useLocalDpi xmlns:a14="http://schemas.microsoft.com/office/drawing/2010/main" val="0"/>
                        </a:ext>
                      </a:extLst>
                    </a:blip>
                    <a:stretch>
                      <a:fillRect/>
                    </a:stretch>
                  </pic:blipFill>
                  <pic:spPr>
                    <a:xfrm>
                      <a:off x="0" y="0"/>
                      <a:ext cx="4320000" cy="2541600"/>
                    </a:xfrm>
                    <a:prstGeom prst="rect">
                      <a:avLst/>
                    </a:prstGeom>
                  </pic:spPr>
                </pic:pic>
              </a:graphicData>
            </a:graphic>
          </wp:inline>
        </w:drawing>
      </w:r>
    </w:p>
    <w:p w:rsidR="00CE1FF0" w:rsidRPr="00517276" w:rsidRDefault="006365D0" w:rsidP="00CE1FF0">
      <w:pPr>
        <w:jc w:val="center"/>
        <w:rPr>
          <w:i/>
          <w:vanish/>
          <w:color w:val="000000"/>
          <w:szCs w:val="22"/>
          <w:specVanish/>
        </w:rPr>
      </w:pPr>
      <w:bookmarkStart w:id="1283" w:name="_Ref410219026"/>
      <w:bookmarkStart w:id="1284" w:name="_Toc462685066"/>
      <w:bookmarkStart w:id="1285" w:name="_Toc431493938"/>
      <w:r>
        <w:t xml:space="preserve">Figure </w:t>
      </w:r>
      <w:fldSimple w:instr=" SEQ Figure \* ARABIC ">
        <w:r w:rsidR="009C068F">
          <w:rPr>
            <w:noProof/>
          </w:rPr>
          <w:t>226</w:t>
        </w:r>
      </w:fldSimple>
      <w:bookmarkEnd w:id="1283"/>
      <w:r>
        <w:t xml:space="preserve">. </w:t>
      </w:r>
      <w:r w:rsidRPr="006365D0">
        <w:rPr>
          <w:i/>
          <w:lang w:eastAsia="en-AU"/>
        </w:rPr>
        <w:t>Elemental ratios (atomic) of seagrass leaf tissue C:</w:t>
      </w:r>
      <w:r>
        <w:rPr>
          <w:i/>
          <w:lang w:eastAsia="en-AU"/>
        </w:rPr>
        <w:t>P and N:P</w:t>
      </w:r>
      <w:r w:rsidRPr="006365D0">
        <w:rPr>
          <w:i/>
          <w:lang w:eastAsia="en-AU"/>
        </w:rPr>
        <w:t xml:space="preserve"> for </w:t>
      </w:r>
      <w:r w:rsidRPr="006365D0">
        <w:rPr>
          <w:i/>
        </w:rPr>
        <w:t xml:space="preserve">the foundation seagrass species examined at </w:t>
      </w:r>
      <w:r>
        <w:rPr>
          <w:i/>
        </w:rPr>
        <w:t xml:space="preserve">subtidal reef habitats </w:t>
      </w:r>
      <w:r w:rsidRPr="006365D0">
        <w:rPr>
          <w:i/>
        </w:rPr>
        <w:t xml:space="preserve">in the </w:t>
      </w:r>
      <w:r>
        <w:rPr>
          <w:i/>
        </w:rPr>
        <w:t>Wet Tropics</w:t>
      </w:r>
      <w:r w:rsidRPr="006365D0">
        <w:rPr>
          <w:i/>
        </w:rPr>
        <w:t xml:space="preserve"> region</w:t>
      </w:r>
      <w:r w:rsidRPr="006365D0">
        <w:rPr>
          <w:i/>
          <w:lang w:eastAsia="en-AU"/>
        </w:rPr>
        <w:t xml:space="preserve"> each year</w:t>
      </w:r>
      <w:bookmarkEnd w:id="1284"/>
    </w:p>
    <w:p w:rsidR="00F1783F" w:rsidRDefault="006365D0" w:rsidP="006365D0">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85"/>
    </w:p>
    <w:p w:rsidR="00F1783F" w:rsidRDefault="00F1783F" w:rsidP="00F1783F">
      <w:pPr>
        <w:rPr>
          <w:szCs w:val="22"/>
        </w:rPr>
      </w:pPr>
    </w:p>
    <w:p w:rsidR="00F1783F" w:rsidRPr="006365D0" w:rsidRDefault="00620C8B" w:rsidP="006365D0">
      <w:pPr>
        <w:keepNext/>
        <w:jc w:val="center"/>
      </w:pPr>
      <w:r>
        <w:rPr>
          <w:noProof/>
          <w:lang w:eastAsia="en-AU"/>
        </w:rPr>
        <w:lastRenderedPageBreak/>
        <w:drawing>
          <wp:inline distT="0" distB="0" distL="0" distR="0" wp14:anchorId="7E0C3953" wp14:editId="36001313">
            <wp:extent cx="5400000" cy="3546000"/>
            <wp:effectExtent l="0" t="0" r="0" b="0"/>
            <wp:docPr id="99" name="Picture 99" descr="Set of line and point graphs showing trends in elemental ratios of seagrass leaf tissue C:N, N:P and C:P for the foundation seagrass species examined at each habitat and location in the Burdekin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CNP_loc_yr_Dec15.png"/>
                    <pic:cNvPicPr/>
                  </pic:nvPicPr>
                  <pic:blipFill>
                    <a:blip r:embed="rId323" cstate="print">
                      <a:extLst>
                        <a:ext uri="{28A0092B-C50C-407E-A947-70E740481C1C}">
                          <a14:useLocalDpi xmlns:a14="http://schemas.microsoft.com/office/drawing/2010/main" val="0"/>
                        </a:ext>
                      </a:extLst>
                    </a:blip>
                    <a:stretch>
                      <a:fillRect/>
                    </a:stretch>
                  </pic:blipFill>
                  <pic:spPr>
                    <a:xfrm>
                      <a:off x="0" y="0"/>
                      <a:ext cx="5400000" cy="3546000"/>
                    </a:xfrm>
                    <a:prstGeom prst="rect">
                      <a:avLst/>
                    </a:prstGeom>
                  </pic:spPr>
                </pic:pic>
              </a:graphicData>
            </a:graphic>
          </wp:inline>
        </w:drawing>
      </w:r>
    </w:p>
    <w:p w:rsidR="00CE1FF0" w:rsidRPr="00517276" w:rsidRDefault="00D81E7E" w:rsidP="00CE1FF0">
      <w:pPr>
        <w:jc w:val="center"/>
        <w:rPr>
          <w:i/>
          <w:vanish/>
          <w:color w:val="000000"/>
          <w:szCs w:val="22"/>
          <w:specVanish/>
        </w:rPr>
      </w:pPr>
      <w:bookmarkStart w:id="1286" w:name="_Ref410222201"/>
      <w:bookmarkStart w:id="1287" w:name="_Toc462685067"/>
      <w:bookmarkStart w:id="1288" w:name="_Toc431493939"/>
      <w:r>
        <w:t xml:space="preserve">Figure </w:t>
      </w:r>
      <w:fldSimple w:instr=" SEQ Figure \* ARABIC ">
        <w:r w:rsidR="009C068F">
          <w:rPr>
            <w:noProof/>
          </w:rPr>
          <w:t>227</w:t>
        </w:r>
      </w:fldSimple>
      <w:bookmarkEnd w:id="1286"/>
      <w:r>
        <w:t xml:space="preserve">. </w:t>
      </w:r>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each </w:t>
      </w:r>
      <w:r>
        <w:rPr>
          <w:i/>
        </w:rPr>
        <w:t>habitat and</w:t>
      </w:r>
      <w:r w:rsidRPr="006365D0">
        <w:rPr>
          <w:i/>
        </w:rPr>
        <w:t xml:space="preserve"> location in the </w:t>
      </w:r>
      <w:r>
        <w:rPr>
          <w:i/>
        </w:rPr>
        <w:t>Burdekin</w:t>
      </w:r>
      <w:r w:rsidRPr="006365D0">
        <w:rPr>
          <w:i/>
        </w:rPr>
        <w:t xml:space="preserve"> region</w:t>
      </w:r>
      <w:r w:rsidRPr="006365D0">
        <w:rPr>
          <w:i/>
          <w:lang w:eastAsia="en-AU"/>
        </w:rPr>
        <w:t xml:space="preserve"> each year</w:t>
      </w:r>
      <w:bookmarkEnd w:id="1287"/>
    </w:p>
    <w:p w:rsidR="00F1783F" w:rsidRDefault="00D81E7E" w:rsidP="00D81E7E">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88"/>
    </w:p>
    <w:p w:rsidR="00F1783F" w:rsidRDefault="00F1783F" w:rsidP="00F1783F">
      <w:pPr>
        <w:rPr>
          <w:szCs w:val="22"/>
        </w:rPr>
      </w:pPr>
    </w:p>
    <w:p w:rsidR="00620C8B" w:rsidRDefault="00620C8B" w:rsidP="00BC7288">
      <w:pPr>
        <w:jc w:val="center"/>
        <w:rPr>
          <w:szCs w:val="22"/>
        </w:rPr>
      </w:pPr>
      <w:r>
        <w:rPr>
          <w:noProof/>
          <w:szCs w:val="22"/>
          <w:lang w:eastAsia="en-AU"/>
        </w:rPr>
        <w:drawing>
          <wp:inline distT="0" distB="0" distL="0" distR="0" wp14:anchorId="3BE8855D" wp14:editId="625102DF">
            <wp:extent cx="2880000" cy="3621600"/>
            <wp:effectExtent l="0" t="0" r="0" b="0"/>
            <wp:docPr id="101" name="Picture 101" descr="Set of line and point graphs showing trends in elemental ratios of seagrass leaf tissue C:N, N:P and C:P for the foundation seagrass species examined at each habitat and location in the Mackay Whitsunday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CNP_coast_yr_Dec15.png"/>
                    <pic:cNvPicPr/>
                  </pic:nvPicPr>
                  <pic:blipFill>
                    <a:blip r:embed="rId324" cstate="print">
                      <a:extLst>
                        <a:ext uri="{28A0092B-C50C-407E-A947-70E740481C1C}">
                          <a14:useLocalDpi xmlns:a14="http://schemas.microsoft.com/office/drawing/2010/main" val="0"/>
                        </a:ext>
                      </a:extLst>
                    </a:blip>
                    <a:stretch>
                      <a:fillRect/>
                    </a:stretch>
                  </pic:blipFill>
                  <pic:spPr>
                    <a:xfrm>
                      <a:off x="0" y="0"/>
                      <a:ext cx="2880000" cy="3621600"/>
                    </a:xfrm>
                    <a:prstGeom prst="rect">
                      <a:avLst/>
                    </a:prstGeom>
                  </pic:spPr>
                </pic:pic>
              </a:graphicData>
            </a:graphic>
          </wp:inline>
        </w:drawing>
      </w:r>
    </w:p>
    <w:p w:rsidR="00CE1FF0" w:rsidRPr="00517276" w:rsidRDefault="00620C8B" w:rsidP="00CE1FF0">
      <w:pPr>
        <w:jc w:val="center"/>
        <w:rPr>
          <w:i/>
          <w:vanish/>
          <w:color w:val="000000"/>
          <w:szCs w:val="22"/>
          <w:specVanish/>
        </w:rPr>
      </w:pPr>
      <w:bookmarkStart w:id="1289" w:name="_Toc462685068"/>
      <w:r>
        <w:t xml:space="preserve">Figure </w:t>
      </w:r>
      <w:fldSimple w:instr=" SEQ Figure \* ARABIC ">
        <w:r w:rsidR="009C068F">
          <w:rPr>
            <w:noProof/>
          </w:rPr>
          <w:t>228</w:t>
        </w:r>
      </w:fldSimple>
      <w:r>
        <w:t xml:space="preserve">. </w:t>
      </w:r>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w:t>
      </w:r>
      <w:r>
        <w:rPr>
          <w:i/>
        </w:rPr>
        <w:t>coastal</w:t>
      </w:r>
      <w:r w:rsidRPr="006365D0">
        <w:rPr>
          <w:i/>
        </w:rPr>
        <w:t xml:space="preserve"> </w:t>
      </w:r>
      <w:r>
        <w:rPr>
          <w:i/>
        </w:rPr>
        <w:t xml:space="preserve">habitats </w:t>
      </w:r>
      <w:r w:rsidRPr="006365D0">
        <w:rPr>
          <w:i/>
        </w:rPr>
        <w:t xml:space="preserve">in the </w:t>
      </w:r>
      <w:r>
        <w:rPr>
          <w:i/>
        </w:rPr>
        <w:t>Mackay Whitsunday</w:t>
      </w:r>
      <w:r w:rsidRPr="006365D0">
        <w:rPr>
          <w:i/>
        </w:rPr>
        <w:t xml:space="preserve"> region</w:t>
      </w:r>
      <w:r w:rsidRPr="006365D0">
        <w:rPr>
          <w:i/>
          <w:lang w:eastAsia="en-AU"/>
        </w:rPr>
        <w:t xml:space="preserve"> each year</w:t>
      </w:r>
      <w:bookmarkEnd w:id="1289"/>
    </w:p>
    <w:p w:rsidR="00620C8B" w:rsidRDefault="00620C8B" w:rsidP="00620C8B">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p>
    <w:p w:rsidR="00830213" w:rsidRPr="002A6474" w:rsidRDefault="00830213" w:rsidP="00830213">
      <w:pPr>
        <w:rPr>
          <w:rFonts w:cs="TimesNewRoman,Italic"/>
          <w:iCs/>
          <w:color w:val="000000"/>
          <w:szCs w:val="22"/>
        </w:rPr>
      </w:pPr>
    </w:p>
    <w:p w:rsidR="00830213" w:rsidRPr="00EB666B" w:rsidRDefault="00BC7288" w:rsidP="00830213">
      <w:pPr>
        <w:keepNext/>
        <w:jc w:val="center"/>
        <w:rPr>
          <w:color w:val="000000"/>
        </w:rPr>
      </w:pPr>
      <w:r>
        <w:rPr>
          <w:noProof/>
          <w:color w:val="000000"/>
          <w:lang w:eastAsia="en-AU"/>
        </w:rPr>
        <w:lastRenderedPageBreak/>
        <w:drawing>
          <wp:inline distT="0" distB="0" distL="0" distR="0" wp14:anchorId="58E806CB" wp14:editId="58597528">
            <wp:extent cx="5759450" cy="3221355"/>
            <wp:effectExtent l="0" t="0" r="0" b="0"/>
            <wp:docPr id="85" name="Picture 85" descr="Set of line and point graphs showing trends in elemental ratios of seagrass leaf tissue C:N, N:P and C:P for the foundation seagrass species examined at each habitat and location in the Burnett Mary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BM_CNP_loc_Dec15.png"/>
                    <pic:cNvPicPr/>
                  </pic:nvPicPr>
                  <pic:blipFill>
                    <a:blip r:embed="rId325" cstate="print">
                      <a:extLst>
                        <a:ext uri="{28A0092B-C50C-407E-A947-70E740481C1C}">
                          <a14:useLocalDpi xmlns:a14="http://schemas.microsoft.com/office/drawing/2010/main" val="0"/>
                        </a:ext>
                      </a:extLst>
                    </a:blip>
                    <a:stretch>
                      <a:fillRect/>
                    </a:stretch>
                  </pic:blipFill>
                  <pic:spPr>
                    <a:xfrm>
                      <a:off x="0" y="0"/>
                      <a:ext cx="5759450" cy="3221355"/>
                    </a:xfrm>
                    <a:prstGeom prst="rect">
                      <a:avLst/>
                    </a:prstGeom>
                  </pic:spPr>
                </pic:pic>
              </a:graphicData>
            </a:graphic>
          </wp:inline>
        </w:drawing>
      </w:r>
    </w:p>
    <w:p w:rsidR="00830213" w:rsidRPr="006624EF" w:rsidRDefault="00830213" w:rsidP="00830213">
      <w:pPr>
        <w:rPr>
          <w:i/>
          <w:vanish/>
          <w:color w:val="000000"/>
          <w:szCs w:val="22"/>
          <w:specVanish/>
        </w:rPr>
      </w:pPr>
      <w:bookmarkStart w:id="1290" w:name="_Ref271135628"/>
      <w:bookmarkStart w:id="1291" w:name="_Toc431493940"/>
      <w:bookmarkStart w:id="1292" w:name="_Toc462685069"/>
      <w:r w:rsidRPr="00EB666B">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9C068F">
        <w:rPr>
          <w:noProof/>
          <w:color w:val="000000"/>
        </w:rPr>
        <w:t>229</w:t>
      </w:r>
      <w:r w:rsidR="0073595B">
        <w:rPr>
          <w:color w:val="000000"/>
        </w:rPr>
        <w:fldChar w:fldCharType="end"/>
      </w:r>
      <w:bookmarkEnd w:id="1290"/>
      <w:r w:rsidRPr="00EB666B">
        <w:rPr>
          <w:color w:val="000000"/>
        </w:rPr>
        <w:t xml:space="preserve">. </w:t>
      </w:r>
      <w:r w:rsidRPr="006624EF">
        <w:rPr>
          <w:i/>
          <w:color w:val="000000"/>
          <w:lang w:eastAsia="en-AU"/>
        </w:rPr>
        <w:t xml:space="preserve">Elemental ratios (atomic) of seagrass leaf tissue C:N for </w:t>
      </w:r>
      <w:r w:rsidRPr="006624EF">
        <w:rPr>
          <w:i/>
          <w:color w:val="000000"/>
        </w:rPr>
        <w:t>the foundation seagrass species examined at each habitat in the Burnett Mary region</w:t>
      </w:r>
      <w:r w:rsidRPr="006624EF">
        <w:rPr>
          <w:i/>
          <w:color w:val="000000"/>
          <w:lang w:eastAsia="en-AU"/>
        </w:rPr>
        <w:t xml:space="preserve"> each year</w:t>
      </w:r>
      <w:bookmarkEnd w:id="1291"/>
      <w:bookmarkEnd w:id="1292"/>
    </w:p>
    <w:p w:rsidR="00830213" w:rsidRPr="00EB666B" w:rsidRDefault="00830213" w:rsidP="006624EF">
      <w:r w:rsidRPr="006624EF">
        <w:rPr>
          <w:i/>
          <w:lang w:eastAsia="en-AU"/>
        </w:rPr>
        <w:t xml:space="preserve"> (species pooled) </w:t>
      </w:r>
      <w:r w:rsidRPr="006624EF">
        <w:rPr>
          <w:i/>
        </w:rPr>
        <w:t>(mean</w:t>
      </w:r>
      <w:r w:rsidRPr="006624EF">
        <w:rPr>
          <w:i/>
          <w:lang w:eastAsia="en-AU"/>
        </w:rPr>
        <w:t xml:space="preserve"> ± Standard Error</w:t>
      </w:r>
      <w:r w:rsidRPr="006624EF">
        <w:rPr>
          <w:i/>
        </w:rPr>
        <w:t>)</w:t>
      </w:r>
      <w:r w:rsidRPr="006624EF">
        <w:rPr>
          <w:i/>
          <w:lang w:eastAsia="en-AU"/>
        </w:rPr>
        <w:t xml:space="preserve">. </w:t>
      </w:r>
    </w:p>
    <w:p w:rsidR="00F1783F" w:rsidRDefault="00F1783F" w:rsidP="00D3769B">
      <w:pPr>
        <w:ind w:left="540" w:hanging="540"/>
        <w:rPr>
          <w:color w:val="000000"/>
          <w:lang w:val="en-GB"/>
        </w:rPr>
      </w:pPr>
    </w:p>
    <w:p w:rsidR="00620C8B" w:rsidRDefault="00620C8B">
      <w:pPr>
        <w:spacing w:before="0" w:after="0"/>
        <w:rPr>
          <w:color w:val="000000"/>
          <w:szCs w:val="22"/>
          <w:lang w:val="en-GB"/>
        </w:rPr>
      </w:pPr>
      <w:r>
        <w:rPr>
          <w:color w:val="000000"/>
          <w:lang w:val="en-GB"/>
        </w:rPr>
        <w:br w:type="page"/>
      </w:r>
    </w:p>
    <w:p w:rsidR="00620C8B" w:rsidRDefault="00620C8B" w:rsidP="00620C8B">
      <w:pPr>
        <w:ind w:left="540" w:hanging="540"/>
        <w:rPr>
          <w:color w:val="000000"/>
        </w:rPr>
      </w:pPr>
    </w:p>
    <w:p w:rsidR="00620C8B" w:rsidRDefault="00620C8B" w:rsidP="00620C8B">
      <w:pPr>
        <w:jc w:val="center"/>
        <w:rPr>
          <w:vanish/>
          <w:szCs w:val="22"/>
          <w:specVanish/>
        </w:rPr>
      </w:pPr>
      <w:bookmarkStart w:id="1293" w:name="_Ref442529366"/>
      <w:bookmarkStart w:id="1294" w:name="_Toc462685118"/>
      <w:r>
        <w:rPr>
          <w:szCs w:val="22"/>
        </w:rPr>
        <w:t xml:space="preserve">Table </w:t>
      </w:r>
      <w:r>
        <w:fldChar w:fldCharType="begin"/>
      </w:r>
      <w:r>
        <w:rPr>
          <w:szCs w:val="22"/>
        </w:rPr>
        <w:instrText xml:space="preserve"> SEQ Table \* ARABIC </w:instrText>
      </w:r>
      <w:r>
        <w:fldChar w:fldCharType="separate"/>
      </w:r>
      <w:r w:rsidR="009C068F">
        <w:rPr>
          <w:noProof/>
          <w:szCs w:val="22"/>
        </w:rPr>
        <w:t>49</w:t>
      </w:r>
      <w:r>
        <w:fldChar w:fldCharType="end"/>
      </w:r>
      <w:bookmarkEnd w:id="1293"/>
      <w:r>
        <w:rPr>
          <w:szCs w:val="22"/>
        </w:rPr>
        <w:t xml:space="preserve">. </w:t>
      </w:r>
      <w:r>
        <w:rPr>
          <w:i/>
          <w:szCs w:val="22"/>
          <w:lang w:val="en-US"/>
        </w:rPr>
        <w:t xml:space="preserve">Seagrass leaf tissue nutrient, </w:t>
      </w:r>
      <w:r>
        <w:rPr>
          <w:i/>
          <w:szCs w:val="22"/>
        </w:rPr>
        <w:t>δ</w:t>
      </w:r>
      <w:r>
        <w:rPr>
          <w:i/>
          <w:szCs w:val="22"/>
          <w:vertAlign w:val="superscript"/>
        </w:rPr>
        <w:t>13</w:t>
      </w:r>
      <w:r>
        <w:rPr>
          <w:i/>
          <w:szCs w:val="22"/>
        </w:rPr>
        <w:t>C</w:t>
      </w:r>
      <w:r>
        <w:rPr>
          <w:i/>
          <w:szCs w:val="22"/>
          <w:lang w:val="en-US"/>
        </w:rPr>
        <w:t xml:space="preserve"> and </w:t>
      </w:r>
      <w:r>
        <w:rPr>
          <w:i/>
          <w:szCs w:val="22"/>
        </w:rPr>
        <w:t>δ</w:t>
      </w:r>
      <w:r>
        <w:rPr>
          <w:i/>
          <w:szCs w:val="22"/>
          <w:vertAlign w:val="superscript"/>
        </w:rPr>
        <w:t>15</w:t>
      </w:r>
      <w:r>
        <w:rPr>
          <w:i/>
          <w:szCs w:val="22"/>
        </w:rPr>
        <w:t>N</w:t>
      </w:r>
      <w:r>
        <w:rPr>
          <w:i/>
          <w:szCs w:val="22"/>
          <w:lang w:val="en-US"/>
        </w:rPr>
        <w:t xml:space="preserve"> concentrations from each NRM region in the late dry 2011 to 2014.</w:t>
      </w:r>
      <w:bookmarkEnd w:id="1294"/>
      <w:r>
        <w:rPr>
          <w:i/>
          <w:vanish/>
          <w:szCs w:val="22"/>
          <w:lang w:val="en-US"/>
          <w:specVanish/>
        </w:rPr>
        <w:t xml:space="preserve"> </w:t>
      </w:r>
      <w:r>
        <w:rPr>
          <w:szCs w:val="22"/>
          <w:lang w:val="en-US"/>
        </w:rPr>
        <w:t xml:space="preserve"> </w:t>
      </w:r>
    </w:p>
    <w:p w:rsidR="00620C8B" w:rsidRDefault="00620C8B" w:rsidP="00620C8B">
      <w:pPr>
        <w:rPr>
          <w:lang w:val="en-GB"/>
        </w:rPr>
      </w:pPr>
      <w:r>
        <w:rPr>
          <w:lang w:val="en-GB"/>
        </w:rPr>
        <w:t xml:space="preserve"> </w:t>
      </w:r>
      <w:r>
        <w:rPr>
          <w:i/>
          <w:szCs w:val="22"/>
          <w:lang w:val="en-US"/>
        </w:rPr>
        <w:t xml:space="preserve"> Leaf tissues with </w:t>
      </w:r>
      <w:r>
        <w:rPr>
          <w:i/>
          <w:szCs w:val="22"/>
        </w:rPr>
        <w:t>low %C (see Table 38), low C:N (&lt;20:1), and isotopically depleted δ</w:t>
      </w:r>
      <w:r>
        <w:rPr>
          <w:i/>
          <w:szCs w:val="22"/>
          <w:vertAlign w:val="superscript"/>
        </w:rPr>
        <w:t>13</w:t>
      </w:r>
      <w:r>
        <w:rPr>
          <w:i/>
          <w:szCs w:val="22"/>
        </w:rPr>
        <w:t xml:space="preserve">C may indicate that growth is light limited (Grice et al. 1996; </w:t>
      </w:r>
      <w:proofErr w:type="spellStart"/>
      <w:r>
        <w:rPr>
          <w:i/>
          <w:szCs w:val="22"/>
        </w:rPr>
        <w:t>Fourqurean</w:t>
      </w:r>
      <w:proofErr w:type="spellEnd"/>
      <w:r>
        <w:rPr>
          <w:i/>
          <w:szCs w:val="22"/>
        </w:rPr>
        <w:t xml:space="preserve"> et al. 2005). Global δ</w:t>
      </w:r>
      <w:r>
        <w:rPr>
          <w:i/>
          <w:szCs w:val="22"/>
          <w:vertAlign w:val="superscript"/>
        </w:rPr>
        <w:t>13</w:t>
      </w:r>
      <w:r>
        <w:rPr>
          <w:i/>
          <w:szCs w:val="22"/>
        </w:rPr>
        <w:t xml:space="preserve">C averages from </w:t>
      </w:r>
      <w:hyperlink w:anchor="_ENREF_125" w:tooltip="Hemminga, 1996 #5658" w:history="1">
        <w:r w:rsidR="00E6043D">
          <w:rPr>
            <w:i/>
            <w:szCs w:val="22"/>
          </w:rPr>
          <w:fldChar w:fldCharType="begin"/>
        </w:r>
        <w:r w:rsidR="00E6043D">
          <w:rPr>
            <w:i/>
            <w:szCs w:val="22"/>
          </w:rPr>
          <w:instrText xml:space="preserve"> ADDIN EN.CITE &lt;EndNote&gt;&lt;Cite&gt;&lt;Author&gt;Hemminga&lt;/Author&gt;&lt;Year&gt;1996&lt;/Year&gt;&lt;RecNum&gt;5658&lt;/RecNum&gt;&lt;DisplayText&gt;Hemminga and Mateo 1996&lt;/DisplayText&gt;&lt;record&gt;&lt;rec-number&gt;5658&lt;/rec-number&gt;&lt;foreign-keys&gt;&lt;key app="EN" db-id="0eve55x9y5vfd6e9dacxtew4eatve2dzds9a"&gt;5658&lt;/key&gt;&lt;/foreign-keys&gt;&lt;ref-type name="Journal Article"&gt;17&lt;/ref-type&gt;&lt;contributors&gt;&lt;authors&gt;&lt;author&gt;Hemminga, M A&lt;/author&gt;&lt;author&gt;Mateo, M A&lt;/author&gt;&lt;/authors&gt;&lt;/contributors&gt;&lt;titles&gt;&lt;title&gt;Stable carbon isotopes in seagrasses: variability in ratios and use in ecological studies&lt;/title&gt;&lt;secondary-title&gt;Marine Ecology Progress Series&lt;/secondary-title&gt;&lt;/titles&gt;&lt;periodical&gt;&lt;full-title&gt;Marine Ecology Progress Series&lt;/full-title&gt;&lt;/periodical&gt;&lt;pages&gt;285-298&lt;/pages&gt;&lt;volume&gt;140&lt;/volume&gt;&lt;keywords&gt;&lt;keyword&gt;stable carbon isotopes, isotope signatures&lt;/keyword&gt;&lt;/keywords&gt;&lt;dates&gt;&lt;year&gt;1996&lt;/year&gt;&lt;/dates&gt;&lt;urls&gt;&lt;/urls&gt;&lt;/record&gt;&lt;/Cite&gt;&lt;/EndNote&gt;</w:instrText>
        </w:r>
        <w:r w:rsidR="00E6043D">
          <w:rPr>
            <w:i/>
            <w:szCs w:val="22"/>
          </w:rPr>
          <w:fldChar w:fldCharType="separate"/>
        </w:r>
        <w:r w:rsidR="00E6043D">
          <w:rPr>
            <w:i/>
            <w:noProof/>
            <w:szCs w:val="22"/>
          </w:rPr>
          <w:t>Hemminga and Mateo 1996</w:t>
        </w:r>
        <w:r w:rsidR="00E6043D">
          <w:rPr>
            <w:i/>
            <w:szCs w:val="22"/>
          </w:rPr>
          <w:fldChar w:fldCharType="end"/>
        </w:r>
      </w:hyperlink>
      <w:r>
        <w:rPr>
          <w:i/>
          <w:szCs w:val="22"/>
        </w:rPr>
        <w:t>). Shading indicates values lower than literature. CR=</w:t>
      </w:r>
      <w:proofErr w:type="spellStart"/>
      <w:r>
        <w:rPr>
          <w:i/>
          <w:szCs w:val="22"/>
        </w:rPr>
        <w:t>Cymodocea</w:t>
      </w:r>
      <w:proofErr w:type="spellEnd"/>
      <w:r>
        <w:rPr>
          <w:i/>
          <w:szCs w:val="22"/>
        </w:rPr>
        <w:t xml:space="preserve"> </w:t>
      </w:r>
      <w:proofErr w:type="spellStart"/>
      <w:r>
        <w:rPr>
          <w:i/>
          <w:szCs w:val="22"/>
        </w:rPr>
        <w:t>rotundata</w:t>
      </w:r>
      <w:proofErr w:type="spellEnd"/>
      <w:r>
        <w:rPr>
          <w:i/>
          <w:szCs w:val="22"/>
        </w:rPr>
        <w:t>, EA=</w:t>
      </w:r>
      <w:proofErr w:type="spellStart"/>
      <w:r>
        <w:rPr>
          <w:i/>
          <w:szCs w:val="22"/>
        </w:rPr>
        <w:t>Enhalus</w:t>
      </w:r>
      <w:proofErr w:type="spellEnd"/>
      <w:r>
        <w:rPr>
          <w:i/>
          <w:szCs w:val="22"/>
        </w:rPr>
        <w:t xml:space="preserve"> </w:t>
      </w:r>
      <w:proofErr w:type="spellStart"/>
      <w:r>
        <w:rPr>
          <w:i/>
          <w:szCs w:val="22"/>
        </w:rPr>
        <w:t>acoroides</w:t>
      </w:r>
      <w:proofErr w:type="spellEnd"/>
      <w:r>
        <w:rPr>
          <w:i/>
          <w:szCs w:val="22"/>
        </w:rPr>
        <w:t>, HO=</w:t>
      </w:r>
      <w:proofErr w:type="spellStart"/>
      <w:r>
        <w:rPr>
          <w:i/>
          <w:szCs w:val="22"/>
        </w:rPr>
        <w:t>Halophila</w:t>
      </w:r>
      <w:proofErr w:type="spellEnd"/>
      <w:r>
        <w:rPr>
          <w:i/>
          <w:szCs w:val="22"/>
        </w:rPr>
        <w:t xml:space="preserve"> </w:t>
      </w:r>
      <w:proofErr w:type="spellStart"/>
      <w:r>
        <w:rPr>
          <w:i/>
          <w:szCs w:val="22"/>
        </w:rPr>
        <w:t>ovalis</w:t>
      </w:r>
      <w:proofErr w:type="spellEnd"/>
      <w:r>
        <w:rPr>
          <w:i/>
          <w:szCs w:val="22"/>
        </w:rPr>
        <w:t>, HS=</w:t>
      </w:r>
      <w:proofErr w:type="spellStart"/>
      <w:r>
        <w:rPr>
          <w:i/>
          <w:szCs w:val="22"/>
        </w:rPr>
        <w:t>Halophila</w:t>
      </w:r>
      <w:proofErr w:type="spellEnd"/>
      <w:r>
        <w:rPr>
          <w:i/>
          <w:szCs w:val="22"/>
        </w:rPr>
        <w:t xml:space="preserve"> </w:t>
      </w:r>
      <w:proofErr w:type="spellStart"/>
      <w:r>
        <w:rPr>
          <w:i/>
          <w:szCs w:val="22"/>
        </w:rPr>
        <w:t>spinulosa</w:t>
      </w:r>
      <w:proofErr w:type="spellEnd"/>
      <w:r>
        <w:rPr>
          <w:i/>
          <w:szCs w:val="22"/>
        </w:rPr>
        <w:t>, HU=</w:t>
      </w:r>
      <w:proofErr w:type="spellStart"/>
      <w:r>
        <w:rPr>
          <w:i/>
          <w:szCs w:val="22"/>
        </w:rPr>
        <w:t>Halodule</w:t>
      </w:r>
      <w:proofErr w:type="spellEnd"/>
      <w:r>
        <w:rPr>
          <w:i/>
          <w:szCs w:val="22"/>
        </w:rPr>
        <w:t xml:space="preserve"> </w:t>
      </w:r>
      <w:proofErr w:type="spellStart"/>
      <w:r>
        <w:rPr>
          <w:i/>
          <w:szCs w:val="22"/>
        </w:rPr>
        <w:t>uninervis</w:t>
      </w:r>
      <w:proofErr w:type="spellEnd"/>
      <w:r>
        <w:rPr>
          <w:i/>
          <w:szCs w:val="22"/>
        </w:rPr>
        <w:t>, TH=</w:t>
      </w:r>
      <w:proofErr w:type="spellStart"/>
      <w:r>
        <w:rPr>
          <w:i/>
          <w:szCs w:val="22"/>
        </w:rPr>
        <w:t>Thalassia</w:t>
      </w:r>
      <w:proofErr w:type="spellEnd"/>
      <w:r>
        <w:rPr>
          <w:i/>
          <w:szCs w:val="22"/>
        </w:rPr>
        <w:t xml:space="preserve"> </w:t>
      </w:r>
      <w:proofErr w:type="spellStart"/>
      <w:r>
        <w:rPr>
          <w:i/>
          <w:szCs w:val="22"/>
        </w:rPr>
        <w:t>hemprichii</w:t>
      </w:r>
      <w:proofErr w:type="spellEnd"/>
      <w:r>
        <w:rPr>
          <w:i/>
          <w:szCs w:val="22"/>
        </w:rPr>
        <w:t>, ZM=</w:t>
      </w:r>
      <w:proofErr w:type="spellStart"/>
      <w:r>
        <w:rPr>
          <w:i/>
          <w:szCs w:val="22"/>
        </w:rPr>
        <w:t>Zostera</w:t>
      </w:r>
      <w:proofErr w:type="spellEnd"/>
      <w:r>
        <w:rPr>
          <w:i/>
          <w:szCs w:val="22"/>
        </w:rPr>
        <w:t xml:space="preserve"> </w:t>
      </w:r>
      <w:proofErr w:type="spellStart"/>
      <w:r>
        <w:rPr>
          <w:i/>
          <w:szCs w:val="22"/>
        </w:rPr>
        <w:t>muelleri</w:t>
      </w:r>
      <w:proofErr w:type="spellEnd"/>
      <w:r>
        <w:rPr>
          <w:i/>
          <w:szCs w:val="22"/>
        </w:rPr>
        <w:t>.</w:t>
      </w:r>
      <w:r>
        <w:rPr>
          <w:szCs w:val="22"/>
        </w:rPr>
        <w:t xml:space="preserve"> </w:t>
      </w:r>
    </w:p>
    <w:tbl>
      <w:tblPr>
        <w:tblW w:w="9496" w:type="dxa"/>
        <w:jc w:val="center"/>
        <w:tblLook w:val="04A0" w:firstRow="1" w:lastRow="0" w:firstColumn="1" w:lastColumn="0" w:noHBand="0" w:noVBand="1"/>
      </w:tblPr>
      <w:tblGrid>
        <w:gridCol w:w="1077"/>
        <w:gridCol w:w="1115"/>
        <w:gridCol w:w="789"/>
        <w:gridCol w:w="621"/>
        <w:gridCol w:w="661"/>
        <w:gridCol w:w="661"/>
        <w:gridCol w:w="1109"/>
        <w:gridCol w:w="1109"/>
        <w:gridCol w:w="797"/>
        <w:gridCol w:w="1557"/>
      </w:tblGrid>
      <w:tr w:rsidR="00620C8B" w:rsidTr="003A1357">
        <w:trPr>
          <w:cantSplit/>
          <w:trHeight w:val="288"/>
          <w:tblHeader/>
          <w:jc w:val="center"/>
        </w:trPr>
        <w:tc>
          <w:tcPr>
            <w:tcW w:w="1077" w:type="dxa"/>
            <w:tcBorders>
              <w:top w:val="single" w:sz="4" w:space="0" w:color="auto"/>
              <w:left w:val="nil"/>
              <w:bottom w:val="single" w:sz="4" w:space="0" w:color="auto"/>
              <w:right w:val="nil"/>
            </w:tcBorders>
            <w:shd w:val="clear" w:color="auto" w:fill="BBE0E3"/>
            <w:vAlign w:val="center"/>
            <w:hideMark/>
          </w:tcPr>
          <w:p w:rsidR="00620C8B" w:rsidRDefault="00620C8B" w:rsidP="00805748">
            <w:pPr>
              <w:spacing w:before="0" w:after="0"/>
              <w:jc w:val="center"/>
              <w:rPr>
                <w:b/>
                <w:color w:val="000000"/>
                <w:sz w:val="16"/>
                <w:szCs w:val="16"/>
              </w:rPr>
            </w:pPr>
            <w:r>
              <w:rPr>
                <w:b/>
                <w:color w:val="000000"/>
                <w:sz w:val="16"/>
                <w:szCs w:val="16"/>
              </w:rPr>
              <w:t>NRM</w:t>
            </w:r>
          </w:p>
        </w:tc>
        <w:tc>
          <w:tcPr>
            <w:tcW w:w="1115" w:type="dxa"/>
            <w:tcBorders>
              <w:top w:val="single" w:sz="4" w:space="0" w:color="auto"/>
              <w:left w:val="nil"/>
              <w:bottom w:val="single" w:sz="4" w:space="0" w:color="auto"/>
              <w:right w:val="nil"/>
            </w:tcBorders>
            <w:shd w:val="clear" w:color="auto" w:fill="BBE0E3"/>
            <w:noWrap/>
            <w:vAlign w:val="center"/>
            <w:hideMark/>
          </w:tcPr>
          <w:p w:rsidR="00620C8B" w:rsidRDefault="00620C8B" w:rsidP="00805748">
            <w:pPr>
              <w:spacing w:before="0" w:after="0"/>
              <w:jc w:val="center"/>
              <w:rPr>
                <w:b/>
                <w:color w:val="000000"/>
                <w:sz w:val="16"/>
                <w:szCs w:val="16"/>
              </w:rPr>
            </w:pPr>
            <w:r>
              <w:rPr>
                <w:b/>
                <w:color w:val="000000"/>
                <w:sz w:val="16"/>
                <w:szCs w:val="16"/>
              </w:rPr>
              <w:t>Habitat</w:t>
            </w:r>
          </w:p>
        </w:tc>
        <w:tc>
          <w:tcPr>
            <w:tcW w:w="789" w:type="dxa"/>
            <w:tcBorders>
              <w:top w:val="single" w:sz="4" w:space="0" w:color="auto"/>
              <w:left w:val="nil"/>
              <w:bottom w:val="single" w:sz="4" w:space="0" w:color="auto"/>
              <w:right w:val="nil"/>
            </w:tcBorders>
            <w:shd w:val="clear" w:color="auto" w:fill="BBE0E3"/>
            <w:noWrap/>
            <w:vAlign w:val="center"/>
            <w:hideMark/>
          </w:tcPr>
          <w:p w:rsidR="00620C8B" w:rsidRDefault="00620C8B" w:rsidP="00805748">
            <w:pPr>
              <w:spacing w:before="0" w:after="0"/>
              <w:jc w:val="center"/>
              <w:rPr>
                <w:b/>
                <w:color w:val="000000"/>
                <w:sz w:val="16"/>
                <w:szCs w:val="16"/>
              </w:rPr>
            </w:pPr>
            <w:r>
              <w:rPr>
                <w:b/>
                <w:color w:val="000000"/>
                <w:sz w:val="16"/>
                <w:szCs w:val="16"/>
              </w:rPr>
              <w:t>Species</w:t>
            </w:r>
          </w:p>
        </w:tc>
        <w:tc>
          <w:tcPr>
            <w:tcW w:w="621" w:type="dxa"/>
            <w:tcBorders>
              <w:top w:val="single" w:sz="4" w:space="0" w:color="auto"/>
              <w:left w:val="nil"/>
              <w:bottom w:val="single" w:sz="4" w:space="0" w:color="auto"/>
              <w:right w:val="nil"/>
            </w:tcBorders>
            <w:shd w:val="clear" w:color="auto" w:fill="BBE0E3"/>
            <w:vAlign w:val="center"/>
            <w:hideMark/>
          </w:tcPr>
          <w:p w:rsidR="00620C8B" w:rsidRDefault="00620C8B" w:rsidP="00805748">
            <w:pPr>
              <w:spacing w:before="0" w:after="0"/>
              <w:jc w:val="center"/>
              <w:rPr>
                <w:b/>
                <w:color w:val="000000"/>
                <w:sz w:val="16"/>
                <w:szCs w:val="16"/>
              </w:rPr>
            </w:pPr>
            <w:r>
              <w:rPr>
                <w:b/>
                <w:color w:val="000000"/>
                <w:sz w:val="16"/>
                <w:szCs w:val="16"/>
              </w:rPr>
              <w:t>Year</w:t>
            </w:r>
          </w:p>
        </w:tc>
        <w:tc>
          <w:tcPr>
            <w:tcW w:w="661" w:type="dxa"/>
            <w:tcBorders>
              <w:top w:val="single" w:sz="4" w:space="0" w:color="auto"/>
              <w:left w:val="nil"/>
              <w:bottom w:val="single" w:sz="4" w:space="0" w:color="auto"/>
              <w:right w:val="nil"/>
            </w:tcBorders>
            <w:shd w:val="clear" w:color="auto" w:fill="BBE0E3"/>
            <w:vAlign w:val="center"/>
            <w:hideMark/>
          </w:tcPr>
          <w:p w:rsidR="00620C8B" w:rsidRDefault="00620C8B" w:rsidP="00805748">
            <w:pPr>
              <w:spacing w:before="0" w:after="0"/>
              <w:jc w:val="center"/>
              <w:rPr>
                <w:b/>
                <w:color w:val="000000"/>
                <w:sz w:val="16"/>
                <w:szCs w:val="16"/>
              </w:rPr>
            </w:pPr>
            <w:r>
              <w:rPr>
                <w:b/>
                <w:color w:val="000000"/>
                <w:sz w:val="16"/>
                <w:szCs w:val="16"/>
              </w:rPr>
              <w:t>%C</w:t>
            </w:r>
          </w:p>
        </w:tc>
        <w:tc>
          <w:tcPr>
            <w:tcW w:w="661" w:type="dxa"/>
            <w:tcBorders>
              <w:top w:val="single" w:sz="4" w:space="0" w:color="auto"/>
              <w:left w:val="nil"/>
              <w:bottom w:val="single" w:sz="4" w:space="0" w:color="auto"/>
              <w:right w:val="nil"/>
            </w:tcBorders>
            <w:shd w:val="clear" w:color="auto" w:fill="BBE0E3"/>
            <w:vAlign w:val="center"/>
            <w:hideMark/>
          </w:tcPr>
          <w:p w:rsidR="00620C8B" w:rsidRDefault="00620C8B" w:rsidP="00805748">
            <w:pPr>
              <w:spacing w:before="0" w:after="0"/>
              <w:jc w:val="center"/>
              <w:rPr>
                <w:b/>
                <w:color w:val="000000"/>
                <w:sz w:val="16"/>
                <w:szCs w:val="16"/>
              </w:rPr>
            </w:pPr>
            <w:r>
              <w:rPr>
                <w:b/>
                <w:color w:val="000000"/>
                <w:sz w:val="16"/>
                <w:szCs w:val="16"/>
              </w:rPr>
              <w:t>C:N</w:t>
            </w:r>
          </w:p>
        </w:tc>
        <w:tc>
          <w:tcPr>
            <w:tcW w:w="1109" w:type="dxa"/>
            <w:tcBorders>
              <w:top w:val="single" w:sz="4" w:space="0" w:color="auto"/>
              <w:left w:val="nil"/>
              <w:bottom w:val="single" w:sz="4" w:space="0" w:color="auto"/>
              <w:right w:val="nil"/>
            </w:tcBorders>
            <w:shd w:val="clear" w:color="auto" w:fill="BBE0E3"/>
            <w:noWrap/>
            <w:vAlign w:val="center"/>
            <w:hideMark/>
          </w:tcPr>
          <w:p w:rsidR="00620C8B" w:rsidRDefault="00620C8B" w:rsidP="00805748">
            <w:pPr>
              <w:spacing w:before="0" w:after="0"/>
              <w:jc w:val="center"/>
              <w:rPr>
                <w:b/>
                <w:color w:val="000000"/>
                <w:sz w:val="16"/>
                <w:szCs w:val="16"/>
              </w:rPr>
            </w:pPr>
            <w:r>
              <w:rPr>
                <w:b/>
                <w:i/>
                <w:color w:val="000000"/>
                <w:sz w:val="16"/>
                <w:szCs w:val="16"/>
              </w:rPr>
              <w:t>δ</w:t>
            </w:r>
            <w:r>
              <w:rPr>
                <w:b/>
                <w:color w:val="000000"/>
                <w:sz w:val="16"/>
                <w:szCs w:val="16"/>
                <w:vertAlign w:val="superscript"/>
              </w:rPr>
              <w:t>13</w:t>
            </w:r>
            <w:r>
              <w:rPr>
                <w:b/>
                <w:color w:val="000000"/>
                <w:sz w:val="16"/>
                <w:szCs w:val="16"/>
              </w:rPr>
              <w:t xml:space="preserve">C </w:t>
            </w:r>
            <w:r>
              <w:rPr>
                <w:rFonts w:cs="TimesNewRoman,Italic"/>
                <w:iCs/>
                <w:color w:val="000000"/>
                <w:sz w:val="16"/>
                <w:szCs w:val="16"/>
              </w:rPr>
              <w:t>‰</w:t>
            </w:r>
          </w:p>
        </w:tc>
        <w:tc>
          <w:tcPr>
            <w:tcW w:w="1109" w:type="dxa"/>
            <w:tcBorders>
              <w:top w:val="single" w:sz="4" w:space="0" w:color="auto"/>
              <w:left w:val="nil"/>
              <w:bottom w:val="single" w:sz="4" w:space="0" w:color="auto"/>
              <w:right w:val="nil"/>
            </w:tcBorders>
            <w:shd w:val="clear" w:color="auto" w:fill="BBE0E3"/>
            <w:vAlign w:val="center"/>
            <w:hideMark/>
          </w:tcPr>
          <w:p w:rsidR="00620C8B" w:rsidRDefault="00620C8B" w:rsidP="00805748">
            <w:pPr>
              <w:spacing w:before="0" w:after="0"/>
              <w:jc w:val="center"/>
              <w:rPr>
                <w:b/>
                <w:color w:val="000000"/>
                <w:sz w:val="16"/>
                <w:szCs w:val="16"/>
              </w:rPr>
            </w:pPr>
            <w:r>
              <w:rPr>
                <w:b/>
                <w:i/>
                <w:color w:val="000000"/>
                <w:sz w:val="16"/>
                <w:szCs w:val="16"/>
              </w:rPr>
              <w:t>δ</w:t>
            </w:r>
            <w:r>
              <w:rPr>
                <w:b/>
                <w:color w:val="000000"/>
                <w:sz w:val="16"/>
                <w:szCs w:val="16"/>
                <w:vertAlign w:val="superscript"/>
              </w:rPr>
              <w:t>15</w:t>
            </w:r>
            <w:r>
              <w:rPr>
                <w:b/>
                <w:color w:val="000000"/>
                <w:sz w:val="16"/>
                <w:szCs w:val="16"/>
              </w:rPr>
              <w:t xml:space="preserve">N </w:t>
            </w:r>
            <w:r>
              <w:rPr>
                <w:rFonts w:cs="TimesNewRoman,Italic"/>
                <w:iCs/>
                <w:color w:val="000000"/>
                <w:sz w:val="16"/>
                <w:szCs w:val="16"/>
              </w:rPr>
              <w:t>‰</w:t>
            </w:r>
          </w:p>
        </w:tc>
        <w:tc>
          <w:tcPr>
            <w:tcW w:w="797" w:type="dxa"/>
            <w:tcBorders>
              <w:top w:val="single" w:sz="4" w:space="0" w:color="auto"/>
              <w:left w:val="nil"/>
              <w:bottom w:val="single" w:sz="4" w:space="0" w:color="auto"/>
              <w:right w:val="nil"/>
            </w:tcBorders>
            <w:shd w:val="clear" w:color="auto" w:fill="BBE0E3"/>
            <w:vAlign w:val="center"/>
            <w:hideMark/>
          </w:tcPr>
          <w:p w:rsidR="00620C8B" w:rsidRDefault="00620C8B" w:rsidP="00805748">
            <w:pPr>
              <w:spacing w:before="0" w:after="0"/>
              <w:jc w:val="center"/>
              <w:rPr>
                <w:b/>
                <w:color w:val="000000"/>
                <w:sz w:val="16"/>
                <w:szCs w:val="16"/>
              </w:rPr>
            </w:pPr>
            <w:r>
              <w:rPr>
                <w:b/>
                <w:color w:val="000000"/>
                <w:sz w:val="16"/>
                <w:szCs w:val="16"/>
              </w:rPr>
              <w:t>%C lit</w:t>
            </w:r>
          </w:p>
          <w:p w:rsidR="00620C8B" w:rsidRDefault="00620C8B" w:rsidP="00805748">
            <w:pPr>
              <w:spacing w:before="0" w:after="0"/>
              <w:jc w:val="center"/>
              <w:rPr>
                <w:b/>
                <w:color w:val="000000"/>
                <w:sz w:val="16"/>
                <w:szCs w:val="16"/>
              </w:rPr>
            </w:pPr>
            <w:r>
              <w:rPr>
                <w:b/>
                <w:color w:val="000000"/>
                <w:sz w:val="16"/>
                <w:szCs w:val="16"/>
              </w:rPr>
              <w:t>median</w:t>
            </w:r>
          </w:p>
        </w:tc>
        <w:tc>
          <w:tcPr>
            <w:tcW w:w="1557" w:type="dxa"/>
            <w:tcBorders>
              <w:top w:val="single" w:sz="4" w:space="0" w:color="auto"/>
              <w:left w:val="nil"/>
              <w:bottom w:val="single" w:sz="4" w:space="0" w:color="auto"/>
              <w:right w:val="nil"/>
            </w:tcBorders>
            <w:shd w:val="clear" w:color="auto" w:fill="BBE0E3"/>
            <w:noWrap/>
            <w:vAlign w:val="center"/>
            <w:hideMark/>
          </w:tcPr>
          <w:p w:rsidR="00620C8B" w:rsidRDefault="00620C8B" w:rsidP="00805748">
            <w:pPr>
              <w:spacing w:before="0" w:after="0"/>
              <w:jc w:val="center"/>
              <w:rPr>
                <w:b/>
                <w:color w:val="000000"/>
                <w:sz w:val="16"/>
                <w:szCs w:val="16"/>
              </w:rPr>
            </w:pPr>
            <w:r>
              <w:rPr>
                <w:b/>
                <w:i/>
                <w:color w:val="000000"/>
                <w:sz w:val="16"/>
                <w:szCs w:val="16"/>
              </w:rPr>
              <w:t>δ</w:t>
            </w:r>
            <w:r>
              <w:rPr>
                <w:b/>
                <w:color w:val="000000"/>
                <w:sz w:val="16"/>
                <w:szCs w:val="16"/>
                <w:vertAlign w:val="superscript"/>
              </w:rPr>
              <w:t>13</w:t>
            </w:r>
            <w:r>
              <w:rPr>
                <w:b/>
                <w:color w:val="000000"/>
                <w:sz w:val="16"/>
                <w:szCs w:val="16"/>
              </w:rPr>
              <w:t xml:space="preserve">C </w:t>
            </w:r>
            <w:r>
              <w:rPr>
                <w:rFonts w:cs="TimesNewRoman,Italic"/>
                <w:iCs/>
                <w:color w:val="000000"/>
                <w:sz w:val="16"/>
                <w:szCs w:val="16"/>
              </w:rPr>
              <w:t>‰</w:t>
            </w:r>
          </w:p>
          <w:p w:rsidR="00620C8B" w:rsidRDefault="00620C8B" w:rsidP="00805748">
            <w:pPr>
              <w:spacing w:before="0" w:after="0"/>
              <w:jc w:val="center"/>
              <w:rPr>
                <w:b/>
                <w:color w:val="000000"/>
                <w:sz w:val="16"/>
                <w:szCs w:val="16"/>
              </w:rPr>
            </w:pPr>
            <w:r>
              <w:rPr>
                <w:b/>
                <w:color w:val="000000"/>
                <w:sz w:val="16"/>
                <w:szCs w:val="16"/>
              </w:rPr>
              <w:t>global average</w:t>
            </w:r>
          </w:p>
        </w:tc>
      </w:tr>
      <w:tr w:rsidR="00620C8B" w:rsidTr="00805748">
        <w:trPr>
          <w:cantSplit/>
          <w:trHeight w:val="227"/>
          <w:jc w:val="center"/>
        </w:trPr>
        <w:tc>
          <w:tcPr>
            <w:tcW w:w="1077" w:type="dxa"/>
            <w:vAlign w:val="center"/>
            <w:hideMark/>
          </w:tcPr>
          <w:p w:rsidR="00620C8B" w:rsidRDefault="00620C8B" w:rsidP="00805748">
            <w:pPr>
              <w:spacing w:before="0" w:after="0"/>
              <w:jc w:val="center"/>
              <w:rPr>
                <w:color w:val="000000"/>
                <w:sz w:val="16"/>
                <w:szCs w:val="16"/>
              </w:rPr>
            </w:pPr>
            <w:r>
              <w:rPr>
                <w:color w:val="000000"/>
                <w:sz w:val="16"/>
                <w:szCs w:val="16"/>
              </w:rPr>
              <w:t>Cape York</w:t>
            </w:r>
          </w:p>
        </w:tc>
        <w:tc>
          <w:tcPr>
            <w:tcW w:w="1115" w:type="dxa"/>
            <w:noWrap/>
            <w:vAlign w:val="center"/>
            <w:hideMark/>
          </w:tcPr>
          <w:p w:rsidR="00620C8B" w:rsidRDefault="00620C8B" w:rsidP="00805748">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EA</w:t>
            </w:r>
          </w:p>
        </w:tc>
        <w:tc>
          <w:tcPr>
            <w:tcW w:w="62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36.68</w:t>
            </w:r>
          </w:p>
        </w:tc>
        <w:tc>
          <w:tcPr>
            <w:tcW w:w="661" w:type="dxa"/>
            <w:tcBorders>
              <w:top w:val="single" w:sz="4" w:space="0" w:color="auto"/>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14.72</w:t>
            </w:r>
          </w:p>
        </w:tc>
        <w:tc>
          <w:tcPr>
            <w:tcW w:w="110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-13.07</w:t>
            </w:r>
          </w:p>
        </w:tc>
        <w:tc>
          <w:tcPr>
            <w:tcW w:w="1109"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-9.41</w:t>
            </w:r>
          </w:p>
        </w:tc>
        <w:tc>
          <w:tcPr>
            <w:tcW w:w="797"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38.3</w:t>
            </w:r>
          </w:p>
        </w:tc>
        <w:tc>
          <w:tcPr>
            <w:tcW w:w="1557"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-5.8 (-6.7 to -4.9)</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40.61</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15.92</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-11.00 ±0.46</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0.06 ±0.26</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39.86</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15.74</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-11.71 ±0.25</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-1.77 ±0.93</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40.62</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19.15</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-11.22 ±0.12</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-0.08 ±0.51</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SI</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36.74</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16.52</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-4.78</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0.35</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-6.0 (-8.3 to -3.6)</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36.34</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18.07</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-6.10 ±0.09</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-0.58 ±0.34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36.69</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24.00</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-4.28 ±0.25</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0.20 ±0.1</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35.74</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15.37</w:t>
            </w:r>
          </w:p>
        </w:tc>
        <w:tc>
          <w:tcPr>
            <w:tcW w:w="110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-9.97 ±0.22</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-1.28 ±0.60</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-6.9 (-8.1 to -5.2)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36.15</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17.97</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-10.50 ±0.15</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-1.33 ±0.47</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37.68</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16.78</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-10.21 ±0.18</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-0.37 ±0.18</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38.94</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17.28</w:t>
            </w:r>
          </w:p>
        </w:tc>
        <w:tc>
          <w:tcPr>
            <w:tcW w:w="110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-10.23</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1.84</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38.08</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26.47</w:t>
            </w:r>
          </w:p>
        </w:tc>
        <w:tc>
          <w:tcPr>
            <w:tcW w:w="1109" w:type="dxa"/>
            <w:tcBorders>
              <w:top w:val="nil"/>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-9.38 ±0.20</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1.39 ±0.05</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CR</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39.65</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18.03</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-7.96 ±0.25</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-2.44 ±0.61</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39</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-8.1 (-8.9 to -7.4)</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36.89</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24.16</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-8.32</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-0.83</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shd w:val="clear" w:color="auto" w:fill="CCFFCC"/>
            <w:hideMark/>
          </w:tcPr>
          <w:p w:rsidR="00620C8B" w:rsidRDefault="00620C8B" w:rsidP="00805748">
            <w:pPr>
              <w:spacing w:before="0" w:after="0"/>
              <w:jc w:val="center"/>
              <w:rPr>
                <w:color w:val="000000"/>
                <w:sz w:val="16"/>
                <w:szCs w:val="16"/>
              </w:rPr>
            </w:pPr>
            <w:r>
              <w:rPr>
                <w:color w:val="000000"/>
                <w:sz w:val="16"/>
                <w:szCs w:val="16"/>
              </w:rPr>
              <w:t>37.42</w:t>
            </w:r>
          </w:p>
        </w:tc>
        <w:tc>
          <w:tcPr>
            <w:tcW w:w="661" w:type="dxa"/>
            <w:tcBorders>
              <w:top w:val="nil"/>
              <w:left w:val="nil"/>
              <w:bottom w:val="single" w:sz="4" w:space="0" w:color="auto"/>
              <w:right w:val="nil"/>
            </w:tcBorders>
            <w:shd w:val="clear" w:color="auto" w:fill="CCFFCC"/>
            <w:hideMark/>
          </w:tcPr>
          <w:p w:rsidR="00620C8B" w:rsidRDefault="00620C8B" w:rsidP="00805748">
            <w:pPr>
              <w:spacing w:before="0" w:after="0"/>
              <w:jc w:val="center"/>
              <w:rPr>
                <w:color w:val="000000"/>
                <w:sz w:val="16"/>
                <w:szCs w:val="16"/>
              </w:rPr>
            </w:pPr>
            <w:r>
              <w:rPr>
                <w:color w:val="000000"/>
                <w:sz w:val="16"/>
                <w:szCs w:val="16"/>
              </w:rPr>
              <w:t>18.66</w:t>
            </w:r>
          </w:p>
        </w:tc>
        <w:tc>
          <w:tcPr>
            <w:tcW w:w="1109" w:type="dxa"/>
            <w:tcBorders>
              <w:top w:val="nil"/>
              <w:left w:val="nil"/>
              <w:bottom w:val="single" w:sz="4" w:space="0" w:color="auto"/>
              <w:right w:val="nil"/>
            </w:tcBorders>
            <w:noWrap/>
            <w:hideMark/>
          </w:tcPr>
          <w:p w:rsidR="00620C8B" w:rsidRDefault="00620C8B" w:rsidP="00805748">
            <w:pPr>
              <w:spacing w:before="0" w:after="0"/>
              <w:jc w:val="center"/>
              <w:rPr>
                <w:color w:val="000000"/>
                <w:sz w:val="16"/>
                <w:szCs w:val="16"/>
              </w:rPr>
            </w:pPr>
            <w:r>
              <w:rPr>
                <w:color w:val="000000"/>
                <w:sz w:val="16"/>
                <w:szCs w:val="16"/>
              </w:rPr>
              <w:t>-7.95 ±0.12</w:t>
            </w:r>
          </w:p>
        </w:tc>
        <w:tc>
          <w:tcPr>
            <w:tcW w:w="1109"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-1.87 ±0.32</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40.34</w:t>
            </w:r>
          </w:p>
        </w:tc>
        <w:tc>
          <w:tcPr>
            <w:tcW w:w="661" w:type="dxa"/>
            <w:tcBorders>
              <w:top w:val="single" w:sz="4" w:space="0" w:color="auto"/>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19.12</w:t>
            </w:r>
          </w:p>
        </w:tc>
        <w:tc>
          <w:tcPr>
            <w:tcW w:w="1109" w:type="dxa"/>
            <w:tcBorders>
              <w:top w:val="single" w:sz="4" w:space="0" w:color="auto"/>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-8.57</w:t>
            </w:r>
          </w:p>
        </w:tc>
        <w:tc>
          <w:tcPr>
            <w:tcW w:w="1109"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0.37</w:t>
            </w:r>
          </w:p>
        </w:tc>
        <w:tc>
          <w:tcPr>
            <w:tcW w:w="797"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40.4</w:t>
            </w:r>
          </w:p>
        </w:tc>
        <w:tc>
          <w:tcPr>
            <w:tcW w:w="1557"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-10.7 (-12.4 to -8.0)</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42.48</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15.50</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-8.78 ±0.30</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0.72 ±0.44</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41.22</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16.13</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-8.74 ±0.22</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0.15 ±1.34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41.93</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16.86</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-8.97 ±0.04</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-1.58 ±0.51</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39.53</w:t>
            </w:r>
          </w:p>
        </w:tc>
        <w:tc>
          <w:tcPr>
            <w:tcW w:w="661" w:type="dxa"/>
            <w:tcBorders>
              <w:top w:val="nil"/>
              <w:left w:val="nil"/>
              <w:bottom w:val="single" w:sz="4" w:space="0" w:color="auto"/>
              <w:right w:val="nil"/>
            </w:tcBorders>
            <w:shd w:val="clear" w:color="auto" w:fill="CCFFCC"/>
            <w:hideMark/>
          </w:tcPr>
          <w:p w:rsidR="00620C8B" w:rsidRDefault="00620C8B" w:rsidP="00805748">
            <w:pPr>
              <w:spacing w:before="0" w:after="0"/>
              <w:jc w:val="center"/>
              <w:rPr>
                <w:color w:val="000000"/>
                <w:sz w:val="16"/>
                <w:szCs w:val="16"/>
              </w:rPr>
            </w:pPr>
            <w:r>
              <w:rPr>
                <w:color w:val="000000"/>
                <w:sz w:val="16"/>
                <w:szCs w:val="16"/>
              </w:rPr>
              <w:t>17.89</w:t>
            </w:r>
          </w:p>
        </w:tc>
        <w:tc>
          <w:tcPr>
            <w:tcW w:w="1109" w:type="dxa"/>
            <w:tcBorders>
              <w:top w:val="nil"/>
              <w:left w:val="nil"/>
              <w:bottom w:val="single" w:sz="4" w:space="0" w:color="auto"/>
              <w:right w:val="nil"/>
            </w:tcBorders>
            <w:shd w:val="clear" w:color="auto" w:fill="CCFFCC"/>
            <w:noWrap/>
            <w:hideMark/>
          </w:tcPr>
          <w:p w:rsidR="00620C8B" w:rsidRDefault="00620C8B" w:rsidP="00805748">
            <w:pPr>
              <w:spacing w:before="0" w:after="0"/>
              <w:jc w:val="center"/>
              <w:rPr>
                <w:color w:val="000000"/>
                <w:sz w:val="16"/>
                <w:szCs w:val="16"/>
              </w:rPr>
            </w:pPr>
            <w:r>
              <w:rPr>
                <w:color w:val="000000"/>
                <w:sz w:val="16"/>
                <w:szCs w:val="16"/>
              </w:rPr>
              <w:t>-8.82 ±0.19</w:t>
            </w:r>
          </w:p>
        </w:tc>
        <w:tc>
          <w:tcPr>
            <w:tcW w:w="1109"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-1.71 ±0.69</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SI</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22.27</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19.83</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-4.01 ±0.24</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1.11 ±0.94</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-6.0 (-8.3 to -3.6)</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37.52</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19.46</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-5.27</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0.24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34.75</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20.24</w:t>
            </w:r>
          </w:p>
        </w:tc>
        <w:tc>
          <w:tcPr>
            <w:tcW w:w="1109" w:type="dxa"/>
            <w:tcBorders>
              <w:top w:val="nil"/>
              <w:left w:val="nil"/>
              <w:bottom w:val="single" w:sz="4" w:space="0" w:color="auto"/>
              <w:right w:val="nil"/>
            </w:tcBorders>
            <w:shd w:val="clear" w:color="auto" w:fill="CCFFCC"/>
            <w:noWrap/>
            <w:hideMark/>
          </w:tcPr>
          <w:p w:rsidR="00620C8B" w:rsidRDefault="00620C8B" w:rsidP="00805748">
            <w:pPr>
              <w:spacing w:before="0" w:after="0"/>
              <w:jc w:val="center"/>
              <w:rPr>
                <w:color w:val="000000"/>
                <w:sz w:val="16"/>
                <w:szCs w:val="16"/>
              </w:rPr>
            </w:pPr>
            <w:r>
              <w:rPr>
                <w:color w:val="000000"/>
                <w:sz w:val="16"/>
                <w:szCs w:val="16"/>
              </w:rPr>
              <w:t>-3.15</w:t>
            </w:r>
          </w:p>
        </w:tc>
        <w:tc>
          <w:tcPr>
            <w:tcW w:w="1109"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0.66</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37.42</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15.91</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-6.26 ±0.27</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0.65 ±0.84</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-6.9 (-8.1 to -5.2)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37.61</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16.79</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-6.99 ±0.12</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0.42 ±0.59</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36.02</w:t>
            </w:r>
          </w:p>
        </w:tc>
        <w:tc>
          <w:tcPr>
            <w:tcW w:w="661" w:type="dxa"/>
            <w:tcBorders>
              <w:top w:val="nil"/>
              <w:left w:val="nil"/>
              <w:bottom w:val="single" w:sz="4" w:space="0" w:color="auto"/>
              <w:right w:val="nil"/>
            </w:tcBorders>
            <w:shd w:val="clear" w:color="auto" w:fill="CCFFCC"/>
            <w:hideMark/>
          </w:tcPr>
          <w:p w:rsidR="00620C8B" w:rsidRDefault="00620C8B" w:rsidP="00805748">
            <w:pPr>
              <w:spacing w:before="0" w:after="0"/>
              <w:jc w:val="center"/>
              <w:rPr>
                <w:color w:val="000000"/>
                <w:sz w:val="16"/>
                <w:szCs w:val="16"/>
              </w:rPr>
            </w:pPr>
            <w:r>
              <w:rPr>
                <w:color w:val="000000"/>
                <w:sz w:val="16"/>
                <w:szCs w:val="16"/>
              </w:rPr>
              <w:t>17.54</w:t>
            </w:r>
          </w:p>
        </w:tc>
        <w:tc>
          <w:tcPr>
            <w:tcW w:w="1109" w:type="dxa"/>
            <w:tcBorders>
              <w:top w:val="nil"/>
              <w:left w:val="nil"/>
              <w:bottom w:val="single" w:sz="4" w:space="0" w:color="auto"/>
              <w:right w:val="nil"/>
            </w:tcBorders>
            <w:noWrap/>
            <w:hideMark/>
          </w:tcPr>
          <w:p w:rsidR="00620C8B" w:rsidRDefault="00620C8B" w:rsidP="00805748">
            <w:pPr>
              <w:spacing w:before="0" w:after="0"/>
              <w:jc w:val="center"/>
              <w:rPr>
                <w:color w:val="000000"/>
                <w:sz w:val="16"/>
                <w:szCs w:val="16"/>
              </w:rPr>
            </w:pPr>
            <w:r>
              <w:rPr>
                <w:color w:val="000000"/>
                <w:sz w:val="16"/>
                <w:szCs w:val="16"/>
              </w:rPr>
              <w:t>-7.11 ±0.13</w:t>
            </w:r>
          </w:p>
        </w:tc>
        <w:tc>
          <w:tcPr>
            <w:tcW w:w="1109"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-0.24 ±0.55</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39.70</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22.27</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-9.27</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1.57</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tcBorders>
              <w:top w:val="nil"/>
              <w:left w:val="nil"/>
              <w:bottom w:val="single" w:sz="4" w:space="0" w:color="auto"/>
              <w:right w:val="nil"/>
            </w:tcBorders>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36.86</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20.08</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-9.03 ±0.08</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-0.66 ±0.38</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hideMark/>
          </w:tcPr>
          <w:p w:rsidR="00620C8B" w:rsidRDefault="00620C8B" w:rsidP="00805748">
            <w:pPr>
              <w:spacing w:before="0" w:after="0"/>
              <w:jc w:val="center"/>
              <w:rPr>
                <w:color w:val="000000"/>
                <w:sz w:val="16"/>
                <w:szCs w:val="16"/>
              </w:rPr>
            </w:pPr>
            <w:r>
              <w:rPr>
                <w:color w:val="000000"/>
                <w:sz w:val="16"/>
                <w:szCs w:val="16"/>
              </w:rPr>
              <w:t>Wet Tropics</w:t>
            </w: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44.90</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10.65</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-10.35</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0.64</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42.08</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11.13</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-9.59 ±0.16</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0.85 ±0.27</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41.29</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11.82</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-10.12 ±0.25</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0.42 ±0.19</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43.64</w:t>
            </w:r>
          </w:p>
        </w:tc>
        <w:tc>
          <w:tcPr>
            <w:tcW w:w="661" w:type="dxa"/>
            <w:tcBorders>
              <w:top w:val="nil"/>
              <w:left w:val="nil"/>
              <w:bottom w:val="single" w:sz="4" w:space="0" w:color="auto"/>
              <w:right w:val="nil"/>
            </w:tcBorders>
            <w:shd w:val="clear" w:color="auto" w:fill="CCFFCC"/>
            <w:hideMark/>
          </w:tcPr>
          <w:p w:rsidR="00620C8B" w:rsidRDefault="00620C8B" w:rsidP="00805748">
            <w:pPr>
              <w:spacing w:before="0" w:after="0"/>
              <w:jc w:val="center"/>
              <w:rPr>
                <w:color w:val="000000"/>
                <w:sz w:val="16"/>
                <w:szCs w:val="16"/>
              </w:rPr>
            </w:pPr>
            <w:r>
              <w:rPr>
                <w:color w:val="000000"/>
                <w:sz w:val="16"/>
                <w:szCs w:val="16"/>
              </w:rPr>
              <w:t>11.59</w:t>
            </w:r>
          </w:p>
        </w:tc>
        <w:tc>
          <w:tcPr>
            <w:tcW w:w="1109" w:type="dxa"/>
            <w:tcBorders>
              <w:top w:val="nil"/>
              <w:left w:val="nil"/>
              <w:bottom w:val="single" w:sz="4" w:space="0" w:color="auto"/>
              <w:right w:val="nil"/>
            </w:tcBorders>
            <w:shd w:val="clear" w:color="auto" w:fill="CCFFCC"/>
            <w:noWrap/>
            <w:hideMark/>
          </w:tcPr>
          <w:p w:rsidR="00620C8B" w:rsidRDefault="00620C8B" w:rsidP="00805748">
            <w:pPr>
              <w:spacing w:before="0" w:after="0"/>
              <w:jc w:val="center"/>
              <w:rPr>
                <w:color w:val="000000"/>
                <w:sz w:val="16"/>
                <w:szCs w:val="16"/>
              </w:rPr>
            </w:pPr>
            <w:r>
              <w:rPr>
                <w:color w:val="000000"/>
                <w:sz w:val="16"/>
                <w:szCs w:val="16"/>
              </w:rPr>
              <w:t xml:space="preserve">-9.76 </w:t>
            </w:r>
            <w:r>
              <w:rPr>
                <w:color w:val="000000"/>
                <w:sz w:val="16"/>
                <w:szCs w:val="16"/>
                <w:shd w:val="clear" w:color="auto" w:fill="CCFFCC"/>
              </w:rPr>
              <w:t>±</w:t>
            </w:r>
            <w:r>
              <w:rPr>
                <w:color w:val="000000"/>
                <w:sz w:val="16"/>
                <w:szCs w:val="16"/>
              </w:rPr>
              <w:t>0.18</w:t>
            </w:r>
          </w:p>
        </w:tc>
        <w:tc>
          <w:tcPr>
            <w:tcW w:w="1109"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1.73 ±0.38</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hideMark/>
          </w:tcPr>
          <w:p w:rsidR="00620C8B" w:rsidRDefault="00620C8B" w:rsidP="00805748">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CR</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42.38</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18.17</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-7.88 ±0.27</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-0.71 ±0.31</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39</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-8.1 (-8.9 to -7.4)</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hideMark/>
          </w:tcPr>
          <w:p w:rsidR="00620C8B" w:rsidRDefault="00620C8B" w:rsidP="00805748">
            <w:pPr>
              <w:spacing w:before="0" w:after="0"/>
              <w:jc w:val="center"/>
              <w:rPr>
                <w:color w:val="000000"/>
                <w:sz w:val="16"/>
                <w:szCs w:val="16"/>
              </w:rPr>
            </w:pPr>
            <w:r>
              <w:rPr>
                <w:color w:val="000000"/>
                <w:sz w:val="16"/>
                <w:szCs w:val="16"/>
              </w:rPr>
              <w:t>intertidal</w:t>
            </w: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40.83</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17.64</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-6.71 ±0.11</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-0.27 ±0.36</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39.96</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18.35</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-7.67 ±0.34</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0.76 ±0.89</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42.10</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20.27</w:t>
            </w:r>
          </w:p>
        </w:tc>
        <w:tc>
          <w:tcPr>
            <w:tcW w:w="1109" w:type="dxa"/>
            <w:tcBorders>
              <w:top w:val="nil"/>
              <w:left w:val="nil"/>
              <w:bottom w:val="single" w:sz="4" w:space="0" w:color="auto"/>
              <w:right w:val="nil"/>
            </w:tcBorders>
            <w:noWrap/>
            <w:hideMark/>
          </w:tcPr>
          <w:p w:rsidR="00620C8B" w:rsidRDefault="00620C8B" w:rsidP="00805748">
            <w:pPr>
              <w:spacing w:before="0" w:after="0"/>
              <w:jc w:val="center"/>
              <w:rPr>
                <w:color w:val="000000"/>
                <w:sz w:val="16"/>
                <w:szCs w:val="16"/>
              </w:rPr>
            </w:pPr>
            <w:r>
              <w:rPr>
                <w:color w:val="000000"/>
                <w:sz w:val="16"/>
                <w:szCs w:val="16"/>
              </w:rPr>
              <w:t>-7.59 ±0.13</w:t>
            </w:r>
          </w:p>
        </w:tc>
        <w:tc>
          <w:tcPr>
            <w:tcW w:w="1109"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0.22 ±0.31</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41.81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22.61</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-10.63 ±0.07</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3.64 ±0.22</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-10.7 (-12.4 to -8.0)</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42.15</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21.61</w:t>
            </w:r>
          </w:p>
        </w:tc>
        <w:tc>
          <w:tcPr>
            <w:tcW w:w="1109" w:type="dxa"/>
            <w:tcBorders>
              <w:top w:val="nil"/>
              <w:left w:val="nil"/>
              <w:bottom w:val="single" w:sz="4" w:space="0" w:color="auto"/>
              <w:right w:val="nil"/>
            </w:tcBorders>
            <w:shd w:val="clear" w:color="auto" w:fill="CCFFCC"/>
            <w:noWrap/>
            <w:hideMark/>
          </w:tcPr>
          <w:p w:rsidR="00620C8B" w:rsidRDefault="00620C8B" w:rsidP="00805748">
            <w:pPr>
              <w:spacing w:before="0" w:after="0"/>
              <w:jc w:val="center"/>
              <w:rPr>
                <w:color w:val="000000"/>
                <w:sz w:val="16"/>
                <w:szCs w:val="16"/>
              </w:rPr>
            </w:pPr>
            <w:r>
              <w:rPr>
                <w:color w:val="000000"/>
                <w:sz w:val="16"/>
                <w:szCs w:val="16"/>
              </w:rPr>
              <w:t>-9.10 ±0.02</w:t>
            </w:r>
          </w:p>
        </w:tc>
        <w:tc>
          <w:tcPr>
            <w:tcW w:w="1109"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1.97 ±0.09</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34.29</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19.45</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-11.05 ±0.14</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0.23 ±1.08</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34.34</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17.22</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-12.86 ±1.14</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1.75 ±0.17</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39.84</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19.02</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-9.32 ±0.43</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1.66 ±0.35</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41.74</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17.08</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-7.83 ±0.23</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1.76 ±0.66</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41.41</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19.38</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-9.01 ±0.22</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1.78 ±0.54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42.02</w:t>
            </w:r>
          </w:p>
        </w:tc>
        <w:tc>
          <w:tcPr>
            <w:tcW w:w="661" w:type="dxa"/>
            <w:tcBorders>
              <w:top w:val="nil"/>
              <w:left w:val="nil"/>
              <w:bottom w:val="single" w:sz="4" w:space="0" w:color="auto"/>
              <w:right w:val="nil"/>
            </w:tcBorders>
            <w:shd w:val="clear" w:color="auto" w:fill="CCFFCC"/>
            <w:hideMark/>
          </w:tcPr>
          <w:p w:rsidR="00620C8B" w:rsidRDefault="00620C8B" w:rsidP="00805748">
            <w:pPr>
              <w:spacing w:before="0" w:after="0"/>
              <w:jc w:val="center"/>
              <w:rPr>
                <w:color w:val="000000"/>
                <w:sz w:val="16"/>
                <w:szCs w:val="16"/>
              </w:rPr>
            </w:pPr>
            <w:r>
              <w:rPr>
                <w:color w:val="000000"/>
                <w:sz w:val="16"/>
                <w:szCs w:val="16"/>
              </w:rPr>
              <w:t>17.58</w:t>
            </w:r>
          </w:p>
        </w:tc>
        <w:tc>
          <w:tcPr>
            <w:tcW w:w="1109" w:type="dxa"/>
            <w:tcBorders>
              <w:top w:val="nil"/>
              <w:left w:val="nil"/>
              <w:bottom w:val="single" w:sz="4" w:space="0" w:color="auto"/>
              <w:right w:val="nil"/>
            </w:tcBorders>
            <w:shd w:val="clear" w:color="auto" w:fill="CCFFCC"/>
            <w:noWrap/>
            <w:hideMark/>
          </w:tcPr>
          <w:p w:rsidR="00620C8B" w:rsidRDefault="00620C8B" w:rsidP="00805748">
            <w:pPr>
              <w:spacing w:before="0" w:after="0"/>
              <w:jc w:val="center"/>
              <w:rPr>
                <w:color w:val="000000"/>
                <w:sz w:val="16"/>
                <w:szCs w:val="16"/>
              </w:rPr>
            </w:pPr>
            <w:r>
              <w:rPr>
                <w:color w:val="000000"/>
                <w:sz w:val="16"/>
                <w:szCs w:val="16"/>
              </w:rPr>
              <w:t>-8.68 ±0.26</w:t>
            </w:r>
          </w:p>
        </w:tc>
        <w:tc>
          <w:tcPr>
            <w:tcW w:w="1109" w:type="dxa"/>
            <w:tcBorders>
              <w:top w:val="nil"/>
              <w:left w:val="nil"/>
              <w:bottom w:val="single" w:sz="4" w:space="0" w:color="auto"/>
              <w:right w:val="nil"/>
            </w:tcBorders>
            <w:hideMark/>
          </w:tcPr>
          <w:p w:rsidR="00620C8B" w:rsidRDefault="00620C8B" w:rsidP="00805748">
            <w:pPr>
              <w:spacing w:before="0" w:after="0"/>
              <w:jc w:val="center"/>
              <w:rPr>
                <w:color w:val="000000"/>
                <w:sz w:val="16"/>
                <w:szCs w:val="16"/>
              </w:rPr>
            </w:pPr>
            <w:r>
              <w:rPr>
                <w:color w:val="000000"/>
                <w:sz w:val="16"/>
                <w:szCs w:val="16"/>
              </w:rPr>
              <w:t>2.35 ±0.19</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30.41</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18.55</w:t>
            </w:r>
          </w:p>
        </w:tc>
        <w:tc>
          <w:tcPr>
            <w:tcW w:w="110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-8.66 ±0.24</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1.22 ±0.17</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-6.9 (-8.1 to -5.2)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40.43</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17.29</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-7.02 ±0.11</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1.80 ±0.24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38.71</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15.97</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-7.40 ±0.21</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1.24 ±0.15</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37.95</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17.12</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-6.34 ±0.18</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2.88 ±0.47</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40.29</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17.36</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-6.80 ±0.19</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1.84 ±0.28</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reef subtidal</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CR</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40.91</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16.77</w:t>
            </w:r>
          </w:p>
        </w:tc>
        <w:tc>
          <w:tcPr>
            <w:tcW w:w="110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-9.50 ±0.20</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-0.37 ±0.37</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39</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-8.1 (-8.9 to -7.4)</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41.73</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17.00</w:t>
            </w:r>
          </w:p>
        </w:tc>
        <w:tc>
          <w:tcPr>
            <w:tcW w:w="1109" w:type="dxa"/>
            <w:tcBorders>
              <w:top w:val="nil"/>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-9.85 ±0.16</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1.09 ±0.23</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2008</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33.35</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22.74</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-9.65 ±0.26</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1.91 ±0.33</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-10.7 (-12.4 to -8.0)</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2009</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33.69</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24.27</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-9.87 ±0.03</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2.19 ±0.15</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32.70</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22.87</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-9.78 ±0.24</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1.34 ±0.36</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37.88</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22.89</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-9.91 ±0.13</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2.79 ±0.29</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40.60</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28.58</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-9.73 ±0.13</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2.11 ±0.35</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38.59</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22.56</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-10.11 ±0.43</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3.04 ±0.44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39.65</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21.72</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-9.46 ±0.22</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3.47 ±0.13</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2008</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35.25</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22.63</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-10.62 ±0.17</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2.19 ±0.23</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2009</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34.46</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17.24</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-11.25 ±0.36</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0.95 ±0.15</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33.50</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19.96</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-11.69 ±1.11</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2.23 ±0.48</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38.94</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18.88</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-9.64 ±0.04</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1.82 ±0.23</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39.19</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19.58</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-9.85 ±0.17</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2.71 ±0.29</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41.26</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18.96</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-10.10 ±0.15</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2.82 ±0.19</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SI</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37.10</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20.92</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-4.71 ±0.14</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0.86 ±0.34</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-6.0 (-8.3 to -3.6)</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35.53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22.30</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-5.03 ±0.20</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1.47 ±0.19</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Burdekin</w:t>
            </w: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40.30</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12.82</w:t>
            </w:r>
          </w:p>
        </w:tc>
        <w:tc>
          <w:tcPr>
            <w:tcW w:w="110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-11.23 ±0.13</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1.22v0.19</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38.81</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15.75</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-11.49 ±0.03</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2.34 ±0.17</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40.56</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12.74</w:t>
            </w:r>
          </w:p>
        </w:tc>
        <w:tc>
          <w:tcPr>
            <w:tcW w:w="1109" w:type="dxa"/>
            <w:tcBorders>
              <w:top w:val="nil"/>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-11.64 ±0.25</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2.82 ±0.16</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36.33</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17.76</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-10.44 ±0.23</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2.18 ±0.39</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35.75</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18.56</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-10.75 ±0.06</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2.59 ±0.15</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34.85</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1109" w:type="dxa"/>
            <w:tcBorders>
              <w:top w:val="nil"/>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-11.71 ±0.17</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2.80 ±0.06</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40.47</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21.91</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-9.07 ±0.02</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1.54 ±0.60</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-10.7 (-12.4 to -8.0)</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hideMark/>
          </w:tcPr>
          <w:p w:rsidR="00620C8B" w:rsidRDefault="00620C8B" w:rsidP="00805748">
            <w:pPr>
              <w:spacing w:before="0" w:after="0"/>
              <w:jc w:val="center"/>
              <w:rPr>
                <w:color w:val="000000"/>
                <w:sz w:val="16"/>
                <w:szCs w:val="16"/>
              </w:rPr>
            </w:pPr>
            <w:r>
              <w:rPr>
                <w:color w:val="000000"/>
                <w:sz w:val="16"/>
                <w:szCs w:val="16"/>
              </w:rPr>
              <w:t>intertidal</w:t>
            </w: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40.71</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19.46</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-10.00 ±0.09</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2.06 ±0.04</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HO</w:t>
            </w:r>
          </w:p>
        </w:tc>
        <w:tc>
          <w:tcPr>
            <w:tcW w:w="62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39.50</w:t>
            </w:r>
          </w:p>
        </w:tc>
        <w:tc>
          <w:tcPr>
            <w:tcW w:w="661" w:type="dxa"/>
            <w:tcBorders>
              <w:top w:val="single" w:sz="4" w:space="0" w:color="auto"/>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13.44</w:t>
            </w:r>
          </w:p>
        </w:tc>
        <w:tc>
          <w:tcPr>
            <w:tcW w:w="110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-10.79</w:t>
            </w:r>
          </w:p>
        </w:tc>
        <w:tc>
          <w:tcPr>
            <w:tcW w:w="1109"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1.88</w:t>
            </w:r>
          </w:p>
        </w:tc>
        <w:tc>
          <w:tcPr>
            <w:tcW w:w="797"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30.5</w:t>
            </w:r>
          </w:p>
        </w:tc>
        <w:tc>
          <w:tcPr>
            <w:tcW w:w="1557"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 (-15.5 to -6.4)</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44.57</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12.62</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-9.84 ±0.18</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0.96 ±0.04</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41.63</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16.53</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-9.11 ±0.07</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1.32 ±0.50</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39.50</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20.04</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-10.03 ±0.17</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2.23 ±0.13</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38.02</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22.11</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-9.40 ±0.30</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2.32 ±0.20</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39.61</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15.14</w:t>
            </w:r>
          </w:p>
        </w:tc>
        <w:tc>
          <w:tcPr>
            <w:tcW w:w="110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-8.31</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0.09 ±0.45</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-6.9 (-8.1 to -5.2)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36.48</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15.65</w:t>
            </w:r>
          </w:p>
        </w:tc>
        <w:tc>
          <w:tcPr>
            <w:tcW w:w="1109" w:type="dxa"/>
            <w:tcBorders>
              <w:top w:val="nil"/>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-8.85 ±0.05</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1.58 ±0.09</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35.10</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18.83</w:t>
            </w:r>
          </w:p>
        </w:tc>
        <w:tc>
          <w:tcPr>
            <w:tcW w:w="110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-10.96 ±0.18</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1.03 ±0.38</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-10.7 (-12.4 to -8.0)</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hideMark/>
          </w:tcPr>
          <w:p w:rsidR="00620C8B" w:rsidRDefault="00620C8B" w:rsidP="00805748">
            <w:pPr>
              <w:spacing w:before="0" w:after="0"/>
              <w:jc w:val="center"/>
              <w:rPr>
                <w:color w:val="000000"/>
                <w:sz w:val="16"/>
                <w:szCs w:val="16"/>
              </w:rPr>
            </w:pPr>
            <w:r>
              <w:rPr>
                <w:color w:val="000000"/>
                <w:sz w:val="16"/>
                <w:szCs w:val="16"/>
              </w:rPr>
              <w:t>subtidal</w:t>
            </w: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40.28</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24.21</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-11.59 ±0.24</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3.39 ±0.22</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41.99</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28.24</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-10.38 ±0.46</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3.08 ±0.22</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HS</w:t>
            </w:r>
          </w:p>
        </w:tc>
        <w:tc>
          <w:tcPr>
            <w:tcW w:w="62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37.35</w:t>
            </w:r>
          </w:p>
        </w:tc>
        <w:tc>
          <w:tcPr>
            <w:tcW w:w="66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31.12</w:t>
            </w:r>
          </w:p>
        </w:tc>
        <w:tc>
          <w:tcPr>
            <w:tcW w:w="110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-12.32</w:t>
            </w:r>
          </w:p>
        </w:tc>
        <w:tc>
          <w:tcPr>
            <w:tcW w:w="1109"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3.11</w:t>
            </w:r>
          </w:p>
        </w:tc>
        <w:tc>
          <w:tcPr>
            <w:tcW w:w="797" w:type="dxa"/>
            <w:tcBorders>
              <w:top w:val="single" w:sz="4" w:space="0" w:color="auto"/>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single" w:sz="4" w:space="0" w:color="auto"/>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38.29</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16.60</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-10.69 ±1.00</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1.05 ±0.48</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30.12</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16.10</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-12.35 ±0.40</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-0.16 ±0.13</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40.31</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13.70</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-10.88 ±0.03</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0.20 ±0.24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42.78</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17.47</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-11.16 ±0.06</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1.82 ±0.10</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40.41</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22.55</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-11.62 ±0.15</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3.02 ±0.04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tcBorders>
              <w:top w:val="nil"/>
              <w:left w:val="nil"/>
              <w:bottom w:val="single" w:sz="4" w:space="0" w:color="auto"/>
              <w:right w:val="nil"/>
            </w:tcBorders>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41.01</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23.26</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-9.47 ±0.14</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3.17 ±0.07</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hideMark/>
          </w:tcPr>
          <w:p w:rsidR="00620C8B" w:rsidRDefault="00620C8B" w:rsidP="00805748">
            <w:pPr>
              <w:spacing w:before="0" w:after="0"/>
              <w:jc w:val="center"/>
              <w:rPr>
                <w:color w:val="000000"/>
                <w:sz w:val="16"/>
                <w:szCs w:val="16"/>
              </w:rPr>
            </w:pPr>
            <w:r>
              <w:rPr>
                <w:color w:val="000000"/>
                <w:sz w:val="16"/>
                <w:szCs w:val="16"/>
              </w:rPr>
              <w:t>Mackay</w:t>
            </w: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estuarine</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43.22</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12.13</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-10.02 ±0.12</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0.53 ±0.47</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vAlign w:val="center"/>
            <w:hideMark/>
          </w:tcPr>
          <w:p w:rsidR="00620C8B" w:rsidRDefault="00620C8B" w:rsidP="00805748">
            <w:pPr>
              <w:spacing w:before="0" w:after="0"/>
              <w:jc w:val="center"/>
              <w:rPr>
                <w:color w:val="000000"/>
                <w:sz w:val="16"/>
                <w:szCs w:val="16"/>
              </w:rPr>
            </w:pPr>
            <w:r>
              <w:rPr>
                <w:color w:val="000000"/>
                <w:sz w:val="16"/>
                <w:szCs w:val="16"/>
              </w:rPr>
              <w:t>Whitsunday</w:t>
            </w: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40.47</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12.92</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-10.45 ±0.19</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2.08 ±0.22</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38.77</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15.66</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-10.16 ±0.24</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2.06 ±0.22</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37.55</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18.16</w:t>
            </w:r>
          </w:p>
        </w:tc>
        <w:tc>
          <w:tcPr>
            <w:tcW w:w="1109" w:type="dxa"/>
            <w:tcBorders>
              <w:top w:val="nil"/>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-11.12 ±0.26</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2.15 ±0.03</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43.02</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10.84</w:t>
            </w:r>
          </w:p>
        </w:tc>
        <w:tc>
          <w:tcPr>
            <w:tcW w:w="110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-11.42 ±0.06</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-0.98 ±0.15</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42.31</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12.84</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-10.93 ±0.19</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3.25 ±0.10</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40.88</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13.86</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-11.56 ±0.15</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2.20 ±0.24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40.00</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12.85</w:t>
            </w:r>
          </w:p>
        </w:tc>
        <w:tc>
          <w:tcPr>
            <w:tcW w:w="110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-11.10 ±0.13</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4.13 ±0.33</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41.05</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13.56</w:t>
            </w:r>
          </w:p>
        </w:tc>
        <w:tc>
          <w:tcPr>
            <w:tcW w:w="1109" w:type="dxa"/>
            <w:noWrap/>
            <w:vAlign w:val="center"/>
            <w:hideMark/>
          </w:tcPr>
          <w:p w:rsidR="00620C8B" w:rsidRDefault="00620C8B" w:rsidP="00805748">
            <w:pPr>
              <w:spacing w:before="0" w:after="0"/>
              <w:jc w:val="center"/>
              <w:rPr>
                <w:color w:val="000000"/>
                <w:sz w:val="16"/>
                <w:szCs w:val="16"/>
              </w:rPr>
            </w:pPr>
            <w:r>
              <w:rPr>
                <w:color w:val="000000"/>
                <w:sz w:val="16"/>
                <w:szCs w:val="16"/>
              </w:rPr>
              <w:t>-11.47 ±0.14</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4.15 ±0.55</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39.53</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19.60</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-10.16 ±0.22</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2.97 ±0.13</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45.40</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9.81</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-10.23</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1.44</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42.80</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10.04</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-9.22 ±0.03</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-0.20 ±0.19</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42.19</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10.67</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-8.91 ±0.08</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0.80 ±0.72</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43.89</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11.24</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-8.79 ±0.09</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0.89 ±0.25</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42.50</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13.77</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-9.3</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0.74</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39.80</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14.35</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-9.15 ±0.05</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2.47 ±0.34</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36.06</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19.49</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-9.94 ±0.08</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2.34 ±0.19</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tcBorders>
              <w:top w:val="nil"/>
              <w:left w:val="nil"/>
              <w:bottom w:val="single" w:sz="4" w:space="0" w:color="auto"/>
              <w:right w:val="nil"/>
            </w:tcBorders>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38.90</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20.28</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-9.30 ±0.22</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2.87 ±0.11</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hideMark/>
          </w:tcPr>
          <w:p w:rsidR="00620C8B" w:rsidRDefault="00620C8B" w:rsidP="00805748">
            <w:pPr>
              <w:spacing w:before="0" w:after="0"/>
              <w:jc w:val="center"/>
              <w:rPr>
                <w:color w:val="000000"/>
                <w:sz w:val="16"/>
                <w:szCs w:val="16"/>
              </w:rPr>
            </w:pPr>
            <w:r>
              <w:rPr>
                <w:color w:val="000000"/>
                <w:sz w:val="16"/>
                <w:szCs w:val="16"/>
              </w:rPr>
              <w:lastRenderedPageBreak/>
              <w:t>Fitzroy</w:t>
            </w: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estuarine</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39.56</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22.70</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-9.51 ±0.23</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2.27 ±0.13</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36.53</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18.45</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-9.19 ±0.25</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2.27 ±0.28</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35.59</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20.27</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-9.27 ±0.17</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1.84 ±0.13</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40.34</w:t>
            </w:r>
          </w:p>
        </w:tc>
        <w:tc>
          <w:tcPr>
            <w:tcW w:w="66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20.40</w:t>
            </w:r>
          </w:p>
        </w:tc>
        <w:tc>
          <w:tcPr>
            <w:tcW w:w="1109" w:type="dxa"/>
            <w:tcBorders>
              <w:top w:val="single" w:sz="4" w:space="0" w:color="auto"/>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-11.17</w:t>
            </w:r>
          </w:p>
        </w:tc>
        <w:tc>
          <w:tcPr>
            <w:tcW w:w="1109"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1.07</w:t>
            </w:r>
          </w:p>
        </w:tc>
        <w:tc>
          <w:tcPr>
            <w:tcW w:w="797"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40.08</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18.36</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-9.28 ±0.07</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0.72 ±0.10</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37.64</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16.57</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-8.24 ±0.17</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0.94 ±0.35</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36.59</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18.26</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-9.58 ±0.16</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0.90 ±0.12</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33.38</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17.31</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-8.49 ±0.15</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1.03 ±0.17</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41.22</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17.15</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-9.40</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-0.72</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-11.2 (-13.0 to -7.8)</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40.66</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16.07</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-7.14 ±0.10</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0.56 ±0.12</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39.88</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13.38</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-6.39 ±0.19</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-0.47 ±0.29</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39.79</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16.05</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-7.36 ±0.15</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0.92 ±0.37</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36.19</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21.48</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-7.43 ±0.00</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-0.08 ±0.00</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Burnett</w:t>
            </w:r>
          </w:p>
        </w:tc>
        <w:tc>
          <w:tcPr>
            <w:tcW w:w="1115"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estuarine</w:t>
            </w:r>
          </w:p>
        </w:tc>
        <w:tc>
          <w:tcPr>
            <w:tcW w:w="78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HO</w:t>
            </w:r>
          </w:p>
        </w:tc>
        <w:tc>
          <w:tcPr>
            <w:tcW w:w="62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36.90</w:t>
            </w:r>
          </w:p>
        </w:tc>
        <w:tc>
          <w:tcPr>
            <w:tcW w:w="661" w:type="dxa"/>
            <w:tcBorders>
              <w:top w:val="single" w:sz="4" w:space="0" w:color="auto"/>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15.89</w:t>
            </w:r>
          </w:p>
        </w:tc>
        <w:tc>
          <w:tcPr>
            <w:tcW w:w="1109"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-10.46 ±</w:t>
            </w:r>
          </w:p>
        </w:tc>
        <w:tc>
          <w:tcPr>
            <w:tcW w:w="1109"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4.55</w:t>
            </w:r>
          </w:p>
        </w:tc>
        <w:tc>
          <w:tcPr>
            <w:tcW w:w="797" w:type="dxa"/>
            <w:tcBorders>
              <w:top w:val="single" w:sz="4" w:space="0" w:color="auto"/>
              <w:left w:val="nil"/>
              <w:bottom w:val="single" w:sz="4" w:space="0" w:color="auto"/>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30.5</w:t>
            </w:r>
          </w:p>
        </w:tc>
        <w:tc>
          <w:tcPr>
            <w:tcW w:w="1557" w:type="dxa"/>
            <w:tcBorders>
              <w:top w:val="single" w:sz="4" w:space="0" w:color="auto"/>
              <w:left w:val="nil"/>
              <w:bottom w:val="single" w:sz="4" w:space="0" w:color="auto"/>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 (-15.5 to -6.4)</w:t>
            </w:r>
          </w:p>
        </w:tc>
      </w:tr>
      <w:tr w:rsidR="00620C8B" w:rsidTr="00805748">
        <w:trPr>
          <w:cantSplit/>
          <w:trHeight w:val="227"/>
          <w:jc w:val="center"/>
        </w:trPr>
        <w:tc>
          <w:tcPr>
            <w:tcW w:w="1077" w:type="dxa"/>
            <w:vAlign w:val="center"/>
            <w:hideMark/>
          </w:tcPr>
          <w:p w:rsidR="00620C8B" w:rsidRDefault="00620C8B" w:rsidP="00805748">
            <w:pPr>
              <w:spacing w:before="0" w:after="0"/>
              <w:jc w:val="center"/>
              <w:rPr>
                <w:color w:val="000000"/>
                <w:sz w:val="16"/>
                <w:szCs w:val="16"/>
              </w:rPr>
            </w:pPr>
            <w:r>
              <w:rPr>
                <w:color w:val="000000"/>
                <w:sz w:val="16"/>
                <w:szCs w:val="16"/>
              </w:rPr>
              <w:t>Mary</w:t>
            </w:r>
          </w:p>
        </w:tc>
        <w:tc>
          <w:tcPr>
            <w:tcW w:w="1115" w:type="dxa"/>
            <w:noWrap/>
            <w:vAlign w:val="center"/>
          </w:tcPr>
          <w:p w:rsidR="00620C8B" w:rsidRDefault="00620C8B" w:rsidP="00805748">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rsidR="00620C8B" w:rsidRDefault="00620C8B" w:rsidP="00805748">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41.03</w:t>
            </w:r>
          </w:p>
        </w:tc>
        <w:tc>
          <w:tcPr>
            <w:tcW w:w="661" w:type="dxa"/>
            <w:tcBorders>
              <w:top w:val="single" w:sz="4" w:space="0" w:color="auto"/>
              <w:left w:val="nil"/>
              <w:bottom w:val="nil"/>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17.80</w:t>
            </w:r>
          </w:p>
        </w:tc>
        <w:tc>
          <w:tcPr>
            <w:tcW w:w="1109" w:type="dxa"/>
            <w:tcBorders>
              <w:top w:val="single" w:sz="4" w:space="0" w:color="auto"/>
              <w:left w:val="nil"/>
              <w:bottom w:val="nil"/>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-8.94 ±0.21</w:t>
            </w:r>
          </w:p>
        </w:tc>
        <w:tc>
          <w:tcPr>
            <w:tcW w:w="1109" w:type="dxa"/>
            <w:tcBorders>
              <w:top w:val="single" w:sz="4" w:space="0" w:color="auto"/>
              <w:left w:val="nil"/>
              <w:bottom w:val="nil"/>
              <w:right w:val="nil"/>
            </w:tcBorders>
            <w:vAlign w:val="center"/>
            <w:hideMark/>
          </w:tcPr>
          <w:p w:rsidR="00620C8B" w:rsidRDefault="00620C8B" w:rsidP="00805748">
            <w:pPr>
              <w:spacing w:before="0" w:after="0"/>
              <w:jc w:val="center"/>
              <w:rPr>
                <w:color w:val="000000"/>
                <w:sz w:val="16"/>
                <w:szCs w:val="16"/>
              </w:rPr>
            </w:pPr>
            <w:r>
              <w:rPr>
                <w:color w:val="000000"/>
                <w:sz w:val="16"/>
                <w:szCs w:val="16"/>
              </w:rPr>
              <w:t>3.11 ±0.42</w:t>
            </w:r>
          </w:p>
        </w:tc>
        <w:tc>
          <w:tcPr>
            <w:tcW w:w="797" w:type="dxa"/>
            <w:tcBorders>
              <w:top w:val="single" w:sz="4" w:space="0" w:color="auto"/>
              <w:left w:val="nil"/>
              <w:bottom w:val="nil"/>
              <w:right w:val="nil"/>
            </w:tcBorders>
            <w:vAlign w:val="center"/>
            <w:hideMark/>
          </w:tcPr>
          <w:p w:rsidR="00620C8B" w:rsidRDefault="00620C8B" w:rsidP="00805748">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rsidR="00620C8B" w:rsidRDefault="00620C8B" w:rsidP="00805748">
            <w:pPr>
              <w:spacing w:before="0" w:after="0"/>
              <w:jc w:val="center"/>
              <w:rPr>
                <w:i/>
                <w:color w:val="000000"/>
                <w:sz w:val="16"/>
                <w:szCs w:val="16"/>
              </w:rPr>
            </w:pPr>
            <w:r>
              <w:rPr>
                <w:i/>
                <w:color w:val="000000"/>
                <w:sz w:val="16"/>
                <w:szCs w:val="16"/>
              </w:rPr>
              <w:t>-10.8 (-12.4 to -9.2)</w:t>
            </w: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2012</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39.48</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15.75</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-10.78 ±0.05</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1.72 ±0.33</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vAlign w:val="center"/>
          </w:tcPr>
          <w:p w:rsidR="00620C8B" w:rsidRDefault="00620C8B" w:rsidP="00805748">
            <w:pPr>
              <w:spacing w:before="0" w:after="0"/>
              <w:jc w:val="center"/>
              <w:rPr>
                <w:color w:val="000000"/>
                <w:sz w:val="16"/>
                <w:szCs w:val="16"/>
              </w:rPr>
            </w:pPr>
          </w:p>
        </w:tc>
        <w:tc>
          <w:tcPr>
            <w:tcW w:w="1115" w:type="dxa"/>
            <w:noWrap/>
            <w:vAlign w:val="center"/>
          </w:tcPr>
          <w:p w:rsidR="00620C8B" w:rsidRDefault="00620C8B" w:rsidP="00805748">
            <w:pPr>
              <w:spacing w:before="0" w:after="0"/>
              <w:jc w:val="center"/>
              <w:rPr>
                <w:color w:val="000000"/>
                <w:sz w:val="16"/>
                <w:szCs w:val="16"/>
              </w:rPr>
            </w:pPr>
          </w:p>
        </w:tc>
        <w:tc>
          <w:tcPr>
            <w:tcW w:w="789" w:type="dxa"/>
            <w:noWrap/>
            <w:vAlign w:val="center"/>
          </w:tcPr>
          <w:p w:rsidR="00620C8B" w:rsidRDefault="00620C8B" w:rsidP="00805748">
            <w:pPr>
              <w:spacing w:before="0" w:after="0"/>
              <w:jc w:val="center"/>
              <w:rPr>
                <w:color w:val="000000"/>
                <w:sz w:val="16"/>
                <w:szCs w:val="16"/>
              </w:rPr>
            </w:pPr>
          </w:p>
        </w:tc>
        <w:tc>
          <w:tcPr>
            <w:tcW w:w="621" w:type="dxa"/>
            <w:vAlign w:val="center"/>
            <w:hideMark/>
          </w:tcPr>
          <w:p w:rsidR="00620C8B" w:rsidRDefault="00620C8B" w:rsidP="00805748">
            <w:pPr>
              <w:spacing w:before="0" w:after="0"/>
              <w:jc w:val="center"/>
              <w:rPr>
                <w:color w:val="000000"/>
                <w:sz w:val="16"/>
                <w:szCs w:val="16"/>
              </w:rPr>
            </w:pPr>
            <w:r>
              <w:rPr>
                <w:color w:val="000000"/>
                <w:sz w:val="16"/>
                <w:szCs w:val="16"/>
              </w:rPr>
              <w:t>2013</w:t>
            </w:r>
          </w:p>
        </w:tc>
        <w:tc>
          <w:tcPr>
            <w:tcW w:w="661" w:type="dxa"/>
            <w:vAlign w:val="center"/>
            <w:hideMark/>
          </w:tcPr>
          <w:p w:rsidR="00620C8B" w:rsidRDefault="00620C8B" w:rsidP="00805748">
            <w:pPr>
              <w:spacing w:before="0" w:after="0"/>
              <w:jc w:val="center"/>
              <w:rPr>
                <w:color w:val="000000"/>
                <w:sz w:val="16"/>
                <w:szCs w:val="16"/>
              </w:rPr>
            </w:pPr>
            <w:r>
              <w:rPr>
                <w:color w:val="000000"/>
                <w:sz w:val="16"/>
                <w:szCs w:val="16"/>
              </w:rPr>
              <w:t>35.02</w:t>
            </w:r>
          </w:p>
        </w:tc>
        <w:tc>
          <w:tcPr>
            <w:tcW w:w="661" w:type="dxa"/>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18.92</w:t>
            </w:r>
          </w:p>
        </w:tc>
        <w:tc>
          <w:tcPr>
            <w:tcW w:w="1109" w:type="dxa"/>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-10.540.08</w:t>
            </w:r>
          </w:p>
        </w:tc>
        <w:tc>
          <w:tcPr>
            <w:tcW w:w="1109" w:type="dxa"/>
            <w:vAlign w:val="center"/>
            <w:hideMark/>
          </w:tcPr>
          <w:p w:rsidR="00620C8B" w:rsidRDefault="00620C8B" w:rsidP="00805748">
            <w:pPr>
              <w:spacing w:before="0" w:after="0"/>
              <w:jc w:val="center"/>
              <w:rPr>
                <w:color w:val="000000"/>
                <w:sz w:val="16"/>
                <w:szCs w:val="16"/>
              </w:rPr>
            </w:pPr>
            <w:r>
              <w:rPr>
                <w:color w:val="000000"/>
                <w:sz w:val="16"/>
                <w:szCs w:val="16"/>
              </w:rPr>
              <w:t>3.79 ±0.30</w:t>
            </w:r>
          </w:p>
        </w:tc>
        <w:tc>
          <w:tcPr>
            <w:tcW w:w="797" w:type="dxa"/>
            <w:vAlign w:val="center"/>
          </w:tcPr>
          <w:p w:rsidR="00620C8B" w:rsidRDefault="00620C8B" w:rsidP="00805748">
            <w:pPr>
              <w:spacing w:before="0" w:after="0"/>
              <w:jc w:val="center"/>
              <w:rPr>
                <w:i/>
                <w:color w:val="000000"/>
                <w:sz w:val="16"/>
                <w:szCs w:val="16"/>
              </w:rPr>
            </w:pPr>
          </w:p>
        </w:tc>
        <w:tc>
          <w:tcPr>
            <w:tcW w:w="1557" w:type="dxa"/>
            <w:noWrap/>
            <w:vAlign w:val="center"/>
          </w:tcPr>
          <w:p w:rsidR="00620C8B" w:rsidRDefault="00620C8B" w:rsidP="00805748">
            <w:pPr>
              <w:spacing w:before="0" w:after="0"/>
              <w:jc w:val="center"/>
              <w:rPr>
                <w:i/>
                <w:color w:val="000000"/>
                <w:sz w:val="16"/>
                <w:szCs w:val="16"/>
              </w:rPr>
            </w:pPr>
          </w:p>
        </w:tc>
      </w:tr>
      <w:tr w:rsidR="00620C8B" w:rsidTr="00805748">
        <w:trPr>
          <w:cantSplit/>
          <w:trHeight w:val="227"/>
          <w:jc w:val="center"/>
        </w:trPr>
        <w:tc>
          <w:tcPr>
            <w:tcW w:w="1077" w:type="dxa"/>
            <w:tcBorders>
              <w:top w:val="nil"/>
              <w:left w:val="nil"/>
              <w:bottom w:val="single" w:sz="4" w:space="0" w:color="auto"/>
              <w:right w:val="nil"/>
            </w:tcBorders>
            <w:vAlign w:val="center"/>
          </w:tcPr>
          <w:p w:rsidR="00620C8B" w:rsidRDefault="00620C8B" w:rsidP="00805748">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rsidR="00620C8B" w:rsidRDefault="00620C8B" w:rsidP="00805748">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2014</w:t>
            </w:r>
          </w:p>
        </w:tc>
        <w:tc>
          <w:tcPr>
            <w:tcW w:w="661"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37.86</w:t>
            </w:r>
          </w:p>
        </w:tc>
        <w:tc>
          <w:tcPr>
            <w:tcW w:w="661" w:type="dxa"/>
            <w:tcBorders>
              <w:top w:val="nil"/>
              <w:left w:val="nil"/>
              <w:bottom w:val="single" w:sz="4" w:space="0" w:color="auto"/>
              <w:right w:val="nil"/>
            </w:tcBorders>
            <w:shd w:val="clear" w:color="auto" w:fill="CCFFCC"/>
            <w:vAlign w:val="center"/>
            <w:hideMark/>
          </w:tcPr>
          <w:p w:rsidR="00620C8B" w:rsidRDefault="00620C8B" w:rsidP="00805748">
            <w:pPr>
              <w:spacing w:before="0" w:after="0"/>
              <w:jc w:val="center"/>
              <w:rPr>
                <w:color w:val="000000"/>
                <w:sz w:val="16"/>
                <w:szCs w:val="16"/>
              </w:rPr>
            </w:pPr>
            <w:r>
              <w:rPr>
                <w:color w:val="000000"/>
                <w:sz w:val="16"/>
                <w:szCs w:val="16"/>
              </w:rPr>
              <w:t>18.67</w:t>
            </w:r>
          </w:p>
        </w:tc>
        <w:tc>
          <w:tcPr>
            <w:tcW w:w="1109" w:type="dxa"/>
            <w:tcBorders>
              <w:top w:val="nil"/>
              <w:left w:val="nil"/>
              <w:bottom w:val="single" w:sz="4" w:space="0" w:color="auto"/>
              <w:right w:val="nil"/>
            </w:tcBorders>
            <w:shd w:val="clear" w:color="auto" w:fill="CCFFCC"/>
            <w:noWrap/>
            <w:vAlign w:val="center"/>
            <w:hideMark/>
          </w:tcPr>
          <w:p w:rsidR="00620C8B" w:rsidRDefault="00620C8B" w:rsidP="00805748">
            <w:pPr>
              <w:spacing w:before="0" w:after="0"/>
              <w:jc w:val="center"/>
              <w:rPr>
                <w:color w:val="000000"/>
                <w:sz w:val="16"/>
                <w:szCs w:val="16"/>
              </w:rPr>
            </w:pPr>
            <w:r>
              <w:rPr>
                <w:color w:val="000000"/>
                <w:sz w:val="16"/>
                <w:szCs w:val="16"/>
              </w:rPr>
              <w:t>-10.75 ±0.24</w:t>
            </w:r>
          </w:p>
        </w:tc>
        <w:tc>
          <w:tcPr>
            <w:tcW w:w="1109" w:type="dxa"/>
            <w:tcBorders>
              <w:top w:val="nil"/>
              <w:left w:val="nil"/>
              <w:bottom w:val="single" w:sz="4" w:space="0" w:color="auto"/>
              <w:right w:val="nil"/>
            </w:tcBorders>
            <w:vAlign w:val="center"/>
            <w:hideMark/>
          </w:tcPr>
          <w:p w:rsidR="00620C8B" w:rsidRDefault="00620C8B" w:rsidP="00805748">
            <w:pPr>
              <w:spacing w:before="0" w:after="0"/>
              <w:jc w:val="center"/>
              <w:rPr>
                <w:color w:val="000000"/>
                <w:sz w:val="16"/>
                <w:szCs w:val="16"/>
              </w:rPr>
            </w:pPr>
            <w:r>
              <w:rPr>
                <w:color w:val="000000"/>
                <w:sz w:val="16"/>
                <w:szCs w:val="16"/>
              </w:rPr>
              <w:t>2.26 ±0.10</w:t>
            </w:r>
          </w:p>
        </w:tc>
        <w:tc>
          <w:tcPr>
            <w:tcW w:w="797" w:type="dxa"/>
            <w:tcBorders>
              <w:top w:val="nil"/>
              <w:left w:val="nil"/>
              <w:bottom w:val="single" w:sz="4" w:space="0" w:color="auto"/>
              <w:right w:val="nil"/>
            </w:tcBorders>
            <w:vAlign w:val="center"/>
          </w:tcPr>
          <w:p w:rsidR="00620C8B" w:rsidRDefault="00620C8B" w:rsidP="00805748">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rsidR="00620C8B" w:rsidRDefault="00620C8B" w:rsidP="00805748">
            <w:pPr>
              <w:spacing w:before="0" w:after="0"/>
              <w:jc w:val="center"/>
              <w:rPr>
                <w:i/>
                <w:color w:val="000000"/>
                <w:sz w:val="16"/>
                <w:szCs w:val="16"/>
              </w:rPr>
            </w:pPr>
          </w:p>
        </w:tc>
      </w:tr>
    </w:tbl>
    <w:p w:rsidR="00620C8B" w:rsidRDefault="00620C8B" w:rsidP="00620C8B">
      <w:pPr>
        <w:rPr>
          <w:color w:val="000000"/>
          <w:szCs w:val="22"/>
        </w:rPr>
      </w:pPr>
    </w:p>
    <w:p w:rsidR="00620C8B" w:rsidRDefault="00620C8B" w:rsidP="00620C8B">
      <w:pPr>
        <w:rPr>
          <w:color w:val="000000"/>
          <w:szCs w:val="22"/>
        </w:rPr>
      </w:pPr>
    </w:p>
    <w:p w:rsidR="00620C8B" w:rsidRDefault="00620C8B" w:rsidP="00620C8B">
      <w:pPr>
        <w:keepNext/>
        <w:jc w:val="center"/>
        <w:rPr>
          <w:color w:val="000000"/>
          <w:szCs w:val="22"/>
        </w:rPr>
      </w:pPr>
      <w:bookmarkStart w:id="1295" w:name="_Toc462685119"/>
      <w:r>
        <w:rPr>
          <w:color w:val="000000"/>
          <w:szCs w:val="22"/>
        </w:rPr>
        <w:t xml:space="preserve">Table </w:t>
      </w:r>
      <w:r>
        <w:fldChar w:fldCharType="begin"/>
      </w:r>
      <w:r>
        <w:rPr>
          <w:color w:val="000000"/>
          <w:szCs w:val="22"/>
        </w:rPr>
        <w:instrText xml:space="preserve"> SEQ Table \* ARABIC </w:instrText>
      </w:r>
      <w:r>
        <w:fldChar w:fldCharType="separate"/>
      </w:r>
      <w:r w:rsidR="009C068F">
        <w:rPr>
          <w:noProof/>
          <w:color w:val="000000"/>
          <w:szCs w:val="22"/>
        </w:rPr>
        <w:t>50</w:t>
      </w:r>
      <w:r>
        <w:fldChar w:fldCharType="end"/>
      </w:r>
      <w:r>
        <w:rPr>
          <w:color w:val="000000"/>
          <w:szCs w:val="22"/>
        </w:rPr>
        <w:t xml:space="preserve">. </w:t>
      </w:r>
      <w:r>
        <w:rPr>
          <w:i/>
          <w:color w:val="000000"/>
          <w:szCs w:val="22"/>
        </w:rPr>
        <w:t>Percent carbon in seagrass leaf tissue from published literature.</w:t>
      </w:r>
      <w:bookmarkEnd w:id="1295"/>
      <w:r>
        <w:rPr>
          <w:i/>
          <w:color w:val="000000"/>
          <w:szCs w:val="22"/>
        </w:rPr>
        <w:t xml:space="preserve"> </w:t>
      </w:r>
    </w:p>
    <w:tbl>
      <w:tblPr>
        <w:tblW w:w="8334" w:type="dxa"/>
        <w:jc w:val="center"/>
        <w:tblLook w:val="01E0" w:firstRow="1" w:lastRow="1" w:firstColumn="1" w:lastColumn="1" w:noHBand="0" w:noVBand="0"/>
      </w:tblPr>
      <w:tblGrid>
        <w:gridCol w:w="2124"/>
        <w:gridCol w:w="979"/>
        <w:gridCol w:w="2231"/>
        <w:gridCol w:w="3000"/>
      </w:tblGrid>
      <w:tr w:rsidR="00620C8B" w:rsidTr="003A1357">
        <w:trPr>
          <w:jc w:val="center"/>
        </w:trPr>
        <w:tc>
          <w:tcPr>
            <w:tcW w:w="2124" w:type="dxa"/>
            <w:tcBorders>
              <w:top w:val="single" w:sz="4" w:space="0" w:color="auto"/>
              <w:left w:val="nil"/>
              <w:bottom w:val="single" w:sz="4" w:space="0" w:color="auto"/>
              <w:right w:val="nil"/>
            </w:tcBorders>
            <w:shd w:val="clear" w:color="auto" w:fill="BBE0E3"/>
            <w:hideMark/>
          </w:tcPr>
          <w:p w:rsidR="00620C8B" w:rsidRDefault="00620C8B" w:rsidP="00805748">
            <w:pPr>
              <w:autoSpaceDE w:val="0"/>
              <w:autoSpaceDN w:val="0"/>
              <w:adjustRightInd w:val="0"/>
              <w:spacing w:before="0" w:after="0"/>
              <w:jc w:val="center"/>
              <w:rPr>
                <w:rFonts w:cs="TimesNewRoman"/>
                <w:b/>
                <w:color w:val="000000"/>
                <w:sz w:val="16"/>
                <w:szCs w:val="16"/>
              </w:rPr>
            </w:pPr>
            <w:r>
              <w:rPr>
                <w:rFonts w:cs="TimesNewRoman"/>
                <w:b/>
                <w:color w:val="000000"/>
                <w:sz w:val="16"/>
                <w:szCs w:val="16"/>
              </w:rPr>
              <w:t>Species</w:t>
            </w:r>
          </w:p>
        </w:tc>
        <w:tc>
          <w:tcPr>
            <w:tcW w:w="979" w:type="dxa"/>
            <w:tcBorders>
              <w:top w:val="single" w:sz="4" w:space="0" w:color="auto"/>
              <w:left w:val="nil"/>
              <w:bottom w:val="single" w:sz="4" w:space="0" w:color="auto"/>
              <w:right w:val="nil"/>
            </w:tcBorders>
            <w:shd w:val="clear" w:color="auto" w:fill="BBE0E3"/>
            <w:hideMark/>
          </w:tcPr>
          <w:p w:rsidR="00620C8B" w:rsidRDefault="00620C8B" w:rsidP="00805748">
            <w:pPr>
              <w:autoSpaceDE w:val="0"/>
              <w:autoSpaceDN w:val="0"/>
              <w:adjustRightInd w:val="0"/>
              <w:spacing w:before="0" w:after="0"/>
              <w:jc w:val="center"/>
              <w:rPr>
                <w:rFonts w:cs="TimesNewRoman"/>
                <w:b/>
                <w:color w:val="000000"/>
                <w:sz w:val="16"/>
                <w:szCs w:val="16"/>
              </w:rPr>
            </w:pPr>
            <w:r>
              <w:rPr>
                <w:rFonts w:cs="TimesNewRoman"/>
                <w:b/>
                <w:color w:val="000000"/>
                <w:sz w:val="16"/>
                <w:szCs w:val="16"/>
              </w:rPr>
              <w:t>%C</w:t>
            </w:r>
          </w:p>
        </w:tc>
        <w:tc>
          <w:tcPr>
            <w:tcW w:w="2231" w:type="dxa"/>
            <w:tcBorders>
              <w:top w:val="single" w:sz="4" w:space="0" w:color="auto"/>
              <w:left w:val="nil"/>
              <w:bottom w:val="single" w:sz="4" w:space="0" w:color="auto"/>
              <w:right w:val="nil"/>
            </w:tcBorders>
            <w:shd w:val="clear" w:color="auto" w:fill="BBE0E3"/>
            <w:hideMark/>
          </w:tcPr>
          <w:p w:rsidR="00620C8B" w:rsidRDefault="00620C8B" w:rsidP="00805748">
            <w:pPr>
              <w:autoSpaceDE w:val="0"/>
              <w:autoSpaceDN w:val="0"/>
              <w:adjustRightInd w:val="0"/>
              <w:spacing w:before="0" w:after="0"/>
              <w:jc w:val="center"/>
              <w:rPr>
                <w:rFonts w:cs="TimesNewRoman"/>
                <w:b/>
                <w:color w:val="000000"/>
                <w:sz w:val="16"/>
                <w:szCs w:val="16"/>
              </w:rPr>
            </w:pPr>
            <w:r>
              <w:rPr>
                <w:rFonts w:cs="TimesNewRoman"/>
                <w:b/>
                <w:color w:val="000000"/>
                <w:sz w:val="16"/>
                <w:szCs w:val="16"/>
              </w:rPr>
              <w:t>Citation</w:t>
            </w:r>
          </w:p>
        </w:tc>
        <w:tc>
          <w:tcPr>
            <w:tcW w:w="3000" w:type="dxa"/>
            <w:tcBorders>
              <w:top w:val="single" w:sz="4" w:space="0" w:color="auto"/>
              <w:left w:val="nil"/>
              <w:bottom w:val="single" w:sz="4" w:space="0" w:color="auto"/>
              <w:right w:val="nil"/>
            </w:tcBorders>
            <w:shd w:val="clear" w:color="auto" w:fill="BBE0E3"/>
            <w:hideMark/>
          </w:tcPr>
          <w:p w:rsidR="00620C8B" w:rsidRDefault="00620C8B" w:rsidP="00805748">
            <w:pPr>
              <w:autoSpaceDE w:val="0"/>
              <w:autoSpaceDN w:val="0"/>
              <w:adjustRightInd w:val="0"/>
              <w:spacing w:before="0" w:after="0"/>
              <w:jc w:val="center"/>
              <w:rPr>
                <w:rFonts w:cs="TimesNewRoman"/>
                <w:b/>
                <w:color w:val="000000"/>
                <w:sz w:val="16"/>
                <w:szCs w:val="16"/>
              </w:rPr>
            </w:pPr>
            <w:r>
              <w:rPr>
                <w:rFonts w:cs="TimesNewRoman"/>
                <w:b/>
                <w:color w:val="000000"/>
                <w:sz w:val="16"/>
                <w:szCs w:val="16"/>
              </w:rPr>
              <w:t>Location</w:t>
            </w:r>
          </w:p>
        </w:tc>
      </w:tr>
      <w:tr w:rsidR="00620C8B" w:rsidTr="003A1357">
        <w:trPr>
          <w:jc w:val="center"/>
        </w:trPr>
        <w:tc>
          <w:tcPr>
            <w:tcW w:w="2124"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i/>
                <w:color w:val="000000"/>
                <w:sz w:val="16"/>
                <w:szCs w:val="16"/>
              </w:rPr>
            </w:pPr>
            <w:proofErr w:type="spellStart"/>
            <w:r>
              <w:rPr>
                <w:rFonts w:cs="TimesNewRoman"/>
                <w:i/>
                <w:color w:val="000000"/>
                <w:sz w:val="16"/>
                <w:szCs w:val="16"/>
              </w:rPr>
              <w:t>Cymodocea</w:t>
            </w:r>
            <w:proofErr w:type="spellEnd"/>
            <w:r>
              <w:rPr>
                <w:rFonts w:cs="TimesNewRoman"/>
                <w:i/>
                <w:color w:val="000000"/>
                <w:sz w:val="16"/>
                <w:szCs w:val="16"/>
              </w:rPr>
              <w:t xml:space="preserve"> </w:t>
            </w:r>
            <w:proofErr w:type="spellStart"/>
            <w:r>
              <w:rPr>
                <w:rFonts w:cs="TimesNewRoman"/>
                <w:i/>
                <w:color w:val="000000"/>
                <w:sz w:val="16"/>
                <w:szCs w:val="16"/>
              </w:rPr>
              <w:t>rotundata</w:t>
            </w:r>
            <w:proofErr w:type="spellEnd"/>
          </w:p>
        </w:tc>
        <w:tc>
          <w:tcPr>
            <w:tcW w:w="979"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38.9</w:t>
            </w:r>
          </w:p>
        </w:tc>
        <w:tc>
          <w:tcPr>
            <w:tcW w:w="2231"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proofErr w:type="spellStart"/>
            <w:r>
              <w:rPr>
                <w:rFonts w:cs="TimesNewRoman"/>
                <w:color w:val="000000"/>
                <w:sz w:val="16"/>
                <w:szCs w:val="16"/>
              </w:rPr>
              <w:t>Yamamuro</w:t>
            </w:r>
            <w:proofErr w:type="spellEnd"/>
            <w:r>
              <w:rPr>
                <w:rFonts w:cs="TimesNewRoman"/>
                <w:color w:val="000000"/>
                <w:sz w:val="16"/>
                <w:szCs w:val="16"/>
              </w:rPr>
              <w:t xml:space="preserve"> &amp; </w:t>
            </w:r>
            <w:proofErr w:type="spellStart"/>
            <w:r>
              <w:rPr>
                <w:rFonts w:cs="TimesNewRoman"/>
                <w:color w:val="000000"/>
                <w:sz w:val="16"/>
                <w:szCs w:val="16"/>
              </w:rPr>
              <w:t>Chirapart</w:t>
            </w:r>
            <w:proofErr w:type="spellEnd"/>
            <w:r>
              <w:rPr>
                <w:rFonts w:cs="TimesNewRoman"/>
                <w:color w:val="000000"/>
                <w:sz w:val="16"/>
                <w:szCs w:val="16"/>
              </w:rPr>
              <w:t xml:space="preserve"> 2005</w:t>
            </w:r>
          </w:p>
        </w:tc>
        <w:tc>
          <w:tcPr>
            <w:tcW w:w="3000"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Trang, Thailand</w:t>
            </w:r>
          </w:p>
        </w:tc>
      </w:tr>
      <w:tr w:rsidR="00620C8B" w:rsidTr="003A1357">
        <w:trPr>
          <w:jc w:val="center"/>
        </w:trPr>
        <w:tc>
          <w:tcPr>
            <w:tcW w:w="2124" w:type="dxa"/>
            <w:tcBorders>
              <w:top w:val="nil"/>
              <w:left w:val="nil"/>
              <w:bottom w:val="single" w:sz="4" w:space="0" w:color="auto"/>
              <w:right w:val="nil"/>
            </w:tcBorders>
            <w:shd w:val="clear" w:color="auto" w:fill="F3F9FA"/>
          </w:tcPr>
          <w:p w:rsidR="00620C8B" w:rsidRDefault="00620C8B" w:rsidP="00805748">
            <w:pPr>
              <w:autoSpaceDE w:val="0"/>
              <w:autoSpaceDN w:val="0"/>
              <w:adjustRightInd w:val="0"/>
              <w:spacing w:before="0" w:after="0"/>
              <w:rPr>
                <w:rFonts w:cs="TimesNewRoman"/>
                <w:i/>
                <w:color w:val="000000"/>
                <w:sz w:val="16"/>
                <w:szCs w:val="16"/>
              </w:rPr>
            </w:pPr>
          </w:p>
        </w:tc>
        <w:tc>
          <w:tcPr>
            <w:tcW w:w="979" w:type="dxa"/>
            <w:tcBorders>
              <w:top w:val="nil"/>
              <w:left w:val="nil"/>
              <w:bottom w:val="single" w:sz="4" w:space="0" w:color="auto"/>
              <w:right w:val="nil"/>
            </w:tcBorders>
            <w:shd w:val="clear" w:color="auto" w:fill="F3F9FA"/>
          </w:tcPr>
          <w:p w:rsidR="00620C8B" w:rsidRDefault="00620C8B" w:rsidP="00805748">
            <w:pPr>
              <w:autoSpaceDE w:val="0"/>
              <w:autoSpaceDN w:val="0"/>
              <w:adjustRightInd w:val="0"/>
              <w:spacing w:before="0" w:after="0"/>
              <w:rPr>
                <w:rFonts w:cs="TimesNewRoman"/>
                <w:color w:val="000000"/>
                <w:sz w:val="16"/>
                <w:szCs w:val="16"/>
              </w:rPr>
            </w:pPr>
          </w:p>
        </w:tc>
        <w:tc>
          <w:tcPr>
            <w:tcW w:w="2231" w:type="dxa"/>
            <w:tcBorders>
              <w:top w:val="nil"/>
              <w:left w:val="nil"/>
              <w:bottom w:val="single" w:sz="4" w:space="0" w:color="auto"/>
              <w:right w:val="nil"/>
            </w:tcBorders>
            <w:shd w:val="clear" w:color="auto" w:fill="F3F9FA"/>
          </w:tcPr>
          <w:p w:rsidR="00620C8B" w:rsidRDefault="00620C8B" w:rsidP="00805748">
            <w:pPr>
              <w:autoSpaceDE w:val="0"/>
              <w:autoSpaceDN w:val="0"/>
              <w:adjustRightInd w:val="0"/>
              <w:spacing w:before="0" w:after="0"/>
              <w:rPr>
                <w:rFonts w:cs="TimesNewRoman"/>
                <w:color w:val="000000"/>
                <w:sz w:val="16"/>
                <w:szCs w:val="16"/>
              </w:rPr>
            </w:pPr>
          </w:p>
        </w:tc>
        <w:tc>
          <w:tcPr>
            <w:tcW w:w="3000" w:type="dxa"/>
            <w:tcBorders>
              <w:top w:val="nil"/>
              <w:left w:val="nil"/>
              <w:bottom w:val="single" w:sz="4" w:space="0" w:color="auto"/>
              <w:right w:val="nil"/>
            </w:tcBorders>
            <w:shd w:val="clear" w:color="auto" w:fill="F3F9FA"/>
          </w:tcPr>
          <w:p w:rsidR="00620C8B" w:rsidRDefault="00620C8B" w:rsidP="00805748">
            <w:pPr>
              <w:autoSpaceDE w:val="0"/>
              <w:autoSpaceDN w:val="0"/>
              <w:adjustRightInd w:val="0"/>
              <w:spacing w:before="0" w:after="0"/>
              <w:rPr>
                <w:rFonts w:cs="TimesNewRoman"/>
                <w:color w:val="000000"/>
                <w:sz w:val="16"/>
                <w:szCs w:val="16"/>
              </w:rPr>
            </w:pPr>
          </w:p>
        </w:tc>
      </w:tr>
      <w:tr w:rsidR="00620C8B" w:rsidTr="003A1357">
        <w:trPr>
          <w:jc w:val="center"/>
        </w:trPr>
        <w:tc>
          <w:tcPr>
            <w:tcW w:w="2124"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i/>
                <w:color w:val="000000"/>
                <w:sz w:val="16"/>
                <w:szCs w:val="16"/>
              </w:rPr>
            </w:pPr>
            <w:proofErr w:type="spellStart"/>
            <w:r>
              <w:rPr>
                <w:rFonts w:cs="TimesNewRoman"/>
                <w:i/>
                <w:color w:val="000000"/>
                <w:sz w:val="16"/>
                <w:szCs w:val="16"/>
              </w:rPr>
              <w:t>Cymodocea</w:t>
            </w:r>
            <w:proofErr w:type="spellEnd"/>
            <w:r>
              <w:rPr>
                <w:rFonts w:cs="TimesNewRoman"/>
                <w:i/>
                <w:color w:val="000000"/>
                <w:sz w:val="16"/>
                <w:szCs w:val="16"/>
              </w:rPr>
              <w:t xml:space="preserve"> </w:t>
            </w:r>
            <w:proofErr w:type="spellStart"/>
            <w:r>
              <w:rPr>
                <w:rFonts w:cs="TimesNewRoman"/>
                <w:i/>
                <w:color w:val="000000"/>
                <w:sz w:val="16"/>
                <w:szCs w:val="16"/>
              </w:rPr>
              <w:t>serrulata</w:t>
            </w:r>
            <w:proofErr w:type="spellEnd"/>
          </w:p>
        </w:tc>
        <w:tc>
          <w:tcPr>
            <w:tcW w:w="979"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42.7</w:t>
            </w:r>
          </w:p>
        </w:tc>
        <w:tc>
          <w:tcPr>
            <w:tcW w:w="2231"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Grice et al. (1996)</w:t>
            </w:r>
          </w:p>
        </w:tc>
        <w:tc>
          <w:tcPr>
            <w:tcW w:w="3000"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Green Island</w:t>
            </w:r>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38</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Cockle Bay</w:t>
            </w:r>
          </w:p>
        </w:tc>
      </w:tr>
      <w:tr w:rsidR="00620C8B" w:rsidTr="00805748">
        <w:trPr>
          <w:jc w:val="center"/>
        </w:trPr>
        <w:tc>
          <w:tcPr>
            <w:tcW w:w="2124"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c>
          <w:tcPr>
            <w:tcW w:w="979" w:type="dxa"/>
            <w:tcBorders>
              <w:top w:val="nil"/>
              <w:left w:val="nil"/>
              <w:bottom w:val="single" w:sz="4" w:space="0" w:color="auto"/>
              <w:right w:val="nil"/>
            </w:tcBorders>
            <w:shd w:val="clear" w:color="auto" w:fill="F3F3F3"/>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40.4</w:t>
            </w:r>
          </w:p>
        </w:tc>
        <w:tc>
          <w:tcPr>
            <w:tcW w:w="2231" w:type="dxa"/>
            <w:tcBorders>
              <w:top w:val="nil"/>
              <w:left w:val="nil"/>
              <w:bottom w:val="single" w:sz="4" w:space="0" w:color="auto"/>
              <w:right w:val="nil"/>
            </w:tcBorders>
            <w:shd w:val="clear" w:color="auto" w:fill="F3F3F3"/>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r>
      <w:tr w:rsidR="00620C8B" w:rsidTr="003A1357">
        <w:trPr>
          <w:jc w:val="center"/>
        </w:trPr>
        <w:tc>
          <w:tcPr>
            <w:tcW w:w="2124"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i/>
                <w:color w:val="000000"/>
                <w:sz w:val="16"/>
                <w:szCs w:val="16"/>
              </w:rPr>
            </w:pPr>
            <w:proofErr w:type="spellStart"/>
            <w:r>
              <w:rPr>
                <w:rFonts w:cs="TimesNewRoman"/>
                <w:i/>
                <w:color w:val="000000"/>
                <w:sz w:val="16"/>
                <w:szCs w:val="16"/>
              </w:rPr>
              <w:t>Enhalus</w:t>
            </w:r>
            <w:proofErr w:type="spellEnd"/>
            <w:r>
              <w:rPr>
                <w:rFonts w:cs="TimesNewRoman"/>
                <w:i/>
                <w:color w:val="000000"/>
                <w:sz w:val="16"/>
                <w:szCs w:val="16"/>
              </w:rPr>
              <w:t xml:space="preserve"> </w:t>
            </w:r>
            <w:proofErr w:type="spellStart"/>
            <w:r>
              <w:rPr>
                <w:rFonts w:cs="TimesNewRoman"/>
                <w:i/>
                <w:color w:val="000000"/>
                <w:sz w:val="16"/>
                <w:szCs w:val="16"/>
              </w:rPr>
              <w:t>acoroides</w:t>
            </w:r>
            <w:proofErr w:type="spellEnd"/>
          </w:p>
        </w:tc>
        <w:tc>
          <w:tcPr>
            <w:tcW w:w="979"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38.3</w:t>
            </w:r>
          </w:p>
        </w:tc>
        <w:tc>
          <w:tcPr>
            <w:tcW w:w="2231"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Duarte (1990)</w:t>
            </w:r>
          </w:p>
        </w:tc>
        <w:tc>
          <w:tcPr>
            <w:tcW w:w="3000"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Palau</w:t>
            </w:r>
          </w:p>
        </w:tc>
      </w:tr>
      <w:tr w:rsidR="00620C8B" w:rsidTr="00805748">
        <w:trPr>
          <w:jc w:val="center"/>
        </w:trPr>
        <w:tc>
          <w:tcPr>
            <w:tcW w:w="2124"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i/>
                <w:color w:val="000000"/>
                <w:sz w:val="16"/>
                <w:szCs w:val="16"/>
              </w:rPr>
            </w:pPr>
          </w:p>
        </w:tc>
        <w:tc>
          <w:tcPr>
            <w:tcW w:w="979"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c>
          <w:tcPr>
            <w:tcW w:w="2231"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c>
          <w:tcPr>
            <w:tcW w:w="3000"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r>
      <w:tr w:rsidR="00620C8B" w:rsidTr="003A1357">
        <w:trPr>
          <w:jc w:val="center"/>
        </w:trPr>
        <w:tc>
          <w:tcPr>
            <w:tcW w:w="2124"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i/>
                <w:color w:val="000000"/>
                <w:sz w:val="16"/>
                <w:szCs w:val="16"/>
              </w:rPr>
            </w:pPr>
            <w:proofErr w:type="spellStart"/>
            <w:r>
              <w:rPr>
                <w:rFonts w:cs="TimesNewRoman"/>
                <w:i/>
                <w:color w:val="000000"/>
                <w:sz w:val="16"/>
                <w:szCs w:val="16"/>
              </w:rPr>
              <w:t>Halophila</w:t>
            </w:r>
            <w:proofErr w:type="spellEnd"/>
            <w:r>
              <w:rPr>
                <w:rFonts w:cs="TimesNewRoman"/>
                <w:i/>
                <w:color w:val="000000"/>
                <w:sz w:val="16"/>
                <w:szCs w:val="16"/>
              </w:rPr>
              <w:t xml:space="preserve"> </w:t>
            </w:r>
            <w:proofErr w:type="spellStart"/>
            <w:r>
              <w:rPr>
                <w:rFonts w:cs="TimesNewRoman"/>
                <w:i/>
                <w:color w:val="000000"/>
                <w:sz w:val="16"/>
                <w:szCs w:val="16"/>
              </w:rPr>
              <w:t>ovalis</w:t>
            </w:r>
            <w:proofErr w:type="spellEnd"/>
          </w:p>
        </w:tc>
        <w:tc>
          <w:tcPr>
            <w:tcW w:w="979"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32 ± 0.5</w:t>
            </w:r>
          </w:p>
        </w:tc>
        <w:tc>
          <w:tcPr>
            <w:tcW w:w="2231"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Moreton Bay - Aug</w:t>
            </w:r>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29 ± 0.4</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Moreton Bay - Jan</w:t>
            </w:r>
          </w:p>
        </w:tc>
      </w:tr>
      <w:tr w:rsidR="00620C8B" w:rsidTr="00805748">
        <w:trPr>
          <w:jc w:val="center"/>
        </w:trPr>
        <w:tc>
          <w:tcPr>
            <w:tcW w:w="2124"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c>
          <w:tcPr>
            <w:tcW w:w="979" w:type="dxa"/>
            <w:tcBorders>
              <w:top w:val="nil"/>
              <w:left w:val="nil"/>
              <w:bottom w:val="single" w:sz="4" w:space="0" w:color="auto"/>
              <w:right w:val="nil"/>
            </w:tcBorders>
            <w:shd w:val="clear" w:color="auto" w:fill="F3F3F3"/>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30.5</w:t>
            </w:r>
          </w:p>
        </w:tc>
        <w:tc>
          <w:tcPr>
            <w:tcW w:w="2231" w:type="dxa"/>
            <w:tcBorders>
              <w:top w:val="nil"/>
              <w:left w:val="nil"/>
              <w:bottom w:val="single" w:sz="4" w:space="0" w:color="auto"/>
              <w:right w:val="nil"/>
            </w:tcBorders>
            <w:shd w:val="clear" w:color="auto" w:fill="F3F3F3"/>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r>
      <w:tr w:rsidR="00620C8B" w:rsidTr="003A1357">
        <w:trPr>
          <w:jc w:val="center"/>
        </w:trPr>
        <w:tc>
          <w:tcPr>
            <w:tcW w:w="2124"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i/>
                <w:color w:val="000000"/>
                <w:sz w:val="16"/>
                <w:szCs w:val="16"/>
              </w:rPr>
            </w:pPr>
            <w:proofErr w:type="spellStart"/>
            <w:r>
              <w:rPr>
                <w:rFonts w:cs="TimesNewRoman"/>
                <w:i/>
                <w:color w:val="000000"/>
                <w:sz w:val="16"/>
                <w:szCs w:val="16"/>
              </w:rPr>
              <w:t>Halophila</w:t>
            </w:r>
            <w:proofErr w:type="spellEnd"/>
            <w:r>
              <w:rPr>
                <w:rFonts w:cs="TimesNewRoman"/>
                <w:i/>
                <w:color w:val="000000"/>
                <w:sz w:val="16"/>
                <w:szCs w:val="16"/>
              </w:rPr>
              <w:t xml:space="preserve"> </w:t>
            </w:r>
            <w:proofErr w:type="spellStart"/>
            <w:r>
              <w:rPr>
                <w:rFonts w:cs="TimesNewRoman"/>
                <w:i/>
                <w:color w:val="000000"/>
                <w:sz w:val="16"/>
                <w:szCs w:val="16"/>
              </w:rPr>
              <w:t>spinulosa</w:t>
            </w:r>
            <w:proofErr w:type="spellEnd"/>
          </w:p>
        </w:tc>
        <w:tc>
          <w:tcPr>
            <w:tcW w:w="979" w:type="dxa"/>
            <w:tcBorders>
              <w:top w:val="single" w:sz="4" w:space="0" w:color="auto"/>
              <w:left w:val="nil"/>
              <w:bottom w:val="nil"/>
              <w:right w:val="nil"/>
            </w:tcBorders>
            <w:shd w:val="clear" w:color="auto" w:fill="E7F3F4"/>
          </w:tcPr>
          <w:p w:rsidR="00620C8B" w:rsidRDefault="00620C8B" w:rsidP="00805748">
            <w:pPr>
              <w:autoSpaceDE w:val="0"/>
              <w:autoSpaceDN w:val="0"/>
              <w:adjustRightInd w:val="0"/>
              <w:spacing w:before="0" w:after="0"/>
              <w:rPr>
                <w:rFonts w:cs="TimesNewRoman"/>
                <w:color w:val="000000"/>
                <w:sz w:val="16"/>
                <w:szCs w:val="16"/>
              </w:rPr>
            </w:pPr>
          </w:p>
        </w:tc>
        <w:tc>
          <w:tcPr>
            <w:tcW w:w="2231" w:type="dxa"/>
            <w:tcBorders>
              <w:top w:val="single" w:sz="4" w:space="0" w:color="auto"/>
              <w:left w:val="nil"/>
              <w:bottom w:val="nil"/>
              <w:right w:val="nil"/>
            </w:tcBorders>
            <w:shd w:val="clear" w:color="auto" w:fill="E7F3F4"/>
          </w:tcPr>
          <w:p w:rsidR="00620C8B" w:rsidRDefault="00620C8B" w:rsidP="00805748">
            <w:pPr>
              <w:autoSpaceDE w:val="0"/>
              <w:autoSpaceDN w:val="0"/>
              <w:adjustRightInd w:val="0"/>
              <w:spacing w:before="0" w:after="0"/>
              <w:rPr>
                <w:rFonts w:cs="TimesNewRoman"/>
                <w:color w:val="000000"/>
                <w:sz w:val="16"/>
                <w:szCs w:val="16"/>
              </w:rPr>
            </w:pPr>
          </w:p>
        </w:tc>
        <w:tc>
          <w:tcPr>
            <w:tcW w:w="3000" w:type="dxa"/>
            <w:tcBorders>
              <w:top w:val="single" w:sz="4" w:space="0" w:color="auto"/>
              <w:left w:val="nil"/>
              <w:bottom w:val="nil"/>
              <w:right w:val="nil"/>
            </w:tcBorders>
            <w:shd w:val="clear" w:color="auto" w:fill="E7F3F4"/>
          </w:tcPr>
          <w:p w:rsidR="00620C8B" w:rsidRDefault="00620C8B" w:rsidP="00805748">
            <w:pPr>
              <w:autoSpaceDE w:val="0"/>
              <w:autoSpaceDN w:val="0"/>
              <w:adjustRightInd w:val="0"/>
              <w:spacing w:before="0" w:after="0"/>
              <w:rPr>
                <w:rFonts w:cs="TimesNewRoman"/>
                <w:color w:val="000000"/>
                <w:sz w:val="16"/>
                <w:szCs w:val="16"/>
              </w:rPr>
            </w:pPr>
          </w:p>
        </w:tc>
      </w:tr>
      <w:tr w:rsidR="00620C8B" w:rsidTr="00805748">
        <w:trPr>
          <w:jc w:val="center"/>
        </w:trPr>
        <w:tc>
          <w:tcPr>
            <w:tcW w:w="2124" w:type="dxa"/>
            <w:shd w:val="clear" w:color="auto" w:fill="F3F3F3"/>
          </w:tcPr>
          <w:p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c>
          <w:tcPr>
            <w:tcW w:w="2231" w:type="dxa"/>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c>
          <w:tcPr>
            <w:tcW w:w="3000" w:type="dxa"/>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r>
      <w:tr w:rsidR="00620C8B" w:rsidTr="003A1357">
        <w:trPr>
          <w:jc w:val="center"/>
        </w:trPr>
        <w:tc>
          <w:tcPr>
            <w:tcW w:w="2124"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i/>
                <w:color w:val="000000"/>
                <w:sz w:val="16"/>
                <w:szCs w:val="16"/>
              </w:rPr>
            </w:pPr>
            <w:proofErr w:type="spellStart"/>
            <w:r>
              <w:rPr>
                <w:rFonts w:cs="TimesNewRoman"/>
                <w:i/>
                <w:color w:val="000000"/>
                <w:sz w:val="16"/>
                <w:szCs w:val="16"/>
              </w:rPr>
              <w:t>Halodule</w:t>
            </w:r>
            <w:proofErr w:type="spellEnd"/>
            <w:r>
              <w:rPr>
                <w:rFonts w:cs="TimesNewRoman"/>
                <w:i/>
                <w:color w:val="000000"/>
                <w:sz w:val="16"/>
                <w:szCs w:val="16"/>
              </w:rPr>
              <w:t xml:space="preserve"> </w:t>
            </w:r>
            <w:proofErr w:type="spellStart"/>
            <w:r>
              <w:rPr>
                <w:rFonts w:cs="TimesNewRoman"/>
                <w:i/>
                <w:color w:val="000000"/>
                <w:sz w:val="16"/>
                <w:szCs w:val="16"/>
              </w:rPr>
              <w:t>uninervis</w:t>
            </w:r>
            <w:proofErr w:type="spellEnd"/>
          </w:p>
        </w:tc>
        <w:tc>
          <w:tcPr>
            <w:tcW w:w="979"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40.9</w:t>
            </w:r>
          </w:p>
        </w:tc>
        <w:tc>
          <w:tcPr>
            <w:tcW w:w="2231"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Grice et al. 1996</w:t>
            </w:r>
          </w:p>
        </w:tc>
        <w:tc>
          <w:tcPr>
            <w:tcW w:w="3000"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Green Island</w:t>
            </w:r>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36</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N Queensland</w:t>
            </w:r>
          </w:p>
        </w:tc>
      </w:tr>
      <w:tr w:rsidR="00620C8B" w:rsidTr="00805748">
        <w:trPr>
          <w:jc w:val="center"/>
        </w:trPr>
        <w:tc>
          <w:tcPr>
            <w:tcW w:w="2124"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c>
          <w:tcPr>
            <w:tcW w:w="979" w:type="dxa"/>
            <w:tcBorders>
              <w:top w:val="nil"/>
              <w:left w:val="nil"/>
              <w:bottom w:val="single" w:sz="4" w:space="0" w:color="auto"/>
              <w:right w:val="nil"/>
            </w:tcBorders>
            <w:shd w:val="clear" w:color="auto" w:fill="F3F3F3"/>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38.5</w:t>
            </w:r>
          </w:p>
        </w:tc>
        <w:tc>
          <w:tcPr>
            <w:tcW w:w="2231" w:type="dxa"/>
            <w:tcBorders>
              <w:top w:val="nil"/>
              <w:left w:val="nil"/>
              <w:bottom w:val="single" w:sz="4" w:space="0" w:color="auto"/>
              <w:right w:val="nil"/>
            </w:tcBorders>
            <w:shd w:val="clear" w:color="auto" w:fill="F3F3F3"/>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r>
      <w:tr w:rsidR="00620C8B" w:rsidTr="00805748">
        <w:trPr>
          <w:jc w:val="center"/>
        </w:trPr>
        <w:tc>
          <w:tcPr>
            <w:tcW w:w="2124" w:type="dxa"/>
            <w:hideMark/>
          </w:tcPr>
          <w:p w:rsidR="00620C8B" w:rsidRDefault="00620C8B" w:rsidP="00805748">
            <w:pPr>
              <w:autoSpaceDE w:val="0"/>
              <w:autoSpaceDN w:val="0"/>
              <w:adjustRightInd w:val="0"/>
              <w:spacing w:before="0" w:after="0"/>
              <w:rPr>
                <w:rFonts w:cs="TimesNewRoman"/>
                <w:i/>
                <w:color w:val="000000"/>
                <w:sz w:val="16"/>
                <w:szCs w:val="16"/>
              </w:rPr>
            </w:pPr>
            <w:proofErr w:type="spellStart"/>
            <w:r>
              <w:rPr>
                <w:rFonts w:cs="TimesNewRoman"/>
                <w:i/>
                <w:color w:val="000000"/>
                <w:sz w:val="16"/>
                <w:szCs w:val="16"/>
              </w:rPr>
              <w:t>Syringodium</w:t>
            </w:r>
            <w:proofErr w:type="spellEnd"/>
            <w:r>
              <w:rPr>
                <w:rFonts w:cs="TimesNewRoman"/>
                <w:i/>
                <w:color w:val="000000"/>
                <w:sz w:val="16"/>
                <w:szCs w:val="16"/>
              </w:rPr>
              <w:t xml:space="preserve"> </w:t>
            </w:r>
            <w:proofErr w:type="spellStart"/>
            <w:r>
              <w:rPr>
                <w:rFonts w:cs="TimesNewRoman"/>
                <w:i/>
                <w:color w:val="000000"/>
                <w:sz w:val="16"/>
                <w:szCs w:val="16"/>
              </w:rPr>
              <w:t>isoetifolium</w:t>
            </w:r>
            <w:proofErr w:type="spellEnd"/>
          </w:p>
        </w:tc>
        <w:tc>
          <w:tcPr>
            <w:tcW w:w="979" w:type="dxa"/>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28</w:t>
            </w:r>
          </w:p>
        </w:tc>
        <w:tc>
          <w:tcPr>
            <w:tcW w:w="2231" w:type="dxa"/>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Grice et al. 1996</w:t>
            </w:r>
          </w:p>
        </w:tc>
        <w:tc>
          <w:tcPr>
            <w:tcW w:w="3000" w:type="dxa"/>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Green Island</w:t>
            </w:r>
          </w:p>
        </w:tc>
      </w:tr>
      <w:tr w:rsidR="00620C8B" w:rsidTr="00805748">
        <w:trPr>
          <w:jc w:val="center"/>
        </w:trPr>
        <w:tc>
          <w:tcPr>
            <w:tcW w:w="2124" w:type="dxa"/>
            <w:shd w:val="clear" w:color="auto" w:fill="F3F3F3"/>
          </w:tcPr>
          <w:p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c>
          <w:tcPr>
            <w:tcW w:w="2231" w:type="dxa"/>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c>
          <w:tcPr>
            <w:tcW w:w="3000" w:type="dxa"/>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r>
      <w:tr w:rsidR="00620C8B" w:rsidTr="003A1357">
        <w:trPr>
          <w:jc w:val="center"/>
        </w:trPr>
        <w:tc>
          <w:tcPr>
            <w:tcW w:w="2124"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i/>
                <w:color w:val="000000"/>
                <w:sz w:val="16"/>
                <w:szCs w:val="16"/>
              </w:rPr>
            </w:pPr>
            <w:proofErr w:type="spellStart"/>
            <w:r>
              <w:rPr>
                <w:rFonts w:cs="TimesNewRoman"/>
                <w:i/>
                <w:color w:val="000000"/>
                <w:sz w:val="16"/>
                <w:szCs w:val="16"/>
              </w:rPr>
              <w:t>Thalassia</w:t>
            </w:r>
            <w:proofErr w:type="spellEnd"/>
            <w:r>
              <w:rPr>
                <w:rFonts w:cs="TimesNewRoman"/>
                <w:i/>
                <w:color w:val="000000"/>
                <w:sz w:val="16"/>
                <w:szCs w:val="16"/>
              </w:rPr>
              <w:t xml:space="preserve"> </w:t>
            </w:r>
            <w:proofErr w:type="spellStart"/>
            <w:r>
              <w:rPr>
                <w:rFonts w:cs="TimesNewRoman"/>
                <w:i/>
                <w:color w:val="000000"/>
                <w:sz w:val="16"/>
                <w:szCs w:val="16"/>
              </w:rPr>
              <w:t>hemprichii</w:t>
            </w:r>
            <w:proofErr w:type="spellEnd"/>
          </w:p>
        </w:tc>
        <w:tc>
          <w:tcPr>
            <w:tcW w:w="979"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 xml:space="preserve">32..61 </w:t>
            </w:r>
          </w:p>
        </w:tc>
        <w:tc>
          <w:tcPr>
            <w:tcW w:w="2231"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proofErr w:type="spellStart"/>
            <w:r>
              <w:rPr>
                <w:rFonts w:cs="TimesNewRoman"/>
                <w:color w:val="000000"/>
                <w:sz w:val="16"/>
                <w:szCs w:val="16"/>
              </w:rPr>
              <w:t>Erftemeijer</w:t>
            </w:r>
            <w:proofErr w:type="spellEnd"/>
            <w:r>
              <w:rPr>
                <w:rFonts w:cs="TimesNewRoman"/>
                <w:color w:val="000000"/>
                <w:sz w:val="16"/>
                <w:szCs w:val="16"/>
              </w:rPr>
              <w:t xml:space="preserve"> and Herman 1994</w:t>
            </w:r>
          </w:p>
        </w:tc>
        <w:tc>
          <w:tcPr>
            <w:tcW w:w="3000"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proofErr w:type="spellStart"/>
            <w:r>
              <w:rPr>
                <w:rFonts w:cs="TimesNewRoman"/>
                <w:color w:val="000000"/>
                <w:sz w:val="16"/>
                <w:szCs w:val="16"/>
              </w:rPr>
              <w:t>Kudingareng</w:t>
            </w:r>
            <w:proofErr w:type="spellEnd"/>
            <w:r>
              <w:rPr>
                <w:rFonts w:cs="TimesNewRoman"/>
                <w:color w:val="000000"/>
                <w:sz w:val="16"/>
                <w:szCs w:val="16"/>
              </w:rPr>
              <w:t>, Indonesia</w:t>
            </w:r>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35.58</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proofErr w:type="spellStart"/>
            <w:r>
              <w:rPr>
                <w:rFonts w:cs="TimesNewRoman"/>
                <w:color w:val="000000"/>
                <w:sz w:val="16"/>
                <w:szCs w:val="16"/>
              </w:rPr>
              <w:t>Erftemeijer</w:t>
            </w:r>
            <w:proofErr w:type="spellEnd"/>
            <w:r>
              <w:rPr>
                <w:rFonts w:cs="TimesNewRoman"/>
                <w:color w:val="000000"/>
                <w:sz w:val="16"/>
                <w:szCs w:val="16"/>
              </w:rPr>
              <w:t xml:space="preserve"> and Herman 1994</w:t>
            </w:r>
          </w:p>
        </w:tc>
        <w:tc>
          <w:tcPr>
            <w:tcW w:w="3000"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lang w:val="it-IT"/>
              </w:rPr>
            </w:pPr>
            <w:r>
              <w:rPr>
                <w:rFonts w:cs="TimesNewRoman"/>
                <w:color w:val="000000"/>
                <w:sz w:val="16"/>
                <w:szCs w:val="16"/>
                <w:lang w:val="it-IT"/>
              </w:rPr>
              <w:t>Barang Lompo, South Sulawesi, Indonesia</w:t>
            </w:r>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i/>
                <w:color w:val="000000"/>
                <w:sz w:val="16"/>
                <w:szCs w:val="16"/>
                <w:lang w:val="it-IT"/>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37.4</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Koike et al (1987)</w:t>
            </w:r>
          </w:p>
        </w:tc>
        <w:tc>
          <w:tcPr>
            <w:tcW w:w="3000"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Port Moresby, PNG</w:t>
            </w:r>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40.4</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Koike et al (1987)</w:t>
            </w:r>
          </w:p>
        </w:tc>
        <w:tc>
          <w:tcPr>
            <w:tcW w:w="3000"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Port Moresby, PNG</w:t>
            </w:r>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33</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Cockle Bay</w:t>
            </w:r>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33.5</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proofErr w:type="spellStart"/>
            <w:r>
              <w:rPr>
                <w:rFonts w:cs="TimesNewRoman"/>
                <w:color w:val="000000"/>
                <w:sz w:val="16"/>
                <w:szCs w:val="16"/>
              </w:rPr>
              <w:t>Yamamuro</w:t>
            </w:r>
            <w:proofErr w:type="spellEnd"/>
            <w:r>
              <w:rPr>
                <w:rFonts w:cs="TimesNewRoman"/>
                <w:color w:val="000000"/>
                <w:sz w:val="16"/>
                <w:szCs w:val="16"/>
              </w:rPr>
              <w:t xml:space="preserve"> &amp; </w:t>
            </w:r>
            <w:proofErr w:type="spellStart"/>
            <w:r>
              <w:rPr>
                <w:rFonts w:cs="TimesNewRoman"/>
                <w:color w:val="000000"/>
                <w:sz w:val="16"/>
                <w:szCs w:val="16"/>
              </w:rPr>
              <w:t>Chirapart</w:t>
            </w:r>
            <w:proofErr w:type="spellEnd"/>
            <w:r>
              <w:rPr>
                <w:rFonts w:cs="TimesNewRoman"/>
                <w:color w:val="000000"/>
                <w:sz w:val="16"/>
                <w:szCs w:val="16"/>
              </w:rPr>
              <w:t xml:space="preserve"> 2005</w:t>
            </w:r>
          </w:p>
        </w:tc>
        <w:tc>
          <w:tcPr>
            <w:tcW w:w="3000" w:type="dxa"/>
            <w:shd w:val="clear" w:color="auto" w:fill="E7F3F4"/>
          </w:tcPr>
          <w:p w:rsidR="00620C8B" w:rsidRDefault="00620C8B" w:rsidP="00805748">
            <w:pPr>
              <w:autoSpaceDE w:val="0"/>
              <w:autoSpaceDN w:val="0"/>
              <w:adjustRightInd w:val="0"/>
              <w:spacing w:before="0" w:after="0"/>
              <w:rPr>
                <w:rFonts w:cs="TimesNewRoman"/>
                <w:color w:val="000000"/>
                <w:sz w:val="16"/>
                <w:szCs w:val="16"/>
              </w:rPr>
            </w:pPr>
          </w:p>
        </w:tc>
      </w:tr>
      <w:tr w:rsidR="00620C8B" w:rsidTr="00805748">
        <w:trPr>
          <w:jc w:val="center"/>
        </w:trPr>
        <w:tc>
          <w:tcPr>
            <w:tcW w:w="2124" w:type="dxa"/>
            <w:shd w:val="clear" w:color="auto" w:fill="F3F3F3"/>
          </w:tcPr>
          <w:p w:rsidR="00620C8B" w:rsidRDefault="00620C8B" w:rsidP="00805748">
            <w:pPr>
              <w:autoSpaceDE w:val="0"/>
              <w:autoSpaceDN w:val="0"/>
              <w:adjustRightInd w:val="0"/>
              <w:spacing w:before="0" w:after="0"/>
              <w:jc w:val="right"/>
              <w:rPr>
                <w:rFonts w:cs="TimesNewRoman"/>
                <w:color w:val="000000"/>
                <w:sz w:val="16"/>
                <w:szCs w:val="16"/>
              </w:rPr>
            </w:pPr>
          </w:p>
        </w:tc>
        <w:tc>
          <w:tcPr>
            <w:tcW w:w="979" w:type="dxa"/>
            <w:shd w:val="clear" w:color="auto" w:fill="F3F3F3"/>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35.6</w:t>
            </w:r>
          </w:p>
        </w:tc>
        <w:tc>
          <w:tcPr>
            <w:tcW w:w="2231" w:type="dxa"/>
            <w:shd w:val="clear" w:color="auto" w:fill="F3F3F3"/>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shd w:val="clear" w:color="auto" w:fill="F3F3F3"/>
          </w:tcPr>
          <w:p w:rsidR="00620C8B" w:rsidRDefault="00620C8B" w:rsidP="00805748">
            <w:pPr>
              <w:autoSpaceDE w:val="0"/>
              <w:autoSpaceDN w:val="0"/>
              <w:adjustRightInd w:val="0"/>
              <w:spacing w:before="0" w:after="0"/>
              <w:rPr>
                <w:rFonts w:cs="TimesNewRoman"/>
                <w:color w:val="000000"/>
                <w:sz w:val="16"/>
                <w:szCs w:val="16"/>
              </w:rPr>
            </w:pPr>
          </w:p>
        </w:tc>
      </w:tr>
      <w:tr w:rsidR="00620C8B" w:rsidTr="003A1357">
        <w:trPr>
          <w:jc w:val="center"/>
        </w:trPr>
        <w:tc>
          <w:tcPr>
            <w:tcW w:w="2124"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i/>
                <w:color w:val="000000"/>
                <w:sz w:val="16"/>
                <w:szCs w:val="16"/>
              </w:rPr>
            </w:pPr>
            <w:proofErr w:type="spellStart"/>
            <w:r>
              <w:rPr>
                <w:rFonts w:cs="TimesNewRoman"/>
                <w:i/>
                <w:color w:val="000000"/>
                <w:sz w:val="16"/>
                <w:szCs w:val="16"/>
              </w:rPr>
              <w:t>Zostera</w:t>
            </w:r>
            <w:proofErr w:type="spellEnd"/>
            <w:r>
              <w:rPr>
                <w:rFonts w:cs="TimesNewRoman"/>
                <w:i/>
                <w:color w:val="000000"/>
                <w:sz w:val="16"/>
                <w:szCs w:val="16"/>
              </w:rPr>
              <w:t xml:space="preserve"> </w:t>
            </w:r>
            <w:proofErr w:type="spellStart"/>
            <w:r>
              <w:rPr>
                <w:rFonts w:cs="TimesNewRoman"/>
                <w:i/>
                <w:color w:val="000000"/>
                <w:sz w:val="16"/>
                <w:szCs w:val="16"/>
              </w:rPr>
              <w:t>muelleri</w:t>
            </w:r>
            <w:proofErr w:type="spellEnd"/>
            <w:r>
              <w:rPr>
                <w:rFonts w:cs="TimesNewRoman"/>
                <w:i/>
                <w:color w:val="000000"/>
                <w:sz w:val="16"/>
                <w:szCs w:val="16"/>
              </w:rPr>
              <w:t xml:space="preserve"> (</w:t>
            </w:r>
            <w:proofErr w:type="spellStart"/>
            <w:r>
              <w:rPr>
                <w:rFonts w:cs="TimesNewRoman"/>
                <w:i/>
                <w:color w:val="000000"/>
                <w:sz w:val="16"/>
                <w:szCs w:val="16"/>
              </w:rPr>
              <w:t>capricorni</w:t>
            </w:r>
            <w:proofErr w:type="spellEnd"/>
            <w:r>
              <w:rPr>
                <w:rFonts w:cs="TimesNewRoman"/>
                <w:i/>
                <w:color w:val="000000"/>
                <w:sz w:val="16"/>
                <w:szCs w:val="16"/>
              </w:rPr>
              <w:t>)</w:t>
            </w:r>
          </w:p>
        </w:tc>
        <w:tc>
          <w:tcPr>
            <w:tcW w:w="979"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32</w:t>
            </w:r>
          </w:p>
        </w:tc>
        <w:tc>
          <w:tcPr>
            <w:tcW w:w="2231"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tcBorders>
              <w:top w:val="single" w:sz="4" w:space="0" w:color="auto"/>
              <w:left w:val="nil"/>
              <w:bottom w:val="nil"/>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proofErr w:type="spellStart"/>
            <w:r>
              <w:rPr>
                <w:rFonts w:cs="TimesNewRoman"/>
                <w:color w:val="000000"/>
                <w:sz w:val="16"/>
                <w:szCs w:val="16"/>
              </w:rPr>
              <w:t>Pallerenda</w:t>
            </w:r>
            <w:proofErr w:type="spellEnd"/>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color w:val="000000"/>
                <w:sz w:val="16"/>
                <w:szCs w:val="16"/>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32 ±04</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Urangan - April</w:t>
            </w:r>
          </w:p>
        </w:tc>
      </w:tr>
      <w:tr w:rsidR="00620C8B" w:rsidTr="003A1357">
        <w:trPr>
          <w:jc w:val="center"/>
        </w:trPr>
        <w:tc>
          <w:tcPr>
            <w:tcW w:w="2124" w:type="dxa"/>
            <w:shd w:val="clear" w:color="auto" w:fill="E7F3F4"/>
          </w:tcPr>
          <w:p w:rsidR="00620C8B" w:rsidRDefault="00620C8B" w:rsidP="00805748">
            <w:pPr>
              <w:autoSpaceDE w:val="0"/>
              <w:autoSpaceDN w:val="0"/>
              <w:adjustRightInd w:val="0"/>
              <w:spacing w:before="0" w:after="0"/>
              <w:rPr>
                <w:rFonts w:cs="TimesNewRoman"/>
                <w:color w:val="000000"/>
                <w:sz w:val="16"/>
                <w:szCs w:val="16"/>
              </w:rPr>
            </w:pPr>
          </w:p>
        </w:tc>
        <w:tc>
          <w:tcPr>
            <w:tcW w:w="979"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25 ±1.8</w:t>
            </w:r>
          </w:p>
        </w:tc>
        <w:tc>
          <w:tcPr>
            <w:tcW w:w="2231"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Urangan -Dec</w:t>
            </w:r>
          </w:p>
        </w:tc>
      </w:tr>
      <w:tr w:rsidR="00620C8B" w:rsidTr="00805748">
        <w:trPr>
          <w:jc w:val="center"/>
        </w:trPr>
        <w:tc>
          <w:tcPr>
            <w:tcW w:w="2124"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i/>
                <w:color w:val="000000"/>
                <w:sz w:val="16"/>
                <w:szCs w:val="16"/>
              </w:rPr>
            </w:pPr>
          </w:p>
        </w:tc>
        <w:tc>
          <w:tcPr>
            <w:tcW w:w="979" w:type="dxa"/>
            <w:tcBorders>
              <w:top w:val="nil"/>
              <w:left w:val="nil"/>
              <w:bottom w:val="single" w:sz="4" w:space="0" w:color="auto"/>
              <w:right w:val="nil"/>
            </w:tcBorders>
            <w:shd w:val="clear" w:color="auto" w:fill="F3F3F3"/>
            <w:hideMark/>
          </w:tcPr>
          <w:p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32</w:t>
            </w:r>
          </w:p>
        </w:tc>
        <w:tc>
          <w:tcPr>
            <w:tcW w:w="2231" w:type="dxa"/>
            <w:tcBorders>
              <w:top w:val="nil"/>
              <w:left w:val="nil"/>
              <w:bottom w:val="single" w:sz="4" w:space="0" w:color="auto"/>
              <w:right w:val="nil"/>
            </w:tcBorders>
            <w:shd w:val="clear" w:color="auto" w:fill="F3F3F3"/>
            <w:hideMark/>
          </w:tcPr>
          <w:p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median</w:t>
            </w:r>
          </w:p>
        </w:tc>
        <w:tc>
          <w:tcPr>
            <w:tcW w:w="3000" w:type="dxa"/>
            <w:tcBorders>
              <w:top w:val="nil"/>
              <w:left w:val="nil"/>
              <w:bottom w:val="single" w:sz="4" w:space="0" w:color="auto"/>
              <w:right w:val="nil"/>
            </w:tcBorders>
            <w:shd w:val="clear" w:color="auto" w:fill="F3F3F3"/>
          </w:tcPr>
          <w:p w:rsidR="00620C8B" w:rsidRDefault="00620C8B" w:rsidP="00805748">
            <w:pPr>
              <w:autoSpaceDE w:val="0"/>
              <w:autoSpaceDN w:val="0"/>
              <w:adjustRightInd w:val="0"/>
              <w:spacing w:before="0" w:after="0"/>
              <w:rPr>
                <w:rFonts w:cs="TimesNewRoman"/>
                <w:i/>
                <w:color w:val="000000"/>
                <w:sz w:val="16"/>
                <w:szCs w:val="16"/>
              </w:rPr>
            </w:pPr>
          </w:p>
        </w:tc>
      </w:tr>
      <w:tr w:rsidR="00620C8B" w:rsidTr="003A1357">
        <w:trPr>
          <w:jc w:val="center"/>
        </w:trPr>
        <w:tc>
          <w:tcPr>
            <w:tcW w:w="2124" w:type="dxa"/>
            <w:tcBorders>
              <w:top w:val="single" w:sz="4" w:space="0" w:color="auto"/>
              <w:left w:val="nil"/>
              <w:bottom w:val="single" w:sz="4" w:space="0" w:color="auto"/>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Global</w:t>
            </w:r>
          </w:p>
        </w:tc>
        <w:tc>
          <w:tcPr>
            <w:tcW w:w="979" w:type="dxa"/>
            <w:tcBorders>
              <w:top w:val="single" w:sz="4" w:space="0" w:color="auto"/>
              <w:left w:val="nil"/>
              <w:bottom w:val="single" w:sz="4" w:space="0" w:color="auto"/>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33.6 ±0.31</w:t>
            </w:r>
          </w:p>
        </w:tc>
        <w:tc>
          <w:tcPr>
            <w:tcW w:w="2231" w:type="dxa"/>
            <w:tcBorders>
              <w:top w:val="single" w:sz="4" w:space="0" w:color="auto"/>
              <w:left w:val="nil"/>
              <w:bottom w:val="single" w:sz="4" w:space="0" w:color="auto"/>
              <w:right w:val="nil"/>
            </w:tcBorders>
            <w:shd w:val="clear" w:color="auto" w:fill="E7F3F4"/>
            <w:hideMark/>
          </w:tcPr>
          <w:p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Duarte 1990</w:t>
            </w:r>
          </w:p>
        </w:tc>
        <w:tc>
          <w:tcPr>
            <w:tcW w:w="3000" w:type="dxa"/>
            <w:tcBorders>
              <w:top w:val="single" w:sz="4" w:space="0" w:color="auto"/>
              <w:left w:val="nil"/>
              <w:bottom w:val="single" w:sz="4" w:space="0" w:color="auto"/>
              <w:right w:val="nil"/>
            </w:tcBorders>
            <w:shd w:val="clear" w:color="auto" w:fill="E7F3F4"/>
          </w:tcPr>
          <w:p w:rsidR="00620C8B" w:rsidRDefault="00620C8B" w:rsidP="00805748">
            <w:pPr>
              <w:autoSpaceDE w:val="0"/>
              <w:autoSpaceDN w:val="0"/>
              <w:adjustRightInd w:val="0"/>
              <w:spacing w:before="0" w:after="0"/>
              <w:rPr>
                <w:rFonts w:cs="TimesNewRoman"/>
                <w:color w:val="000000"/>
                <w:sz w:val="16"/>
                <w:szCs w:val="16"/>
              </w:rPr>
            </w:pPr>
          </w:p>
        </w:tc>
      </w:tr>
    </w:tbl>
    <w:p w:rsidR="00620C8B" w:rsidRDefault="00620C8B" w:rsidP="00620C8B">
      <w:pPr>
        <w:rPr>
          <w:color w:val="000000"/>
          <w:szCs w:val="22"/>
        </w:rPr>
      </w:pPr>
    </w:p>
    <w:p w:rsidR="00902825" w:rsidRDefault="00902825">
      <w:pPr>
        <w:spacing w:before="0" w:after="0"/>
        <w:rPr>
          <w:color w:val="000000"/>
          <w:szCs w:val="22"/>
        </w:rPr>
      </w:pPr>
      <w:r>
        <w:rPr>
          <w:color w:val="000000"/>
          <w:szCs w:val="22"/>
        </w:rPr>
        <w:br w:type="page"/>
      </w:r>
    </w:p>
    <w:p w:rsidR="00902825" w:rsidRDefault="00902825" w:rsidP="00620C8B">
      <w:pPr>
        <w:rPr>
          <w:color w:val="000000"/>
          <w:szCs w:val="22"/>
        </w:rPr>
      </w:pPr>
    </w:p>
    <w:p w:rsidR="00902825" w:rsidRDefault="00902825" w:rsidP="00620C8B">
      <w:pPr>
        <w:rPr>
          <w:color w:val="000000"/>
          <w:szCs w:val="22"/>
        </w:rPr>
      </w:pPr>
    </w:p>
    <w:p w:rsidR="00902825" w:rsidRDefault="00902825" w:rsidP="00620C8B">
      <w:pPr>
        <w:rPr>
          <w:color w:val="000000"/>
          <w:szCs w:val="22"/>
        </w:rPr>
      </w:pPr>
    </w:p>
    <w:p w:rsidR="00902825" w:rsidRDefault="00902825" w:rsidP="00620C8B">
      <w:pPr>
        <w:rPr>
          <w:color w:val="000000"/>
          <w:szCs w:val="22"/>
        </w:rPr>
      </w:pPr>
    </w:p>
    <w:p w:rsidR="00902825" w:rsidRDefault="00902825" w:rsidP="00620C8B">
      <w:pPr>
        <w:rPr>
          <w:color w:val="000000"/>
          <w:szCs w:val="22"/>
        </w:rPr>
      </w:pPr>
    </w:p>
    <w:p w:rsidR="00902825" w:rsidRDefault="00902825" w:rsidP="00620C8B">
      <w:pPr>
        <w:rPr>
          <w:color w:val="000000"/>
          <w:szCs w:val="22"/>
        </w:rPr>
      </w:pPr>
    </w:p>
    <w:p w:rsidR="00620C8B" w:rsidRDefault="00620C8B" w:rsidP="001A5B75">
      <w:pPr>
        <w:pStyle w:val="Heading1"/>
        <w:pageBreakBefore w:val="0"/>
        <w:numPr>
          <w:ilvl w:val="0"/>
          <w:numId w:val="17"/>
        </w:numPr>
      </w:pPr>
      <w:bookmarkStart w:id="1296" w:name="_Toc462047412"/>
      <w:r>
        <w:t>Results of statistical analysis</w:t>
      </w:r>
      <w:bookmarkEnd w:id="1296"/>
    </w:p>
    <w:p w:rsidR="00902825" w:rsidRDefault="00902825" w:rsidP="00902825"/>
    <w:p w:rsidR="00902825" w:rsidRDefault="00902825">
      <w:pPr>
        <w:spacing w:before="0" w:after="0"/>
      </w:pPr>
      <w:r>
        <w:br w:type="page"/>
      </w:r>
    </w:p>
    <w:p w:rsidR="00CE1FF0" w:rsidRPr="00517276" w:rsidRDefault="003A1357" w:rsidP="00CE1FF0">
      <w:pPr>
        <w:jc w:val="center"/>
        <w:rPr>
          <w:i/>
          <w:vanish/>
          <w:color w:val="000000"/>
          <w:szCs w:val="22"/>
          <w:specVanish/>
        </w:rPr>
      </w:pPr>
      <w:bookmarkStart w:id="1297" w:name="_Toc462685120"/>
      <w:r>
        <w:lastRenderedPageBreak/>
        <w:t xml:space="preserve">Table </w:t>
      </w:r>
      <w:fldSimple w:instr=" SEQ Table \* ARABIC ">
        <w:r w:rsidR="009C068F">
          <w:rPr>
            <w:noProof/>
          </w:rPr>
          <w:t>51</w:t>
        </w:r>
      </w:fldSimple>
      <w:r w:rsidR="0061638E">
        <w:t xml:space="preserve">. </w:t>
      </w:r>
      <w:r w:rsidR="00123944" w:rsidRPr="00123944">
        <w:rPr>
          <w:i/>
        </w:rPr>
        <w:t>Summary of GAMM for average cover vs time analysis for 2014-15</w:t>
      </w:r>
      <w:r w:rsidR="007C754F">
        <w:rPr>
          <w:i/>
        </w:rPr>
        <w:t>.</w:t>
      </w:r>
      <w:bookmarkEnd w:id="1297"/>
      <w:r w:rsidR="007C754F">
        <w:rPr>
          <w:i/>
        </w:rPr>
        <w:t xml:space="preserve"> </w:t>
      </w:r>
    </w:p>
    <w:p w:rsidR="003A1357" w:rsidRPr="00620C8B" w:rsidRDefault="007C754F" w:rsidP="0041685B">
      <w:pPr>
        <w:jc w:val="center"/>
        <w:rPr>
          <w:rFonts w:asciiTheme="minorHAnsi" w:hAnsiTheme="minorHAnsi" w:cs="Times"/>
        </w:rPr>
      </w:pPr>
      <w:r>
        <w:rPr>
          <w:i/>
        </w:rPr>
        <w:t xml:space="preserve">For site/location details, see Tables 3 &amp; 4. </w:t>
      </w:r>
      <w:r w:rsidR="0041685B" w:rsidRPr="0041685B">
        <w:rPr>
          <w:i/>
        </w:rPr>
        <w:t xml:space="preserve">n = number of data points </w:t>
      </w:r>
      <w:r w:rsidR="0041685B">
        <w:rPr>
          <w:i/>
        </w:rPr>
        <w:t xml:space="preserve">analysed, </w:t>
      </w:r>
      <w:r w:rsidR="0041685B" w:rsidRPr="0041685B">
        <w:rPr>
          <w:i/>
        </w:rPr>
        <w:t>E</w:t>
      </w:r>
      <w:r w:rsidR="0041685B">
        <w:rPr>
          <w:i/>
        </w:rPr>
        <w:t>DF</w:t>
      </w:r>
      <w:r w:rsidR="0041685B" w:rsidRPr="0041685B">
        <w:rPr>
          <w:i/>
        </w:rPr>
        <w:t xml:space="preserve"> = array of estimated degrees of freedom for the model terms.</w:t>
      </w:r>
    </w:p>
    <w:tbl>
      <w:tblPr>
        <w:tblW w:w="9209" w:type="dxa"/>
        <w:tblLayout w:type="fixed"/>
        <w:tblLook w:val="04A0" w:firstRow="1" w:lastRow="0" w:firstColumn="1" w:lastColumn="0" w:noHBand="0" w:noVBand="1"/>
      </w:tblPr>
      <w:tblGrid>
        <w:gridCol w:w="4528"/>
        <w:gridCol w:w="850"/>
        <w:gridCol w:w="992"/>
        <w:gridCol w:w="992"/>
        <w:gridCol w:w="997"/>
        <w:gridCol w:w="850"/>
      </w:tblGrid>
      <w:tr w:rsidR="007C508F" w:rsidRPr="00BC7288" w:rsidTr="00245D08">
        <w:trPr>
          <w:trHeight w:val="293"/>
          <w:tblHeader/>
        </w:trPr>
        <w:tc>
          <w:tcPr>
            <w:tcW w:w="4528" w:type="dxa"/>
            <w:tcBorders>
              <w:top w:val="single" w:sz="4" w:space="0" w:color="auto"/>
              <w:bottom w:val="single" w:sz="4" w:space="0" w:color="auto"/>
            </w:tcBorders>
            <w:shd w:val="clear" w:color="auto" w:fill="BBE0E3"/>
            <w:vAlign w:val="center"/>
          </w:tcPr>
          <w:p w:rsidR="007C508F" w:rsidRPr="00BC7288" w:rsidRDefault="003A1357"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M</w:t>
            </w:r>
            <w:r w:rsidR="007C508F" w:rsidRPr="00BC7288">
              <w:rPr>
                <w:rFonts w:cs="TimesNewRoman"/>
                <w:b/>
                <w:caps/>
                <w:color w:val="000000"/>
                <w:sz w:val="20"/>
                <w:szCs w:val="20"/>
              </w:rPr>
              <w:t>odels</w:t>
            </w:r>
          </w:p>
        </w:tc>
        <w:tc>
          <w:tcPr>
            <w:tcW w:w="850" w:type="dxa"/>
            <w:tcBorders>
              <w:top w:val="single" w:sz="4" w:space="0" w:color="auto"/>
              <w:bottom w:val="single" w:sz="4" w:space="0" w:color="auto"/>
            </w:tcBorders>
            <w:shd w:val="clear" w:color="auto" w:fill="BBE0E3"/>
            <w:vAlign w:val="center"/>
          </w:tcPr>
          <w:p w:rsidR="007C508F" w:rsidRPr="00BC7288" w:rsidRDefault="003A1357"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n</w:t>
            </w:r>
          </w:p>
        </w:tc>
        <w:tc>
          <w:tcPr>
            <w:tcW w:w="992" w:type="dxa"/>
            <w:tcBorders>
              <w:top w:val="single" w:sz="4" w:space="0" w:color="auto"/>
              <w:bottom w:val="single" w:sz="4" w:space="0" w:color="auto"/>
            </w:tcBorders>
            <w:shd w:val="clear" w:color="auto" w:fill="BBE0E3"/>
            <w:vAlign w:val="center"/>
          </w:tcPr>
          <w:p w:rsidR="007C508F" w:rsidRPr="00BC7288" w:rsidRDefault="007C508F" w:rsidP="00245D08">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E</w:t>
            </w:r>
            <w:r w:rsidR="00245D08" w:rsidRPr="00BC7288">
              <w:rPr>
                <w:rFonts w:cs="TimesNewRoman"/>
                <w:b/>
                <w:caps/>
                <w:color w:val="000000"/>
                <w:sz w:val="20"/>
                <w:szCs w:val="20"/>
              </w:rPr>
              <w:t>df</w:t>
            </w:r>
          </w:p>
        </w:tc>
        <w:tc>
          <w:tcPr>
            <w:tcW w:w="992" w:type="dxa"/>
            <w:tcBorders>
              <w:top w:val="single" w:sz="4" w:space="0" w:color="auto"/>
              <w:bottom w:val="single" w:sz="4" w:space="0" w:color="auto"/>
            </w:tcBorders>
            <w:shd w:val="clear" w:color="auto" w:fill="BBE0E3"/>
            <w:vAlign w:val="center"/>
          </w:tcPr>
          <w:p w:rsidR="007C508F" w:rsidRPr="00BC7288" w:rsidRDefault="007C508F"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F</w:t>
            </w:r>
          </w:p>
        </w:tc>
        <w:tc>
          <w:tcPr>
            <w:tcW w:w="997" w:type="dxa"/>
            <w:tcBorders>
              <w:top w:val="single" w:sz="4" w:space="0" w:color="auto"/>
              <w:bottom w:val="single" w:sz="4" w:space="0" w:color="auto"/>
            </w:tcBorders>
            <w:shd w:val="clear" w:color="auto" w:fill="BBE0E3"/>
            <w:vAlign w:val="center"/>
          </w:tcPr>
          <w:p w:rsidR="007C508F" w:rsidRPr="00BC7288" w:rsidRDefault="007C508F" w:rsidP="00810B9D">
            <w:pPr>
              <w:autoSpaceDE w:val="0"/>
              <w:autoSpaceDN w:val="0"/>
              <w:adjustRightInd w:val="0"/>
              <w:spacing w:before="0" w:after="0"/>
              <w:jc w:val="center"/>
              <w:rPr>
                <w:rFonts w:cs="TimesNewRoman"/>
                <w:b/>
                <w:caps/>
                <w:color w:val="000000"/>
                <w:sz w:val="20"/>
                <w:szCs w:val="20"/>
              </w:rPr>
            </w:pPr>
            <w:r w:rsidRPr="00BC7288">
              <w:rPr>
                <w:rFonts w:cs="TimesNewRoman"/>
                <w:b/>
                <w:i/>
                <w:caps/>
                <w:color w:val="000000"/>
                <w:sz w:val="20"/>
                <w:szCs w:val="20"/>
              </w:rPr>
              <w:t>p</w:t>
            </w:r>
            <w:r w:rsidRPr="00BC7288">
              <w:rPr>
                <w:rFonts w:cs="TimesNewRoman"/>
                <w:b/>
                <w:caps/>
                <w:color w:val="000000"/>
                <w:sz w:val="20"/>
                <w:szCs w:val="20"/>
              </w:rPr>
              <w:t>-value</w:t>
            </w:r>
          </w:p>
        </w:tc>
        <w:tc>
          <w:tcPr>
            <w:tcW w:w="850" w:type="dxa"/>
            <w:tcBorders>
              <w:top w:val="single" w:sz="4" w:space="0" w:color="auto"/>
              <w:bottom w:val="single" w:sz="4" w:space="0" w:color="auto"/>
            </w:tcBorders>
            <w:shd w:val="clear" w:color="auto" w:fill="BBE0E3"/>
            <w:vAlign w:val="center"/>
          </w:tcPr>
          <w:p w:rsidR="007C508F" w:rsidRPr="00BC7288" w:rsidRDefault="007C508F"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 xml:space="preserve">R-sq </w:t>
            </w:r>
            <w:r w:rsidRPr="00BC7288">
              <w:rPr>
                <w:rFonts w:cs="TimesNewRoman"/>
                <w:b/>
                <w:caps/>
                <w:color w:val="000000"/>
                <w:sz w:val="16"/>
                <w:szCs w:val="16"/>
              </w:rPr>
              <w:t>(adj)</w:t>
            </w:r>
          </w:p>
        </w:tc>
      </w:tr>
      <w:tr w:rsidR="00123944" w:rsidRPr="00BC7288" w:rsidTr="00245D08">
        <w:trPr>
          <w:trHeight w:val="298"/>
        </w:trPr>
        <w:tc>
          <w:tcPr>
            <w:tcW w:w="4528" w:type="dxa"/>
            <w:tcBorders>
              <w:top w:val="single" w:sz="4" w:space="0" w:color="auto"/>
            </w:tcBorders>
            <w:shd w:val="clear" w:color="auto" w:fill="E7F3F4"/>
            <w:vAlign w:val="center"/>
          </w:tcPr>
          <w:p w:rsidR="00123944" w:rsidRPr="00BC7288" w:rsidRDefault="00123944" w:rsidP="00810B9D">
            <w:pPr>
              <w:spacing w:before="0" w:after="0" w:line="200" w:lineRule="exact"/>
              <w:rPr>
                <w:b/>
                <w:caps/>
                <w:sz w:val="20"/>
                <w:szCs w:val="20"/>
              </w:rPr>
            </w:pPr>
            <w:r w:rsidRPr="00BC7288">
              <w:rPr>
                <w:b/>
                <w:caps/>
                <w:sz w:val="20"/>
                <w:szCs w:val="20"/>
              </w:rPr>
              <w:t>GBR-wide</w:t>
            </w:r>
          </w:p>
        </w:tc>
        <w:tc>
          <w:tcPr>
            <w:tcW w:w="850" w:type="dxa"/>
            <w:tcBorders>
              <w:top w:val="single" w:sz="4" w:space="0" w:color="auto"/>
            </w:tcBorders>
            <w:shd w:val="clear" w:color="auto" w:fill="E7F3F4"/>
            <w:vAlign w:val="center"/>
          </w:tcPr>
          <w:p w:rsidR="00123944" w:rsidRPr="00BC7288" w:rsidRDefault="00123944" w:rsidP="00810B9D">
            <w:pPr>
              <w:spacing w:before="0" w:after="0" w:line="200" w:lineRule="exact"/>
              <w:jc w:val="center"/>
              <w:rPr>
                <w:b/>
                <w:sz w:val="20"/>
                <w:szCs w:val="20"/>
              </w:rPr>
            </w:pPr>
          </w:p>
        </w:tc>
        <w:tc>
          <w:tcPr>
            <w:tcW w:w="992" w:type="dxa"/>
            <w:tcBorders>
              <w:top w:val="single" w:sz="4" w:space="0" w:color="auto"/>
            </w:tcBorders>
            <w:shd w:val="clear" w:color="auto" w:fill="E7F3F4"/>
            <w:vAlign w:val="center"/>
          </w:tcPr>
          <w:p w:rsidR="00123944" w:rsidRPr="00BC7288" w:rsidRDefault="00123944" w:rsidP="00810B9D">
            <w:pPr>
              <w:spacing w:before="0" w:after="0" w:line="200" w:lineRule="exact"/>
              <w:jc w:val="center"/>
              <w:rPr>
                <w:b/>
                <w:sz w:val="20"/>
                <w:szCs w:val="20"/>
              </w:rPr>
            </w:pPr>
          </w:p>
        </w:tc>
        <w:tc>
          <w:tcPr>
            <w:tcW w:w="992" w:type="dxa"/>
            <w:tcBorders>
              <w:top w:val="single" w:sz="4" w:space="0" w:color="auto"/>
            </w:tcBorders>
            <w:shd w:val="clear" w:color="auto" w:fill="E7F3F4"/>
            <w:vAlign w:val="center"/>
          </w:tcPr>
          <w:p w:rsidR="00123944" w:rsidRPr="00BC7288" w:rsidRDefault="00123944" w:rsidP="00810B9D">
            <w:pPr>
              <w:spacing w:before="0" w:after="0" w:line="200" w:lineRule="exact"/>
              <w:jc w:val="center"/>
              <w:rPr>
                <w:b/>
                <w:sz w:val="20"/>
                <w:szCs w:val="20"/>
              </w:rPr>
            </w:pPr>
          </w:p>
        </w:tc>
        <w:tc>
          <w:tcPr>
            <w:tcW w:w="997" w:type="dxa"/>
            <w:tcBorders>
              <w:top w:val="single" w:sz="4" w:space="0" w:color="auto"/>
            </w:tcBorders>
            <w:shd w:val="clear" w:color="auto" w:fill="E7F3F4"/>
            <w:vAlign w:val="center"/>
          </w:tcPr>
          <w:p w:rsidR="00123944" w:rsidRPr="00BC7288" w:rsidRDefault="00123944" w:rsidP="00810B9D">
            <w:pPr>
              <w:spacing w:before="0" w:after="0" w:line="200" w:lineRule="exact"/>
              <w:jc w:val="center"/>
              <w:rPr>
                <w:b/>
                <w:sz w:val="20"/>
                <w:szCs w:val="20"/>
              </w:rPr>
            </w:pPr>
          </w:p>
        </w:tc>
        <w:tc>
          <w:tcPr>
            <w:tcW w:w="850" w:type="dxa"/>
            <w:tcBorders>
              <w:top w:val="single" w:sz="4" w:space="0" w:color="auto"/>
            </w:tcBorders>
            <w:shd w:val="clear" w:color="auto" w:fill="E7F3F4"/>
            <w:vAlign w:val="center"/>
          </w:tcPr>
          <w:p w:rsidR="00123944" w:rsidRPr="00BC7288" w:rsidRDefault="00123944" w:rsidP="00810B9D">
            <w:pPr>
              <w:spacing w:before="0" w:after="0" w:line="200" w:lineRule="exact"/>
              <w:jc w:val="center"/>
              <w:rPr>
                <w:b/>
                <w:sz w:val="20"/>
                <w:szCs w:val="20"/>
              </w:rPr>
            </w:pPr>
          </w:p>
        </w:tc>
      </w:tr>
      <w:tr w:rsidR="003A1357" w:rsidRPr="00BC7288" w:rsidTr="00245D08">
        <w:trPr>
          <w:trHeight w:val="298"/>
        </w:trPr>
        <w:tc>
          <w:tcPr>
            <w:tcW w:w="4528" w:type="dxa"/>
            <w:shd w:val="clear" w:color="auto" w:fill="F3F9FA"/>
            <w:vAlign w:val="center"/>
          </w:tcPr>
          <w:p w:rsidR="007C508F" w:rsidRPr="00BC7288" w:rsidRDefault="007C508F" w:rsidP="00810B9D">
            <w:pPr>
              <w:spacing w:before="0" w:after="0" w:line="200" w:lineRule="exact"/>
              <w:rPr>
                <w:sz w:val="20"/>
                <w:szCs w:val="20"/>
              </w:rPr>
            </w:pPr>
            <w:r w:rsidRPr="00BC7288">
              <w:rPr>
                <w:sz w:val="20"/>
                <w:szCs w:val="20"/>
              </w:rPr>
              <w:t xml:space="preserve">% </w:t>
            </w:r>
            <w:r w:rsidRPr="00BC7288">
              <w:rPr>
                <w:caps/>
                <w:sz w:val="20"/>
                <w:szCs w:val="20"/>
              </w:rPr>
              <w:t>cover = s(date) + random(site)</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42871</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8.878</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402.1</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0.0612</w:t>
            </w:r>
          </w:p>
        </w:tc>
      </w:tr>
      <w:tr w:rsidR="003A1357" w:rsidRPr="00BC7288" w:rsidTr="00245D08">
        <w:trPr>
          <w:trHeight w:val="322"/>
        </w:trPr>
        <w:tc>
          <w:tcPr>
            <w:tcW w:w="4528" w:type="dxa"/>
            <w:shd w:val="clear" w:color="auto" w:fill="F3F9FA"/>
            <w:vAlign w:val="center"/>
          </w:tcPr>
          <w:p w:rsidR="007C508F" w:rsidRPr="00BC7288" w:rsidRDefault="007C508F" w:rsidP="00810B9D">
            <w:pPr>
              <w:spacing w:before="0" w:after="0" w:line="200" w:lineRule="exact"/>
              <w:rPr>
                <w:sz w:val="20"/>
                <w:szCs w:val="20"/>
              </w:rPr>
            </w:pPr>
            <w:r w:rsidRPr="00BC7288">
              <w:rPr>
                <w:sz w:val="20"/>
                <w:szCs w:val="20"/>
              </w:rPr>
              <w:t xml:space="preserve">% </w:t>
            </w:r>
            <w:r w:rsidRPr="00BC7288">
              <w:rPr>
                <w:caps/>
                <w:sz w:val="20"/>
                <w:szCs w:val="20"/>
              </w:rPr>
              <w:t>cover = s(date) + habitat + random(site)</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42871</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0.0618</w:t>
            </w:r>
          </w:p>
        </w:tc>
      </w:tr>
      <w:tr w:rsidR="007C508F" w:rsidRPr="00BC7288" w:rsidTr="00245D08">
        <w:tc>
          <w:tcPr>
            <w:tcW w:w="4528" w:type="dxa"/>
            <w:shd w:val="clear" w:color="auto" w:fill="F3F9FA"/>
            <w:vAlign w:val="center"/>
          </w:tcPr>
          <w:p w:rsidR="007C508F" w:rsidRPr="00BC7288" w:rsidRDefault="0061638E"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8.842</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218.0</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r>
      <w:tr w:rsidR="007C508F" w:rsidRPr="00BC7288" w:rsidTr="00245D08">
        <w:tc>
          <w:tcPr>
            <w:tcW w:w="4528" w:type="dxa"/>
            <w:shd w:val="clear" w:color="auto" w:fill="F3F9FA"/>
            <w:vAlign w:val="center"/>
          </w:tcPr>
          <w:p w:rsidR="007C508F" w:rsidRPr="00BC7288" w:rsidRDefault="0061638E"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Estuarine intertidal</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8.989</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211.4</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r>
      <w:tr w:rsidR="007C508F" w:rsidRPr="00BC7288" w:rsidTr="00245D08">
        <w:tc>
          <w:tcPr>
            <w:tcW w:w="4528" w:type="dxa"/>
            <w:shd w:val="clear" w:color="auto" w:fill="F3F9FA"/>
            <w:vAlign w:val="center"/>
          </w:tcPr>
          <w:p w:rsidR="007C508F" w:rsidRPr="00BC7288" w:rsidRDefault="0061638E"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8.463</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165.7</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r>
      <w:tr w:rsidR="007C508F" w:rsidRPr="00BC7288" w:rsidTr="00245D08">
        <w:tc>
          <w:tcPr>
            <w:tcW w:w="4528" w:type="dxa"/>
            <w:shd w:val="clear" w:color="auto" w:fill="F3F9FA"/>
            <w:vAlign w:val="center"/>
          </w:tcPr>
          <w:p w:rsidR="007C508F" w:rsidRPr="00BC7288" w:rsidRDefault="0061638E"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5.535</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107.7</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r>
      <w:tr w:rsidR="003A1357" w:rsidRPr="00BC7288" w:rsidTr="00245D08">
        <w:trPr>
          <w:trHeight w:val="308"/>
        </w:trPr>
        <w:tc>
          <w:tcPr>
            <w:tcW w:w="4528" w:type="dxa"/>
            <w:shd w:val="clear" w:color="auto" w:fill="F3F9FA"/>
            <w:vAlign w:val="center"/>
          </w:tcPr>
          <w:p w:rsidR="007C508F" w:rsidRPr="00BC7288" w:rsidRDefault="007C508F" w:rsidP="00810B9D">
            <w:pPr>
              <w:spacing w:before="0" w:after="0" w:line="200" w:lineRule="exact"/>
              <w:rPr>
                <w:sz w:val="20"/>
                <w:szCs w:val="20"/>
              </w:rPr>
            </w:pPr>
            <w:r w:rsidRPr="00BC7288">
              <w:rPr>
                <w:sz w:val="20"/>
                <w:szCs w:val="20"/>
              </w:rPr>
              <w:t xml:space="preserve">% </w:t>
            </w:r>
            <w:r w:rsidRPr="00BC7288">
              <w:rPr>
                <w:caps/>
                <w:sz w:val="20"/>
                <w:szCs w:val="20"/>
              </w:rPr>
              <w:t>cover = s(date) + NRM region + random(site)</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42871</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0.1</w:t>
            </w:r>
          </w:p>
        </w:tc>
      </w:tr>
      <w:tr w:rsidR="007C508F" w:rsidRPr="00BC7288" w:rsidTr="00245D08">
        <w:trPr>
          <w:trHeight w:val="20"/>
        </w:trPr>
        <w:tc>
          <w:tcPr>
            <w:tcW w:w="4528" w:type="dxa"/>
            <w:shd w:val="clear" w:color="auto" w:fill="F3F9FA"/>
            <w:vAlign w:val="center"/>
          </w:tcPr>
          <w:p w:rsidR="007C508F" w:rsidRPr="00BC7288" w:rsidRDefault="007C508F" w:rsidP="00810B9D">
            <w:pPr>
              <w:tabs>
                <w:tab w:val="left" w:pos="548"/>
              </w:tabs>
              <w:spacing w:before="0" w:after="0" w:line="200" w:lineRule="exact"/>
              <w:rPr>
                <w:caps/>
                <w:sz w:val="20"/>
                <w:szCs w:val="20"/>
              </w:rPr>
            </w:pPr>
            <w:r w:rsidRPr="00BC7288">
              <w:rPr>
                <w:caps/>
                <w:sz w:val="20"/>
                <w:szCs w:val="20"/>
              </w:rPr>
              <w:tab/>
              <w:t>Cape York</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6.381</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40.74</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r>
      <w:tr w:rsidR="007C508F" w:rsidRPr="00BC7288" w:rsidTr="00245D08">
        <w:trPr>
          <w:trHeight w:val="20"/>
        </w:trPr>
        <w:tc>
          <w:tcPr>
            <w:tcW w:w="4528" w:type="dxa"/>
            <w:shd w:val="clear" w:color="auto" w:fill="F3F9FA"/>
            <w:vAlign w:val="center"/>
          </w:tcPr>
          <w:p w:rsidR="007C508F" w:rsidRPr="00BC7288" w:rsidRDefault="007C508F" w:rsidP="00810B9D">
            <w:pPr>
              <w:tabs>
                <w:tab w:val="left" w:pos="548"/>
              </w:tabs>
              <w:spacing w:before="0" w:after="0" w:line="200" w:lineRule="exact"/>
              <w:rPr>
                <w:caps/>
                <w:sz w:val="20"/>
                <w:szCs w:val="20"/>
              </w:rPr>
            </w:pPr>
            <w:r w:rsidRPr="00BC7288">
              <w:rPr>
                <w:caps/>
                <w:sz w:val="20"/>
                <w:szCs w:val="20"/>
              </w:rPr>
              <w:tab/>
              <w:t>Wet Tropics</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8.583</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150.72</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r>
      <w:tr w:rsidR="007C508F" w:rsidRPr="00BC7288" w:rsidTr="00245D08">
        <w:trPr>
          <w:trHeight w:val="20"/>
        </w:trPr>
        <w:tc>
          <w:tcPr>
            <w:tcW w:w="4528" w:type="dxa"/>
            <w:shd w:val="clear" w:color="auto" w:fill="F3F9FA"/>
            <w:vAlign w:val="center"/>
          </w:tcPr>
          <w:p w:rsidR="007C508F" w:rsidRPr="00BC7288" w:rsidRDefault="007C508F" w:rsidP="00810B9D">
            <w:pPr>
              <w:tabs>
                <w:tab w:val="left" w:pos="548"/>
              </w:tabs>
              <w:spacing w:before="0" w:after="0" w:line="200" w:lineRule="exact"/>
              <w:rPr>
                <w:caps/>
                <w:sz w:val="20"/>
                <w:szCs w:val="20"/>
              </w:rPr>
            </w:pPr>
            <w:r w:rsidRPr="00BC7288">
              <w:rPr>
                <w:caps/>
                <w:sz w:val="20"/>
                <w:szCs w:val="20"/>
              </w:rPr>
              <w:tab/>
              <w:t>Burdekin</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8.912</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335.05</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r>
      <w:tr w:rsidR="007C508F" w:rsidRPr="00BC7288" w:rsidTr="00245D08">
        <w:trPr>
          <w:trHeight w:val="20"/>
        </w:trPr>
        <w:tc>
          <w:tcPr>
            <w:tcW w:w="4528" w:type="dxa"/>
            <w:shd w:val="clear" w:color="auto" w:fill="F3F9FA"/>
            <w:vAlign w:val="center"/>
          </w:tcPr>
          <w:p w:rsidR="007C508F" w:rsidRPr="00BC7288" w:rsidRDefault="007C508F" w:rsidP="00810B9D">
            <w:pPr>
              <w:tabs>
                <w:tab w:val="left" w:pos="548"/>
              </w:tabs>
              <w:spacing w:before="0" w:after="0" w:line="200" w:lineRule="exact"/>
              <w:rPr>
                <w:caps/>
                <w:sz w:val="20"/>
                <w:szCs w:val="20"/>
              </w:rPr>
            </w:pPr>
            <w:r w:rsidRPr="00BC7288">
              <w:rPr>
                <w:caps/>
                <w:sz w:val="20"/>
                <w:szCs w:val="20"/>
              </w:rPr>
              <w:tab/>
              <w:t>Mackay Whitsunday</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8.766</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76.88</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r>
      <w:tr w:rsidR="007C508F" w:rsidRPr="00BC7288" w:rsidTr="00245D08">
        <w:trPr>
          <w:trHeight w:val="20"/>
        </w:trPr>
        <w:tc>
          <w:tcPr>
            <w:tcW w:w="4528" w:type="dxa"/>
            <w:shd w:val="clear" w:color="auto" w:fill="F3F9FA"/>
            <w:vAlign w:val="center"/>
          </w:tcPr>
          <w:p w:rsidR="007C508F" w:rsidRPr="00BC7288" w:rsidRDefault="007C508F" w:rsidP="00810B9D">
            <w:pPr>
              <w:tabs>
                <w:tab w:val="left" w:pos="548"/>
              </w:tabs>
              <w:spacing w:before="0" w:after="0" w:line="200" w:lineRule="exact"/>
              <w:rPr>
                <w:caps/>
                <w:sz w:val="20"/>
                <w:szCs w:val="20"/>
              </w:rPr>
            </w:pPr>
            <w:r w:rsidRPr="00BC7288">
              <w:rPr>
                <w:caps/>
                <w:sz w:val="20"/>
                <w:szCs w:val="20"/>
              </w:rPr>
              <w:tab/>
              <w:t>Fitzroy</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8.338</w:t>
            </w:r>
          </w:p>
        </w:tc>
        <w:tc>
          <w:tcPr>
            <w:tcW w:w="992"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32.54</w:t>
            </w:r>
          </w:p>
        </w:tc>
        <w:tc>
          <w:tcPr>
            <w:tcW w:w="997" w:type="dxa"/>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sz w:val="20"/>
                <w:szCs w:val="20"/>
              </w:rPr>
            </w:pPr>
          </w:p>
        </w:tc>
      </w:tr>
      <w:tr w:rsidR="007C508F" w:rsidRPr="00BC7288" w:rsidTr="00245D08">
        <w:trPr>
          <w:trHeight w:val="20"/>
        </w:trPr>
        <w:tc>
          <w:tcPr>
            <w:tcW w:w="4528" w:type="dxa"/>
            <w:tcBorders>
              <w:bottom w:val="single" w:sz="4" w:space="0" w:color="auto"/>
            </w:tcBorders>
            <w:shd w:val="clear" w:color="auto" w:fill="F3F9FA"/>
            <w:vAlign w:val="center"/>
          </w:tcPr>
          <w:p w:rsidR="007C508F" w:rsidRPr="00BC7288" w:rsidRDefault="007C508F" w:rsidP="00810B9D">
            <w:pPr>
              <w:tabs>
                <w:tab w:val="left" w:pos="548"/>
              </w:tabs>
              <w:spacing w:before="0" w:after="0" w:line="200" w:lineRule="exact"/>
              <w:rPr>
                <w:caps/>
                <w:sz w:val="20"/>
                <w:szCs w:val="20"/>
              </w:rPr>
            </w:pPr>
            <w:r w:rsidRPr="00BC7288">
              <w:rPr>
                <w:caps/>
                <w:sz w:val="20"/>
                <w:szCs w:val="20"/>
              </w:rPr>
              <w:tab/>
              <w:t>Burnett Mary</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sz w:val="20"/>
                <w:szCs w:val="20"/>
              </w:rPr>
            </w:pP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8.979</w:t>
            </w: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153.80</w:t>
            </w:r>
          </w:p>
        </w:tc>
        <w:tc>
          <w:tcPr>
            <w:tcW w:w="997"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sz w:val="20"/>
                <w:szCs w:val="20"/>
              </w:rPr>
            </w:pPr>
            <w:r w:rsidRPr="00BC7288">
              <w:rPr>
                <w:sz w:val="20"/>
                <w:szCs w:val="20"/>
              </w:rPr>
              <w:t>&lt;2e-16</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sz w:val="20"/>
                <w:szCs w:val="20"/>
              </w:rPr>
            </w:pPr>
          </w:p>
        </w:tc>
      </w:tr>
      <w:tr w:rsidR="00810B9D" w:rsidRPr="00BC7288" w:rsidTr="00245D08">
        <w:trPr>
          <w:trHeight w:val="20"/>
        </w:trPr>
        <w:tc>
          <w:tcPr>
            <w:tcW w:w="4528" w:type="dxa"/>
            <w:tcBorders>
              <w:top w:val="single" w:sz="4" w:space="0" w:color="auto"/>
            </w:tcBorders>
            <w:shd w:val="clear" w:color="auto" w:fill="E7F3F4"/>
            <w:vAlign w:val="center"/>
          </w:tcPr>
          <w:p w:rsidR="007C508F" w:rsidRPr="00BC7288" w:rsidRDefault="007C508F" w:rsidP="00810B9D">
            <w:pPr>
              <w:spacing w:before="0" w:after="0" w:line="200" w:lineRule="exact"/>
              <w:rPr>
                <w:b/>
                <w:caps/>
                <w:sz w:val="20"/>
                <w:szCs w:val="20"/>
              </w:rPr>
            </w:pPr>
            <w:r w:rsidRPr="00BC7288">
              <w:rPr>
                <w:b/>
                <w:caps/>
                <w:sz w:val="20"/>
                <w:szCs w:val="20"/>
              </w:rPr>
              <w:t>Cape York</w:t>
            </w: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b/>
                <w:caps/>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b/>
                <w:caps/>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b/>
                <w:caps/>
                <w:sz w:val="20"/>
                <w:szCs w:val="20"/>
              </w:rPr>
            </w:pPr>
          </w:p>
        </w:tc>
        <w:tc>
          <w:tcPr>
            <w:tcW w:w="997"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b/>
                <w:caps/>
                <w:sz w:val="20"/>
                <w:szCs w:val="20"/>
              </w:rPr>
            </w:pP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b/>
                <w:caps/>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caps/>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3383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6.866</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45.68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0.026</w:t>
            </w: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habitat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3383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0.092</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1.000</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11.37</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7.56e-4</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7.447</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42.12</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caps/>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Location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3383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0.431</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[SR]</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1.000</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2.694</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0.10084</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[FR]</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1.000</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8.980</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0.00275</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[ST]</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1.000</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3.206</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0.07344</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[BY]</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1.000</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32.406</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1.35e-08</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bottom w:val="single" w:sz="4" w:space="0" w:color="auto"/>
            </w:tcBorders>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[AP]</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8.023</w:t>
            </w: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41.535</w:t>
            </w:r>
          </w:p>
        </w:tc>
        <w:tc>
          <w:tcPr>
            <w:tcW w:w="997"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top w:val="single" w:sz="4" w:space="0" w:color="auto"/>
            </w:tcBorders>
            <w:shd w:val="clear" w:color="auto" w:fill="E7F3F4"/>
            <w:vAlign w:val="center"/>
          </w:tcPr>
          <w:p w:rsidR="007C508F" w:rsidRPr="00BC7288" w:rsidRDefault="007C508F" w:rsidP="00810B9D">
            <w:pPr>
              <w:spacing w:before="0" w:after="0" w:line="200" w:lineRule="exact"/>
              <w:rPr>
                <w:rFonts w:asciiTheme="minorHAnsi" w:hAnsiTheme="minorHAnsi"/>
                <w:b/>
                <w:sz w:val="20"/>
                <w:szCs w:val="20"/>
              </w:rPr>
            </w:pPr>
            <w:r w:rsidRPr="00BC7288">
              <w:rPr>
                <w:rFonts w:asciiTheme="minorHAnsi" w:hAnsiTheme="minorHAnsi"/>
                <w:b/>
                <w:caps/>
                <w:sz w:val="20"/>
                <w:szCs w:val="20"/>
              </w:rPr>
              <w:t>Wet Tropics</w:t>
            </w: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14023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8.733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188.8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0.0467</w:t>
            </w: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habitat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14023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0.138</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8.557</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158.40</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7.786</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79.88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6.173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33.37</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Location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14023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0.608</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[LI1]</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5.484</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31.34</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 [LI2]</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5.536</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30.07</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[YP]</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8.605</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134.90</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[GI]</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6.924</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37.14</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 [GI3]</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5.917</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25.27</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[LB]</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4.645</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34.78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[DI]</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5.787</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91.50</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bottom w:val="single" w:sz="4" w:space="0" w:color="auto"/>
            </w:tcBorders>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 [DI3]</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5.119</w:t>
            </w: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23.87</w:t>
            </w:r>
          </w:p>
        </w:tc>
        <w:tc>
          <w:tcPr>
            <w:tcW w:w="997"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top w:val="single" w:sz="4" w:space="0" w:color="auto"/>
            </w:tcBorders>
            <w:shd w:val="clear" w:color="auto" w:fill="E7F3F4"/>
            <w:vAlign w:val="center"/>
          </w:tcPr>
          <w:p w:rsidR="007C508F" w:rsidRPr="00BC7288" w:rsidRDefault="007C508F" w:rsidP="00810B9D">
            <w:pPr>
              <w:spacing w:before="0" w:after="0" w:line="200" w:lineRule="exact"/>
              <w:rPr>
                <w:rFonts w:asciiTheme="minorHAnsi" w:hAnsiTheme="minorHAnsi"/>
                <w:b/>
                <w:sz w:val="20"/>
                <w:szCs w:val="20"/>
              </w:rPr>
            </w:pPr>
            <w:r w:rsidRPr="00BC7288">
              <w:rPr>
                <w:rFonts w:asciiTheme="minorHAnsi" w:hAnsiTheme="minorHAnsi"/>
                <w:b/>
                <w:caps/>
                <w:sz w:val="20"/>
                <w:szCs w:val="20"/>
              </w:rPr>
              <w:t>Burdekin</w:t>
            </w: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caps/>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6646</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8.802</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264.8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0.253</w:t>
            </w: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caps/>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habitat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6646</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0.425</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8.656</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95.02</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8.744</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123.30</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6.983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135.38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Location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6646</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0.468</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[JR]</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2.674</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43.30</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[TSV]</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8.774</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80.89</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[MI1]</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8.245</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77.16</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[MI2]</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8.757</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74.23</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bottom w:val="single" w:sz="4" w:space="0" w:color="auto"/>
            </w:tcBorders>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 [MI3]</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7.013</w:t>
            </w: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140.69</w:t>
            </w:r>
          </w:p>
        </w:tc>
        <w:tc>
          <w:tcPr>
            <w:tcW w:w="997"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top w:val="single" w:sz="4" w:space="0" w:color="auto"/>
            </w:tcBorders>
            <w:vAlign w:val="center"/>
          </w:tcPr>
          <w:p w:rsidR="007C508F" w:rsidRPr="00BC7288" w:rsidRDefault="007C508F" w:rsidP="00810B9D">
            <w:pPr>
              <w:spacing w:before="0" w:after="0" w:line="200" w:lineRule="exact"/>
              <w:rPr>
                <w:rFonts w:asciiTheme="minorHAnsi" w:hAnsiTheme="minorHAnsi"/>
                <w:b/>
                <w:sz w:val="20"/>
                <w:szCs w:val="20"/>
              </w:rPr>
            </w:pPr>
            <w:r w:rsidRPr="00BC7288">
              <w:rPr>
                <w:rFonts w:asciiTheme="minorHAnsi" w:hAnsiTheme="minorHAnsi"/>
                <w:b/>
                <w:caps/>
                <w:sz w:val="20"/>
                <w:szCs w:val="20"/>
              </w:rPr>
              <w:t>Mackay Whitsunday</w:t>
            </w:r>
          </w:p>
        </w:tc>
        <w:tc>
          <w:tcPr>
            <w:tcW w:w="850" w:type="dxa"/>
            <w:tcBorders>
              <w:top w:val="single" w:sz="4" w:space="0" w:color="auto"/>
            </w:tcBorders>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7" w:type="dxa"/>
            <w:tcBorders>
              <w:top w:val="single" w:sz="4" w:space="0" w:color="auto"/>
            </w:tcBorders>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850" w:type="dxa"/>
            <w:tcBorders>
              <w:top w:val="single" w:sz="4" w:space="0" w:color="auto"/>
            </w:tcBorders>
            <w:vAlign w:val="center"/>
          </w:tcPr>
          <w:p w:rsidR="007C508F" w:rsidRPr="00BC7288" w:rsidRDefault="007C508F" w:rsidP="00810B9D">
            <w:pPr>
              <w:spacing w:before="0" w:after="0" w:line="200" w:lineRule="exact"/>
              <w:jc w:val="center"/>
              <w:rPr>
                <w:rFonts w:asciiTheme="minorHAnsi" w:hAnsiTheme="minorHAnsi"/>
                <w:b/>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7659</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8.829</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82.07</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0.0947</w:t>
            </w: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habitat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7659</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0.29</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8.865</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61.98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Estuarine intertidal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7.905</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106.25</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3.867</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16.18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1.33e-12</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Location + random(site)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7659</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0.357</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[MP]</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7.865</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10.33</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3.74e-14</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[PI]</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8.942</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79.08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 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lastRenderedPageBreak/>
              <w:tab/>
            </w:r>
            <w:r w:rsidR="007C508F" w:rsidRPr="00BC7288">
              <w:rPr>
                <w:caps/>
                <w:sz w:val="20"/>
                <w:szCs w:val="20"/>
              </w:rPr>
              <w:t>Reef intertidal [HM]</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3.883</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17.25</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1.60e-13</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bottom w:val="single" w:sz="4" w:space="0" w:color="auto"/>
            </w:tcBorders>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Estuarine intertidal [SI]</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6.951</w:t>
            </w: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79.40</w:t>
            </w:r>
          </w:p>
        </w:tc>
        <w:tc>
          <w:tcPr>
            <w:tcW w:w="997"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 2e-16</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top w:val="single" w:sz="4" w:space="0" w:color="auto"/>
            </w:tcBorders>
            <w:shd w:val="clear" w:color="auto" w:fill="E7F3F4"/>
            <w:vAlign w:val="center"/>
          </w:tcPr>
          <w:p w:rsidR="007C508F" w:rsidRPr="00BC7288" w:rsidRDefault="007C508F" w:rsidP="00810B9D">
            <w:pPr>
              <w:spacing w:before="0" w:after="0" w:line="200" w:lineRule="exact"/>
              <w:rPr>
                <w:rFonts w:asciiTheme="minorHAnsi" w:hAnsiTheme="minorHAnsi"/>
                <w:b/>
                <w:sz w:val="20"/>
                <w:szCs w:val="20"/>
              </w:rPr>
            </w:pPr>
            <w:r w:rsidRPr="00BC7288">
              <w:rPr>
                <w:rFonts w:asciiTheme="minorHAnsi" w:hAnsiTheme="minorHAnsi"/>
                <w:b/>
                <w:caps/>
                <w:sz w:val="20"/>
                <w:szCs w:val="20"/>
              </w:rPr>
              <w:t>Fitzroy</w:t>
            </w: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7192</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8.735</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38.48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0.0451</w:t>
            </w: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Location</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7192</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0.316</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[SWB]</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7.726</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83.32</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 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[GK]</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4.915</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11.19</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1.16e-11</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bottom w:val="single" w:sz="4" w:space="0" w:color="auto"/>
            </w:tcBorders>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Estuarine intertidal [GH]</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7.962</w:t>
            </w: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26.11</w:t>
            </w:r>
          </w:p>
        </w:tc>
        <w:tc>
          <w:tcPr>
            <w:tcW w:w="997"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 2e-16</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top w:val="single" w:sz="4" w:space="0" w:color="auto"/>
            </w:tcBorders>
            <w:shd w:val="clear" w:color="auto" w:fill="E7F3F4"/>
            <w:vAlign w:val="center"/>
          </w:tcPr>
          <w:p w:rsidR="007C508F" w:rsidRPr="00BC7288" w:rsidRDefault="007C508F" w:rsidP="00810B9D">
            <w:pPr>
              <w:spacing w:before="0" w:after="0" w:line="200" w:lineRule="exact"/>
              <w:rPr>
                <w:rFonts w:asciiTheme="minorHAnsi" w:hAnsiTheme="minorHAnsi"/>
                <w:b/>
                <w:sz w:val="20"/>
                <w:szCs w:val="20"/>
              </w:rPr>
            </w:pPr>
            <w:r w:rsidRPr="00BC7288">
              <w:rPr>
                <w:rFonts w:asciiTheme="minorHAnsi" w:hAnsiTheme="minorHAnsi"/>
                <w:b/>
                <w:caps/>
                <w:sz w:val="20"/>
                <w:szCs w:val="20"/>
              </w:rPr>
              <w:t>Burnett Mary</w:t>
            </w: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rsidR="007C508F" w:rsidRPr="00BC7288" w:rsidRDefault="007C508F" w:rsidP="00810B9D">
            <w:pPr>
              <w:spacing w:before="0" w:after="0" w:line="200" w:lineRule="exact"/>
              <w:jc w:val="center"/>
              <w:rPr>
                <w:rFonts w:asciiTheme="minorHAnsi" w:hAnsiTheme="minorHAnsi"/>
                <w:b/>
                <w:sz w:val="20"/>
                <w:szCs w:val="20"/>
              </w:rPr>
            </w:pP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5127</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8.844</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49.8</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0.362</w:t>
            </w:r>
          </w:p>
        </w:tc>
      </w:tr>
      <w:tr w:rsidR="00810B9D" w:rsidRPr="00BC7288" w:rsidTr="00245D08">
        <w:trPr>
          <w:trHeight w:val="20"/>
        </w:trPr>
        <w:tc>
          <w:tcPr>
            <w:tcW w:w="4528" w:type="dxa"/>
            <w:shd w:val="clear" w:color="auto" w:fill="F3F9FA"/>
            <w:vAlign w:val="center"/>
          </w:tcPr>
          <w:p w:rsidR="007C508F" w:rsidRPr="00BC7288" w:rsidRDefault="007C508F" w:rsidP="00810B9D">
            <w:pPr>
              <w:spacing w:before="0" w:after="0" w:line="200" w:lineRule="exact"/>
              <w:rPr>
                <w:rFonts w:asciiTheme="minorHAnsi" w:hAnsiTheme="minorHAnsi"/>
                <w:sz w:val="20"/>
                <w:szCs w:val="20"/>
              </w:rPr>
            </w:pPr>
            <w:r w:rsidRPr="00BC7288">
              <w:rPr>
                <w:rFonts w:asciiTheme="minorHAnsi" w:hAnsiTheme="minorHAnsi"/>
                <w:sz w:val="20"/>
                <w:szCs w:val="20"/>
              </w:rPr>
              <w:t xml:space="preserve">% </w:t>
            </w:r>
            <w:r w:rsidRPr="00BC7288">
              <w:rPr>
                <w:rFonts w:asciiTheme="minorHAnsi" w:hAnsiTheme="minorHAnsi"/>
                <w:caps/>
                <w:sz w:val="20"/>
                <w:szCs w:val="20"/>
              </w:rPr>
              <w:t>cover = s(date) + Location</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5127</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0.472</w:t>
            </w:r>
          </w:p>
        </w:tc>
      </w:tr>
      <w:tr w:rsidR="00810B9D" w:rsidRPr="00BC7288" w:rsidTr="00245D08">
        <w:trPr>
          <w:trHeight w:val="20"/>
        </w:trPr>
        <w:tc>
          <w:tcPr>
            <w:tcW w:w="4528" w:type="dxa"/>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Estuarine intertidal [RD]</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5.959</w:t>
            </w:r>
          </w:p>
        </w:tc>
        <w:tc>
          <w:tcPr>
            <w:tcW w:w="992"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4.934</w:t>
            </w:r>
          </w:p>
        </w:tc>
        <w:tc>
          <w:tcPr>
            <w:tcW w:w="997"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4.85e-05</w:t>
            </w:r>
          </w:p>
        </w:tc>
        <w:tc>
          <w:tcPr>
            <w:tcW w:w="850" w:type="dxa"/>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r w:rsidR="00810B9D" w:rsidRPr="00BC7288" w:rsidTr="00245D08">
        <w:trPr>
          <w:trHeight w:val="20"/>
        </w:trPr>
        <w:tc>
          <w:tcPr>
            <w:tcW w:w="4528" w:type="dxa"/>
            <w:tcBorders>
              <w:bottom w:val="single" w:sz="4" w:space="0" w:color="auto"/>
            </w:tcBorders>
            <w:shd w:val="clear" w:color="auto" w:fill="F3F9FA"/>
            <w:vAlign w:val="center"/>
          </w:tcPr>
          <w:p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Estuarine intertidal [UG]</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8.917</w:t>
            </w:r>
          </w:p>
        </w:tc>
        <w:tc>
          <w:tcPr>
            <w:tcW w:w="992"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12.04</w:t>
            </w:r>
          </w:p>
        </w:tc>
        <w:tc>
          <w:tcPr>
            <w:tcW w:w="997"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 2e-16</w:t>
            </w:r>
          </w:p>
        </w:tc>
        <w:tc>
          <w:tcPr>
            <w:tcW w:w="850" w:type="dxa"/>
            <w:tcBorders>
              <w:bottom w:val="single" w:sz="4" w:space="0" w:color="auto"/>
            </w:tcBorders>
            <w:shd w:val="clear" w:color="auto" w:fill="F3F9FA"/>
            <w:vAlign w:val="center"/>
          </w:tcPr>
          <w:p w:rsidR="007C508F" w:rsidRPr="00BC7288" w:rsidRDefault="007C508F" w:rsidP="00810B9D">
            <w:pPr>
              <w:spacing w:before="0" w:after="0" w:line="200" w:lineRule="exact"/>
              <w:jc w:val="center"/>
              <w:rPr>
                <w:rFonts w:asciiTheme="minorHAnsi" w:hAnsiTheme="minorHAnsi"/>
                <w:sz w:val="20"/>
                <w:szCs w:val="20"/>
              </w:rPr>
            </w:pPr>
          </w:p>
        </w:tc>
      </w:tr>
    </w:tbl>
    <w:p w:rsidR="00123944" w:rsidRDefault="00123944">
      <w:pPr>
        <w:spacing w:before="0" w:after="0"/>
        <w:rPr>
          <w:color w:val="000000"/>
        </w:rPr>
      </w:pPr>
    </w:p>
    <w:p w:rsidR="00CE1FF0" w:rsidRPr="00517276" w:rsidRDefault="00FF73F0" w:rsidP="00CE1FF0">
      <w:pPr>
        <w:jc w:val="center"/>
        <w:rPr>
          <w:i/>
          <w:vanish/>
          <w:color w:val="000000"/>
          <w:szCs w:val="22"/>
          <w:specVanish/>
        </w:rPr>
      </w:pPr>
      <w:bookmarkStart w:id="1298" w:name="_Toc462685121"/>
      <w:r>
        <w:t xml:space="preserve">Table </w:t>
      </w:r>
      <w:fldSimple w:instr=" SEQ Table \* ARABIC ">
        <w:r w:rsidR="009C068F">
          <w:rPr>
            <w:noProof/>
          </w:rPr>
          <w:t>52</w:t>
        </w:r>
      </w:fldSimple>
      <w:r>
        <w:t xml:space="preserve">. </w:t>
      </w:r>
      <w:r w:rsidRPr="00FF73F0">
        <w:rPr>
          <w:i/>
        </w:rPr>
        <w:t xml:space="preserve"> Summary of GAMM statistical output for light vs time analysis for 2014-15</w:t>
      </w:r>
      <w:r w:rsidR="0041685B">
        <w:rPr>
          <w:i/>
        </w:rPr>
        <w:t>.</w:t>
      </w:r>
      <w:bookmarkEnd w:id="1298"/>
      <w:r w:rsidR="00CE1FF0" w:rsidRPr="00CE1FF0">
        <w:rPr>
          <w:i/>
          <w:vanish/>
          <w:color w:val="000000"/>
          <w:szCs w:val="22"/>
          <w:specVanish/>
        </w:rPr>
        <w:t xml:space="preserve"> </w:t>
      </w:r>
    </w:p>
    <w:p w:rsidR="00FF73F0" w:rsidRPr="00FF73F0" w:rsidRDefault="0041685B" w:rsidP="00FF73F0">
      <w:pPr>
        <w:jc w:val="center"/>
        <w:rPr>
          <w:i/>
        </w:rPr>
      </w:pPr>
      <w:r>
        <w:rPr>
          <w:i/>
        </w:rPr>
        <w:t xml:space="preserve">For site/location details, see Tables 3 &amp; 4. </w:t>
      </w:r>
      <w:r w:rsidRPr="0041685B">
        <w:rPr>
          <w:i/>
        </w:rPr>
        <w:t xml:space="preserve">n = number of data points </w:t>
      </w:r>
      <w:r>
        <w:rPr>
          <w:i/>
        </w:rPr>
        <w:t xml:space="preserve">analysed, </w:t>
      </w:r>
      <w:r w:rsidRPr="0041685B">
        <w:rPr>
          <w:i/>
        </w:rPr>
        <w:t>E</w:t>
      </w:r>
      <w:r>
        <w:rPr>
          <w:i/>
        </w:rPr>
        <w:t>DF</w:t>
      </w:r>
      <w:r w:rsidRPr="0041685B">
        <w:rPr>
          <w:i/>
        </w:rPr>
        <w:t xml:space="preserve"> = array of estimated degrees of freedom for the model terms.</w:t>
      </w:r>
    </w:p>
    <w:tbl>
      <w:tblPr>
        <w:tblW w:w="9209" w:type="dxa"/>
        <w:tblLayout w:type="fixed"/>
        <w:tblLook w:val="04A0" w:firstRow="1" w:lastRow="0" w:firstColumn="1" w:lastColumn="0" w:noHBand="0" w:noVBand="1"/>
      </w:tblPr>
      <w:tblGrid>
        <w:gridCol w:w="4531"/>
        <w:gridCol w:w="851"/>
        <w:gridCol w:w="992"/>
        <w:gridCol w:w="992"/>
        <w:gridCol w:w="993"/>
        <w:gridCol w:w="850"/>
      </w:tblGrid>
      <w:tr w:rsidR="00245D08" w:rsidRPr="00BC7288" w:rsidTr="00245D08">
        <w:trPr>
          <w:trHeight w:val="260"/>
          <w:tblHeader/>
        </w:trPr>
        <w:tc>
          <w:tcPr>
            <w:tcW w:w="4531" w:type="dxa"/>
            <w:tcBorders>
              <w:top w:val="single" w:sz="4" w:space="0" w:color="auto"/>
              <w:bottom w:val="single" w:sz="4" w:space="0" w:color="auto"/>
            </w:tcBorders>
            <w:shd w:val="clear" w:color="auto" w:fill="BBE0E3"/>
            <w:vAlign w:val="center"/>
          </w:tcPr>
          <w:p w:rsidR="00123944" w:rsidRPr="00BC7288" w:rsidRDefault="00245D08" w:rsidP="00245D08">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models</w:t>
            </w:r>
          </w:p>
        </w:tc>
        <w:tc>
          <w:tcPr>
            <w:tcW w:w="851" w:type="dxa"/>
            <w:tcBorders>
              <w:top w:val="single" w:sz="4" w:space="0" w:color="auto"/>
              <w:bottom w:val="single" w:sz="4" w:space="0" w:color="auto"/>
            </w:tcBorders>
            <w:shd w:val="clear" w:color="auto" w:fill="BBE0E3"/>
            <w:vAlign w:val="center"/>
          </w:tcPr>
          <w:p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n</w:t>
            </w:r>
          </w:p>
        </w:tc>
        <w:tc>
          <w:tcPr>
            <w:tcW w:w="992" w:type="dxa"/>
            <w:tcBorders>
              <w:top w:val="single" w:sz="4" w:space="0" w:color="auto"/>
              <w:bottom w:val="single" w:sz="4" w:space="0" w:color="auto"/>
            </w:tcBorders>
            <w:shd w:val="clear" w:color="auto" w:fill="BBE0E3"/>
            <w:vAlign w:val="center"/>
          </w:tcPr>
          <w:p w:rsidR="00123944" w:rsidRPr="00BC7288" w:rsidRDefault="00123944" w:rsidP="00245D08">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E</w:t>
            </w:r>
            <w:r w:rsidR="00245D08" w:rsidRPr="00BC7288">
              <w:rPr>
                <w:rFonts w:asciiTheme="minorHAnsi" w:hAnsiTheme="minorHAnsi" w:cs="TimesNewRoman"/>
                <w:b/>
                <w:caps/>
                <w:color w:val="000000"/>
                <w:sz w:val="20"/>
                <w:szCs w:val="20"/>
              </w:rPr>
              <w:t>df</w:t>
            </w:r>
          </w:p>
        </w:tc>
        <w:tc>
          <w:tcPr>
            <w:tcW w:w="992" w:type="dxa"/>
            <w:tcBorders>
              <w:top w:val="single" w:sz="4" w:space="0" w:color="auto"/>
              <w:bottom w:val="single" w:sz="4" w:space="0" w:color="auto"/>
            </w:tcBorders>
            <w:shd w:val="clear" w:color="auto" w:fill="BBE0E3"/>
            <w:vAlign w:val="center"/>
          </w:tcPr>
          <w:p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F</w:t>
            </w:r>
          </w:p>
        </w:tc>
        <w:tc>
          <w:tcPr>
            <w:tcW w:w="993" w:type="dxa"/>
            <w:tcBorders>
              <w:top w:val="single" w:sz="4" w:space="0" w:color="auto"/>
              <w:bottom w:val="single" w:sz="4" w:space="0" w:color="auto"/>
            </w:tcBorders>
            <w:shd w:val="clear" w:color="auto" w:fill="BBE0E3"/>
            <w:vAlign w:val="center"/>
          </w:tcPr>
          <w:p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i/>
                <w:caps/>
                <w:color w:val="000000"/>
                <w:sz w:val="20"/>
                <w:szCs w:val="20"/>
              </w:rPr>
              <w:t>p</w:t>
            </w:r>
            <w:r w:rsidRPr="00BC7288">
              <w:rPr>
                <w:rFonts w:asciiTheme="minorHAnsi" w:hAnsiTheme="minorHAnsi" w:cs="TimesNewRoman"/>
                <w:b/>
                <w:caps/>
                <w:color w:val="000000"/>
                <w:sz w:val="20"/>
                <w:szCs w:val="20"/>
              </w:rPr>
              <w:t>-value</w:t>
            </w:r>
          </w:p>
        </w:tc>
        <w:tc>
          <w:tcPr>
            <w:tcW w:w="850" w:type="dxa"/>
            <w:tcBorders>
              <w:top w:val="single" w:sz="4" w:space="0" w:color="auto"/>
              <w:bottom w:val="single" w:sz="4" w:space="0" w:color="auto"/>
            </w:tcBorders>
            <w:shd w:val="clear" w:color="auto" w:fill="BBE0E3"/>
            <w:vAlign w:val="center"/>
          </w:tcPr>
          <w:p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R-sq (adj)</w:t>
            </w:r>
          </w:p>
        </w:tc>
      </w:tr>
      <w:tr w:rsidR="00245D08" w:rsidRPr="00BC7288" w:rsidTr="00245D08">
        <w:trPr>
          <w:trHeight w:val="198"/>
        </w:trPr>
        <w:tc>
          <w:tcPr>
            <w:tcW w:w="4531" w:type="dxa"/>
            <w:tcBorders>
              <w:top w:val="single" w:sz="4" w:space="0" w:color="auto"/>
            </w:tcBorders>
            <w:shd w:val="clear" w:color="auto" w:fill="E7F3F4"/>
          </w:tcPr>
          <w:p w:rsidR="001D7DCF" w:rsidRPr="00BC7288" w:rsidRDefault="001D7DCF"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GBR-wide</w:t>
            </w:r>
          </w:p>
        </w:tc>
        <w:tc>
          <w:tcPr>
            <w:tcW w:w="851" w:type="dxa"/>
            <w:tcBorders>
              <w:top w:val="single" w:sz="4" w:space="0" w:color="auto"/>
            </w:tcBorders>
            <w:shd w:val="clear" w:color="auto" w:fill="E7F3F4"/>
          </w:tcPr>
          <w:p w:rsidR="001D7DCF" w:rsidRPr="00BC7288" w:rsidRDefault="001D7DCF"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D7DCF" w:rsidRPr="00BC7288" w:rsidRDefault="001D7DCF"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D7DCF" w:rsidRPr="00BC7288" w:rsidRDefault="001D7DCF"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rsidR="001D7DCF" w:rsidRPr="00BC7288" w:rsidRDefault="001D7DCF"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rsidR="001D7DCF" w:rsidRPr="00BC7288" w:rsidRDefault="001D7DCF" w:rsidP="001D7DCF">
            <w:pPr>
              <w:spacing w:before="0" w:after="0" w:line="200" w:lineRule="exact"/>
              <w:jc w:val="center"/>
              <w:rPr>
                <w:rFonts w:asciiTheme="minorHAnsi" w:hAnsiTheme="minorHAnsi"/>
                <w:b/>
                <w:sz w:val="20"/>
                <w:szCs w:val="20"/>
              </w:rPr>
            </w:pPr>
          </w:p>
        </w:tc>
      </w:tr>
      <w:tr w:rsidR="00245D08" w:rsidRPr="00BC7288" w:rsidTr="00245D08">
        <w:trPr>
          <w:trHeight w:val="174"/>
        </w:trPr>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34485</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13.95</w:t>
            </w:r>
          </w:p>
        </w:tc>
        <w:tc>
          <w:tcPr>
            <w:tcW w:w="992" w:type="dxa"/>
            <w:shd w:val="clear" w:color="auto" w:fill="F3F9FA"/>
          </w:tcPr>
          <w:p w:rsidR="00123944" w:rsidRPr="00BC7288" w:rsidRDefault="001D7DCF"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140.6</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0.0579 </w:t>
            </w:r>
          </w:p>
        </w:tc>
      </w:tr>
      <w:tr w:rsidR="00245D08" w:rsidRPr="00BC7288" w:rsidTr="00245D08">
        <w:trPr>
          <w:trHeight w:val="150"/>
        </w:trPr>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34485</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0.258 </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12.01</w:t>
            </w:r>
          </w:p>
        </w:tc>
        <w:tc>
          <w:tcPr>
            <w:tcW w:w="992" w:type="dxa"/>
            <w:shd w:val="clear" w:color="auto" w:fill="F3F9FA"/>
          </w:tcPr>
          <w:p w:rsidR="00123944" w:rsidRPr="00BC7288" w:rsidRDefault="001D7DCF"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65.01</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Estuarine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10.87</w:t>
            </w:r>
          </w:p>
        </w:tc>
        <w:tc>
          <w:tcPr>
            <w:tcW w:w="992" w:type="dxa"/>
            <w:shd w:val="clear" w:color="auto" w:fill="F3F9FA"/>
          </w:tcPr>
          <w:p w:rsidR="00123944" w:rsidRPr="00BC7288" w:rsidRDefault="001D7DCF"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46.32</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13.90</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79.67</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subtidal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13.89</w:t>
            </w:r>
          </w:p>
        </w:tc>
        <w:tc>
          <w:tcPr>
            <w:tcW w:w="992" w:type="dxa"/>
            <w:shd w:val="clear" w:color="auto" w:fill="F3F9FA"/>
          </w:tcPr>
          <w:p w:rsidR="00123944" w:rsidRPr="00BC7288" w:rsidRDefault="001D7DCF"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84.13</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47"/>
        </w:trPr>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NRM region</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34485</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0.183 </w:t>
            </w:r>
          </w:p>
        </w:tc>
      </w:tr>
      <w:tr w:rsidR="00245D08" w:rsidRPr="00BC7288" w:rsidTr="00245D08">
        <w:trPr>
          <w:trHeight w:val="185"/>
        </w:trPr>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Cape York</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4.625 </w:t>
            </w:r>
          </w:p>
        </w:tc>
        <w:tc>
          <w:tcPr>
            <w:tcW w:w="992" w:type="dxa"/>
            <w:shd w:val="clear" w:color="auto" w:fill="F3F9FA"/>
          </w:tcPr>
          <w:p w:rsidR="00123944" w:rsidRPr="00BC7288" w:rsidRDefault="001D7DCF"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49.33</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118"/>
        </w:trPr>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Wet Tropics</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13.88</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97.75</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192"/>
        </w:trPr>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Burdekin</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13.86</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92.01</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124"/>
        </w:trPr>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Mackay Whitsunday</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11.53</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84.44</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198"/>
        </w:trPr>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Fitzroy</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10.81</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25.58</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129"/>
        </w:trPr>
        <w:tc>
          <w:tcPr>
            <w:tcW w:w="4531" w:type="dxa"/>
            <w:tcBorders>
              <w:bottom w:val="single" w:sz="4" w:space="0" w:color="auto"/>
            </w:tcBorders>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Burnett Mary</w:t>
            </w:r>
          </w:p>
        </w:tc>
        <w:tc>
          <w:tcPr>
            <w:tcW w:w="851"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9.931</w:t>
            </w: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27.24</w:t>
            </w:r>
          </w:p>
        </w:tc>
        <w:tc>
          <w:tcPr>
            <w:tcW w:w="993"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204"/>
        </w:trPr>
        <w:tc>
          <w:tcPr>
            <w:tcW w:w="4531" w:type="dxa"/>
            <w:tcBorders>
              <w:top w:val="single" w:sz="4" w:space="0" w:color="auto"/>
            </w:tcBorders>
            <w:shd w:val="clear" w:color="auto" w:fill="E7F3F4"/>
          </w:tcPr>
          <w:p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Cape York</w:t>
            </w:r>
          </w:p>
        </w:tc>
        <w:tc>
          <w:tcPr>
            <w:tcW w:w="851"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r>
      <w:tr w:rsidR="00245D08" w:rsidRPr="00BC7288" w:rsidTr="00245D08">
        <w:trPr>
          <w:trHeight w:val="136"/>
        </w:trPr>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2503</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5.659</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71.88</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0.122</w:t>
            </w:r>
          </w:p>
        </w:tc>
      </w:tr>
      <w:tr w:rsidR="00245D08" w:rsidRPr="00BC7288" w:rsidTr="00245D08">
        <w:trPr>
          <w:trHeight w:val="195"/>
        </w:trPr>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2503</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0.403 </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5.083</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226.57</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5.805</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42.61</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133"/>
        </w:trPr>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2503</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0.5 </w:t>
            </w:r>
          </w:p>
        </w:tc>
      </w:tr>
      <w:tr w:rsidR="00245D08" w:rsidRPr="00BC7288" w:rsidTr="00245D08">
        <w:trPr>
          <w:trHeight w:val="223"/>
        </w:trPr>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 [SR]</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5.044</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218.36</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[FR]</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3.087</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63.37</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[ST]</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5.141</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23.75</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 [BY]</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5.275</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38.29</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bottom w:val="single" w:sz="4" w:space="0" w:color="auto"/>
            </w:tcBorders>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[AP]</w:t>
            </w:r>
          </w:p>
        </w:tc>
        <w:tc>
          <w:tcPr>
            <w:tcW w:w="851"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1.599</w:t>
            </w: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13.20</w:t>
            </w:r>
          </w:p>
        </w:tc>
        <w:tc>
          <w:tcPr>
            <w:tcW w:w="993"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6.77e-06</w:t>
            </w:r>
          </w:p>
        </w:tc>
        <w:tc>
          <w:tcPr>
            <w:tcW w:w="850"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top w:val="single" w:sz="4" w:space="0" w:color="auto"/>
            </w:tcBorders>
            <w:shd w:val="clear" w:color="auto" w:fill="E7F3F4"/>
          </w:tcPr>
          <w:p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Wet Tropics</w:t>
            </w:r>
          </w:p>
        </w:tc>
        <w:tc>
          <w:tcPr>
            <w:tcW w:w="851"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12803</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12.83</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67.66</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0.0559 </w:t>
            </w: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12803</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0.391</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10.62</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48.73</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12.67</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34.96</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subtidal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12.82</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102.20</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12803</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0.479 </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[LI1]</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12.76</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74.85</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subtidal [LI2]</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12.57</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30.02</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 [YP]</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10.67</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55.72</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[GI]</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11.99</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14.05</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subtidal [GI3]</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12.12</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29.11</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[DI]</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12.36</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15.00</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bottom w:val="single" w:sz="4" w:space="0" w:color="auto"/>
            </w:tcBorders>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subtidal [DI3]</w:t>
            </w:r>
          </w:p>
        </w:tc>
        <w:tc>
          <w:tcPr>
            <w:tcW w:w="851"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12.75</w:t>
            </w: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77.96</w:t>
            </w:r>
          </w:p>
        </w:tc>
        <w:tc>
          <w:tcPr>
            <w:tcW w:w="993"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top w:val="single" w:sz="4" w:space="0" w:color="auto"/>
            </w:tcBorders>
            <w:shd w:val="clear" w:color="auto" w:fill="E7F3F4"/>
          </w:tcPr>
          <w:p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Burdekin</w:t>
            </w:r>
          </w:p>
        </w:tc>
        <w:tc>
          <w:tcPr>
            <w:tcW w:w="851"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8568</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13.66</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60.7</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0.0952 </w:t>
            </w: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8568</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0.435 </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11.94</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61.40</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47"/>
        </w:trPr>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12.75</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24.68</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subtidal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12.60</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16.11</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8568</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0.446 </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lastRenderedPageBreak/>
              <w:tab/>
            </w:r>
            <w:r w:rsidR="00123944" w:rsidRPr="00BC7288">
              <w:rPr>
                <w:rFonts w:asciiTheme="minorHAnsi" w:hAnsiTheme="minorHAnsi"/>
                <w:caps/>
                <w:sz w:val="20"/>
                <w:szCs w:val="20"/>
              </w:rPr>
              <w:t>Coastal intertidal [TSV]</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11.95</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62.29</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[MI1]</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8.158</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13.20</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[MI2]</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10.42</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24.64</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bottom w:val="single" w:sz="4" w:space="0" w:color="auto"/>
            </w:tcBorders>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subtidal [MI3]</w:t>
            </w:r>
          </w:p>
        </w:tc>
        <w:tc>
          <w:tcPr>
            <w:tcW w:w="851"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12.62</w:t>
            </w: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16.38</w:t>
            </w:r>
          </w:p>
        </w:tc>
        <w:tc>
          <w:tcPr>
            <w:tcW w:w="993"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top w:val="single" w:sz="4" w:space="0" w:color="auto"/>
            </w:tcBorders>
            <w:shd w:val="clear" w:color="auto" w:fill="E7F3F4"/>
          </w:tcPr>
          <w:p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Mackay Whitsunday</w:t>
            </w:r>
          </w:p>
        </w:tc>
        <w:tc>
          <w:tcPr>
            <w:tcW w:w="851"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3992</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10.89 </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90.52</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0.17 </w:t>
            </w: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3992</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0.328 </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8.732</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52.10</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Estuarine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7.639</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28.96</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8.742</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23.07</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3992</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0.338 </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 [MP]</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1.001</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18.99</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1.33e-05</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 [PI]</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8.766</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52.74</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[HM]</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8.744</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20.50</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bottom w:val="single" w:sz="4" w:space="0" w:color="auto"/>
            </w:tcBorders>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Estuarine intertidal [SI]</w:t>
            </w:r>
          </w:p>
        </w:tc>
        <w:tc>
          <w:tcPr>
            <w:tcW w:w="851"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7.644</w:t>
            </w: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29.37</w:t>
            </w:r>
          </w:p>
        </w:tc>
        <w:tc>
          <w:tcPr>
            <w:tcW w:w="993"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84"/>
        </w:trPr>
        <w:tc>
          <w:tcPr>
            <w:tcW w:w="4531" w:type="dxa"/>
            <w:tcBorders>
              <w:top w:val="single" w:sz="4" w:space="0" w:color="auto"/>
            </w:tcBorders>
            <w:shd w:val="clear" w:color="auto" w:fill="E7F3F4"/>
          </w:tcPr>
          <w:p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Fitzroy</w:t>
            </w:r>
          </w:p>
        </w:tc>
        <w:tc>
          <w:tcPr>
            <w:tcW w:w="851"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r>
      <w:tr w:rsidR="00245D08" w:rsidRPr="00BC7288" w:rsidTr="00245D08">
        <w:trPr>
          <w:trHeight w:val="143"/>
        </w:trPr>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4615</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9.894</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22.58</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0.0533 </w:t>
            </w: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4615</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0.264 </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Coastal intertidal [SWB]</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8.539</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14.74</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rPr>
          <w:trHeight w:val="96"/>
        </w:trPr>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Reef intertidal [GK]</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9.354</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94.89</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bottom w:val="single" w:sz="4" w:space="0" w:color="auto"/>
            </w:tcBorders>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Estuarine intertidal [GH]</w:t>
            </w:r>
          </w:p>
        </w:tc>
        <w:tc>
          <w:tcPr>
            <w:tcW w:w="851"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8.331</w:t>
            </w: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38.33</w:t>
            </w:r>
          </w:p>
        </w:tc>
        <w:tc>
          <w:tcPr>
            <w:tcW w:w="993"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top w:val="single" w:sz="4" w:space="0" w:color="auto"/>
            </w:tcBorders>
            <w:shd w:val="clear" w:color="auto" w:fill="E7F3F4"/>
          </w:tcPr>
          <w:p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Burnett Mary</w:t>
            </w:r>
          </w:p>
        </w:tc>
        <w:tc>
          <w:tcPr>
            <w:tcW w:w="851"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rsidR="00123944" w:rsidRPr="00BC7288" w:rsidRDefault="00123944" w:rsidP="001D7DCF">
            <w:pPr>
              <w:spacing w:before="0" w:after="0" w:line="200" w:lineRule="exact"/>
              <w:jc w:val="center"/>
              <w:rPr>
                <w:rFonts w:asciiTheme="minorHAnsi" w:hAnsiTheme="minorHAnsi"/>
                <w:b/>
                <w:sz w:val="20"/>
                <w:szCs w:val="20"/>
              </w:rPr>
            </w:pP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2004</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8.596</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41.73</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0.177 </w:t>
            </w:r>
          </w:p>
        </w:tc>
      </w:tr>
      <w:tr w:rsidR="00245D08" w:rsidRPr="00BC7288" w:rsidTr="00245D08">
        <w:tc>
          <w:tcPr>
            <w:tcW w:w="4531" w:type="dxa"/>
            <w:shd w:val="clear" w:color="auto" w:fill="F3F9FA"/>
          </w:tcPr>
          <w:p w:rsidR="00123944" w:rsidRPr="00BC7288" w:rsidRDefault="00123944" w:rsidP="001D7DCF">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2004</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 xml:space="preserve">0.339 </w:t>
            </w:r>
          </w:p>
        </w:tc>
      </w:tr>
      <w:tr w:rsidR="00245D08" w:rsidRPr="00BC7288" w:rsidTr="00245D08">
        <w:tc>
          <w:tcPr>
            <w:tcW w:w="4531" w:type="dxa"/>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Estuarine intertidal [RD]</w:t>
            </w:r>
          </w:p>
        </w:tc>
        <w:tc>
          <w:tcPr>
            <w:tcW w:w="851"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8.628</w:t>
            </w:r>
          </w:p>
        </w:tc>
        <w:tc>
          <w:tcPr>
            <w:tcW w:w="992"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48.74</w:t>
            </w:r>
          </w:p>
        </w:tc>
        <w:tc>
          <w:tcPr>
            <w:tcW w:w="993"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r w:rsidR="00245D08" w:rsidRPr="00BC7288" w:rsidTr="00245D08">
        <w:tc>
          <w:tcPr>
            <w:tcW w:w="4531" w:type="dxa"/>
            <w:tcBorders>
              <w:bottom w:val="single" w:sz="4" w:space="0" w:color="auto"/>
            </w:tcBorders>
            <w:shd w:val="clear" w:color="auto" w:fill="F3F9FA"/>
          </w:tcPr>
          <w:p w:rsidR="00123944" w:rsidRPr="00BC7288" w:rsidRDefault="001D7DCF" w:rsidP="001D7DCF">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r>
            <w:r w:rsidR="00123944" w:rsidRPr="00BC7288">
              <w:rPr>
                <w:rFonts w:asciiTheme="minorHAnsi" w:hAnsiTheme="minorHAnsi"/>
                <w:caps/>
                <w:sz w:val="20"/>
                <w:szCs w:val="20"/>
              </w:rPr>
              <w:t>Estuarine intertidal [UG]</w:t>
            </w:r>
          </w:p>
        </w:tc>
        <w:tc>
          <w:tcPr>
            <w:tcW w:w="851"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9.291</w:t>
            </w:r>
          </w:p>
        </w:tc>
        <w:tc>
          <w:tcPr>
            <w:tcW w:w="992"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28.50</w:t>
            </w:r>
          </w:p>
        </w:tc>
        <w:tc>
          <w:tcPr>
            <w:tcW w:w="993"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tcBorders>
              <w:bottom w:val="single" w:sz="4" w:space="0" w:color="auto"/>
            </w:tcBorders>
            <w:shd w:val="clear" w:color="auto" w:fill="F3F9FA"/>
          </w:tcPr>
          <w:p w:rsidR="00123944" w:rsidRPr="00BC7288" w:rsidRDefault="00123944" w:rsidP="001D7DCF">
            <w:pPr>
              <w:spacing w:before="0" w:after="0" w:line="200" w:lineRule="exact"/>
              <w:jc w:val="center"/>
              <w:rPr>
                <w:rFonts w:asciiTheme="minorHAnsi" w:hAnsiTheme="minorHAnsi"/>
                <w:sz w:val="20"/>
                <w:szCs w:val="20"/>
              </w:rPr>
            </w:pPr>
          </w:p>
        </w:tc>
      </w:tr>
    </w:tbl>
    <w:p w:rsidR="00123944" w:rsidRDefault="00123944">
      <w:pPr>
        <w:spacing w:before="0" w:after="0"/>
        <w:rPr>
          <w:color w:val="000000"/>
        </w:rPr>
      </w:pPr>
    </w:p>
    <w:p w:rsidR="00620C8B" w:rsidRDefault="00620C8B">
      <w:pPr>
        <w:spacing w:before="0" w:after="0"/>
        <w:rPr>
          <w:color w:val="000000"/>
        </w:rPr>
      </w:pPr>
    </w:p>
    <w:sectPr w:rsidR="00620C8B" w:rsidSect="00D3769B">
      <w:headerReference w:type="even" r:id="rId326"/>
      <w:headerReference w:type="default" r:id="rId327"/>
      <w:footerReference w:type="default" r:id="rId328"/>
      <w:headerReference w:type="first" r:id="rId329"/>
      <w:pgSz w:w="11906" w:h="16838" w:code="9"/>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19E7" w:rsidRDefault="00AF19E7">
      <w:r>
        <w:separator/>
      </w:r>
    </w:p>
  </w:endnote>
  <w:endnote w:type="continuationSeparator" w:id="0">
    <w:p w:rsidR="00AF19E7" w:rsidRDefault="00AF19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Arial Narrow">
    <w:panose1 w:val="020B0606020202030204"/>
    <w:charset w:val="00"/>
    <w:family w:val="swiss"/>
    <w:pitch w:val="variable"/>
    <w:sig w:usb0="00000287" w:usb1="00000800" w:usb2="00000000" w:usb3="00000000" w:csb0="0000009F" w:csb1="00000000"/>
  </w:font>
  <w:font w:name="Myriad Pro">
    <w:altName w:val="Arial"/>
    <w:panose1 w:val="00000000000000000000"/>
    <w:charset w:val="00"/>
    <w:family w:val="swiss"/>
    <w:notTrueType/>
    <w:pitch w:val="variable"/>
    <w:sig w:usb0="00000001" w:usb1="5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Dotum">
    <w:altName w:val="돋움"/>
    <w:panose1 w:val="020B0600000101010101"/>
    <w:charset w:val="81"/>
    <w:family w:val="swiss"/>
    <w:pitch w:val="variable"/>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MetaOT-Normal">
    <w:altName w:val="Times New Roman"/>
    <w:panose1 w:val="00000000000000000000"/>
    <w:charset w:val="00"/>
    <w:family w:val="swiss"/>
    <w:notTrueType/>
    <w:pitch w:val="default"/>
    <w:sig w:usb0="00000003" w:usb1="00000000" w:usb2="00000000" w:usb3="00000000" w:csb0="00000001" w:csb1="00000000"/>
  </w:font>
  <w:font w:name="TimesNewRomanPSMT">
    <w:charset w:val="00"/>
    <w:family w:val="auto"/>
    <w:pitch w:val="variable"/>
    <w:sig w:usb0="E0002AEF" w:usb1="C0007841" w:usb2="00000009" w:usb3="00000000" w:csb0="000001FF" w:csb1="00000000"/>
  </w:font>
  <w:font w:name="AdvTT94c8263f.I">
    <w:altName w:val="Times New Roman"/>
    <w:panose1 w:val="00000000000000000000"/>
    <w:charset w:val="4D"/>
    <w:family w:val="roman"/>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Helvetica">
    <w:panose1 w:val="020B0604020202030204"/>
    <w:charset w:val="00"/>
    <w:family w:val="swiss"/>
    <w:pitch w:val="variable"/>
    <w:sig w:usb0="00000007" w:usb1="00000000" w:usb2="00000000" w:usb3="00000000" w:csb0="00000093" w:csb1="00000000"/>
  </w:font>
  <w:font w:name="Gill Sans MT">
    <w:panose1 w:val="020B0502020104020203"/>
    <w:charset w:val="00"/>
    <w:family w:val="swiss"/>
    <w:pitch w:val="variable"/>
    <w:sig w:usb0="00000007" w:usb1="00000000" w:usb2="00000000" w:usb3="00000000" w:csb0="00000003" w:csb1="00000000"/>
  </w:font>
  <w:font w:name="Wingdings 3">
    <w:panose1 w:val="05040102010807070707"/>
    <w:charset w:val="02"/>
    <w:family w:val="roman"/>
    <w:pitch w:val="variable"/>
    <w:sig w:usb0="00000000" w:usb1="10000000" w:usb2="00000000" w:usb3="00000000" w:csb0="80000000" w:csb1="00000000"/>
  </w:font>
  <w:font w:name="Times">
    <w:panose1 w:val="020206030504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rsidP="00034AD4">
    <w:pPr>
      <w:framePr w:wrap="around" w:vAnchor="text" w:hAnchor="margin" w:xAlign="center" w:y="1"/>
    </w:pPr>
    <w:r>
      <w:fldChar w:fldCharType="begin"/>
    </w:r>
    <w:r>
      <w:instrText xml:space="preserve">PAGE  </w:instrText>
    </w:r>
    <w:r>
      <w:fldChar w:fldCharType="end"/>
    </w:r>
  </w:p>
  <w:p w:rsidR="00114534" w:rsidRDefault="0011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rsidP="00034AD4">
    <w:pPr>
      <w:framePr w:wrap="around" w:vAnchor="text" w:hAnchor="margin" w:xAlign="center" w:y="1"/>
    </w:pPr>
    <w:r>
      <w:fldChar w:fldCharType="begin"/>
    </w:r>
    <w:r>
      <w:instrText xml:space="preserve">PAGE  </w:instrText>
    </w:r>
    <w:r>
      <w:fldChar w:fldCharType="end"/>
    </w:r>
  </w:p>
  <w:p w:rsidR="00114534" w:rsidRDefault="00114534" w:rsidP="00034AD4">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rsidP="00034AD4">
    <w:pPr>
      <w:framePr w:wrap="around" w:vAnchor="text" w:hAnchor="margin" w:xAlign="center" w:y="1"/>
    </w:pPr>
    <w:r>
      <w:fldChar w:fldCharType="begin"/>
    </w:r>
    <w:r>
      <w:instrText xml:space="preserve">PAGE  </w:instrText>
    </w:r>
    <w:r>
      <w:fldChar w:fldCharType="separate"/>
    </w:r>
    <w:r w:rsidR="00665A16">
      <w:rPr>
        <w:noProof/>
      </w:rPr>
      <w:t>xix</w:t>
    </w:r>
    <w:r>
      <w:fldChar w:fldCharType="end"/>
    </w:r>
  </w:p>
  <w:p w:rsidR="00114534" w:rsidRDefault="00114534" w:rsidP="00034AD4">
    <w:pP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rsidP="001368E7">
    <w:pPr>
      <w:framePr w:wrap="around" w:vAnchor="text" w:hAnchor="margin" w:xAlign="right" w:y="1"/>
    </w:pPr>
    <w:r>
      <w:fldChar w:fldCharType="begin"/>
    </w:r>
    <w:r>
      <w:instrText xml:space="preserve">PAGE  </w:instrText>
    </w:r>
    <w:r>
      <w:fldChar w:fldCharType="separate"/>
    </w:r>
    <w:r w:rsidR="00665A16">
      <w:rPr>
        <w:noProof/>
      </w:rPr>
      <w:t>145</w:t>
    </w:r>
    <w:r>
      <w:fldChar w:fldCharType="end"/>
    </w:r>
  </w:p>
  <w:p w:rsidR="00114534" w:rsidRPr="008F0EC4" w:rsidRDefault="00114534" w:rsidP="001368E7">
    <w:pPr>
      <w:ind w:right="360"/>
      <w:jc w:val="center"/>
    </w:pPr>
    <w:r w:rsidRPr="008F0EC4">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pP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665A16">
      <w:rPr>
        <w:rFonts w:ascii="Gill Sans MT" w:hAnsi="Gill Sans MT"/>
        <w:noProof/>
      </w:rPr>
      <w:t>219</w:t>
    </w:r>
    <w:r w:rsidRPr="004004DA">
      <w:rPr>
        <w:rFonts w:ascii="Gill Sans MT" w:hAnsi="Gill Sans MT"/>
      </w:rPr>
      <w:fldChar w:fldCharType="end"/>
    </w:r>
  </w:p>
  <w:p w:rsidR="00114534" w:rsidRDefault="00114534"/>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pP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665A16">
      <w:rPr>
        <w:rFonts w:ascii="Gill Sans MT" w:hAnsi="Gill Sans MT"/>
        <w:noProof/>
      </w:rPr>
      <w:t>238</w:t>
    </w:r>
    <w:r w:rsidRPr="004004DA">
      <w:rPr>
        <w:rFonts w:ascii="Gill Sans MT" w:hAnsi="Gill Sans MT"/>
      </w:rPr>
      <w:fldChar w:fldCharType="end"/>
    </w:r>
  </w:p>
  <w:p w:rsidR="00114534" w:rsidRDefault="0011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19E7" w:rsidRDefault="00AF19E7">
      <w:r>
        <w:separator/>
      </w:r>
    </w:p>
  </w:footnote>
  <w:footnote w:type="continuationSeparator" w:id="0">
    <w:p w:rsidR="00AF19E7" w:rsidRDefault="00AF19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58" o:spid="_x0000_s2053" type="#_x0000_t136" style="position:absolute;margin-left:0;margin-top:0;width:573.7pt;height:86.05pt;rotation:315;z-index:-251649024;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7" o:spid="_x0000_s2077" type="#_x0000_t136" style="position:absolute;margin-left:0;margin-top:0;width:573.7pt;height:86.05pt;rotation:315;z-index:-251600896;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Pr="00484F6F" w:rsidRDefault="00114534" w:rsidP="00484F6F">
    <w:pPr>
      <w:pBdr>
        <w:bottom w:val="single" w:sz="4" w:space="1" w:color="0070C0"/>
      </w:pBdr>
      <w:tabs>
        <w:tab w:val="left" w:pos="975"/>
      </w:tabs>
      <w:jc w:val="center"/>
      <w:rPr>
        <w:rFonts w:eastAsia="Calibri"/>
      </w:rPr>
    </w:pPr>
    <w:r>
      <w:t>Marine Monitoring Program – Great Barrier Reef Inshore Seagrass Monitoring 2014-15</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6" o:spid="_x0000_s2076" type="#_x0000_t136" style="position:absolute;margin-left:0;margin-top:0;width:573.7pt;height:86.05pt;rotation:315;z-index:-251601920;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80" type="#_x0000_t136" style="position:absolute;margin-left:0;margin-top:0;width:573.7pt;height:86.05pt;rotation:315;z-index:-251597824;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Pr="001015C2" w:rsidRDefault="00114534" w:rsidP="00484F6F">
    <w:pPr>
      <w:pBdr>
        <w:bottom w:val="single" w:sz="4" w:space="1" w:color="0070C0"/>
      </w:pBdr>
      <w:tabs>
        <w:tab w:val="left" w:pos="975"/>
      </w:tabs>
      <w:jc w:val="center"/>
      <w:rPr>
        <w:rFonts w:eastAsia="Calibri" w:cs="Arial"/>
        <w:noProof/>
        <w:sz w:val="15"/>
        <w:szCs w:val="15"/>
        <w:lang w:eastAsia="en-AU"/>
      </w:rPr>
    </w:pPr>
    <w:r>
      <w:t>Marine Monitoring Program – Great Barrier Reef Inshore Seagrass Monitoring 2014-15</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79" type="#_x0000_t136" style="position:absolute;margin-left:0;margin-top:0;width:573.7pt;height:86.05pt;rotation:315;z-index:-251598848;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3" o:spid="_x0000_s2068" type="#_x0000_t136" style="position:absolute;margin-left:0;margin-top:0;width:573.7pt;height:86.05pt;rotation:315;z-index:-251618304;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Pr="00106667" w:rsidRDefault="00114534" w:rsidP="00106667">
    <w:pPr>
      <w:pBdr>
        <w:bottom w:val="single" w:sz="4" w:space="1" w:color="0070C0"/>
      </w:pBdr>
      <w:tabs>
        <w:tab w:val="left" w:pos="975"/>
      </w:tabs>
      <w:jc w:val="center"/>
      <w:rPr>
        <w:rFonts w:eastAsia="Calibri"/>
      </w:rPr>
    </w:pPr>
    <w:r>
      <w:t>Marine Monitoring Program – Great Barrier Reef Inshore Seagrass Monitoring 2014-15</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2" o:spid="_x0000_s2067" type="#_x0000_t136" style="position:absolute;margin-left:0;margin-top:0;width:573.7pt;height:86.05pt;rotation:315;z-index:-251620352;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6" o:spid="_x0000_s2071" type="#_x0000_t136" style="position:absolute;margin-left:0;margin-top:0;width:573.7pt;height:86.05pt;rotation:315;z-index:-251612160;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5" o:spid="_x0000_s2070" type="#_x0000_t136" style="position:absolute;margin-left:0;margin-top:0;width:573.7pt;height:86.05pt;rotation:315;z-index:-251614208;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9" o:spid="_x0000_s2074" type="#_x0000_t136" style="position:absolute;margin-left:0;margin-top:0;width:573.7pt;height:86.05pt;rotation:315;z-index:-251606016;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pPr>
      <w:pStyle w:val="Head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8" o:spid="_x0000_s2073" type="#_x0000_t136" style="position:absolute;margin-left:0;margin-top:0;width:573.7pt;height:86.05pt;rotation:315;z-index:-251608064;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57" o:spid="_x0000_s2052" type="#_x0000_t136" style="position:absolute;margin-left:0;margin-top:0;width:573.7pt;height:86.05pt;rotation:315;z-index:-251651072;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1" o:spid="_x0000_s2056" type="#_x0000_t136" style="position:absolute;margin-left:0;margin-top:0;width:573.7pt;height:86.05pt;rotation:315;z-index:-251642880;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114534">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4" o:spid="_x0000_s2059" type="#_x0000_t136" style="position:absolute;margin-left:0;margin-top:0;width:573.7pt;height:86.05pt;rotation:315;z-index:-251636736;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Pr="00484F6F" w:rsidRDefault="00114534" w:rsidP="00484F6F">
    <w:pPr>
      <w:pBdr>
        <w:bottom w:val="single" w:sz="4" w:space="1" w:color="0070C0"/>
      </w:pBdr>
      <w:tabs>
        <w:tab w:val="left" w:pos="975"/>
      </w:tabs>
      <w:jc w:val="center"/>
      <w:rPr>
        <w:rFonts w:eastAsia="Calibri"/>
      </w:rPr>
    </w:pPr>
    <w:r>
      <w:t>Marine Monitoring Program – Annual report for inshore seagrass monitoring 2014-15</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534" w:rsidRDefault="00AF19E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3" o:spid="_x0000_s2058" type="#_x0000_t136" style="position:absolute;margin-left:0;margin-top:0;width:573.7pt;height:86.05pt;rotation:315;z-index:-251638784;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E26EA"/>
    <w:multiLevelType w:val="hybridMultilevel"/>
    <w:tmpl w:val="F26A8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CD0744"/>
    <w:multiLevelType w:val="hybridMultilevel"/>
    <w:tmpl w:val="DBE21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676F2B"/>
    <w:multiLevelType w:val="hybridMultilevel"/>
    <w:tmpl w:val="09E866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942F07"/>
    <w:multiLevelType w:val="hybridMultilevel"/>
    <w:tmpl w:val="2DF6BA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DA618A"/>
    <w:multiLevelType w:val="hybridMultilevel"/>
    <w:tmpl w:val="59A6B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673FF0"/>
    <w:multiLevelType w:val="multilevel"/>
    <w:tmpl w:val="66564BA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nsid w:val="28FC72F6"/>
    <w:multiLevelType w:val="hybridMultilevel"/>
    <w:tmpl w:val="34F2A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3BEE60E1"/>
    <w:multiLevelType w:val="hybridMultilevel"/>
    <w:tmpl w:val="1EC48B0E"/>
    <w:lvl w:ilvl="0" w:tplc="0C090001">
      <w:start w:val="1"/>
      <w:numFmt w:val="decimal"/>
      <w:lvlText w:val="%1."/>
      <w:lvlJc w:val="left"/>
      <w:pPr>
        <w:tabs>
          <w:tab w:val="num" w:pos="720"/>
        </w:tabs>
        <w:ind w:left="720" w:hanging="360"/>
      </w:pPr>
      <w:rPr>
        <w:rFonts w:cs="Times New Roman"/>
      </w:rPr>
    </w:lvl>
    <w:lvl w:ilvl="1" w:tplc="05EED818">
      <w:numFmt w:val="bullet"/>
      <w:lvlText w:val="•"/>
      <w:lvlJc w:val="left"/>
      <w:pPr>
        <w:ind w:left="1800" w:hanging="720"/>
      </w:pPr>
      <w:rPr>
        <w:rFonts w:ascii="Calibri" w:eastAsia="Times New Roman" w:hAnsi="Calibri" w:cs="Times New Roman" w:hint="default"/>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8">
    <w:nsid w:val="3F347145"/>
    <w:multiLevelType w:val="hybridMultilevel"/>
    <w:tmpl w:val="AC2CAA68"/>
    <w:lvl w:ilvl="0" w:tplc="0C090001">
      <w:start w:val="1"/>
      <w:numFmt w:val="bullet"/>
      <w:lvlText w:val=""/>
      <w:lvlJc w:val="left"/>
      <w:pPr>
        <w:tabs>
          <w:tab w:val="num" w:pos="1401"/>
        </w:tabs>
        <w:ind w:left="1401" w:hanging="360"/>
      </w:pPr>
      <w:rPr>
        <w:rFonts w:ascii="Symbol" w:hAnsi="Symbol" w:hint="default"/>
        <w:color w:val="auto"/>
        <w:sz w:val="24"/>
      </w:rPr>
    </w:lvl>
    <w:lvl w:ilvl="1" w:tplc="0C09001B">
      <w:start w:val="1"/>
      <w:numFmt w:val="bullet"/>
      <w:lvlText w:val="o"/>
      <w:lvlJc w:val="left"/>
      <w:pPr>
        <w:tabs>
          <w:tab w:val="num" w:pos="2121"/>
        </w:tabs>
        <w:ind w:left="2121" w:hanging="360"/>
      </w:pPr>
      <w:rPr>
        <w:rFonts w:ascii="Courier New" w:hAnsi="Courier New" w:hint="default"/>
      </w:rPr>
    </w:lvl>
    <w:lvl w:ilvl="2" w:tplc="0C090005" w:tentative="1">
      <w:start w:val="1"/>
      <w:numFmt w:val="bullet"/>
      <w:lvlText w:val=""/>
      <w:lvlJc w:val="left"/>
      <w:pPr>
        <w:tabs>
          <w:tab w:val="num" w:pos="2841"/>
        </w:tabs>
        <w:ind w:left="2841" w:hanging="360"/>
      </w:pPr>
      <w:rPr>
        <w:rFonts w:ascii="Wingdings" w:hAnsi="Wingdings" w:hint="default"/>
      </w:rPr>
    </w:lvl>
    <w:lvl w:ilvl="3" w:tplc="0C090001" w:tentative="1">
      <w:start w:val="1"/>
      <w:numFmt w:val="bullet"/>
      <w:lvlText w:val=""/>
      <w:lvlJc w:val="left"/>
      <w:pPr>
        <w:tabs>
          <w:tab w:val="num" w:pos="3561"/>
        </w:tabs>
        <w:ind w:left="3561" w:hanging="360"/>
      </w:pPr>
      <w:rPr>
        <w:rFonts w:ascii="Symbol" w:hAnsi="Symbol" w:hint="default"/>
      </w:rPr>
    </w:lvl>
    <w:lvl w:ilvl="4" w:tplc="0C090003" w:tentative="1">
      <w:start w:val="1"/>
      <w:numFmt w:val="bullet"/>
      <w:lvlText w:val="o"/>
      <w:lvlJc w:val="left"/>
      <w:pPr>
        <w:tabs>
          <w:tab w:val="num" w:pos="4281"/>
        </w:tabs>
        <w:ind w:left="4281" w:hanging="360"/>
      </w:pPr>
      <w:rPr>
        <w:rFonts w:ascii="Courier New" w:hAnsi="Courier New" w:hint="default"/>
      </w:rPr>
    </w:lvl>
    <w:lvl w:ilvl="5" w:tplc="0C090005" w:tentative="1">
      <w:start w:val="1"/>
      <w:numFmt w:val="bullet"/>
      <w:lvlText w:val=""/>
      <w:lvlJc w:val="left"/>
      <w:pPr>
        <w:tabs>
          <w:tab w:val="num" w:pos="5001"/>
        </w:tabs>
        <w:ind w:left="5001" w:hanging="360"/>
      </w:pPr>
      <w:rPr>
        <w:rFonts w:ascii="Wingdings" w:hAnsi="Wingdings" w:hint="default"/>
      </w:rPr>
    </w:lvl>
    <w:lvl w:ilvl="6" w:tplc="0C090001" w:tentative="1">
      <w:start w:val="1"/>
      <w:numFmt w:val="bullet"/>
      <w:lvlText w:val=""/>
      <w:lvlJc w:val="left"/>
      <w:pPr>
        <w:tabs>
          <w:tab w:val="num" w:pos="5721"/>
        </w:tabs>
        <w:ind w:left="5721" w:hanging="360"/>
      </w:pPr>
      <w:rPr>
        <w:rFonts w:ascii="Symbol" w:hAnsi="Symbol" w:hint="default"/>
      </w:rPr>
    </w:lvl>
    <w:lvl w:ilvl="7" w:tplc="0C090003" w:tentative="1">
      <w:start w:val="1"/>
      <w:numFmt w:val="bullet"/>
      <w:lvlText w:val="o"/>
      <w:lvlJc w:val="left"/>
      <w:pPr>
        <w:tabs>
          <w:tab w:val="num" w:pos="6441"/>
        </w:tabs>
        <w:ind w:left="6441" w:hanging="360"/>
      </w:pPr>
      <w:rPr>
        <w:rFonts w:ascii="Courier New" w:hAnsi="Courier New" w:hint="default"/>
      </w:rPr>
    </w:lvl>
    <w:lvl w:ilvl="8" w:tplc="0C090005" w:tentative="1">
      <w:start w:val="1"/>
      <w:numFmt w:val="bullet"/>
      <w:lvlText w:val=""/>
      <w:lvlJc w:val="left"/>
      <w:pPr>
        <w:tabs>
          <w:tab w:val="num" w:pos="7161"/>
        </w:tabs>
        <w:ind w:left="7161" w:hanging="360"/>
      </w:pPr>
      <w:rPr>
        <w:rFonts w:ascii="Wingdings" w:hAnsi="Wingdings" w:hint="default"/>
      </w:rPr>
    </w:lvl>
  </w:abstractNum>
  <w:abstractNum w:abstractNumId="9">
    <w:nsid w:val="41B04018"/>
    <w:multiLevelType w:val="hybridMultilevel"/>
    <w:tmpl w:val="3BD6E0DA"/>
    <w:lvl w:ilvl="0" w:tplc="6DFCD4C8">
      <w:start w:val="1"/>
      <w:numFmt w:val="decimal"/>
      <w:lvlText w:val="%1."/>
      <w:lvlJc w:val="left"/>
      <w:pPr>
        <w:tabs>
          <w:tab w:val="num" w:pos="720"/>
        </w:tabs>
        <w:ind w:left="720" w:hanging="360"/>
      </w:pPr>
      <w:rPr>
        <w:rFonts w:cs="Times New Roman"/>
      </w:rPr>
    </w:lvl>
    <w:lvl w:ilvl="1" w:tplc="0C090003" w:tentative="1">
      <w:start w:val="1"/>
      <w:numFmt w:val="lowerLetter"/>
      <w:lvlText w:val="%2."/>
      <w:lvlJc w:val="left"/>
      <w:pPr>
        <w:tabs>
          <w:tab w:val="num" w:pos="1440"/>
        </w:tabs>
        <w:ind w:left="1440" w:hanging="360"/>
      </w:pPr>
      <w:rPr>
        <w:rFonts w:cs="Times New Roman"/>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10">
    <w:nsid w:val="462C3626"/>
    <w:multiLevelType w:val="hybridMultilevel"/>
    <w:tmpl w:val="3B86D228"/>
    <w:lvl w:ilvl="0" w:tplc="0409000F">
      <w:start w:val="1"/>
      <w:numFmt w:val="bullet"/>
      <w:lvlText w:val=""/>
      <w:lvlJc w:val="left"/>
      <w:pPr>
        <w:tabs>
          <w:tab w:val="num" w:pos="360"/>
        </w:tabs>
        <w:ind w:left="360"/>
      </w:pPr>
      <w:rPr>
        <w:rFonts w:ascii="Symbol" w:hAnsi="Symbol" w:hint="default"/>
        <w:sz w:val="16"/>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4AF131A7"/>
    <w:multiLevelType w:val="hybridMultilevel"/>
    <w:tmpl w:val="19E48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22A6159"/>
    <w:multiLevelType w:val="multilevel"/>
    <w:tmpl w:val="0DEEACF2"/>
    <w:lvl w:ilvl="0">
      <w:start w:val="1"/>
      <w:numFmt w:val="decimal"/>
      <w:pStyle w:val="Heading1"/>
      <w:lvlText w:val="Appendix %1"/>
      <w:lvlJc w:val="left"/>
      <w:pPr>
        <w:tabs>
          <w:tab w:val="num" w:pos="851"/>
        </w:tabs>
        <w:ind w:left="432" w:hanging="432"/>
      </w:pPr>
      <w:rPr>
        <w:rFonts w:ascii="Century Gothic" w:hAnsi="Century Gothic" w:hint="default"/>
        <w:b/>
        <w:i w:val="0"/>
        <w:color w:val="auto"/>
        <w:sz w:val="32"/>
      </w:rPr>
    </w:lvl>
    <w:lvl w:ilvl="1">
      <w:start w:val="1"/>
      <w:numFmt w:val="decimal"/>
      <w:pStyle w:val="Heading2"/>
      <w:lvlText w:val="A%1.%2"/>
      <w:lvlJc w:val="left"/>
      <w:pPr>
        <w:tabs>
          <w:tab w:val="num" w:pos="576"/>
        </w:tabs>
        <w:ind w:left="576" w:hanging="576"/>
      </w:pPr>
      <w:rPr>
        <w:rFonts w:ascii="Arial" w:hAnsi="Arial" w:hint="default"/>
        <w:b/>
        <w:i w:val="0"/>
        <w:color w:val="auto"/>
        <w:sz w:val="28"/>
      </w:rPr>
    </w:lvl>
    <w:lvl w:ilvl="2">
      <w:start w:val="1"/>
      <w:numFmt w:val="decimal"/>
      <w:pStyle w:val="Heading3"/>
      <w:lvlText w:val="A%1.%2.%3"/>
      <w:lvlJc w:val="left"/>
      <w:pPr>
        <w:tabs>
          <w:tab w:val="num" w:pos="720"/>
        </w:tabs>
        <w:ind w:left="720" w:hanging="720"/>
      </w:pPr>
      <w:rPr>
        <w:rFonts w:ascii="Calibri" w:hAnsi="Calibri" w:hint="default"/>
        <w:b/>
        <w:i w:val="0"/>
        <w:color w:val="auto"/>
        <w:sz w:val="24"/>
      </w:rPr>
    </w:lvl>
    <w:lvl w:ilvl="3">
      <w:start w:val="1"/>
      <w:numFmt w:val="none"/>
      <w:pStyle w:val="Heading4"/>
      <w:lvlText w:val=""/>
      <w:lvlJc w:val="left"/>
      <w:pPr>
        <w:tabs>
          <w:tab w:val="num" w:pos="864"/>
        </w:tabs>
        <w:ind w:left="864" w:hanging="864"/>
      </w:pPr>
      <w:rPr>
        <w:rFonts w:hint="default"/>
        <w:color w:val="auto"/>
      </w:rPr>
    </w:lvl>
    <w:lvl w:ilvl="4">
      <w:start w:val="1"/>
      <w:numFmt w:val="none"/>
      <w:pStyle w:val="Heading5"/>
      <w:lvlText w:val=""/>
      <w:lvlJc w:val="left"/>
      <w:pPr>
        <w:tabs>
          <w:tab w:val="num" w:pos="1008"/>
        </w:tabs>
        <w:ind w:left="1008" w:hanging="1008"/>
      </w:pPr>
      <w:rPr>
        <w:rFonts w:hint="default"/>
      </w:rPr>
    </w:lvl>
    <w:lvl w:ilvl="5">
      <w:start w:val="1"/>
      <w:numFmt w:val="none"/>
      <w:pStyle w:val="Heading6"/>
      <w:lvlText w:val=""/>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3">
    <w:nsid w:val="54AF0B8E"/>
    <w:multiLevelType w:val="multilevel"/>
    <w:tmpl w:val="D892E1AC"/>
    <w:lvl w:ilvl="0">
      <w:start w:val="2"/>
      <w:numFmt w:val="decimal"/>
      <w:lvlText w:val="%1."/>
      <w:lvlJc w:val="left"/>
      <w:pPr>
        <w:tabs>
          <w:tab w:val="num" w:pos="0"/>
        </w:tabs>
        <w:ind w:left="0" w:firstLine="0"/>
      </w:pPr>
      <w:rPr>
        <w:rFonts w:hint="default"/>
      </w:rPr>
    </w:lvl>
    <w:lvl w:ilvl="1">
      <w:start w:val="1"/>
      <w:numFmt w:val="decimal"/>
      <w:lvlText w:val="A%1.%2."/>
      <w:lvlJc w:val="left"/>
      <w:pPr>
        <w:tabs>
          <w:tab w:val="num" w:pos="792"/>
        </w:tabs>
        <w:ind w:left="792" w:hanging="432"/>
      </w:pPr>
      <w:rPr>
        <w:rFonts w:hint="default"/>
        <w:color w:val="365F91"/>
        <w:sz w:val="28"/>
      </w:rPr>
    </w:lvl>
    <w:lvl w:ilvl="2">
      <w:start w:val="1"/>
      <w:numFmt w:val="decimal"/>
      <w:lvlText w:val="A%1.%2.%3."/>
      <w:lvlJc w:val="left"/>
      <w:pPr>
        <w:tabs>
          <w:tab w:val="num" w:pos="1440"/>
        </w:tabs>
        <w:ind w:left="1224" w:hanging="504"/>
      </w:pPr>
      <w:rPr>
        <w:rFonts w:ascii="Calibri" w:hAnsi="Calibri" w:hint="default"/>
        <w:color w:val="365F91"/>
        <w:sz w:val="22"/>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5A6065AD"/>
    <w:multiLevelType w:val="hybridMultilevel"/>
    <w:tmpl w:val="1EC48B0E"/>
    <w:lvl w:ilvl="0" w:tplc="0C090001">
      <w:start w:val="1"/>
      <w:numFmt w:val="decimal"/>
      <w:lvlText w:val="%1."/>
      <w:lvlJc w:val="left"/>
      <w:pPr>
        <w:tabs>
          <w:tab w:val="num" w:pos="720"/>
        </w:tabs>
        <w:ind w:left="720" w:hanging="360"/>
      </w:pPr>
      <w:rPr>
        <w:rFonts w:cs="Times New Roman"/>
      </w:rPr>
    </w:lvl>
    <w:lvl w:ilvl="1" w:tplc="05EED818">
      <w:numFmt w:val="bullet"/>
      <w:lvlText w:val="•"/>
      <w:lvlJc w:val="left"/>
      <w:pPr>
        <w:ind w:left="1800" w:hanging="720"/>
      </w:pPr>
      <w:rPr>
        <w:rFonts w:ascii="Calibri" w:eastAsia="Times New Roman" w:hAnsi="Calibri" w:cs="Times New Roman" w:hint="default"/>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15">
    <w:nsid w:val="7F5D5BFA"/>
    <w:multiLevelType w:val="hybridMultilevel"/>
    <w:tmpl w:val="A6AA4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14"/>
  </w:num>
  <w:num w:numId="4">
    <w:abstractNumId w:val="8"/>
  </w:num>
  <w:num w:numId="5">
    <w:abstractNumId w:val="6"/>
  </w:num>
  <w:num w:numId="6">
    <w:abstractNumId w:val="15"/>
  </w:num>
  <w:num w:numId="7">
    <w:abstractNumId w:val="2"/>
  </w:num>
  <w:num w:numId="8">
    <w:abstractNumId w:val="4"/>
  </w:num>
  <w:num w:numId="9">
    <w:abstractNumId w:val="5"/>
  </w:num>
  <w:num w:numId="10">
    <w:abstractNumId w:val="13"/>
    <w:lvlOverride w:ilvl="0">
      <w:lvl w:ilvl="0">
        <w:start w:val="2"/>
        <w:numFmt w:val="decimal"/>
        <w:lvlText w:val="%1."/>
        <w:lvlJc w:val="left"/>
        <w:pPr>
          <w:tabs>
            <w:tab w:val="num" w:pos="0"/>
          </w:tabs>
          <w:ind w:left="0" w:firstLine="0"/>
        </w:pPr>
        <w:rPr>
          <w:rFonts w:hint="default"/>
        </w:rPr>
      </w:lvl>
    </w:lvlOverride>
    <w:lvlOverride w:ilvl="1">
      <w:lvl w:ilvl="1">
        <w:start w:val="1"/>
        <w:numFmt w:val="decimal"/>
        <w:lvlText w:val="A%1.%2."/>
        <w:lvlJc w:val="left"/>
        <w:pPr>
          <w:tabs>
            <w:tab w:val="num" w:pos="792"/>
          </w:tabs>
          <w:ind w:left="792" w:hanging="432"/>
        </w:pPr>
        <w:rPr>
          <w:rFonts w:hint="default"/>
          <w:color w:val="365F91"/>
          <w:sz w:val="28"/>
        </w:rPr>
      </w:lvl>
    </w:lvlOverride>
    <w:lvlOverride w:ilvl="2">
      <w:lvl w:ilvl="2">
        <w:start w:val="1"/>
        <w:numFmt w:val="decimal"/>
        <w:lvlText w:val="A%1.%2.%3."/>
        <w:lvlJc w:val="left"/>
        <w:pPr>
          <w:tabs>
            <w:tab w:val="num" w:pos="1440"/>
          </w:tabs>
          <w:ind w:left="1224" w:hanging="504"/>
        </w:pPr>
        <w:rPr>
          <w:rFonts w:ascii="Calibri" w:hAnsi="Calibri" w:hint="default"/>
          <w:color w:val="365F91"/>
          <w:sz w:val="24"/>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324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1">
    <w:abstractNumId w:val="0"/>
  </w:num>
  <w:num w:numId="12">
    <w:abstractNumId w:val="3"/>
  </w:num>
  <w:num w:numId="13">
    <w:abstractNumId w:val="11"/>
  </w:num>
  <w:num w:numId="14">
    <w:abstractNumId w:val="1"/>
  </w:num>
  <w:num w:numId="1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lvlOverride w:ilvl="0">
      <w:lvl w:ilvl="0">
        <w:start w:val="1"/>
        <w:numFmt w:val="decimal"/>
        <w:pStyle w:val="Heading1"/>
        <w:lvlText w:val="Appendix %1"/>
        <w:lvlJc w:val="left"/>
        <w:pPr>
          <w:tabs>
            <w:tab w:val="num" w:pos="851"/>
          </w:tabs>
          <w:ind w:left="851" w:hanging="851"/>
        </w:pPr>
        <w:rPr>
          <w:rFonts w:ascii="Century Gothic" w:hAnsi="Century Gothic" w:hint="default"/>
          <w:b/>
          <w:i w:val="0"/>
          <w:color w:val="auto"/>
          <w:sz w:val="32"/>
        </w:rPr>
      </w:lvl>
    </w:lvlOverride>
    <w:lvlOverride w:ilvl="1">
      <w:lvl w:ilvl="1">
        <w:start w:val="1"/>
        <w:numFmt w:val="decimal"/>
        <w:pStyle w:val="Heading2"/>
        <w:lvlText w:val="A%1.%2"/>
        <w:lvlJc w:val="left"/>
        <w:pPr>
          <w:tabs>
            <w:tab w:val="num" w:pos="851"/>
          </w:tabs>
          <w:ind w:left="851" w:hanging="851"/>
        </w:pPr>
        <w:rPr>
          <w:rFonts w:ascii="Arial" w:hAnsi="Arial" w:hint="default"/>
          <w:b/>
          <w:i w:val="0"/>
          <w:color w:val="auto"/>
          <w:sz w:val="28"/>
        </w:rPr>
      </w:lvl>
    </w:lvlOverride>
    <w:lvlOverride w:ilvl="2">
      <w:lvl w:ilvl="2">
        <w:start w:val="1"/>
        <w:numFmt w:val="decimal"/>
        <w:pStyle w:val="Heading3"/>
        <w:lvlText w:val="A%1.%2.%3"/>
        <w:lvlJc w:val="left"/>
        <w:pPr>
          <w:tabs>
            <w:tab w:val="num" w:pos="851"/>
          </w:tabs>
          <w:ind w:left="851" w:hanging="851"/>
        </w:pPr>
        <w:rPr>
          <w:rFonts w:ascii="Calibri" w:hAnsi="Calibri" w:hint="default"/>
          <w:b/>
          <w:i w:val="0"/>
          <w:color w:val="auto"/>
          <w:sz w:val="24"/>
        </w:rPr>
      </w:lvl>
    </w:lvlOverride>
    <w:lvlOverride w:ilvl="3">
      <w:lvl w:ilvl="3">
        <w:start w:val="1"/>
        <w:numFmt w:val="none"/>
        <w:pStyle w:val="Heading4"/>
        <w:lvlText w:val=""/>
        <w:lvlJc w:val="left"/>
        <w:pPr>
          <w:tabs>
            <w:tab w:val="num" w:pos="851"/>
          </w:tabs>
          <w:ind w:left="851" w:hanging="851"/>
        </w:pPr>
        <w:rPr>
          <w:rFonts w:hint="default"/>
          <w:color w:val="auto"/>
        </w:rPr>
      </w:lvl>
    </w:lvlOverride>
    <w:lvlOverride w:ilvl="4">
      <w:lvl w:ilvl="4">
        <w:start w:val="1"/>
        <w:numFmt w:val="none"/>
        <w:pStyle w:val="Heading5"/>
        <w:lvlText w:val=""/>
        <w:lvlJc w:val="left"/>
        <w:pPr>
          <w:tabs>
            <w:tab w:val="num" w:pos="851"/>
          </w:tabs>
          <w:ind w:left="851" w:hanging="851"/>
        </w:pPr>
        <w:rPr>
          <w:rFonts w:hint="default"/>
        </w:rPr>
      </w:lvl>
    </w:lvlOverride>
    <w:lvlOverride w:ilvl="5">
      <w:lvl w:ilvl="5">
        <w:start w:val="1"/>
        <w:numFmt w:val="none"/>
        <w:pStyle w:val="Heading6"/>
        <w:lvlText w:val=""/>
        <w:lvlJc w:val="left"/>
        <w:pPr>
          <w:tabs>
            <w:tab w:val="num" w:pos="851"/>
          </w:tabs>
          <w:ind w:left="851" w:hanging="851"/>
        </w:pPr>
        <w:rPr>
          <w:rFonts w:hint="default"/>
        </w:rPr>
      </w:lvl>
    </w:lvlOverride>
    <w:lvlOverride w:ilvl="6">
      <w:lvl w:ilvl="6">
        <w:start w:val="1"/>
        <w:numFmt w:val="decimal"/>
        <w:pStyle w:val="Heading7"/>
        <w:lvlText w:val="%1.%2.%3.%4.%5.%6.%7"/>
        <w:lvlJc w:val="left"/>
        <w:pPr>
          <w:tabs>
            <w:tab w:val="num" w:pos="851"/>
          </w:tabs>
          <w:ind w:left="851" w:hanging="851"/>
        </w:pPr>
        <w:rPr>
          <w:rFonts w:hint="default"/>
        </w:rPr>
      </w:lvl>
    </w:lvlOverride>
    <w:lvlOverride w:ilvl="7">
      <w:lvl w:ilvl="7">
        <w:start w:val="1"/>
        <w:numFmt w:val="decimal"/>
        <w:pStyle w:val="Heading8"/>
        <w:lvlText w:val="%1.%2.%3.%4.%5.%6.%7.%8"/>
        <w:lvlJc w:val="left"/>
        <w:pPr>
          <w:tabs>
            <w:tab w:val="num" w:pos="851"/>
          </w:tabs>
          <w:ind w:left="851" w:hanging="851"/>
        </w:pPr>
        <w:rPr>
          <w:rFonts w:hint="default"/>
        </w:rPr>
      </w:lvl>
    </w:lvlOverride>
    <w:lvlOverride w:ilvl="8">
      <w:lvl w:ilvl="8">
        <w:start w:val="1"/>
        <w:numFmt w:val="decimal"/>
        <w:pStyle w:val="Heading9"/>
        <w:lvlText w:val="%1.%2.%3.%4.%5.%6.%7.%8.%9"/>
        <w:lvlJc w:val="left"/>
        <w:pPr>
          <w:tabs>
            <w:tab w:val="num" w:pos="851"/>
          </w:tabs>
          <w:ind w:left="851" w:hanging="851"/>
        </w:pPr>
        <w:rPr>
          <w:rFonts w:hint="default"/>
        </w:rPr>
      </w:lvl>
    </w:lvlOverride>
  </w:num>
  <w:num w:numId="1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activeWritingStyle w:appName="MSWord" w:lang="en-AU" w:vendorID="64" w:dllVersion="131078" w:nlCheck="1" w:checkStyle="1"/>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stylePaneSortMethod w:val="0000"/>
  <w:defaultTabStop w:val="720"/>
  <w:characterSpacingControl w:val="doNotCompress"/>
  <w:hdrShapeDefaults>
    <o:shapedefaults v:ext="edit" spidmax="208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GBRMPA&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eve55x9y5vfd6e9dacxtew4eatve2dzds9a&quot;&gt;LJMcKenzie library&lt;record-ids&gt;&lt;item&gt;64&lt;/item&gt;&lt;item&gt;116&lt;/item&gt;&lt;item&gt;128&lt;/item&gt;&lt;item&gt;129&lt;/item&gt;&lt;item&gt;177&lt;/item&gt;&lt;item&gt;208&lt;/item&gt;&lt;item&gt;292&lt;/item&gt;&lt;item&gt;304&lt;/item&gt;&lt;item&gt;305&lt;/item&gt;&lt;item&gt;418&lt;/item&gt;&lt;item&gt;517&lt;/item&gt;&lt;item&gt;521&lt;/item&gt;&lt;item&gt;522&lt;/item&gt;&lt;item&gt;678&lt;/item&gt;&lt;item&gt;682&lt;/item&gt;&lt;item&gt;700&lt;/item&gt;&lt;item&gt;771&lt;/item&gt;&lt;item&gt;946&lt;/item&gt;&lt;item&gt;950&lt;/item&gt;&lt;item&gt;951&lt;/item&gt;&lt;item&gt;1102&lt;/item&gt;&lt;item&gt;1247&lt;/item&gt;&lt;item&gt;1343&lt;/item&gt;&lt;item&gt;1346&lt;/item&gt;&lt;item&gt;1388&lt;/item&gt;&lt;item&gt;1444&lt;/item&gt;&lt;item&gt;1687&lt;/item&gt;&lt;item&gt;1697&lt;/item&gt;&lt;item&gt;1765&lt;/item&gt;&lt;item&gt;1954&lt;/item&gt;&lt;item&gt;2371&lt;/item&gt;&lt;item&gt;2571&lt;/item&gt;&lt;item&gt;2582&lt;/item&gt;&lt;item&gt;2827&lt;/item&gt;&lt;item&gt;2838&lt;/item&gt;&lt;item&gt;2896&lt;/item&gt;&lt;item&gt;3703&lt;/item&gt;&lt;item&gt;3739&lt;/item&gt;&lt;item&gt;3768&lt;/item&gt;&lt;item&gt;3782&lt;/item&gt;&lt;item&gt;3970&lt;/item&gt;&lt;item&gt;5006&lt;/item&gt;&lt;item&gt;5408&lt;/item&gt;&lt;item&gt;5442&lt;/item&gt;&lt;item&gt;5476&lt;/item&gt;&lt;item&gt;5478&lt;/item&gt;&lt;item&gt;5658&lt;/item&gt;&lt;item&gt;5782&lt;/item&gt;&lt;item&gt;5808&lt;/item&gt;&lt;item&gt;6292&lt;/item&gt;&lt;item&gt;6844&lt;/item&gt;&lt;item&gt;6992&lt;/item&gt;&lt;item&gt;7086&lt;/item&gt;&lt;item&gt;7281&lt;/item&gt;&lt;item&gt;7315&lt;/item&gt;&lt;item&gt;7340&lt;/item&gt;&lt;item&gt;7350&lt;/item&gt;&lt;item&gt;7364&lt;/item&gt;&lt;item&gt;7380&lt;/item&gt;&lt;item&gt;7405&lt;/item&gt;&lt;item&gt;7409&lt;/item&gt;&lt;item&gt;7418&lt;/item&gt;&lt;item&gt;7423&lt;/item&gt;&lt;item&gt;7505&lt;/item&gt;&lt;item&gt;7595&lt;/item&gt;&lt;item&gt;7826&lt;/item&gt;&lt;item&gt;7829&lt;/item&gt;&lt;item&gt;7891&lt;/item&gt;&lt;item&gt;8021&lt;/item&gt;&lt;item&gt;8212&lt;/item&gt;&lt;item&gt;8336&lt;/item&gt;&lt;item&gt;8431&lt;/item&gt;&lt;item&gt;8683&lt;/item&gt;&lt;item&gt;8887&lt;/item&gt;&lt;item&gt;9043&lt;/item&gt;&lt;item&gt;9074&lt;/item&gt;&lt;item&gt;9077&lt;/item&gt;&lt;item&gt;9090&lt;/item&gt;&lt;item&gt;9094&lt;/item&gt;&lt;item&gt;9133&lt;/item&gt;&lt;item&gt;9144&lt;/item&gt;&lt;item&gt;9156&lt;/item&gt;&lt;item&gt;9168&lt;/item&gt;&lt;item&gt;9179&lt;/item&gt;&lt;item&gt;9186&lt;/item&gt;&lt;item&gt;9197&lt;/item&gt;&lt;item&gt;9240&lt;/item&gt;&lt;item&gt;9244&lt;/item&gt;&lt;item&gt;9279&lt;/item&gt;&lt;item&gt;9281&lt;/item&gt;&lt;item&gt;9285&lt;/item&gt;&lt;item&gt;9287&lt;/item&gt;&lt;item&gt;9288&lt;/item&gt;&lt;item&gt;9294&lt;/item&gt;&lt;item&gt;9304&lt;/item&gt;&lt;item&gt;9309&lt;/item&gt;&lt;item&gt;9319&lt;/item&gt;&lt;item&gt;9341&lt;/item&gt;&lt;item&gt;9352&lt;/item&gt;&lt;item&gt;9363&lt;/item&gt;&lt;item&gt;9367&lt;/item&gt;&lt;item&gt;9368&lt;/item&gt;&lt;item&gt;9371&lt;/item&gt;&lt;item&gt;9397&lt;/item&gt;&lt;item&gt;9435&lt;/item&gt;&lt;item&gt;9456&lt;/item&gt;&lt;item&gt;9457&lt;/item&gt;&lt;item&gt;9468&lt;/item&gt;&lt;item&gt;9478&lt;/item&gt;&lt;item&gt;9486&lt;/item&gt;&lt;item&gt;9489&lt;/item&gt;&lt;item&gt;9490&lt;/item&gt;&lt;item&gt;9492&lt;/item&gt;&lt;item&gt;9493&lt;/item&gt;&lt;item&gt;9494&lt;/item&gt;&lt;item&gt;9495&lt;/item&gt;&lt;item&gt;9496&lt;/item&gt;&lt;item&gt;9497&lt;/item&gt;&lt;item&gt;9501&lt;/item&gt;&lt;item&gt;9502&lt;/item&gt;&lt;item&gt;9504&lt;/item&gt;&lt;item&gt;9553&lt;/item&gt;&lt;item&gt;9604&lt;/item&gt;&lt;item&gt;9605&lt;/item&gt;&lt;item&gt;9606&lt;/item&gt;&lt;item&gt;9614&lt;/item&gt;&lt;item&gt;9645&lt;/item&gt;&lt;item&gt;9646&lt;/item&gt;&lt;item&gt;9647&lt;/item&gt;&lt;item&gt;9650&lt;/item&gt;&lt;item&gt;9671&lt;/item&gt;&lt;item&gt;9672&lt;/item&gt;&lt;item&gt;9673&lt;/item&gt;&lt;item&gt;9675&lt;/item&gt;&lt;item&gt;9677&lt;/item&gt;&lt;item&gt;9678&lt;/item&gt;&lt;item&gt;9679&lt;/item&gt;&lt;item&gt;9680&lt;/item&gt;&lt;item&gt;9681&lt;/item&gt;&lt;item&gt;9682&lt;/item&gt;&lt;item&gt;9683&lt;/item&gt;&lt;item&gt;9684&lt;/item&gt;&lt;item&gt;9685&lt;/item&gt;&lt;item&gt;9686&lt;/item&gt;&lt;item&gt;9687&lt;/item&gt;&lt;item&gt;9690&lt;/item&gt;&lt;item&gt;9691&lt;/item&gt;&lt;item&gt;9692&lt;/item&gt;&lt;item&gt;9693&lt;/item&gt;&lt;item&gt;9694&lt;/item&gt;&lt;item&gt;9695&lt;/item&gt;&lt;item&gt;9696&lt;/item&gt;&lt;item&gt;9697&lt;/item&gt;&lt;item&gt;9698&lt;/item&gt;&lt;item&gt;9699&lt;/item&gt;&lt;item&gt;9700&lt;/item&gt;&lt;item&gt;9701&lt;/item&gt;&lt;item&gt;9703&lt;/item&gt;&lt;item&gt;9704&lt;/item&gt;&lt;item&gt;9707&lt;/item&gt;&lt;item&gt;9712&lt;/item&gt;&lt;item&gt;9713&lt;/item&gt;&lt;item&gt;9740&lt;/item&gt;&lt;item&gt;9751&lt;/item&gt;&lt;item&gt;9754&lt;/item&gt;&lt;item&gt;9756&lt;/item&gt;&lt;item&gt;9758&lt;/item&gt;&lt;item&gt;9759&lt;/item&gt;&lt;item&gt;9760&lt;/item&gt;&lt;item&gt;9761&lt;/item&gt;&lt;item&gt;9762&lt;/item&gt;&lt;item&gt;9763&lt;/item&gt;&lt;item&gt;9764&lt;/item&gt;&lt;item&gt;9765&lt;/item&gt;&lt;item&gt;9766&lt;/item&gt;&lt;item&gt;9767&lt;/item&gt;&lt;item&gt;9768&lt;/item&gt;&lt;item&gt;9769&lt;/item&gt;&lt;item&gt;9770&lt;/item&gt;&lt;item&gt;9771&lt;/item&gt;&lt;item&gt;9772&lt;/item&gt;&lt;item&gt;9773&lt;/item&gt;&lt;item&gt;9775&lt;/item&gt;&lt;item&gt;9776&lt;/item&gt;&lt;item&gt;9777&lt;/item&gt;&lt;item&gt;9778&lt;/item&gt;&lt;item&gt;9779&lt;/item&gt;&lt;item&gt;9780&lt;/item&gt;&lt;item&gt;9791&lt;/item&gt;&lt;item&gt;9792&lt;/item&gt;&lt;item&gt;9824&lt;/item&gt;&lt;item&gt;9826&lt;/item&gt;&lt;item&gt;9827&lt;/item&gt;&lt;item&gt;9838&lt;/item&gt;&lt;item&gt;9847&lt;/item&gt;&lt;item&gt;9877&lt;/item&gt;&lt;item&gt;9878&lt;/item&gt;&lt;item&gt;9879&lt;/item&gt;&lt;item&gt;9943&lt;/item&gt;&lt;item&gt;9980&lt;/item&gt;&lt;item&gt;9996&lt;/item&gt;&lt;item&gt;10036&lt;/item&gt;&lt;item&gt;10039&lt;/item&gt;&lt;item&gt;10041&lt;/item&gt;&lt;item&gt;10060&lt;/item&gt;&lt;item&gt;10062&lt;/item&gt;&lt;item&gt;10076&lt;/item&gt;&lt;item&gt;10077&lt;/item&gt;&lt;item&gt;10179&lt;/item&gt;&lt;item&gt;10291&lt;/item&gt;&lt;item&gt;10292&lt;/item&gt;&lt;item&gt;10293&lt;/item&gt;&lt;item&gt;10294&lt;/item&gt;&lt;item&gt;10297&lt;/item&gt;&lt;item&gt;10304&lt;/item&gt;&lt;item&gt;10306&lt;/item&gt;&lt;item&gt;10307&lt;/item&gt;&lt;item&gt;10310&lt;/item&gt;&lt;item&gt;10319&lt;/item&gt;&lt;item&gt;10320&lt;/item&gt;&lt;item&gt;10322&lt;/item&gt;&lt;item&gt;10405&lt;/item&gt;&lt;item&gt;10447&lt;/item&gt;&lt;item&gt;10474&lt;/item&gt;&lt;item&gt;10475&lt;/item&gt;&lt;item&gt;10481&lt;/item&gt;&lt;item&gt;10482&lt;/item&gt;&lt;item&gt;10485&lt;/item&gt;&lt;item&gt;10486&lt;/item&gt;&lt;item&gt;10487&lt;/item&gt;&lt;item&gt;10488&lt;/item&gt;&lt;item&gt;10489&lt;/item&gt;&lt;item&gt;10490&lt;/item&gt;&lt;item&gt;10491&lt;/item&gt;&lt;item&gt;10493&lt;/item&gt;&lt;item&gt;10495&lt;/item&gt;&lt;item&gt;10496&lt;/item&gt;&lt;item&gt;10498&lt;/item&gt;&lt;item&gt;10499&lt;/item&gt;&lt;item&gt;10500&lt;/item&gt;&lt;item&gt;10501&lt;/item&gt;&lt;item&gt;10580&lt;/item&gt;&lt;item&gt;10583&lt;/item&gt;&lt;item&gt;10625&lt;/item&gt;&lt;item&gt;10720&lt;/item&gt;&lt;/record-ids&gt;&lt;/item&gt;&lt;/Libraries&gt;"/>
  </w:docVars>
  <w:rsids>
    <w:rsidRoot w:val="003469AB"/>
    <w:rsid w:val="0000049A"/>
    <w:rsid w:val="00000AF9"/>
    <w:rsid w:val="00000D6B"/>
    <w:rsid w:val="000011C5"/>
    <w:rsid w:val="000015EC"/>
    <w:rsid w:val="00001A9C"/>
    <w:rsid w:val="00001AA5"/>
    <w:rsid w:val="00001C6E"/>
    <w:rsid w:val="00002599"/>
    <w:rsid w:val="00002C32"/>
    <w:rsid w:val="00002DC4"/>
    <w:rsid w:val="000038BE"/>
    <w:rsid w:val="00003FCC"/>
    <w:rsid w:val="00004179"/>
    <w:rsid w:val="0000434C"/>
    <w:rsid w:val="00005FEC"/>
    <w:rsid w:val="00006EFE"/>
    <w:rsid w:val="00006FCB"/>
    <w:rsid w:val="000073DE"/>
    <w:rsid w:val="0001023E"/>
    <w:rsid w:val="00010926"/>
    <w:rsid w:val="00010FBB"/>
    <w:rsid w:val="0001103A"/>
    <w:rsid w:val="0001105C"/>
    <w:rsid w:val="0001165C"/>
    <w:rsid w:val="00012F2C"/>
    <w:rsid w:val="000135E4"/>
    <w:rsid w:val="000138FB"/>
    <w:rsid w:val="000139DD"/>
    <w:rsid w:val="00015190"/>
    <w:rsid w:val="000168DB"/>
    <w:rsid w:val="00016BE7"/>
    <w:rsid w:val="00016FBB"/>
    <w:rsid w:val="00017151"/>
    <w:rsid w:val="000205AF"/>
    <w:rsid w:val="00020F54"/>
    <w:rsid w:val="0002161B"/>
    <w:rsid w:val="000219E6"/>
    <w:rsid w:val="00021B77"/>
    <w:rsid w:val="00021C89"/>
    <w:rsid w:val="00022E06"/>
    <w:rsid w:val="0002306F"/>
    <w:rsid w:val="00023437"/>
    <w:rsid w:val="00023460"/>
    <w:rsid w:val="00023A10"/>
    <w:rsid w:val="000242FC"/>
    <w:rsid w:val="000244AA"/>
    <w:rsid w:val="00024827"/>
    <w:rsid w:val="00024C3F"/>
    <w:rsid w:val="00024E68"/>
    <w:rsid w:val="00025245"/>
    <w:rsid w:val="0002543D"/>
    <w:rsid w:val="000254B3"/>
    <w:rsid w:val="000258CE"/>
    <w:rsid w:val="00025B2F"/>
    <w:rsid w:val="000266AE"/>
    <w:rsid w:val="00026E46"/>
    <w:rsid w:val="00027B67"/>
    <w:rsid w:val="00027E9F"/>
    <w:rsid w:val="00030977"/>
    <w:rsid w:val="00030B2E"/>
    <w:rsid w:val="000316DC"/>
    <w:rsid w:val="00031771"/>
    <w:rsid w:val="00031972"/>
    <w:rsid w:val="000323E1"/>
    <w:rsid w:val="00032A28"/>
    <w:rsid w:val="00032EAE"/>
    <w:rsid w:val="0003330D"/>
    <w:rsid w:val="000334E5"/>
    <w:rsid w:val="00033DF1"/>
    <w:rsid w:val="00034308"/>
    <w:rsid w:val="0003437A"/>
    <w:rsid w:val="0003479B"/>
    <w:rsid w:val="00034AD4"/>
    <w:rsid w:val="00034C27"/>
    <w:rsid w:val="00034D68"/>
    <w:rsid w:val="000352C6"/>
    <w:rsid w:val="00035426"/>
    <w:rsid w:val="00036CBF"/>
    <w:rsid w:val="00036F41"/>
    <w:rsid w:val="0003748F"/>
    <w:rsid w:val="00037785"/>
    <w:rsid w:val="000377A0"/>
    <w:rsid w:val="00037AA5"/>
    <w:rsid w:val="00037AE5"/>
    <w:rsid w:val="00037BAC"/>
    <w:rsid w:val="00037C19"/>
    <w:rsid w:val="00041758"/>
    <w:rsid w:val="0004189E"/>
    <w:rsid w:val="00041C82"/>
    <w:rsid w:val="00043A4D"/>
    <w:rsid w:val="000440B8"/>
    <w:rsid w:val="000444DF"/>
    <w:rsid w:val="000447C9"/>
    <w:rsid w:val="00044A3B"/>
    <w:rsid w:val="00044F7A"/>
    <w:rsid w:val="0004596D"/>
    <w:rsid w:val="00045D87"/>
    <w:rsid w:val="00045E99"/>
    <w:rsid w:val="000464BD"/>
    <w:rsid w:val="00046BE2"/>
    <w:rsid w:val="00046CED"/>
    <w:rsid w:val="00046FBC"/>
    <w:rsid w:val="0005092C"/>
    <w:rsid w:val="00050A32"/>
    <w:rsid w:val="00051629"/>
    <w:rsid w:val="00051DA9"/>
    <w:rsid w:val="00051EA3"/>
    <w:rsid w:val="00052179"/>
    <w:rsid w:val="00052B6C"/>
    <w:rsid w:val="00053571"/>
    <w:rsid w:val="000535CA"/>
    <w:rsid w:val="0005364D"/>
    <w:rsid w:val="00053C3F"/>
    <w:rsid w:val="00053E4A"/>
    <w:rsid w:val="00053E52"/>
    <w:rsid w:val="00055AA3"/>
    <w:rsid w:val="00056F86"/>
    <w:rsid w:val="00057677"/>
    <w:rsid w:val="00057C8D"/>
    <w:rsid w:val="00057E27"/>
    <w:rsid w:val="000606C2"/>
    <w:rsid w:val="00061102"/>
    <w:rsid w:val="00061307"/>
    <w:rsid w:val="000621A1"/>
    <w:rsid w:val="000626FE"/>
    <w:rsid w:val="00063983"/>
    <w:rsid w:val="00064336"/>
    <w:rsid w:val="00064A56"/>
    <w:rsid w:val="00064F1E"/>
    <w:rsid w:val="0006575E"/>
    <w:rsid w:val="00067B5B"/>
    <w:rsid w:val="00070651"/>
    <w:rsid w:val="000709C8"/>
    <w:rsid w:val="000710E0"/>
    <w:rsid w:val="000713D0"/>
    <w:rsid w:val="0007171C"/>
    <w:rsid w:val="00071761"/>
    <w:rsid w:val="00072E65"/>
    <w:rsid w:val="0007311D"/>
    <w:rsid w:val="00073388"/>
    <w:rsid w:val="0007362E"/>
    <w:rsid w:val="0007459F"/>
    <w:rsid w:val="000747A8"/>
    <w:rsid w:val="000748D7"/>
    <w:rsid w:val="000751EC"/>
    <w:rsid w:val="00075363"/>
    <w:rsid w:val="00075403"/>
    <w:rsid w:val="00075E7C"/>
    <w:rsid w:val="00075EC4"/>
    <w:rsid w:val="00076523"/>
    <w:rsid w:val="0007662C"/>
    <w:rsid w:val="000772EC"/>
    <w:rsid w:val="00077E2C"/>
    <w:rsid w:val="0008011E"/>
    <w:rsid w:val="000805F4"/>
    <w:rsid w:val="000806A8"/>
    <w:rsid w:val="000807DF"/>
    <w:rsid w:val="00081015"/>
    <w:rsid w:val="00081143"/>
    <w:rsid w:val="00081490"/>
    <w:rsid w:val="00082564"/>
    <w:rsid w:val="000826A6"/>
    <w:rsid w:val="00082929"/>
    <w:rsid w:val="00083619"/>
    <w:rsid w:val="000836F9"/>
    <w:rsid w:val="000837D2"/>
    <w:rsid w:val="00084619"/>
    <w:rsid w:val="000847DD"/>
    <w:rsid w:val="00085EB2"/>
    <w:rsid w:val="000860E4"/>
    <w:rsid w:val="000860F7"/>
    <w:rsid w:val="00086231"/>
    <w:rsid w:val="00086345"/>
    <w:rsid w:val="000867A7"/>
    <w:rsid w:val="000913EE"/>
    <w:rsid w:val="00091849"/>
    <w:rsid w:val="00092C49"/>
    <w:rsid w:val="00093927"/>
    <w:rsid w:val="00095DD0"/>
    <w:rsid w:val="00096ED1"/>
    <w:rsid w:val="0009741C"/>
    <w:rsid w:val="000A0B57"/>
    <w:rsid w:val="000A10A4"/>
    <w:rsid w:val="000A1B60"/>
    <w:rsid w:val="000A33EF"/>
    <w:rsid w:val="000A43B3"/>
    <w:rsid w:val="000A563D"/>
    <w:rsid w:val="000A57DC"/>
    <w:rsid w:val="000A5F0A"/>
    <w:rsid w:val="000A70B2"/>
    <w:rsid w:val="000A7748"/>
    <w:rsid w:val="000A7F3B"/>
    <w:rsid w:val="000B0E9F"/>
    <w:rsid w:val="000B127D"/>
    <w:rsid w:val="000B17E1"/>
    <w:rsid w:val="000B21EC"/>
    <w:rsid w:val="000B23BF"/>
    <w:rsid w:val="000B272F"/>
    <w:rsid w:val="000B2AD6"/>
    <w:rsid w:val="000B2E28"/>
    <w:rsid w:val="000B2F60"/>
    <w:rsid w:val="000B3318"/>
    <w:rsid w:val="000B437F"/>
    <w:rsid w:val="000B53BD"/>
    <w:rsid w:val="000B61AD"/>
    <w:rsid w:val="000B7F10"/>
    <w:rsid w:val="000C0415"/>
    <w:rsid w:val="000C09EA"/>
    <w:rsid w:val="000C0A3D"/>
    <w:rsid w:val="000C118C"/>
    <w:rsid w:val="000C1447"/>
    <w:rsid w:val="000C1656"/>
    <w:rsid w:val="000C1668"/>
    <w:rsid w:val="000C2604"/>
    <w:rsid w:val="000C2D6F"/>
    <w:rsid w:val="000C39C5"/>
    <w:rsid w:val="000C46FF"/>
    <w:rsid w:val="000C6754"/>
    <w:rsid w:val="000C6CC2"/>
    <w:rsid w:val="000C6E6E"/>
    <w:rsid w:val="000C715C"/>
    <w:rsid w:val="000C731C"/>
    <w:rsid w:val="000C7426"/>
    <w:rsid w:val="000C7E3A"/>
    <w:rsid w:val="000D008E"/>
    <w:rsid w:val="000D06EF"/>
    <w:rsid w:val="000D1B3C"/>
    <w:rsid w:val="000D2ADB"/>
    <w:rsid w:val="000D39B0"/>
    <w:rsid w:val="000D419F"/>
    <w:rsid w:val="000D4E21"/>
    <w:rsid w:val="000D69F2"/>
    <w:rsid w:val="000D6EE6"/>
    <w:rsid w:val="000D7401"/>
    <w:rsid w:val="000E04B5"/>
    <w:rsid w:val="000E09D9"/>
    <w:rsid w:val="000E0B2C"/>
    <w:rsid w:val="000E0CA9"/>
    <w:rsid w:val="000E1AB5"/>
    <w:rsid w:val="000E1DFC"/>
    <w:rsid w:val="000E28FA"/>
    <w:rsid w:val="000E4A11"/>
    <w:rsid w:val="000E4A7D"/>
    <w:rsid w:val="000E590B"/>
    <w:rsid w:val="000E598D"/>
    <w:rsid w:val="000E6440"/>
    <w:rsid w:val="000E66A8"/>
    <w:rsid w:val="000E6890"/>
    <w:rsid w:val="000E6A45"/>
    <w:rsid w:val="000E759D"/>
    <w:rsid w:val="000E75CB"/>
    <w:rsid w:val="000E7655"/>
    <w:rsid w:val="000E7C5D"/>
    <w:rsid w:val="000E7EFF"/>
    <w:rsid w:val="000E7F47"/>
    <w:rsid w:val="000F0B6B"/>
    <w:rsid w:val="000F0BC4"/>
    <w:rsid w:val="000F1DF9"/>
    <w:rsid w:val="000F20D7"/>
    <w:rsid w:val="000F2600"/>
    <w:rsid w:val="000F2D3A"/>
    <w:rsid w:val="000F3845"/>
    <w:rsid w:val="000F45DC"/>
    <w:rsid w:val="000F4CB7"/>
    <w:rsid w:val="000F4FD2"/>
    <w:rsid w:val="000F5621"/>
    <w:rsid w:val="000F5B66"/>
    <w:rsid w:val="000F5B86"/>
    <w:rsid w:val="000F6562"/>
    <w:rsid w:val="000F674A"/>
    <w:rsid w:val="000F6CFB"/>
    <w:rsid w:val="00100535"/>
    <w:rsid w:val="001005EE"/>
    <w:rsid w:val="00100A41"/>
    <w:rsid w:val="001015C2"/>
    <w:rsid w:val="001016B3"/>
    <w:rsid w:val="00101AAB"/>
    <w:rsid w:val="00101AFE"/>
    <w:rsid w:val="00101F59"/>
    <w:rsid w:val="00102D61"/>
    <w:rsid w:val="00102DCF"/>
    <w:rsid w:val="001034DF"/>
    <w:rsid w:val="00103973"/>
    <w:rsid w:val="00104000"/>
    <w:rsid w:val="001041C9"/>
    <w:rsid w:val="00104215"/>
    <w:rsid w:val="00106667"/>
    <w:rsid w:val="00106B28"/>
    <w:rsid w:val="0010776F"/>
    <w:rsid w:val="00107AEE"/>
    <w:rsid w:val="00110019"/>
    <w:rsid w:val="001103AA"/>
    <w:rsid w:val="0011097C"/>
    <w:rsid w:val="00110C3B"/>
    <w:rsid w:val="001116CE"/>
    <w:rsid w:val="00111AE6"/>
    <w:rsid w:val="0011216C"/>
    <w:rsid w:val="00112B83"/>
    <w:rsid w:val="001138FA"/>
    <w:rsid w:val="00113EE7"/>
    <w:rsid w:val="00113EFF"/>
    <w:rsid w:val="00114534"/>
    <w:rsid w:val="00114545"/>
    <w:rsid w:val="001150FD"/>
    <w:rsid w:val="001153A4"/>
    <w:rsid w:val="00116D0F"/>
    <w:rsid w:val="0011728E"/>
    <w:rsid w:val="00117357"/>
    <w:rsid w:val="00117828"/>
    <w:rsid w:val="00117E94"/>
    <w:rsid w:val="00120016"/>
    <w:rsid w:val="00120417"/>
    <w:rsid w:val="00120EBB"/>
    <w:rsid w:val="00121B11"/>
    <w:rsid w:val="00121D86"/>
    <w:rsid w:val="001233E9"/>
    <w:rsid w:val="00123944"/>
    <w:rsid w:val="00123EC2"/>
    <w:rsid w:val="00124073"/>
    <w:rsid w:val="00124163"/>
    <w:rsid w:val="00124455"/>
    <w:rsid w:val="001248CD"/>
    <w:rsid w:val="00125115"/>
    <w:rsid w:val="001264B9"/>
    <w:rsid w:val="001268E0"/>
    <w:rsid w:val="00126CD4"/>
    <w:rsid w:val="0012708A"/>
    <w:rsid w:val="00127335"/>
    <w:rsid w:val="001274E9"/>
    <w:rsid w:val="001313B1"/>
    <w:rsid w:val="00131941"/>
    <w:rsid w:val="00131D6C"/>
    <w:rsid w:val="0013279C"/>
    <w:rsid w:val="00132CC9"/>
    <w:rsid w:val="00133901"/>
    <w:rsid w:val="00133CB8"/>
    <w:rsid w:val="00133CFD"/>
    <w:rsid w:val="0013419F"/>
    <w:rsid w:val="00134225"/>
    <w:rsid w:val="001346DE"/>
    <w:rsid w:val="00134B8A"/>
    <w:rsid w:val="00134CFE"/>
    <w:rsid w:val="00134D65"/>
    <w:rsid w:val="00134DF0"/>
    <w:rsid w:val="00135096"/>
    <w:rsid w:val="001355FC"/>
    <w:rsid w:val="001359EF"/>
    <w:rsid w:val="00135E53"/>
    <w:rsid w:val="0013618E"/>
    <w:rsid w:val="001362B3"/>
    <w:rsid w:val="001368E7"/>
    <w:rsid w:val="00137342"/>
    <w:rsid w:val="00137EB1"/>
    <w:rsid w:val="001402C9"/>
    <w:rsid w:val="001402CB"/>
    <w:rsid w:val="00140F52"/>
    <w:rsid w:val="00140F95"/>
    <w:rsid w:val="0014156A"/>
    <w:rsid w:val="001423BD"/>
    <w:rsid w:val="00142D7B"/>
    <w:rsid w:val="00143C7F"/>
    <w:rsid w:val="0014481E"/>
    <w:rsid w:val="00144953"/>
    <w:rsid w:val="00144A58"/>
    <w:rsid w:val="00144F99"/>
    <w:rsid w:val="001453C6"/>
    <w:rsid w:val="0014545D"/>
    <w:rsid w:val="001458D9"/>
    <w:rsid w:val="001458EF"/>
    <w:rsid w:val="00145B89"/>
    <w:rsid w:val="00145D3C"/>
    <w:rsid w:val="00147059"/>
    <w:rsid w:val="001472A4"/>
    <w:rsid w:val="001474A2"/>
    <w:rsid w:val="00147C40"/>
    <w:rsid w:val="00147FB8"/>
    <w:rsid w:val="0015082E"/>
    <w:rsid w:val="001522F8"/>
    <w:rsid w:val="00152601"/>
    <w:rsid w:val="00152D22"/>
    <w:rsid w:val="00153127"/>
    <w:rsid w:val="00153FDD"/>
    <w:rsid w:val="00154045"/>
    <w:rsid w:val="001546FC"/>
    <w:rsid w:val="00156009"/>
    <w:rsid w:val="0015709B"/>
    <w:rsid w:val="001606E0"/>
    <w:rsid w:val="00161049"/>
    <w:rsid w:val="00161562"/>
    <w:rsid w:val="00161A0F"/>
    <w:rsid w:val="00161EB5"/>
    <w:rsid w:val="00161FE9"/>
    <w:rsid w:val="001622C0"/>
    <w:rsid w:val="00162342"/>
    <w:rsid w:val="0016409B"/>
    <w:rsid w:val="0016517E"/>
    <w:rsid w:val="0016562E"/>
    <w:rsid w:val="00165BA4"/>
    <w:rsid w:val="0016647F"/>
    <w:rsid w:val="00166850"/>
    <w:rsid w:val="00166D50"/>
    <w:rsid w:val="001675ED"/>
    <w:rsid w:val="00167BA5"/>
    <w:rsid w:val="00170649"/>
    <w:rsid w:val="001706A0"/>
    <w:rsid w:val="001707F7"/>
    <w:rsid w:val="00170E90"/>
    <w:rsid w:val="0017138C"/>
    <w:rsid w:val="001714F3"/>
    <w:rsid w:val="0017208D"/>
    <w:rsid w:val="00173D7F"/>
    <w:rsid w:val="00174104"/>
    <w:rsid w:val="00174B44"/>
    <w:rsid w:val="00174E93"/>
    <w:rsid w:val="001762D7"/>
    <w:rsid w:val="0017683D"/>
    <w:rsid w:val="00177611"/>
    <w:rsid w:val="00180054"/>
    <w:rsid w:val="00180874"/>
    <w:rsid w:val="001837B0"/>
    <w:rsid w:val="0018396C"/>
    <w:rsid w:val="00183FAE"/>
    <w:rsid w:val="00184557"/>
    <w:rsid w:val="00184906"/>
    <w:rsid w:val="00184B64"/>
    <w:rsid w:val="00185C8D"/>
    <w:rsid w:val="00185CC0"/>
    <w:rsid w:val="00186144"/>
    <w:rsid w:val="0018655F"/>
    <w:rsid w:val="001875C7"/>
    <w:rsid w:val="001876B8"/>
    <w:rsid w:val="0019097F"/>
    <w:rsid w:val="00190989"/>
    <w:rsid w:val="001911A5"/>
    <w:rsid w:val="00191427"/>
    <w:rsid w:val="0019182F"/>
    <w:rsid w:val="00191AFC"/>
    <w:rsid w:val="00193282"/>
    <w:rsid w:val="00194937"/>
    <w:rsid w:val="00194D1D"/>
    <w:rsid w:val="00194F3E"/>
    <w:rsid w:val="0019595C"/>
    <w:rsid w:val="00195BE2"/>
    <w:rsid w:val="001961E3"/>
    <w:rsid w:val="00196485"/>
    <w:rsid w:val="001964C4"/>
    <w:rsid w:val="00197E3F"/>
    <w:rsid w:val="001A023B"/>
    <w:rsid w:val="001A0D2C"/>
    <w:rsid w:val="001A1985"/>
    <w:rsid w:val="001A2258"/>
    <w:rsid w:val="001A317B"/>
    <w:rsid w:val="001A39D3"/>
    <w:rsid w:val="001A5186"/>
    <w:rsid w:val="001A55D6"/>
    <w:rsid w:val="001A5B38"/>
    <w:rsid w:val="001A5B75"/>
    <w:rsid w:val="001A6F04"/>
    <w:rsid w:val="001A7523"/>
    <w:rsid w:val="001A75B9"/>
    <w:rsid w:val="001B0190"/>
    <w:rsid w:val="001B033F"/>
    <w:rsid w:val="001B051E"/>
    <w:rsid w:val="001B0763"/>
    <w:rsid w:val="001B07E5"/>
    <w:rsid w:val="001B0AA9"/>
    <w:rsid w:val="001B1783"/>
    <w:rsid w:val="001B1E49"/>
    <w:rsid w:val="001B1EDD"/>
    <w:rsid w:val="001B2C57"/>
    <w:rsid w:val="001B450B"/>
    <w:rsid w:val="001B4B58"/>
    <w:rsid w:val="001B5765"/>
    <w:rsid w:val="001B5B41"/>
    <w:rsid w:val="001B5CFE"/>
    <w:rsid w:val="001B60AB"/>
    <w:rsid w:val="001B61EB"/>
    <w:rsid w:val="001B6AA0"/>
    <w:rsid w:val="001B6B00"/>
    <w:rsid w:val="001B7440"/>
    <w:rsid w:val="001B7895"/>
    <w:rsid w:val="001B796D"/>
    <w:rsid w:val="001B79E8"/>
    <w:rsid w:val="001B7FC7"/>
    <w:rsid w:val="001C082B"/>
    <w:rsid w:val="001C0B49"/>
    <w:rsid w:val="001C116B"/>
    <w:rsid w:val="001C1647"/>
    <w:rsid w:val="001C18DD"/>
    <w:rsid w:val="001C1E7B"/>
    <w:rsid w:val="001C2E05"/>
    <w:rsid w:val="001C33E7"/>
    <w:rsid w:val="001C3595"/>
    <w:rsid w:val="001C3797"/>
    <w:rsid w:val="001C3D48"/>
    <w:rsid w:val="001C3EC5"/>
    <w:rsid w:val="001C443C"/>
    <w:rsid w:val="001C46F1"/>
    <w:rsid w:val="001C535E"/>
    <w:rsid w:val="001C56F3"/>
    <w:rsid w:val="001C638D"/>
    <w:rsid w:val="001C65DA"/>
    <w:rsid w:val="001C66FD"/>
    <w:rsid w:val="001C7A3F"/>
    <w:rsid w:val="001C7CC6"/>
    <w:rsid w:val="001D05D4"/>
    <w:rsid w:val="001D0658"/>
    <w:rsid w:val="001D0B44"/>
    <w:rsid w:val="001D0F5B"/>
    <w:rsid w:val="001D10EB"/>
    <w:rsid w:val="001D13B9"/>
    <w:rsid w:val="001D182C"/>
    <w:rsid w:val="001D1E60"/>
    <w:rsid w:val="001D2093"/>
    <w:rsid w:val="001D2540"/>
    <w:rsid w:val="001D26C5"/>
    <w:rsid w:val="001D286C"/>
    <w:rsid w:val="001D2A9E"/>
    <w:rsid w:val="001D3A34"/>
    <w:rsid w:val="001D3DC7"/>
    <w:rsid w:val="001D3ECB"/>
    <w:rsid w:val="001D4512"/>
    <w:rsid w:val="001D45D6"/>
    <w:rsid w:val="001D4B1F"/>
    <w:rsid w:val="001D4D8E"/>
    <w:rsid w:val="001D5A48"/>
    <w:rsid w:val="001D65B8"/>
    <w:rsid w:val="001D6B0B"/>
    <w:rsid w:val="001D6D83"/>
    <w:rsid w:val="001D7345"/>
    <w:rsid w:val="001D7923"/>
    <w:rsid w:val="001D7D5C"/>
    <w:rsid w:val="001D7DCF"/>
    <w:rsid w:val="001E08A5"/>
    <w:rsid w:val="001E21CE"/>
    <w:rsid w:val="001E27EA"/>
    <w:rsid w:val="001E3347"/>
    <w:rsid w:val="001E3937"/>
    <w:rsid w:val="001E3C83"/>
    <w:rsid w:val="001E3D02"/>
    <w:rsid w:val="001E40C4"/>
    <w:rsid w:val="001E450E"/>
    <w:rsid w:val="001E5549"/>
    <w:rsid w:val="001E64C8"/>
    <w:rsid w:val="001E6DCE"/>
    <w:rsid w:val="001E70A1"/>
    <w:rsid w:val="001E7280"/>
    <w:rsid w:val="001E7797"/>
    <w:rsid w:val="001E780D"/>
    <w:rsid w:val="001E7DF1"/>
    <w:rsid w:val="001F0006"/>
    <w:rsid w:val="001F0144"/>
    <w:rsid w:val="001F05B0"/>
    <w:rsid w:val="001F0B9B"/>
    <w:rsid w:val="001F129B"/>
    <w:rsid w:val="001F26BD"/>
    <w:rsid w:val="001F3162"/>
    <w:rsid w:val="001F3C40"/>
    <w:rsid w:val="001F437A"/>
    <w:rsid w:val="001F4593"/>
    <w:rsid w:val="001F460D"/>
    <w:rsid w:val="001F473C"/>
    <w:rsid w:val="001F5F8C"/>
    <w:rsid w:val="001F6D59"/>
    <w:rsid w:val="001F7B3E"/>
    <w:rsid w:val="001F7E0D"/>
    <w:rsid w:val="001F7E65"/>
    <w:rsid w:val="001F7F3C"/>
    <w:rsid w:val="00200C32"/>
    <w:rsid w:val="002016D1"/>
    <w:rsid w:val="00201C37"/>
    <w:rsid w:val="00201ED3"/>
    <w:rsid w:val="0020225E"/>
    <w:rsid w:val="00203C36"/>
    <w:rsid w:val="00205970"/>
    <w:rsid w:val="00205A63"/>
    <w:rsid w:val="00205E88"/>
    <w:rsid w:val="0020642A"/>
    <w:rsid w:val="00206A72"/>
    <w:rsid w:val="00207B5F"/>
    <w:rsid w:val="002111E5"/>
    <w:rsid w:val="002117C7"/>
    <w:rsid w:val="002117D4"/>
    <w:rsid w:val="00212B88"/>
    <w:rsid w:val="00212D8E"/>
    <w:rsid w:val="00212E8E"/>
    <w:rsid w:val="00213082"/>
    <w:rsid w:val="00215974"/>
    <w:rsid w:val="00216E1F"/>
    <w:rsid w:val="00217806"/>
    <w:rsid w:val="002179CD"/>
    <w:rsid w:val="00217CD8"/>
    <w:rsid w:val="0022204D"/>
    <w:rsid w:val="002220BC"/>
    <w:rsid w:val="002223AF"/>
    <w:rsid w:val="00222918"/>
    <w:rsid w:val="00222A19"/>
    <w:rsid w:val="00222D49"/>
    <w:rsid w:val="00222E08"/>
    <w:rsid w:val="002230AC"/>
    <w:rsid w:val="0022345F"/>
    <w:rsid w:val="00223A5C"/>
    <w:rsid w:val="00223F35"/>
    <w:rsid w:val="0022430E"/>
    <w:rsid w:val="002245EF"/>
    <w:rsid w:val="00224773"/>
    <w:rsid w:val="0022481F"/>
    <w:rsid w:val="00226BDB"/>
    <w:rsid w:val="00227716"/>
    <w:rsid w:val="00227CC4"/>
    <w:rsid w:val="00227E53"/>
    <w:rsid w:val="002300B5"/>
    <w:rsid w:val="00231FC0"/>
    <w:rsid w:val="0023240F"/>
    <w:rsid w:val="00232418"/>
    <w:rsid w:val="00232432"/>
    <w:rsid w:val="00232443"/>
    <w:rsid w:val="00233C4D"/>
    <w:rsid w:val="002345EA"/>
    <w:rsid w:val="00234B94"/>
    <w:rsid w:val="00236C5B"/>
    <w:rsid w:val="00236DED"/>
    <w:rsid w:val="002378FE"/>
    <w:rsid w:val="00237EA6"/>
    <w:rsid w:val="002400F6"/>
    <w:rsid w:val="00240A82"/>
    <w:rsid w:val="00241144"/>
    <w:rsid w:val="00241871"/>
    <w:rsid w:val="002421FB"/>
    <w:rsid w:val="00243A2E"/>
    <w:rsid w:val="002441B4"/>
    <w:rsid w:val="00244499"/>
    <w:rsid w:val="00244850"/>
    <w:rsid w:val="00244FEE"/>
    <w:rsid w:val="002453C0"/>
    <w:rsid w:val="00245D08"/>
    <w:rsid w:val="0024647D"/>
    <w:rsid w:val="00246604"/>
    <w:rsid w:val="00246912"/>
    <w:rsid w:val="00250028"/>
    <w:rsid w:val="002507AC"/>
    <w:rsid w:val="0025127F"/>
    <w:rsid w:val="002532F9"/>
    <w:rsid w:val="00253341"/>
    <w:rsid w:val="00253537"/>
    <w:rsid w:val="00253667"/>
    <w:rsid w:val="00253B8A"/>
    <w:rsid w:val="00255480"/>
    <w:rsid w:val="00255638"/>
    <w:rsid w:val="00255659"/>
    <w:rsid w:val="00255A11"/>
    <w:rsid w:val="00255CCC"/>
    <w:rsid w:val="00257830"/>
    <w:rsid w:val="00257CC1"/>
    <w:rsid w:val="00260291"/>
    <w:rsid w:val="002602CC"/>
    <w:rsid w:val="002605DA"/>
    <w:rsid w:val="00261BC5"/>
    <w:rsid w:val="00262166"/>
    <w:rsid w:val="0026233D"/>
    <w:rsid w:val="002623DC"/>
    <w:rsid w:val="00262EDB"/>
    <w:rsid w:val="002639A7"/>
    <w:rsid w:val="00263C14"/>
    <w:rsid w:val="002648D4"/>
    <w:rsid w:val="00264A45"/>
    <w:rsid w:val="00264B92"/>
    <w:rsid w:val="00266544"/>
    <w:rsid w:val="0026675A"/>
    <w:rsid w:val="00266D0A"/>
    <w:rsid w:val="00267E40"/>
    <w:rsid w:val="00267F84"/>
    <w:rsid w:val="00270034"/>
    <w:rsid w:val="0027061A"/>
    <w:rsid w:val="002707CB"/>
    <w:rsid w:val="002709B3"/>
    <w:rsid w:val="00270DBF"/>
    <w:rsid w:val="00271090"/>
    <w:rsid w:val="002713FB"/>
    <w:rsid w:val="0027155A"/>
    <w:rsid w:val="00271562"/>
    <w:rsid w:val="00271910"/>
    <w:rsid w:val="00271A77"/>
    <w:rsid w:val="00271BBD"/>
    <w:rsid w:val="00271E58"/>
    <w:rsid w:val="00272A62"/>
    <w:rsid w:val="00272AAD"/>
    <w:rsid w:val="00273002"/>
    <w:rsid w:val="0027326B"/>
    <w:rsid w:val="0027399F"/>
    <w:rsid w:val="00273EAB"/>
    <w:rsid w:val="00275267"/>
    <w:rsid w:val="00275A7C"/>
    <w:rsid w:val="00275D92"/>
    <w:rsid w:val="00276A92"/>
    <w:rsid w:val="0027729D"/>
    <w:rsid w:val="0028012B"/>
    <w:rsid w:val="00284840"/>
    <w:rsid w:val="0028494D"/>
    <w:rsid w:val="00285310"/>
    <w:rsid w:val="00285AB6"/>
    <w:rsid w:val="002863FB"/>
    <w:rsid w:val="002867D8"/>
    <w:rsid w:val="002868E0"/>
    <w:rsid w:val="002869B3"/>
    <w:rsid w:val="00286D9F"/>
    <w:rsid w:val="00287D9B"/>
    <w:rsid w:val="00287DF5"/>
    <w:rsid w:val="00290199"/>
    <w:rsid w:val="002901F4"/>
    <w:rsid w:val="0029049F"/>
    <w:rsid w:val="0029066D"/>
    <w:rsid w:val="0029074A"/>
    <w:rsid w:val="002908F6"/>
    <w:rsid w:val="002913A8"/>
    <w:rsid w:val="002917E4"/>
    <w:rsid w:val="00291A06"/>
    <w:rsid w:val="00291CF0"/>
    <w:rsid w:val="0029361C"/>
    <w:rsid w:val="00293CE5"/>
    <w:rsid w:val="002945F4"/>
    <w:rsid w:val="00294B25"/>
    <w:rsid w:val="00294BBF"/>
    <w:rsid w:val="002953A3"/>
    <w:rsid w:val="002955FD"/>
    <w:rsid w:val="00296770"/>
    <w:rsid w:val="00296D70"/>
    <w:rsid w:val="0029734A"/>
    <w:rsid w:val="00297CEB"/>
    <w:rsid w:val="002A062E"/>
    <w:rsid w:val="002A0A9A"/>
    <w:rsid w:val="002A3E7D"/>
    <w:rsid w:val="002A46DC"/>
    <w:rsid w:val="002A515E"/>
    <w:rsid w:val="002A51FF"/>
    <w:rsid w:val="002A58EE"/>
    <w:rsid w:val="002A6474"/>
    <w:rsid w:val="002A6F1A"/>
    <w:rsid w:val="002A7317"/>
    <w:rsid w:val="002A7518"/>
    <w:rsid w:val="002A79B5"/>
    <w:rsid w:val="002A7C2C"/>
    <w:rsid w:val="002B05D1"/>
    <w:rsid w:val="002B06B1"/>
    <w:rsid w:val="002B0957"/>
    <w:rsid w:val="002B0E5B"/>
    <w:rsid w:val="002B13CA"/>
    <w:rsid w:val="002B13FA"/>
    <w:rsid w:val="002B1474"/>
    <w:rsid w:val="002B1AE3"/>
    <w:rsid w:val="002B20E7"/>
    <w:rsid w:val="002B2A4B"/>
    <w:rsid w:val="002B2E51"/>
    <w:rsid w:val="002B2F2C"/>
    <w:rsid w:val="002B31D7"/>
    <w:rsid w:val="002B3448"/>
    <w:rsid w:val="002B3CC4"/>
    <w:rsid w:val="002B3D4C"/>
    <w:rsid w:val="002B44D4"/>
    <w:rsid w:val="002B461D"/>
    <w:rsid w:val="002B4949"/>
    <w:rsid w:val="002B494C"/>
    <w:rsid w:val="002B4B54"/>
    <w:rsid w:val="002B599C"/>
    <w:rsid w:val="002B6214"/>
    <w:rsid w:val="002B6E0D"/>
    <w:rsid w:val="002B7E12"/>
    <w:rsid w:val="002C099B"/>
    <w:rsid w:val="002C0BC5"/>
    <w:rsid w:val="002C16F4"/>
    <w:rsid w:val="002C3621"/>
    <w:rsid w:val="002C37DB"/>
    <w:rsid w:val="002C4299"/>
    <w:rsid w:val="002C452C"/>
    <w:rsid w:val="002C55B2"/>
    <w:rsid w:val="002C568C"/>
    <w:rsid w:val="002C5FA1"/>
    <w:rsid w:val="002C6337"/>
    <w:rsid w:val="002C6536"/>
    <w:rsid w:val="002C6A12"/>
    <w:rsid w:val="002C6FF2"/>
    <w:rsid w:val="002C7775"/>
    <w:rsid w:val="002C79EE"/>
    <w:rsid w:val="002C7B4C"/>
    <w:rsid w:val="002D014B"/>
    <w:rsid w:val="002D0437"/>
    <w:rsid w:val="002D0AC0"/>
    <w:rsid w:val="002D27D4"/>
    <w:rsid w:val="002D3891"/>
    <w:rsid w:val="002D3B69"/>
    <w:rsid w:val="002D3E73"/>
    <w:rsid w:val="002D434E"/>
    <w:rsid w:val="002D4701"/>
    <w:rsid w:val="002D4AD4"/>
    <w:rsid w:val="002D69C9"/>
    <w:rsid w:val="002D7219"/>
    <w:rsid w:val="002D787C"/>
    <w:rsid w:val="002E0D07"/>
    <w:rsid w:val="002E1F09"/>
    <w:rsid w:val="002E32A7"/>
    <w:rsid w:val="002E380D"/>
    <w:rsid w:val="002E3BB0"/>
    <w:rsid w:val="002E413F"/>
    <w:rsid w:val="002E42A6"/>
    <w:rsid w:val="002E4C66"/>
    <w:rsid w:val="002E5315"/>
    <w:rsid w:val="002E545F"/>
    <w:rsid w:val="002E5497"/>
    <w:rsid w:val="002E5FE6"/>
    <w:rsid w:val="002E6139"/>
    <w:rsid w:val="002E6480"/>
    <w:rsid w:val="002E6599"/>
    <w:rsid w:val="002E67CF"/>
    <w:rsid w:val="002E6AD0"/>
    <w:rsid w:val="002E7353"/>
    <w:rsid w:val="002E7872"/>
    <w:rsid w:val="002F00DE"/>
    <w:rsid w:val="002F0FAA"/>
    <w:rsid w:val="002F13BB"/>
    <w:rsid w:val="002F2A99"/>
    <w:rsid w:val="002F3629"/>
    <w:rsid w:val="002F50BD"/>
    <w:rsid w:val="002F5B4B"/>
    <w:rsid w:val="002F6259"/>
    <w:rsid w:val="002F6A9D"/>
    <w:rsid w:val="002F77D5"/>
    <w:rsid w:val="002F7DCC"/>
    <w:rsid w:val="003001AD"/>
    <w:rsid w:val="0030041A"/>
    <w:rsid w:val="00300629"/>
    <w:rsid w:val="00300C2C"/>
    <w:rsid w:val="00301B81"/>
    <w:rsid w:val="00303763"/>
    <w:rsid w:val="003037FA"/>
    <w:rsid w:val="003037FC"/>
    <w:rsid w:val="003047E5"/>
    <w:rsid w:val="003056D7"/>
    <w:rsid w:val="003057BF"/>
    <w:rsid w:val="0030647E"/>
    <w:rsid w:val="0030690D"/>
    <w:rsid w:val="00306A1E"/>
    <w:rsid w:val="00306CAE"/>
    <w:rsid w:val="003100AA"/>
    <w:rsid w:val="00311782"/>
    <w:rsid w:val="0031253C"/>
    <w:rsid w:val="003126B8"/>
    <w:rsid w:val="00313F60"/>
    <w:rsid w:val="00314019"/>
    <w:rsid w:val="003151A0"/>
    <w:rsid w:val="0031632E"/>
    <w:rsid w:val="00316CD7"/>
    <w:rsid w:val="00316F68"/>
    <w:rsid w:val="00317C47"/>
    <w:rsid w:val="003214B3"/>
    <w:rsid w:val="00321591"/>
    <w:rsid w:val="0032196B"/>
    <w:rsid w:val="00322D61"/>
    <w:rsid w:val="003233EB"/>
    <w:rsid w:val="003234E5"/>
    <w:rsid w:val="0032359A"/>
    <w:rsid w:val="00323D57"/>
    <w:rsid w:val="00323F3A"/>
    <w:rsid w:val="0032403D"/>
    <w:rsid w:val="00324B2E"/>
    <w:rsid w:val="0032552E"/>
    <w:rsid w:val="00325AFE"/>
    <w:rsid w:val="00325DA4"/>
    <w:rsid w:val="00326091"/>
    <w:rsid w:val="003260C7"/>
    <w:rsid w:val="0032637F"/>
    <w:rsid w:val="003269BB"/>
    <w:rsid w:val="00326B1A"/>
    <w:rsid w:val="003276F4"/>
    <w:rsid w:val="00327A6D"/>
    <w:rsid w:val="00327A7D"/>
    <w:rsid w:val="00327AF7"/>
    <w:rsid w:val="00327C46"/>
    <w:rsid w:val="003302A3"/>
    <w:rsid w:val="003305C1"/>
    <w:rsid w:val="00331F8D"/>
    <w:rsid w:val="00331FCE"/>
    <w:rsid w:val="00332718"/>
    <w:rsid w:val="003329BC"/>
    <w:rsid w:val="0033362B"/>
    <w:rsid w:val="003338A7"/>
    <w:rsid w:val="00333AF6"/>
    <w:rsid w:val="00333E16"/>
    <w:rsid w:val="00333FA7"/>
    <w:rsid w:val="003341BE"/>
    <w:rsid w:val="00334665"/>
    <w:rsid w:val="00335109"/>
    <w:rsid w:val="0033559C"/>
    <w:rsid w:val="003357B3"/>
    <w:rsid w:val="0033617E"/>
    <w:rsid w:val="00337240"/>
    <w:rsid w:val="00337E89"/>
    <w:rsid w:val="00340574"/>
    <w:rsid w:val="0034068E"/>
    <w:rsid w:val="00340799"/>
    <w:rsid w:val="0034094E"/>
    <w:rsid w:val="00340D63"/>
    <w:rsid w:val="00340F84"/>
    <w:rsid w:val="00341634"/>
    <w:rsid w:val="003416EB"/>
    <w:rsid w:val="00341BA9"/>
    <w:rsid w:val="003427E4"/>
    <w:rsid w:val="0034290E"/>
    <w:rsid w:val="0034380C"/>
    <w:rsid w:val="00343891"/>
    <w:rsid w:val="00343940"/>
    <w:rsid w:val="003439DD"/>
    <w:rsid w:val="00343A19"/>
    <w:rsid w:val="00343B5E"/>
    <w:rsid w:val="0034423C"/>
    <w:rsid w:val="003443E3"/>
    <w:rsid w:val="00344730"/>
    <w:rsid w:val="00345135"/>
    <w:rsid w:val="00345188"/>
    <w:rsid w:val="0034589F"/>
    <w:rsid w:val="00345C82"/>
    <w:rsid w:val="0034611B"/>
    <w:rsid w:val="003469AB"/>
    <w:rsid w:val="00347468"/>
    <w:rsid w:val="003477F9"/>
    <w:rsid w:val="00347C0C"/>
    <w:rsid w:val="003503F4"/>
    <w:rsid w:val="003509A0"/>
    <w:rsid w:val="00350B6A"/>
    <w:rsid w:val="003513E9"/>
    <w:rsid w:val="00351B01"/>
    <w:rsid w:val="00351C46"/>
    <w:rsid w:val="003520B1"/>
    <w:rsid w:val="003523A5"/>
    <w:rsid w:val="00353248"/>
    <w:rsid w:val="0035325A"/>
    <w:rsid w:val="00353373"/>
    <w:rsid w:val="00353AF2"/>
    <w:rsid w:val="0035487B"/>
    <w:rsid w:val="00354D0B"/>
    <w:rsid w:val="00355FEA"/>
    <w:rsid w:val="00356043"/>
    <w:rsid w:val="003560A8"/>
    <w:rsid w:val="00356AC9"/>
    <w:rsid w:val="003578D9"/>
    <w:rsid w:val="00357B35"/>
    <w:rsid w:val="00357B45"/>
    <w:rsid w:val="00357BD3"/>
    <w:rsid w:val="00357C17"/>
    <w:rsid w:val="00357D12"/>
    <w:rsid w:val="003600A0"/>
    <w:rsid w:val="003611ED"/>
    <w:rsid w:val="00361273"/>
    <w:rsid w:val="003615F2"/>
    <w:rsid w:val="00361646"/>
    <w:rsid w:val="003617DA"/>
    <w:rsid w:val="003624E9"/>
    <w:rsid w:val="003627C4"/>
    <w:rsid w:val="0036306F"/>
    <w:rsid w:val="00363DA8"/>
    <w:rsid w:val="00363E02"/>
    <w:rsid w:val="00363EBA"/>
    <w:rsid w:val="00364140"/>
    <w:rsid w:val="00364413"/>
    <w:rsid w:val="00364AA8"/>
    <w:rsid w:val="0036612C"/>
    <w:rsid w:val="00366B09"/>
    <w:rsid w:val="003674C1"/>
    <w:rsid w:val="00371ABF"/>
    <w:rsid w:val="00371C3C"/>
    <w:rsid w:val="003728FE"/>
    <w:rsid w:val="00372A66"/>
    <w:rsid w:val="00373EDB"/>
    <w:rsid w:val="00374112"/>
    <w:rsid w:val="00374603"/>
    <w:rsid w:val="00375366"/>
    <w:rsid w:val="00375417"/>
    <w:rsid w:val="003763EC"/>
    <w:rsid w:val="00376DBC"/>
    <w:rsid w:val="00380266"/>
    <w:rsid w:val="00380C0B"/>
    <w:rsid w:val="00381343"/>
    <w:rsid w:val="003819FB"/>
    <w:rsid w:val="00381EFD"/>
    <w:rsid w:val="00382E6C"/>
    <w:rsid w:val="003831BD"/>
    <w:rsid w:val="00383896"/>
    <w:rsid w:val="00384526"/>
    <w:rsid w:val="00384530"/>
    <w:rsid w:val="003849B3"/>
    <w:rsid w:val="00384C62"/>
    <w:rsid w:val="00384E71"/>
    <w:rsid w:val="00385638"/>
    <w:rsid w:val="00385B6C"/>
    <w:rsid w:val="00385F5C"/>
    <w:rsid w:val="0038620F"/>
    <w:rsid w:val="003865D6"/>
    <w:rsid w:val="003873FC"/>
    <w:rsid w:val="00390F66"/>
    <w:rsid w:val="00391310"/>
    <w:rsid w:val="00391383"/>
    <w:rsid w:val="00391D34"/>
    <w:rsid w:val="00392838"/>
    <w:rsid w:val="003936FE"/>
    <w:rsid w:val="003940EB"/>
    <w:rsid w:val="00394578"/>
    <w:rsid w:val="0039494C"/>
    <w:rsid w:val="00395386"/>
    <w:rsid w:val="003958A5"/>
    <w:rsid w:val="00395A22"/>
    <w:rsid w:val="00395A33"/>
    <w:rsid w:val="00395C21"/>
    <w:rsid w:val="0039608D"/>
    <w:rsid w:val="00396288"/>
    <w:rsid w:val="00397032"/>
    <w:rsid w:val="0039738D"/>
    <w:rsid w:val="003976D9"/>
    <w:rsid w:val="003A06A4"/>
    <w:rsid w:val="003A1357"/>
    <w:rsid w:val="003A14DB"/>
    <w:rsid w:val="003A2703"/>
    <w:rsid w:val="003A30F0"/>
    <w:rsid w:val="003A3B7D"/>
    <w:rsid w:val="003A4B87"/>
    <w:rsid w:val="003A51B1"/>
    <w:rsid w:val="003A5828"/>
    <w:rsid w:val="003A5AA5"/>
    <w:rsid w:val="003A5F50"/>
    <w:rsid w:val="003A7DAF"/>
    <w:rsid w:val="003A7ED7"/>
    <w:rsid w:val="003B09B2"/>
    <w:rsid w:val="003B1206"/>
    <w:rsid w:val="003B3351"/>
    <w:rsid w:val="003B3563"/>
    <w:rsid w:val="003B4AB2"/>
    <w:rsid w:val="003B7703"/>
    <w:rsid w:val="003B7AF3"/>
    <w:rsid w:val="003B7ECD"/>
    <w:rsid w:val="003B7FB5"/>
    <w:rsid w:val="003C08EF"/>
    <w:rsid w:val="003C1705"/>
    <w:rsid w:val="003C205B"/>
    <w:rsid w:val="003C3697"/>
    <w:rsid w:val="003C3FDA"/>
    <w:rsid w:val="003C4147"/>
    <w:rsid w:val="003C4895"/>
    <w:rsid w:val="003C4CD5"/>
    <w:rsid w:val="003C5DDA"/>
    <w:rsid w:val="003C7D67"/>
    <w:rsid w:val="003C7E95"/>
    <w:rsid w:val="003D0004"/>
    <w:rsid w:val="003D08A1"/>
    <w:rsid w:val="003D09EB"/>
    <w:rsid w:val="003D1637"/>
    <w:rsid w:val="003D1C23"/>
    <w:rsid w:val="003D1F7F"/>
    <w:rsid w:val="003D243C"/>
    <w:rsid w:val="003D2A98"/>
    <w:rsid w:val="003D30A6"/>
    <w:rsid w:val="003D357D"/>
    <w:rsid w:val="003D3B56"/>
    <w:rsid w:val="003D3BA7"/>
    <w:rsid w:val="003D41B4"/>
    <w:rsid w:val="003D4448"/>
    <w:rsid w:val="003D64AD"/>
    <w:rsid w:val="003D69FA"/>
    <w:rsid w:val="003D7476"/>
    <w:rsid w:val="003D7DD4"/>
    <w:rsid w:val="003E0D22"/>
    <w:rsid w:val="003E0D39"/>
    <w:rsid w:val="003E1248"/>
    <w:rsid w:val="003E1642"/>
    <w:rsid w:val="003E19A3"/>
    <w:rsid w:val="003E1D94"/>
    <w:rsid w:val="003E23D5"/>
    <w:rsid w:val="003E2C8F"/>
    <w:rsid w:val="003E4693"/>
    <w:rsid w:val="003E4BA7"/>
    <w:rsid w:val="003E54DE"/>
    <w:rsid w:val="003E69DB"/>
    <w:rsid w:val="003E73F2"/>
    <w:rsid w:val="003F0E9E"/>
    <w:rsid w:val="003F1626"/>
    <w:rsid w:val="003F1B2E"/>
    <w:rsid w:val="003F253C"/>
    <w:rsid w:val="003F2A09"/>
    <w:rsid w:val="003F2DB0"/>
    <w:rsid w:val="003F45C0"/>
    <w:rsid w:val="003F49A8"/>
    <w:rsid w:val="003F4A55"/>
    <w:rsid w:val="003F575D"/>
    <w:rsid w:val="003F6E86"/>
    <w:rsid w:val="003F7F7E"/>
    <w:rsid w:val="004010E0"/>
    <w:rsid w:val="00401A2E"/>
    <w:rsid w:val="004024EE"/>
    <w:rsid w:val="004026E9"/>
    <w:rsid w:val="004028DC"/>
    <w:rsid w:val="0040305A"/>
    <w:rsid w:val="00403546"/>
    <w:rsid w:val="00403575"/>
    <w:rsid w:val="00403C51"/>
    <w:rsid w:val="00403D16"/>
    <w:rsid w:val="00405655"/>
    <w:rsid w:val="00405D54"/>
    <w:rsid w:val="00406125"/>
    <w:rsid w:val="0040654C"/>
    <w:rsid w:val="00407386"/>
    <w:rsid w:val="004107B2"/>
    <w:rsid w:val="004115B1"/>
    <w:rsid w:val="00411897"/>
    <w:rsid w:val="00411BCF"/>
    <w:rsid w:val="00411F2A"/>
    <w:rsid w:val="004120F0"/>
    <w:rsid w:val="0041227D"/>
    <w:rsid w:val="004127C4"/>
    <w:rsid w:val="00413BBE"/>
    <w:rsid w:val="00414294"/>
    <w:rsid w:val="0041461B"/>
    <w:rsid w:val="00414682"/>
    <w:rsid w:val="00414B56"/>
    <w:rsid w:val="00416138"/>
    <w:rsid w:val="0041685B"/>
    <w:rsid w:val="00416E2C"/>
    <w:rsid w:val="0041715F"/>
    <w:rsid w:val="004176F2"/>
    <w:rsid w:val="00417907"/>
    <w:rsid w:val="00420162"/>
    <w:rsid w:val="0042061B"/>
    <w:rsid w:val="0042194B"/>
    <w:rsid w:val="00422390"/>
    <w:rsid w:val="004223A0"/>
    <w:rsid w:val="00422611"/>
    <w:rsid w:val="0042297A"/>
    <w:rsid w:val="00423E42"/>
    <w:rsid w:val="00423FEC"/>
    <w:rsid w:val="00424552"/>
    <w:rsid w:val="0042459E"/>
    <w:rsid w:val="0042523D"/>
    <w:rsid w:val="004255A5"/>
    <w:rsid w:val="00425D88"/>
    <w:rsid w:val="00425EF5"/>
    <w:rsid w:val="00426675"/>
    <w:rsid w:val="004266EE"/>
    <w:rsid w:val="00426747"/>
    <w:rsid w:val="004268FD"/>
    <w:rsid w:val="00427340"/>
    <w:rsid w:val="00427674"/>
    <w:rsid w:val="00427C7A"/>
    <w:rsid w:val="00430548"/>
    <w:rsid w:val="00430B7F"/>
    <w:rsid w:val="00431268"/>
    <w:rsid w:val="004316F7"/>
    <w:rsid w:val="004324D7"/>
    <w:rsid w:val="004328FD"/>
    <w:rsid w:val="00432D06"/>
    <w:rsid w:val="00433675"/>
    <w:rsid w:val="00436015"/>
    <w:rsid w:val="0043684F"/>
    <w:rsid w:val="00436D25"/>
    <w:rsid w:val="00440E4E"/>
    <w:rsid w:val="00441135"/>
    <w:rsid w:val="004415FF"/>
    <w:rsid w:val="004416E1"/>
    <w:rsid w:val="00442300"/>
    <w:rsid w:val="00442CC4"/>
    <w:rsid w:val="004430AB"/>
    <w:rsid w:val="00443207"/>
    <w:rsid w:val="0044345C"/>
    <w:rsid w:val="00443807"/>
    <w:rsid w:val="00443A54"/>
    <w:rsid w:val="00443D1C"/>
    <w:rsid w:val="00444464"/>
    <w:rsid w:val="004448B4"/>
    <w:rsid w:val="0044491C"/>
    <w:rsid w:val="004451D5"/>
    <w:rsid w:val="00445929"/>
    <w:rsid w:val="00445A48"/>
    <w:rsid w:val="00445E15"/>
    <w:rsid w:val="004462C1"/>
    <w:rsid w:val="00446AE7"/>
    <w:rsid w:val="004470BE"/>
    <w:rsid w:val="00447838"/>
    <w:rsid w:val="004502DF"/>
    <w:rsid w:val="00450DAB"/>
    <w:rsid w:val="00451368"/>
    <w:rsid w:val="00451765"/>
    <w:rsid w:val="00452A27"/>
    <w:rsid w:val="004537A8"/>
    <w:rsid w:val="004542DA"/>
    <w:rsid w:val="004543AC"/>
    <w:rsid w:val="004546B7"/>
    <w:rsid w:val="00454C08"/>
    <w:rsid w:val="004554E6"/>
    <w:rsid w:val="00456370"/>
    <w:rsid w:val="00456D5F"/>
    <w:rsid w:val="0045784E"/>
    <w:rsid w:val="00457A83"/>
    <w:rsid w:val="00457D67"/>
    <w:rsid w:val="00457F36"/>
    <w:rsid w:val="0046050B"/>
    <w:rsid w:val="004605EB"/>
    <w:rsid w:val="00460ACB"/>
    <w:rsid w:val="00463668"/>
    <w:rsid w:val="00463A14"/>
    <w:rsid w:val="00463E4C"/>
    <w:rsid w:val="00464632"/>
    <w:rsid w:val="00464A25"/>
    <w:rsid w:val="0046564F"/>
    <w:rsid w:val="00465F3B"/>
    <w:rsid w:val="004673D4"/>
    <w:rsid w:val="004674F4"/>
    <w:rsid w:val="00467C76"/>
    <w:rsid w:val="004705FC"/>
    <w:rsid w:val="0047171A"/>
    <w:rsid w:val="00471FCB"/>
    <w:rsid w:val="00472503"/>
    <w:rsid w:val="00472E2D"/>
    <w:rsid w:val="00473371"/>
    <w:rsid w:val="00473725"/>
    <w:rsid w:val="00473822"/>
    <w:rsid w:val="00473C82"/>
    <w:rsid w:val="00473E8F"/>
    <w:rsid w:val="004745AA"/>
    <w:rsid w:val="00474776"/>
    <w:rsid w:val="00474779"/>
    <w:rsid w:val="0047527E"/>
    <w:rsid w:val="00475CDD"/>
    <w:rsid w:val="00475FC4"/>
    <w:rsid w:val="00475FF3"/>
    <w:rsid w:val="00476D45"/>
    <w:rsid w:val="004775B3"/>
    <w:rsid w:val="00477642"/>
    <w:rsid w:val="004779BA"/>
    <w:rsid w:val="00477E7B"/>
    <w:rsid w:val="00477E83"/>
    <w:rsid w:val="004807AA"/>
    <w:rsid w:val="004809A5"/>
    <w:rsid w:val="0048142F"/>
    <w:rsid w:val="00481650"/>
    <w:rsid w:val="004822D2"/>
    <w:rsid w:val="0048278C"/>
    <w:rsid w:val="004827BB"/>
    <w:rsid w:val="00482A58"/>
    <w:rsid w:val="00483E0D"/>
    <w:rsid w:val="0048446B"/>
    <w:rsid w:val="00484F6F"/>
    <w:rsid w:val="00485275"/>
    <w:rsid w:val="004852A1"/>
    <w:rsid w:val="00485F58"/>
    <w:rsid w:val="004879DF"/>
    <w:rsid w:val="004902B0"/>
    <w:rsid w:val="0049073D"/>
    <w:rsid w:val="00490B0E"/>
    <w:rsid w:val="00490DAE"/>
    <w:rsid w:val="00490DDA"/>
    <w:rsid w:val="0049141D"/>
    <w:rsid w:val="00491F44"/>
    <w:rsid w:val="004923FF"/>
    <w:rsid w:val="004924AA"/>
    <w:rsid w:val="004926BC"/>
    <w:rsid w:val="004926CE"/>
    <w:rsid w:val="00493DD2"/>
    <w:rsid w:val="0049540A"/>
    <w:rsid w:val="00495D93"/>
    <w:rsid w:val="00496AF3"/>
    <w:rsid w:val="00497EAB"/>
    <w:rsid w:val="00497ED6"/>
    <w:rsid w:val="004A0141"/>
    <w:rsid w:val="004A0640"/>
    <w:rsid w:val="004A0E4E"/>
    <w:rsid w:val="004A1AD6"/>
    <w:rsid w:val="004A2467"/>
    <w:rsid w:val="004A36C2"/>
    <w:rsid w:val="004A3A19"/>
    <w:rsid w:val="004A401E"/>
    <w:rsid w:val="004A41D4"/>
    <w:rsid w:val="004A52D2"/>
    <w:rsid w:val="004A5BCE"/>
    <w:rsid w:val="004A5DDC"/>
    <w:rsid w:val="004A6165"/>
    <w:rsid w:val="004A743E"/>
    <w:rsid w:val="004A7DD3"/>
    <w:rsid w:val="004A7EAD"/>
    <w:rsid w:val="004A7FE8"/>
    <w:rsid w:val="004B0033"/>
    <w:rsid w:val="004B0626"/>
    <w:rsid w:val="004B0DF4"/>
    <w:rsid w:val="004B10B8"/>
    <w:rsid w:val="004B12B2"/>
    <w:rsid w:val="004B23A1"/>
    <w:rsid w:val="004B24B1"/>
    <w:rsid w:val="004B259B"/>
    <w:rsid w:val="004B2B65"/>
    <w:rsid w:val="004B303F"/>
    <w:rsid w:val="004B3055"/>
    <w:rsid w:val="004B3822"/>
    <w:rsid w:val="004B3906"/>
    <w:rsid w:val="004B39AF"/>
    <w:rsid w:val="004B4006"/>
    <w:rsid w:val="004B450A"/>
    <w:rsid w:val="004B45F3"/>
    <w:rsid w:val="004B59F9"/>
    <w:rsid w:val="004B656A"/>
    <w:rsid w:val="004B6C4E"/>
    <w:rsid w:val="004B7588"/>
    <w:rsid w:val="004B7B63"/>
    <w:rsid w:val="004C00ED"/>
    <w:rsid w:val="004C0418"/>
    <w:rsid w:val="004C0582"/>
    <w:rsid w:val="004C1222"/>
    <w:rsid w:val="004C26F3"/>
    <w:rsid w:val="004C2BD0"/>
    <w:rsid w:val="004C3A5D"/>
    <w:rsid w:val="004C492B"/>
    <w:rsid w:val="004C4D19"/>
    <w:rsid w:val="004C51DC"/>
    <w:rsid w:val="004C5922"/>
    <w:rsid w:val="004C599F"/>
    <w:rsid w:val="004C5D8E"/>
    <w:rsid w:val="004C62BA"/>
    <w:rsid w:val="004C7DAD"/>
    <w:rsid w:val="004D0FF8"/>
    <w:rsid w:val="004D1734"/>
    <w:rsid w:val="004D28C1"/>
    <w:rsid w:val="004D3201"/>
    <w:rsid w:val="004D35BB"/>
    <w:rsid w:val="004D3E6A"/>
    <w:rsid w:val="004D4231"/>
    <w:rsid w:val="004D4C15"/>
    <w:rsid w:val="004D568E"/>
    <w:rsid w:val="004D56BE"/>
    <w:rsid w:val="004D5ED7"/>
    <w:rsid w:val="004D62A9"/>
    <w:rsid w:val="004D62AE"/>
    <w:rsid w:val="004D67BB"/>
    <w:rsid w:val="004D69A6"/>
    <w:rsid w:val="004D6DEF"/>
    <w:rsid w:val="004D7101"/>
    <w:rsid w:val="004D7F52"/>
    <w:rsid w:val="004E0EF8"/>
    <w:rsid w:val="004E15C2"/>
    <w:rsid w:val="004E19BE"/>
    <w:rsid w:val="004E1DB0"/>
    <w:rsid w:val="004E23CE"/>
    <w:rsid w:val="004E2560"/>
    <w:rsid w:val="004E2953"/>
    <w:rsid w:val="004E37BD"/>
    <w:rsid w:val="004E4031"/>
    <w:rsid w:val="004E4950"/>
    <w:rsid w:val="004E496C"/>
    <w:rsid w:val="004E4D4F"/>
    <w:rsid w:val="004E51E1"/>
    <w:rsid w:val="004E5C3B"/>
    <w:rsid w:val="004E5DD4"/>
    <w:rsid w:val="004E68D6"/>
    <w:rsid w:val="004E7B5D"/>
    <w:rsid w:val="004F0406"/>
    <w:rsid w:val="004F11C7"/>
    <w:rsid w:val="004F12E2"/>
    <w:rsid w:val="004F21F3"/>
    <w:rsid w:val="004F2236"/>
    <w:rsid w:val="004F234C"/>
    <w:rsid w:val="004F2C93"/>
    <w:rsid w:val="004F2D53"/>
    <w:rsid w:val="004F2F9D"/>
    <w:rsid w:val="004F3929"/>
    <w:rsid w:val="004F39E2"/>
    <w:rsid w:val="004F49B8"/>
    <w:rsid w:val="004F4D8D"/>
    <w:rsid w:val="004F6680"/>
    <w:rsid w:val="004F7213"/>
    <w:rsid w:val="004F7828"/>
    <w:rsid w:val="004F78EB"/>
    <w:rsid w:val="00500883"/>
    <w:rsid w:val="00500918"/>
    <w:rsid w:val="00500CF8"/>
    <w:rsid w:val="0050147F"/>
    <w:rsid w:val="00501AA3"/>
    <w:rsid w:val="00503015"/>
    <w:rsid w:val="00503172"/>
    <w:rsid w:val="00503E20"/>
    <w:rsid w:val="00504208"/>
    <w:rsid w:val="005042AD"/>
    <w:rsid w:val="0050462E"/>
    <w:rsid w:val="005047E2"/>
    <w:rsid w:val="00504C9B"/>
    <w:rsid w:val="00504EB7"/>
    <w:rsid w:val="0050510D"/>
    <w:rsid w:val="00506158"/>
    <w:rsid w:val="00506EE6"/>
    <w:rsid w:val="00507D6B"/>
    <w:rsid w:val="00510038"/>
    <w:rsid w:val="0051020D"/>
    <w:rsid w:val="00510638"/>
    <w:rsid w:val="00510D6C"/>
    <w:rsid w:val="0051183B"/>
    <w:rsid w:val="0051227B"/>
    <w:rsid w:val="0051236B"/>
    <w:rsid w:val="005126B1"/>
    <w:rsid w:val="0051283E"/>
    <w:rsid w:val="005129A6"/>
    <w:rsid w:val="005132EF"/>
    <w:rsid w:val="00513752"/>
    <w:rsid w:val="005137AB"/>
    <w:rsid w:val="0051394D"/>
    <w:rsid w:val="00513B39"/>
    <w:rsid w:val="00514E08"/>
    <w:rsid w:val="005155D3"/>
    <w:rsid w:val="005157CD"/>
    <w:rsid w:val="00517276"/>
    <w:rsid w:val="00517404"/>
    <w:rsid w:val="00517DF8"/>
    <w:rsid w:val="005215D5"/>
    <w:rsid w:val="00522611"/>
    <w:rsid w:val="0052282C"/>
    <w:rsid w:val="00522CD9"/>
    <w:rsid w:val="00523CD6"/>
    <w:rsid w:val="005249BC"/>
    <w:rsid w:val="00524BEF"/>
    <w:rsid w:val="00524E1A"/>
    <w:rsid w:val="00526155"/>
    <w:rsid w:val="00526A6D"/>
    <w:rsid w:val="00527017"/>
    <w:rsid w:val="00527C29"/>
    <w:rsid w:val="00527E4F"/>
    <w:rsid w:val="00530B3A"/>
    <w:rsid w:val="00531052"/>
    <w:rsid w:val="00531494"/>
    <w:rsid w:val="005314A4"/>
    <w:rsid w:val="00531604"/>
    <w:rsid w:val="00531A05"/>
    <w:rsid w:val="00531C86"/>
    <w:rsid w:val="00531CCB"/>
    <w:rsid w:val="0053234E"/>
    <w:rsid w:val="005325E4"/>
    <w:rsid w:val="00533BC0"/>
    <w:rsid w:val="00534072"/>
    <w:rsid w:val="005341C6"/>
    <w:rsid w:val="00534E26"/>
    <w:rsid w:val="0053548F"/>
    <w:rsid w:val="005369A3"/>
    <w:rsid w:val="00536F8F"/>
    <w:rsid w:val="0053739B"/>
    <w:rsid w:val="005373CC"/>
    <w:rsid w:val="00537530"/>
    <w:rsid w:val="005406BF"/>
    <w:rsid w:val="00542382"/>
    <w:rsid w:val="00542E24"/>
    <w:rsid w:val="0054306D"/>
    <w:rsid w:val="00544723"/>
    <w:rsid w:val="00544A8B"/>
    <w:rsid w:val="0054519F"/>
    <w:rsid w:val="00545457"/>
    <w:rsid w:val="00546336"/>
    <w:rsid w:val="00546467"/>
    <w:rsid w:val="0054782F"/>
    <w:rsid w:val="005515AE"/>
    <w:rsid w:val="005523EF"/>
    <w:rsid w:val="00552789"/>
    <w:rsid w:val="00554035"/>
    <w:rsid w:val="005543F9"/>
    <w:rsid w:val="00554B3E"/>
    <w:rsid w:val="00555003"/>
    <w:rsid w:val="005556A4"/>
    <w:rsid w:val="00556019"/>
    <w:rsid w:val="005564C4"/>
    <w:rsid w:val="005566BE"/>
    <w:rsid w:val="00556AD8"/>
    <w:rsid w:val="00560994"/>
    <w:rsid w:val="00560B88"/>
    <w:rsid w:val="00561115"/>
    <w:rsid w:val="00561372"/>
    <w:rsid w:val="00562BE9"/>
    <w:rsid w:val="00562C32"/>
    <w:rsid w:val="005634AC"/>
    <w:rsid w:val="0056479D"/>
    <w:rsid w:val="005650DB"/>
    <w:rsid w:val="005656CC"/>
    <w:rsid w:val="00565927"/>
    <w:rsid w:val="00566193"/>
    <w:rsid w:val="0056674A"/>
    <w:rsid w:val="00566B0D"/>
    <w:rsid w:val="00566CA2"/>
    <w:rsid w:val="00566E0A"/>
    <w:rsid w:val="005674F6"/>
    <w:rsid w:val="00567AAF"/>
    <w:rsid w:val="00567D6F"/>
    <w:rsid w:val="0057106E"/>
    <w:rsid w:val="005710C9"/>
    <w:rsid w:val="00571438"/>
    <w:rsid w:val="00571B2E"/>
    <w:rsid w:val="005720A5"/>
    <w:rsid w:val="0057251E"/>
    <w:rsid w:val="0057377D"/>
    <w:rsid w:val="005738FD"/>
    <w:rsid w:val="005739BF"/>
    <w:rsid w:val="00573CBA"/>
    <w:rsid w:val="00573CD0"/>
    <w:rsid w:val="00574C5B"/>
    <w:rsid w:val="00574D52"/>
    <w:rsid w:val="00574DE1"/>
    <w:rsid w:val="005752EE"/>
    <w:rsid w:val="00575792"/>
    <w:rsid w:val="00575DBF"/>
    <w:rsid w:val="00576678"/>
    <w:rsid w:val="00581A20"/>
    <w:rsid w:val="0058201A"/>
    <w:rsid w:val="005832E6"/>
    <w:rsid w:val="00583F77"/>
    <w:rsid w:val="00584651"/>
    <w:rsid w:val="00585B89"/>
    <w:rsid w:val="00586066"/>
    <w:rsid w:val="005869F6"/>
    <w:rsid w:val="005906BE"/>
    <w:rsid w:val="00590990"/>
    <w:rsid w:val="005918BE"/>
    <w:rsid w:val="00591DF9"/>
    <w:rsid w:val="0059302B"/>
    <w:rsid w:val="00593EB4"/>
    <w:rsid w:val="005945EA"/>
    <w:rsid w:val="00594DAA"/>
    <w:rsid w:val="00594EA8"/>
    <w:rsid w:val="0059518A"/>
    <w:rsid w:val="00595A52"/>
    <w:rsid w:val="0059610E"/>
    <w:rsid w:val="005965C1"/>
    <w:rsid w:val="00596885"/>
    <w:rsid w:val="005A0BAC"/>
    <w:rsid w:val="005A2BF8"/>
    <w:rsid w:val="005A2D5F"/>
    <w:rsid w:val="005A53E5"/>
    <w:rsid w:val="005A5AE9"/>
    <w:rsid w:val="005A621C"/>
    <w:rsid w:val="005A66EE"/>
    <w:rsid w:val="005A7173"/>
    <w:rsid w:val="005A748C"/>
    <w:rsid w:val="005A751D"/>
    <w:rsid w:val="005A79FA"/>
    <w:rsid w:val="005B0046"/>
    <w:rsid w:val="005B0459"/>
    <w:rsid w:val="005B0C33"/>
    <w:rsid w:val="005B2C0E"/>
    <w:rsid w:val="005B2FC3"/>
    <w:rsid w:val="005B31A4"/>
    <w:rsid w:val="005B35E4"/>
    <w:rsid w:val="005B3615"/>
    <w:rsid w:val="005B3E75"/>
    <w:rsid w:val="005B4C0A"/>
    <w:rsid w:val="005B5A65"/>
    <w:rsid w:val="005B5DD5"/>
    <w:rsid w:val="005B62F4"/>
    <w:rsid w:val="005B6D27"/>
    <w:rsid w:val="005B6E6D"/>
    <w:rsid w:val="005B6E72"/>
    <w:rsid w:val="005B7666"/>
    <w:rsid w:val="005B7775"/>
    <w:rsid w:val="005B79FD"/>
    <w:rsid w:val="005B7F1F"/>
    <w:rsid w:val="005C004C"/>
    <w:rsid w:val="005C0533"/>
    <w:rsid w:val="005C0B31"/>
    <w:rsid w:val="005C15E5"/>
    <w:rsid w:val="005C1844"/>
    <w:rsid w:val="005C1957"/>
    <w:rsid w:val="005C1D00"/>
    <w:rsid w:val="005C2D72"/>
    <w:rsid w:val="005C305F"/>
    <w:rsid w:val="005C355D"/>
    <w:rsid w:val="005C43AE"/>
    <w:rsid w:val="005C4E8C"/>
    <w:rsid w:val="005C6060"/>
    <w:rsid w:val="005C6302"/>
    <w:rsid w:val="005C796F"/>
    <w:rsid w:val="005C7B95"/>
    <w:rsid w:val="005D1167"/>
    <w:rsid w:val="005D1A37"/>
    <w:rsid w:val="005D1F58"/>
    <w:rsid w:val="005D293A"/>
    <w:rsid w:val="005D29FC"/>
    <w:rsid w:val="005D2D7B"/>
    <w:rsid w:val="005D356D"/>
    <w:rsid w:val="005D35A2"/>
    <w:rsid w:val="005D3CAE"/>
    <w:rsid w:val="005D4127"/>
    <w:rsid w:val="005D4789"/>
    <w:rsid w:val="005D4A92"/>
    <w:rsid w:val="005D4FA1"/>
    <w:rsid w:val="005D52E9"/>
    <w:rsid w:val="005D53F9"/>
    <w:rsid w:val="005D6C53"/>
    <w:rsid w:val="005D7318"/>
    <w:rsid w:val="005D73BF"/>
    <w:rsid w:val="005D78D7"/>
    <w:rsid w:val="005D7E5B"/>
    <w:rsid w:val="005D7F4B"/>
    <w:rsid w:val="005E058A"/>
    <w:rsid w:val="005E09B7"/>
    <w:rsid w:val="005E0E4D"/>
    <w:rsid w:val="005E140C"/>
    <w:rsid w:val="005E140E"/>
    <w:rsid w:val="005E20EB"/>
    <w:rsid w:val="005E3260"/>
    <w:rsid w:val="005E3A46"/>
    <w:rsid w:val="005E3C76"/>
    <w:rsid w:val="005E45A1"/>
    <w:rsid w:val="005E5171"/>
    <w:rsid w:val="005E62F4"/>
    <w:rsid w:val="005E642C"/>
    <w:rsid w:val="005E6D79"/>
    <w:rsid w:val="005E6F22"/>
    <w:rsid w:val="005E7050"/>
    <w:rsid w:val="005E74A3"/>
    <w:rsid w:val="005E76B4"/>
    <w:rsid w:val="005E7AD8"/>
    <w:rsid w:val="005E7D18"/>
    <w:rsid w:val="005F0287"/>
    <w:rsid w:val="005F0B18"/>
    <w:rsid w:val="005F12FF"/>
    <w:rsid w:val="005F2366"/>
    <w:rsid w:val="005F2472"/>
    <w:rsid w:val="005F2519"/>
    <w:rsid w:val="005F2D7F"/>
    <w:rsid w:val="005F2F2F"/>
    <w:rsid w:val="005F359E"/>
    <w:rsid w:val="005F40D6"/>
    <w:rsid w:val="005F428D"/>
    <w:rsid w:val="005F5897"/>
    <w:rsid w:val="005F5A8C"/>
    <w:rsid w:val="005F6872"/>
    <w:rsid w:val="005F7954"/>
    <w:rsid w:val="005F7997"/>
    <w:rsid w:val="005F7D28"/>
    <w:rsid w:val="005F7F6E"/>
    <w:rsid w:val="006012AD"/>
    <w:rsid w:val="00601D2C"/>
    <w:rsid w:val="0060214D"/>
    <w:rsid w:val="00602431"/>
    <w:rsid w:val="00602F23"/>
    <w:rsid w:val="00603D74"/>
    <w:rsid w:val="00604875"/>
    <w:rsid w:val="00604B78"/>
    <w:rsid w:val="00605DD9"/>
    <w:rsid w:val="006070CB"/>
    <w:rsid w:val="006073F2"/>
    <w:rsid w:val="00607D7D"/>
    <w:rsid w:val="00610152"/>
    <w:rsid w:val="00610429"/>
    <w:rsid w:val="0061053A"/>
    <w:rsid w:val="00610801"/>
    <w:rsid w:val="006110E1"/>
    <w:rsid w:val="006113CB"/>
    <w:rsid w:val="00611A5C"/>
    <w:rsid w:val="006127BD"/>
    <w:rsid w:val="006131FB"/>
    <w:rsid w:val="00613679"/>
    <w:rsid w:val="00613BFD"/>
    <w:rsid w:val="00613CB2"/>
    <w:rsid w:val="00614205"/>
    <w:rsid w:val="00614690"/>
    <w:rsid w:val="0061499C"/>
    <w:rsid w:val="00614BA5"/>
    <w:rsid w:val="00615097"/>
    <w:rsid w:val="00615738"/>
    <w:rsid w:val="0061638E"/>
    <w:rsid w:val="006166EE"/>
    <w:rsid w:val="00617624"/>
    <w:rsid w:val="00617AAB"/>
    <w:rsid w:val="006207A8"/>
    <w:rsid w:val="00620C8B"/>
    <w:rsid w:val="006210C4"/>
    <w:rsid w:val="006219CA"/>
    <w:rsid w:val="00621CD4"/>
    <w:rsid w:val="006225BC"/>
    <w:rsid w:val="00623511"/>
    <w:rsid w:val="00625700"/>
    <w:rsid w:val="00625C14"/>
    <w:rsid w:val="00625F6D"/>
    <w:rsid w:val="00625FEA"/>
    <w:rsid w:val="00626EEF"/>
    <w:rsid w:val="00627106"/>
    <w:rsid w:val="006271BF"/>
    <w:rsid w:val="00627910"/>
    <w:rsid w:val="00627E45"/>
    <w:rsid w:val="006301CC"/>
    <w:rsid w:val="00630574"/>
    <w:rsid w:val="006307D2"/>
    <w:rsid w:val="0063146C"/>
    <w:rsid w:val="006314B2"/>
    <w:rsid w:val="0063309A"/>
    <w:rsid w:val="00633355"/>
    <w:rsid w:val="00633EA0"/>
    <w:rsid w:val="006341F9"/>
    <w:rsid w:val="006345A7"/>
    <w:rsid w:val="00634A7D"/>
    <w:rsid w:val="00635EF0"/>
    <w:rsid w:val="006365D0"/>
    <w:rsid w:val="00636654"/>
    <w:rsid w:val="00636866"/>
    <w:rsid w:val="00636D51"/>
    <w:rsid w:val="00636D8D"/>
    <w:rsid w:val="006372FA"/>
    <w:rsid w:val="00637E81"/>
    <w:rsid w:val="006405E6"/>
    <w:rsid w:val="006411A2"/>
    <w:rsid w:val="00642333"/>
    <w:rsid w:val="00642F1C"/>
    <w:rsid w:val="00642F7E"/>
    <w:rsid w:val="00643022"/>
    <w:rsid w:val="006432BD"/>
    <w:rsid w:val="0064348C"/>
    <w:rsid w:val="00643531"/>
    <w:rsid w:val="006443C0"/>
    <w:rsid w:val="0064480C"/>
    <w:rsid w:val="00644A84"/>
    <w:rsid w:val="0064578E"/>
    <w:rsid w:val="00645841"/>
    <w:rsid w:val="0064588D"/>
    <w:rsid w:val="006458FD"/>
    <w:rsid w:val="006463B1"/>
    <w:rsid w:val="0064651D"/>
    <w:rsid w:val="006465A3"/>
    <w:rsid w:val="006468B6"/>
    <w:rsid w:val="00646F26"/>
    <w:rsid w:val="00647979"/>
    <w:rsid w:val="00647DEC"/>
    <w:rsid w:val="00647E62"/>
    <w:rsid w:val="006520A0"/>
    <w:rsid w:val="0065267C"/>
    <w:rsid w:val="006530DE"/>
    <w:rsid w:val="00653556"/>
    <w:rsid w:val="006537FD"/>
    <w:rsid w:val="00655045"/>
    <w:rsid w:val="00655454"/>
    <w:rsid w:val="00655594"/>
    <w:rsid w:val="00655F8E"/>
    <w:rsid w:val="006561E2"/>
    <w:rsid w:val="0065624A"/>
    <w:rsid w:val="0065640C"/>
    <w:rsid w:val="00656595"/>
    <w:rsid w:val="00657108"/>
    <w:rsid w:val="006574A4"/>
    <w:rsid w:val="00657D22"/>
    <w:rsid w:val="00660044"/>
    <w:rsid w:val="00660E45"/>
    <w:rsid w:val="00660EF2"/>
    <w:rsid w:val="0066102C"/>
    <w:rsid w:val="00661C6E"/>
    <w:rsid w:val="006624EF"/>
    <w:rsid w:val="00663A3E"/>
    <w:rsid w:val="00663B53"/>
    <w:rsid w:val="00664816"/>
    <w:rsid w:val="00664E43"/>
    <w:rsid w:val="00665A16"/>
    <w:rsid w:val="00665BC8"/>
    <w:rsid w:val="00666B48"/>
    <w:rsid w:val="0066793A"/>
    <w:rsid w:val="0066793D"/>
    <w:rsid w:val="00667DCE"/>
    <w:rsid w:val="0067051E"/>
    <w:rsid w:val="00670E0D"/>
    <w:rsid w:val="006717B5"/>
    <w:rsid w:val="00671898"/>
    <w:rsid w:val="00671E24"/>
    <w:rsid w:val="006721A4"/>
    <w:rsid w:val="00672B5A"/>
    <w:rsid w:val="00673676"/>
    <w:rsid w:val="00674430"/>
    <w:rsid w:val="00675F1D"/>
    <w:rsid w:val="00675F39"/>
    <w:rsid w:val="00675F6D"/>
    <w:rsid w:val="006762AB"/>
    <w:rsid w:val="006763CC"/>
    <w:rsid w:val="00676F45"/>
    <w:rsid w:val="00676F9B"/>
    <w:rsid w:val="006775CD"/>
    <w:rsid w:val="006805C2"/>
    <w:rsid w:val="00680BB9"/>
    <w:rsid w:val="00680FAD"/>
    <w:rsid w:val="00681546"/>
    <w:rsid w:val="00681693"/>
    <w:rsid w:val="00681E81"/>
    <w:rsid w:val="006830A0"/>
    <w:rsid w:val="006830AB"/>
    <w:rsid w:val="006830BB"/>
    <w:rsid w:val="00683D12"/>
    <w:rsid w:val="006843E3"/>
    <w:rsid w:val="006844DD"/>
    <w:rsid w:val="006845E9"/>
    <w:rsid w:val="00684FB1"/>
    <w:rsid w:val="00685090"/>
    <w:rsid w:val="00685BA0"/>
    <w:rsid w:val="00686DEF"/>
    <w:rsid w:val="00686F12"/>
    <w:rsid w:val="0068795D"/>
    <w:rsid w:val="00687DA4"/>
    <w:rsid w:val="00690A4B"/>
    <w:rsid w:val="00690FF0"/>
    <w:rsid w:val="00691EC2"/>
    <w:rsid w:val="00691F38"/>
    <w:rsid w:val="00692456"/>
    <w:rsid w:val="00692B5D"/>
    <w:rsid w:val="00692FB6"/>
    <w:rsid w:val="0069324B"/>
    <w:rsid w:val="00693A7A"/>
    <w:rsid w:val="00694C3D"/>
    <w:rsid w:val="00694D97"/>
    <w:rsid w:val="0069519B"/>
    <w:rsid w:val="006959DE"/>
    <w:rsid w:val="00695BB2"/>
    <w:rsid w:val="0069685E"/>
    <w:rsid w:val="00696C16"/>
    <w:rsid w:val="00697263"/>
    <w:rsid w:val="00697ABD"/>
    <w:rsid w:val="00697D31"/>
    <w:rsid w:val="006A0C3A"/>
    <w:rsid w:val="006A0D95"/>
    <w:rsid w:val="006A2B97"/>
    <w:rsid w:val="006A2D5A"/>
    <w:rsid w:val="006A2D8B"/>
    <w:rsid w:val="006A2FDB"/>
    <w:rsid w:val="006A3340"/>
    <w:rsid w:val="006A3C61"/>
    <w:rsid w:val="006A3D30"/>
    <w:rsid w:val="006A3E91"/>
    <w:rsid w:val="006A445B"/>
    <w:rsid w:val="006A45A5"/>
    <w:rsid w:val="006A466A"/>
    <w:rsid w:val="006A499B"/>
    <w:rsid w:val="006A49C1"/>
    <w:rsid w:val="006A49EB"/>
    <w:rsid w:val="006A5C29"/>
    <w:rsid w:val="006A5E42"/>
    <w:rsid w:val="006A6BBD"/>
    <w:rsid w:val="006A6F45"/>
    <w:rsid w:val="006A6F66"/>
    <w:rsid w:val="006A784A"/>
    <w:rsid w:val="006A7C8A"/>
    <w:rsid w:val="006A7DB9"/>
    <w:rsid w:val="006B0EF6"/>
    <w:rsid w:val="006B1691"/>
    <w:rsid w:val="006B2224"/>
    <w:rsid w:val="006B2240"/>
    <w:rsid w:val="006B2508"/>
    <w:rsid w:val="006B2BBC"/>
    <w:rsid w:val="006B2D07"/>
    <w:rsid w:val="006B3AB1"/>
    <w:rsid w:val="006B4212"/>
    <w:rsid w:val="006B435D"/>
    <w:rsid w:val="006B4CB0"/>
    <w:rsid w:val="006B4F66"/>
    <w:rsid w:val="006B5470"/>
    <w:rsid w:val="006B597D"/>
    <w:rsid w:val="006B5A80"/>
    <w:rsid w:val="006B64AD"/>
    <w:rsid w:val="006B6ABB"/>
    <w:rsid w:val="006B6C5D"/>
    <w:rsid w:val="006B775F"/>
    <w:rsid w:val="006B7BE4"/>
    <w:rsid w:val="006C017A"/>
    <w:rsid w:val="006C0701"/>
    <w:rsid w:val="006C105D"/>
    <w:rsid w:val="006C1CBD"/>
    <w:rsid w:val="006C23B0"/>
    <w:rsid w:val="006C265D"/>
    <w:rsid w:val="006C4688"/>
    <w:rsid w:val="006C46B4"/>
    <w:rsid w:val="006C4C43"/>
    <w:rsid w:val="006C530F"/>
    <w:rsid w:val="006C54D1"/>
    <w:rsid w:val="006C5E63"/>
    <w:rsid w:val="006C6449"/>
    <w:rsid w:val="006C675D"/>
    <w:rsid w:val="006C7E85"/>
    <w:rsid w:val="006D029D"/>
    <w:rsid w:val="006D0573"/>
    <w:rsid w:val="006D0C5B"/>
    <w:rsid w:val="006D16BC"/>
    <w:rsid w:val="006D184F"/>
    <w:rsid w:val="006D19B4"/>
    <w:rsid w:val="006D1BC9"/>
    <w:rsid w:val="006D237E"/>
    <w:rsid w:val="006D3082"/>
    <w:rsid w:val="006D351A"/>
    <w:rsid w:val="006D3675"/>
    <w:rsid w:val="006D376F"/>
    <w:rsid w:val="006D3C69"/>
    <w:rsid w:val="006D4E83"/>
    <w:rsid w:val="006D55DA"/>
    <w:rsid w:val="006D56F4"/>
    <w:rsid w:val="006D5BBD"/>
    <w:rsid w:val="006D680E"/>
    <w:rsid w:val="006D7BEB"/>
    <w:rsid w:val="006E0687"/>
    <w:rsid w:val="006E13F5"/>
    <w:rsid w:val="006E1C5D"/>
    <w:rsid w:val="006E2489"/>
    <w:rsid w:val="006E2CC8"/>
    <w:rsid w:val="006E3219"/>
    <w:rsid w:val="006E32D4"/>
    <w:rsid w:val="006E34EB"/>
    <w:rsid w:val="006E36CB"/>
    <w:rsid w:val="006E375A"/>
    <w:rsid w:val="006E4B1B"/>
    <w:rsid w:val="006E50B5"/>
    <w:rsid w:val="006E535A"/>
    <w:rsid w:val="006E5F01"/>
    <w:rsid w:val="006E6144"/>
    <w:rsid w:val="006F0627"/>
    <w:rsid w:val="006F0ED3"/>
    <w:rsid w:val="006F1A66"/>
    <w:rsid w:val="006F1D20"/>
    <w:rsid w:val="006F1E6C"/>
    <w:rsid w:val="006F25DF"/>
    <w:rsid w:val="006F36A1"/>
    <w:rsid w:val="006F3E45"/>
    <w:rsid w:val="006F45E9"/>
    <w:rsid w:val="006F61A2"/>
    <w:rsid w:val="006F6279"/>
    <w:rsid w:val="006F6754"/>
    <w:rsid w:val="006F67F6"/>
    <w:rsid w:val="006F75FF"/>
    <w:rsid w:val="006F7EF1"/>
    <w:rsid w:val="00701434"/>
    <w:rsid w:val="0070272D"/>
    <w:rsid w:val="00702AF9"/>
    <w:rsid w:val="00704917"/>
    <w:rsid w:val="00704D6A"/>
    <w:rsid w:val="00705BBF"/>
    <w:rsid w:val="0070619B"/>
    <w:rsid w:val="00706391"/>
    <w:rsid w:val="00706BAC"/>
    <w:rsid w:val="0070727F"/>
    <w:rsid w:val="0070741D"/>
    <w:rsid w:val="00707686"/>
    <w:rsid w:val="00707914"/>
    <w:rsid w:val="00707E1B"/>
    <w:rsid w:val="00707FC4"/>
    <w:rsid w:val="007101C4"/>
    <w:rsid w:val="00710BFD"/>
    <w:rsid w:val="00711088"/>
    <w:rsid w:val="00711847"/>
    <w:rsid w:val="00711CB6"/>
    <w:rsid w:val="00712221"/>
    <w:rsid w:val="00712D14"/>
    <w:rsid w:val="00712F11"/>
    <w:rsid w:val="00713BAE"/>
    <w:rsid w:val="00713D23"/>
    <w:rsid w:val="00713D6C"/>
    <w:rsid w:val="00714297"/>
    <w:rsid w:val="007147E0"/>
    <w:rsid w:val="00714D3D"/>
    <w:rsid w:val="00715400"/>
    <w:rsid w:val="0071577B"/>
    <w:rsid w:val="00715D2B"/>
    <w:rsid w:val="00716CE2"/>
    <w:rsid w:val="007170CA"/>
    <w:rsid w:val="0071743D"/>
    <w:rsid w:val="007179F3"/>
    <w:rsid w:val="00717DB1"/>
    <w:rsid w:val="0072046E"/>
    <w:rsid w:val="00720C91"/>
    <w:rsid w:val="00720CD6"/>
    <w:rsid w:val="00720E08"/>
    <w:rsid w:val="00720EA9"/>
    <w:rsid w:val="0072135B"/>
    <w:rsid w:val="0072311C"/>
    <w:rsid w:val="007242E6"/>
    <w:rsid w:val="00724722"/>
    <w:rsid w:val="00724AF1"/>
    <w:rsid w:val="007257D0"/>
    <w:rsid w:val="0072669A"/>
    <w:rsid w:val="007269B2"/>
    <w:rsid w:val="0072787E"/>
    <w:rsid w:val="00727CFF"/>
    <w:rsid w:val="00731A26"/>
    <w:rsid w:val="00731B88"/>
    <w:rsid w:val="00731B9B"/>
    <w:rsid w:val="00731D9E"/>
    <w:rsid w:val="0073295B"/>
    <w:rsid w:val="00732FCB"/>
    <w:rsid w:val="0073302D"/>
    <w:rsid w:val="00735734"/>
    <w:rsid w:val="0073595B"/>
    <w:rsid w:val="00735DA6"/>
    <w:rsid w:val="007363B3"/>
    <w:rsid w:val="007368BC"/>
    <w:rsid w:val="00737010"/>
    <w:rsid w:val="007379B2"/>
    <w:rsid w:val="007400FA"/>
    <w:rsid w:val="0074015C"/>
    <w:rsid w:val="0074091B"/>
    <w:rsid w:val="00740EA9"/>
    <w:rsid w:val="007411B3"/>
    <w:rsid w:val="00741E98"/>
    <w:rsid w:val="00742146"/>
    <w:rsid w:val="0074218B"/>
    <w:rsid w:val="007430F3"/>
    <w:rsid w:val="007449D2"/>
    <w:rsid w:val="00744C57"/>
    <w:rsid w:val="00744CF0"/>
    <w:rsid w:val="00745C97"/>
    <w:rsid w:val="0074626C"/>
    <w:rsid w:val="007462EA"/>
    <w:rsid w:val="00746ECF"/>
    <w:rsid w:val="007474B5"/>
    <w:rsid w:val="0075082F"/>
    <w:rsid w:val="007520CE"/>
    <w:rsid w:val="00752978"/>
    <w:rsid w:val="0075399C"/>
    <w:rsid w:val="00753D5C"/>
    <w:rsid w:val="007541D0"/>
    <w:rsid w:val="00754D5E"/>
    <w:rsid w:val="0075536C"/>
    <w:rsid w:val="00755C5C"/>
    <w:rsid w:val="0075661F"/>
    <w:rsid w:val="00756904"/>
    <w:rsid w:val="00756C24"/>
    <w:rsid w:val="00757416"/>
    <w:rsid w:val="00757816"/>
    <w:rsid w:val="00757FCA"/>
    <w:rsid w:val="0076036C"/>
    <w:rsid w:val="007607AA"/>
    <w:rsid w:val="00760C7C"/>
    <w:rsid w:val="007615D3"/>
    <w:rsid w:val="00761776"/>
    <w:rsid w:val="0076192D"/>
    <w:rsid w:val="00761A57"/>
    <w:rsid w:val="00762032"/>
    <w:rsid w:val="00762828"/>
    <w:rsid w:val="007631ED"/>
    <w:rsid w:val="00764FAC"/>
    <w:rsid w:val="007651ED"/>
    <w:rsid w:val="007652FB"/>
    <w:rsid w:val="00766090"/>
    <w:rsid w:val="007660E3"/>
    <w:rsid w:val="0076616A"/>
    <w:rsid w:val="00766670"/>
    <w:rsid w:val="00766B0C"/>
    <w:rsid w:val="00767499"/>
    <w:rsid w:val="00770BBD"/>
    <w:rsid w:val="0077169E"/>
    <w:rsid w:val="00771876"/>
    <w:rsid w:val="0077204F"/>
    <w:rsid w:val="00772828"/>
    <w:rsid w:val="0077514B"/>
    <w:rsid w:val="00775733"/>
    <w:rsid w:val="00776411"/>
    <w:rsid w:val="007765B5"/>
    <w:rsid w:val="0077709B"/>
    <w:rsid w:val="007771BB"/>
    <w:rsid w:val="00780313"/>
    <w:rsid w:val="007806BD"/>
    <w:rsid w:val="00780E75"/>
    <w:rsid w:val="00783ED3"/>
    <w:rsid w:val="00785180"/>
    <w:rsid w:val="00785428"/>
    <w:rsid w:val="00785846"/>
    <w:rsid w:val="007869EC"/>
    <w:rsid w:val="00786BD4"/>
    <w:rsid w:val="00786E68"/>
    <w:rsid w:val="00787997"/>
    <w:rsid w:val="0079015E"/>
    <w:rsid w:val="00790B75"/>
    <w:rsid w:val="00790E58"/>
    <w:rsid w:val="0079165C"/>
    <w:rsid w:val="0079209A"/>
    <w:rsid w:val="007923A8"/>
    <w:rsid w:val="007927D6"/>
    <w:rsid w:val="00792B82"/>
    <w:rsid w:val="007932C9"/>
    <w:rsid w:val="007936FB"/>
    <w:rsid w:val="007937EA"/>
    <w:rsid w:val="00793CDE"/>
    <w:rsid w:val="0079418B"/>
    <w:rsid w:val="0079428C"/>
    <w:rsid w:val="00794F31"/>
    <w:rsid w:val="00796626"/>
    <w:rsid w:val="00796696"/>
    <w:rsid w:val="00796FE8"/>
    <w:rsid w:val="00797899"/>
    <w:rsid w:val="00797C0E"/>
    <w:rsid w:val="007A0404"/>
    <w:rsid w:val="007A0D89"/>
    <w:rsid w:val="007A212D"/>
    <w:rsid w:val="007A31D9"/>
    <w:rsid w:val="007A3841"/>
    <w:rsid w:val="007A386A"/>
    <w:rsid w:val="007A3DD6"/>
    <w:rsid w:val="007A3ED7"/>
    <w:rsid w:val="007A3F6E"/>
    <w:rsid w:val="007A450A"/>
    <w:rsid w:val="007A4555"/>
    <w:rsid w:val="007A521C"/>
    <w:rsid w:val="007A5C33"/>
    <w:rsid w:val="007A5CCD"/>
    <w:rsid w:val="007A5E45"/>
    <w:rsid w:val="007A743A"/>
    <w:rsid w:val="007A7C7F"/>
    <w:rsid w:val="007B0A21"/>
    <w:rsid w:val="007B0BF5"/>
    <w:rsid w:val="007B1E97"/>
    <w:rsid w:val="007B231F"/>
    <w:rsid w:val="007B244E"/>
    <w:rsid w:val="007B36D3"/>
    <w:rsid w:val="007B3801"/>
    <w:rsid w:val="007B4164"/>
    <w:rsid w:val="007B4306"/>
    <w:rsid w:val="007B54DB"/>
    <w:rsid w:val="007B6A2B"/>
    <w:rsid w:val="007B6CCB"/>
    <w:rsid w:val="007B78EC"/>
    <w:rsid w:val="007B7FA2"/>
    <w:rsid w:val="007C049C"/>
    <w:rsid w:val="007C1081"/>
    <w:rsid w:val="007C12AB"/>
    <w:rsid w:val="007C174A"/>
    <w:rsid w:val="007C1F3C"/>
    <w:rsid w:val="007C23BD"/>
    <w:rsid w:val="007C2664"/>
    <w:rsid w:val="007C29B7"/>
    <w:rsid w:val="007C3ABF"/>
    <w:rsid w:val="007C3FFB"/>
    <w:rsid w:val="007C4A74"/>
    <w:rsid w:val="007C4B99"/>
    <w:rsid w:val="007C508F"/>
    <w:rsid w:val="007C5CB3"/>
    <w:rsid w:val="007C5E60"/>
    <w:rsid w:val="007C6A4A"/>
    <w:rsid w:val="007C6C8F"/>
    <w:rsid w:val="007C740B"/>
    <w:rsid w:val="007C754F"/>
    <w:rsid w:val="007C798D"/>
    <w:rsid w:val="007C7D1D"/>
    <w:rsid w:val="007D0242"/>
    <w:rsid w:val="007D0BCE"/>
    <w:rsid w:val="007D0FB4"/>
    <w:rsid w:val="007D1348"/>
    <w:rsid w:val="007D1D68"/>
    <w:rsid w:val="007D2338"/>
    <w:rsid w:val="007D28B4"/>
    <w:rsid w:val="007D29D0"/>
    <w:rsid w:val="007D48C5"/>
    <w:rsid w:val="007D4D28"/>
    <w:rsid w:val="007D5A48"/>
    <w:rsid w:val="007D6358"/>
    <w:rsid w:val="007D639E"/>
    <w:rsid w:val="007D6509"/>
    <w:rsid w:val="007D65EC"/>
    <w:rsid w:val="007D6AC3"/>
    <w:rsid w:val="007D70B6"/>
    <w:rsid w:val="007E15D9"/>
    <w:rsid w:val="007E192A"/>
    <w:rsid w:val="007E1A10"/>
    <w:rsid w:val="007E1DF9"/>
    <w:rsid w:val="007E1F83"/>
    <w:rsid w:val="007E2477"/>
    <w:rsid w:val="007E2E4F"/>
    <w:rsid w:val="007E338A"/>
    <w:rsid w:val="007E33B7"/>
    <w:rsid w:val="007E33CC"/>
    <w:rsid w:val="007E34EF"/>
    <w:rsid w:val="007E3E28"/>
    <w:rsid w:val="007E40F9"/>
    <w:rsid w:val="007E46BD"/>
    <w:rsid w:val="007E4EAE"/>
    <w:rsid w:val="007E553E"/>
    <w:rsid w:val="007E7124"/>
    <w:rsid w:val="007E741E"/>
    <w:rsid w:val="007E7894"/>
    <w:rsid w:val="007E7BAC"/>
    <w:rsid w:val="007E7ECC"/>
    <w:rsid w:val="007E7FEF"/>
    <w:rsid w:val="007F014B"/>
    <w:rsid w:val="007F0EDD"/>
    <w:rsid w:val="007F21DC"/>
    <w:rsid w:val="007F2269"/>
    <w:rsid w:val="007F32EA"/>
    <w:rsid w:val="007F4677"/>
    <w:rsid w:val="007F479A"/>
    <w:rsid w:val="007F502A"/>
    <w:rsid w:val="007F53D7"/>
    <w:rsid w:val="007F5C2D"/>
    <w:rsid w:val="007F61CB"/>
    <w:rsid w:val="007F6384"/>
    <w:rsid w:val="007F6C9A"/>
    <w:rsid w:val="007F720E"/>
    <w:rsid w:val="00800235"/>
    <w:rsid w:val="00800B0C"/>
    <w:rsid w:val="008010FC"/>
    <w:rsid w:val="008012AC"/>
    <w:rsid w:val="00801DBE"/>
    <w:rsid w:val="008026DE"/>
    <w:rsid w:val="00802B2F"/>
    <w:rsid w:val="0080427E"/>
    <w:rsid w:val="008046EB"/>
    <w:rsid w:val="00804DBE"/>
    <w:rsid w:val="00805748"/>
    <w:rsid w:val="00806329"/>
    <w:rsid w:val="00806A28"/>
    <w:rsid w:val="0080753C"/>
    <w:rsid w:val="00810B9D"/>
    <w:rsid w:val="00811731"/>
    <w:rsid w:val="00811ABE"/>
    <w:rsid w:val="00811DA8"/>
    <w:rsid w:val="00812112"/>
    <w:rsid w:val="00812344"/>
    <w:rsid w:val="008125F4"/>
    <w:rsid w:val="00813255"/>
    <w:rsid w:val="0081330C"/>
    <w:rsid w:val="00813FFA"/>
    <w:rsid w:val="00814116"/>
    <w:rsid w:val="00815CC1"/>
    <w:rsid w:val="00815E91"/>
    <w:rsid w:val="00816252"/>
    <w:rsid w:val="00816605"/>
    <w:rsid w:val="00816725"/>
    <w:rsid w:val="008167EB"/>
    <w:rsid w:val="0081715A"/>
    <w:rsid w:val="008173B6"/>
    <w:rsid w:val="00817552"/>
    <w:rsid w:val="00817930"/>
    <w:rsid w:val="00817B55"/>
    <w:rsid w:val="00817DD6"/>
    <w:rsid w:val="008201BF"/>
    <w:rsid w:val="0082027D"/>
    <w:rsid w:val="008208B2"/>
    <w:rsid w:val="00820DF8"/>
    <w:rsid w:val="00821EF1"/>
    <w:rsid w:val="00822436"/>
    <w:rsid w:val="00822DF4"/>
    <w:rsid w:val="00822ED9"/>
    <w:rsid w:val="0082388F"/>
    <w:rsid w:val="00825227"/>
    <w:rsid w:val="00825FDA"/>
    <w:rsid w:val="008261A5"/>
    <w:rsid w:val="00826440"/>
    <w:rsid w:val="00826CC3"/>
    <w:rsid w:val="00826CDD"/>
    <w:rsid w:val="00827C73"/>
    <w:rsid w:val="00827F23"/>
    <w:rsid w:val="008300F2"/>
    <w:rsid w:val="0083012A"/>
    <w:rsid w:val="00830213"/>
    <w:rsid w:val="00830A19"/>
    <w:rsid w:val="00831849"/>
    <w:rsid w:val="00831AA9"/>
    <w:rsid w:val="00831B9A"/>
    <w:rsid w:val="00832A08"/>
    <w:rsid w:val="00833388"/>
    <w:rsid w:val="00833432"/>
    <w:rsid w:val="00833C7F"/>
    <w:rsid w:val="0083489D"/>
    <w:rsid w:val="008353BB"/>
    <w:rsid w:val="008356DD"/>
    <w:rsid w:val="00835D3F"/>
    <w:rsid w:val="00835DDA"/>
    <w:rsid w:val="0084033C"/>
    <w:rsid w:val="0084067C"/>
    <w:rsid w:val="00842050"/>
    <w:rsid w:val="008426F1"/>
    <w:rsid w:val="00842AFF"/>
    <w:rsid w:val="00842F00"/>
    <w:rsid w:val="00843009"/>
    <w:rsid w:val="008430E0"/>
    <w:rsid w:val="008433AB"/>
    <w:rsid w:val="0084376A"/>
    <w:rsid w:val="0084430C"/>
    <w:rsid w:val="0084447B"/>
    <w:rsid w:val="00844AA9"/>
    <w:rsid w:val="00845C90"/>
    <w:rsid w:val="008470F8"/>
    <w:rsid w:val="0084731A"/>
    <w:rsid w:val="0084747D"/>
    <w:rsid w:val="00847C9C"/>
    <w:rsid w:val="008501CC"/>
    <w:rsid w:val="00851314"/>
    <w:rsid w:val="00851537"/>
    <w:rsid w:val="00852D85"/>
    <w:rsid w:val="00853091"/>
    <w:rsid w:val="008531CD"/>
    <w:rsid w:val="0085401E"/>
    <w:rsid w:val="008540B5"/>
    <w:rsid w:val="00854614"/>
    <w:rsid w:val="0085471E"/>
    <w:rsid w:val="008552FE"/>
    <w:rsid w:val="00855689"/>
    <w:rsid w:val="00856107"/>
    <w:rsid w:val="00856683"/>
    <w:rsid w:val="00856E98"/>
    <w:rsid w:val="008572B1"/>
    <w:rsid w:val="00857847"/>
    <w:rsid w:val="008579CD"/>
    <w:rsid w:val="00857A2D"/>
    <w:rsid w:val="00860052"/>
    <w:rsid w:val="0086047F"/>
    <w:rsid w:val="008604AC"/>
    <w:rsid w:val="00860571"/>
    <w:rsid w:val="0086143F"/>
    <w:rsid w:val="0086171B"/>
    <w:rsid w:val="00862607"/>
    <w:rsid w:val="00863304"/>
    <w:rsid w:val="00863F37"/>
    <w:rsid w:val="00865BA2"/>
    <w:rsid w:val="0086636D"/>
    <w:rsid w:val="00866E56"/>
    <w:rsid w:val="00867BC7"/>
    <w:rsid w:val="00870BA0"/>
    <w:rsid w:val="00870BE4"/>
    <w:rsid w:val="008716ED"/>
    <w:rsid w:val="0087170E"/>
    <w:rsid w:val="00871AC6"/>
    <w:rsid w:val="00871C7A"/>
    <w:rsid w:val="008730D4"/>
    <w:rsid w:val="00873275"/>
    <w:rsid w:val="0087343E"/>
    <w:rsid w:val="00873EB9"/>
    <w:rsid w:val="00873F0A"/>
    <w:rsid w:val="00875F07"/>
    <w:rsid w:val="008767C3"/>
    <w:rsid w:val="0087748A"/>
    <w:rsid w:val="00877E6D"/>
    <w:rsid w:val="008813D6"/>
    <w:rsid w:val="008824B1"/>
    <w:rsid w:val="0088251B"/>
    <w:rsid w:val="008825EC"/>
    <w:rsid w:val="00882D0D"/>
    <w:rsid w:val="00882F2F"/>
    <w:rsid w:val="0088434E"/>
    <w:rsid w:val="008843D6"/>
    <w:rsid w:val="0088479E"/>
    <w:rsid w:val="00885204"/>
    <w:rsid w:val="00885B2F"/>
    <w:rsid w:val="008864E2"/>
    <w:rsid w:val="0088734C"/>
    <w:rsid w:val="00887DBE"/>
    <w:rsid w:val="00887FFC"/>
    <w:rsid w:val="008911E3"/>
    <w:rsid w:val="0089173B"/>
    <w:rsid w:val="00891D1A"/>
    <w:rsid w:val="00892504"/>
    <w:rsid w:val="008925B3"/>
    <w:rsid w:val="00893040"/>
    <w:rsid w:val="008933EA"/>
    <w:rsid w:val="00893498"/>
    <w:rsid w:val="008935ED"/>
    <w:rsid w:val="008952A1"/>
    <w:rsid w:val="00895DB3"/>
    <w:rsid w:val="008964B8"/>
    <w:rsid w:val="008968C5"/>
    <w:rsid w:val="0089696F"/>
    <w:rsid w:val="00896BAB"/>
    <w:rsid w:val="008A08BB"/>
    <w:rsid w:val="008A0926"/>
    <w:rsid w:val="008A1426"/>
    <w:rsid w:val="008A198F"/>
    <w:rsid w:val="008A28D7"/>
    <w:rsid w:val="008A2F1D"/>
    <w:rsid w:val="008A3868"/>
    <w:rsid w:val="008A41C4"/>
    <w:rsid w:val="008A426D"/>
    <w:rsid w:val="008A429D"/>
    <w:rsid w:val="008A43F1"/>
    <w:rsid w:val="008A478C"/>
    <w:rsid w:val="008A4835"/>
    <w:rsid w:val="008A4ABB"/>
    <w:rsid w:val="008A5918"/>
    <w:rsid w:val="008A5CCA"/>
    <w:rsid w:val="008A5EF8"/>
    <w:rsid w:val="008A695E"/>
    <w:rsid w:val="008A71DB"/>
    <w:rsid w:val="008B1487"/>
    <w:rsid w:val="008B255F"/>
    <w:rsid w:val="008B315F"/>
    <w:rsid w:val="008B4132"/>
    <w:rsid w:val="008B430D"/>
    <w:rsid w:val="008B45D1"/>
    <w:rsid w:val="008B4726"/>
    <w:rsid w:val="008B4845"/>
    <w:rsid w:val="008B6322"/>
    <w:rsid w:val="008B6BE4"/>
    <w:rsid w:val="008B6D6B"/>
    <w:rsid w:val="008B70D5"/>
    <w:rsid w:val="008B72F5"/>
    <w:rsid w:val="008B7D38"/>
    <w:rsid w:val="008B7FFB"/>
    <w:rsid w:val="008C024C"/>
    <w:rsid w:val="008C02C7"/>
    <w:rsid w:val="008C0404"/>
    <w:rsid w:val="008C08FC"/>
    <w:rsid w:val="008C171D"/>
    <w:rsid w:val="008C189F"/>
    <w:rsid w:val="008C23B1"/>
    <w:rsid w:val="008C4B1E"/>
    <w:rsid w:val="008C50F7"/>
    <w:rsid w:val="008C5478"/>
    <w:rsid w:val="008C54FE"/>
    <w:rsid w:val="008C585C"/>
    <w:rsid w:val="008C6120"/>
    <w:rsid w:val="008C62F5"/>
    <w:rsid w:val="008C77C9"/>
    <w:rsid w:val="008C77D9"/>
    <w:rsid w:val="008D0507"/>
    <w:rsid w:val="008D19EF"/>
    <w:rsid w:val="008D31F8"/>
    <w:rsid w:val="008D3CB9"/>
    <w:rsid w:val="008D3F02"/>
    <w:rsid w:val="008D43B5"/>
    <w:rsid w:val="008D6EF3"/>
    <w:rsid w:val="008D74B5"/>
    <w:rsid w:val="008D7BA8"/>
    <w:rsid w:val="008D7C83"/>
    <w:rsid w:val="008E0ADD"/>
    <w:rsid w:val="008E0EEF"/>
    <w:rsid w:val="008E114F"/>
    <w:rsid w:val="008E13E5"/>
    <w:rsid w:val="008E158B"/>
    <w:rsid w:val="008E1EFA"/>
    <w:rsid w:val="008E276D"/>
    <w:rsid w:val="008E2E85"/>
    <w:rsid w:val="008E3A54"/>
    <w:rsid w:val="008E4183"/>
    <w:rsid w:val="008E437C"/>
    <w:rsid w:val="008E50B1"/>
    <w:rsid w:val="008E5653"/>
    <w:rsid w:val="008E56A5"/>
    <w:rsid w:val="008E5AE7"/>
    <w:rsid w:val="008E5C2F"/>
    <w:rsid w:val="008E62EE"/>
    <w:rsid w:val="008E7603"/>
    <w:rsid w:val="008F076A"/>
    <w:rsid w:val="008F0EC4"/>
    <w:rsid w:val="008F1379"/>
    <w:rsid w:val="008F153B"/>
    <w:rsid w:val="008F1734"/>
    <w:rsid w:val="008F1D01"/>
    <w:rsid w:val="008F1E0E"/>
    <w:rsid w:val="008F2224"/>
    <w:rsid w:val="008F2778"/>
    <w:rsid w:val="008F2BEC"/>
    <w:rsid w:val="008F2EFD"/>
    <w:rsid w:val="008F2F27"/>
    <w:rsid w:val="008F2FA9"/>
    <w:rsid w:val="008F3882"/>
    <w:rsid w:val="008F4853"/>
    <w:rsid w:val="008F4F22"/>
    <w:rsid w:val="008F4F4B"/>
    <w:rsid w:val="008F514B"/>
    <w:rsid w:val="008F575C"/>
    <w:rsid w:val="008F5BC3"/>
    <w:rsid w:val="008F5E75"/>
    <w:rsid w:val="008F6611"/>
    <w:rsid w:val="008F7331"/>
    <w:rsid w:val="008F76C4"/>
    <w:rsid w:val="0090020B"/>
    <w:rsid w:val="00900CC4"/>
    <w:rsid w:val="0090152F"/>
    <w:rsid w:val="00901631"/>
    <w:rsid w:val="009025FC"/>
    <w:rsid w:val="00902825"/>
    <w:rsid w:val="00902FB0"/>
    <w:rsid w:val="0090461C"/>
    <w:rsid w:val="009051FA"/>
    <w:rsid w:val="00906FE6"/>
    <w:rsid w:val="0091053D"/>
    <w:rsid w:val="00910671"/>
    <w:rsid w:val="00911050"/>
    <w:rsid w:val="009115B6"/>
    <w:rsid w:val="00912384"/>
    <w:rsid w:val="0091275F"/>
    <w:rsid w:val="00912BC2"/>
    <w:rsid w:val="00913461"/>
    <w:rsid w:val="009137D8"/>
    <w:rsid w:val="0091436F"/>
    <w:rsid w:val="00914559"/>
    <w:rsid w:val="00915B84"/>
    <w:rsid w:val="00915F10"/>
    <w:rsid w:val="00916783"/>
    <w:rsid w:val="009172D7"/>
    <w:rsid w:val="009179F8"/>
    <w:rsid w:val="00917D57"/>
    <w:rsid w:val="00920BFD"/>
    <w:rsid w:val="009220C6"/>
    <w:rsid w:val="00922457"/>
    <w:rsid w:val="00923DAB"/>
    <w:rsid w:val="009243E9"/>
    <w:rsid w:val="00925EA1"/>
    <w:rsid w:val="00925F0B"/>
    <w:rsid w:val="00926892"/>
    <w:rsid w:val="00926AB2"/>
    <w:rsid w:val="00927412"/>
    <w:rsid w:val="00927AFD"/>
    <w:rsid w:val="00930BC0"/>
    <w:rsid w:val="00930C93"/>
    <w:rsid w:val="00930DB3"/>
    <w:rsid w:val="009322D6"/>
    <w:rsid w:val="0093294A"/>
    <w:rsid w:val="00932F3F"/>
    <w:rsid w:val="009330FA"/>
    <w:rsid w:val="009335EC"/>
    <w:rsid w:val="00934887"/>
    <w:rsid w:val="0093563F"/>
    <w:rsid w:val="009365CA"/>
    <w:rsid w:val="0094043D"/>
    <w:rsid w:val="009404EC"/>
    <w:rsid w:val="0094167F"/>
    <w:rsid w:val="0094260F"/>
    <w:rsid w:val="009434A3"/>
    <w:rsid w:val="00944078"/>
    <w:rsid w:val="009458E5"/>
    <w:rsid w:val="0094657E"/>
    <w:rsid w:val="00946685"/>
    <w:rsid w:val="009467D3"/>
    <w:rsid w:val="00946FF6"/>
    <w:rsid w:val="009474DB"/>
    <w:rsid w:val="009477C6"/>
    <w:rsid w:val="009501C0"/>
    <w:rsid w:val="00950271"/>
    <w:rsid w:val="009510C5"/>
    <w:rsid w:val="009510DB"/>
    <w:rsid w:val="00951A81"/>
    <w:rsid w:val="0095207B"/>
    <w:rsid w:val="0095258E"/>
    <w:rsid w:val="009526BE"/>
    <w:rsid w:val="00954B3C"/>
    <w:rsid w:val="00955221"/>
    <w:rsid w:val="0095535C"/>
    <w:rsid w:val="00955497"/>
    <w:rsid w:val="009562BD"/>
    <w:rsid w:val="00956867"/>
    <w:rsid w:val="00957445"/>
    <w:rsid w:val="009575F7"/>
    <w:rsid w:val="00957846"/>
    <w:rsid w:val="00957EBE"/>
    <w:rsid w:val="00961A12"/>
    <w:rsid w:val="009625DF"/>
    <w:rsid w:val="00962B52"/>
    <w:rsid w:val="00962B8D"/>
    <w:rsid w:val="00962D08"/>
    <w:rsid w:val="0096368A"/>
    <w:rsid w:val="00963CAD"/>
    <w:rsid w:val="0096486C"/>
    <w:rsid w:val="0096644F"/>
    <w:rsid w:val="009666D3"/>
    <w:rsid w:val="00966CC7"/>
    <w:rsid w:val="00966EF3"/>
    <w:rsid w:val="009670FF"/>
    <w:rsid w:val="0097076C"/>
    <w:rsid w:val="00971340"/>
    <w:rsid w:val="00971FFA"/>
    <w:rsid w:val="00972140"/>
    <w:rsid w:val="009724B7"/>
    <w:rsid w:val="00972E56"/>
    <w:rsid w:val="00973562"/>
    <w:rsid w:val="009747D9"/>
    <w:rsid w:val="0097499E"/>
    <w:rsid w:val="00974CB7"/>
    <w:rsid w:val="00975095"/>
    <w:rsid w:val="00975908"/>
    <w:rsid w:val="00975D8F"/>
    <w:rsid w:val="00975F4A"/>
    <w:rsid w:val="009769B8"/>
    <w:rsid w:val="00976C52"/>
    <w:rsid w:val="00976F88"/>
    <w:rsid w:val="0097739F"/>
    <w:rsid w:val="00977EC0"/>
    <w:rsid w:val="009805E2"/>
    <w:rsid w:val="009817B8"/>
    <w:rsid w:val="00981B86"/>
    <w:rsid w:val="009822BA"/>
    <w:rsid w:val="00982549"/>
    <w:rsid w:val="00982946"/>
    <w:rsid w:val="00983C63"/>
    <w:rsid w:val="00984080"/>
    <w:rsid w:val="00984AF0"/>
    <w:rsid w:val="00984C90"/>
    <w:rsid w:val="00985543"/>
    <w:rsid w:val="00986D3C"/>
    <w:rsid w:val="009877AB"/>
    <w:rsid w:val="009877D1"/>
    <w:rsid w:val="00990885"/>
    <w:rsid w:val="00990DD2"/>
    <w:rsid w:val="009912F6"/>
    <w:rsid w:val="00991770"/>
    <w:rsid w:val="00991C7F"/>
    <w:rsid w:val="00991CE5"/>
    <w:rsid w:val="00993358"/>
    <w:rsid w:val="0099409E"/>
    <w:rsid w:val="00994153"/>
    <w:rsid w:val="009941F9"/>
    <w:rsid w:val="00994F68"/>
    <w:rsid w:val="009954F0"/>
    <w:rsid w:val="0099578D"/>
    <w:rsid w:val="00996CC4"/>
    <w:rsid w:val="0099734B"/>
    <w:rsid w:val="009974F0"/>
    <w:rsid w:val="009974F2"/>
    <w:rsid w:val="009A0520"/>
    <w:rsid w:val="009A0D25"/>
    <w:rsid w:val="009A1A7B"/>
    <w:rsid w:val="009A1B1F"/>
    <w:rsid w:val="009A217A"/>
    <w:rsid w:val="009A231C"/>
    <w:rsid w:val="009A37EC"/>
    <w:rsid w:val="009A3E73"/>
    <w:rsid w:val="009A3E7D"/>
    <w:rsid w:val="009A4362"/>
    <w:rsid w:val="009A4D6E"/>
    <w:rsid w:val="009A51FB"/>
    <w:rsid w:val="009A568D"/>
    <w:rsid w:val="009A5C06"/>
    <w:rsid w:val="009A66FC"/>
    <w:rsid w:val="009A7A03"/>
    <w:rsid w:val="009A7BB7"/>
    <w:rsid w:val="009A7C58"/>
    <w:rsid w:val="009B1313"/>
    <w:rsid w:val="009B1319"/>
    <w:rsid w:val="009B1397"/>
    <w:rsid w:val="009B29AC"/>
    <w:rsid w:val="009B2DC1"/>
    <w:rsid w:val="009B2FE5"/>
    <w:rsid w:val="009B349B"/>
    <w:rsid w:val="009B3935"/>
    <w:rsid w:val="009B3C2B"/>
    <w:rsid w:val="009B45E3"/>
    <w:rsid w:val="009B5520"/>
    <w:rsid w:val="009B6627"/>
    <w:rsid w:val="009B67A6"/>
    <w:rsid w:val="009B69D5"/>
    <w:rsid w:val="009B6AD0"/>
    <w:rsid w:val="009B6D6F"/>
    <w:rsid w:val="009B6F0E"/>
    <w:rsid w:val="009B70C6"/>
    <w:rsid w:val="009B77A3"/>
    <w:rsid w:val="009B79FA"/>
    <w:rsid w:val="009C0197"/>
    <w:rsid w:val="009C068F"/>
    <w:rsid w:val="009C135F"/>
    <w:rsid w:val="009C1697"/>
    <w:rsid w:val="009C2B7B"/>
    <w:rsid w:val="009C4817"/>
    <w:rsid w:val="009C48AE"/>
    <w:rsid w:val="009C5824"/>
    <w:rsid w:val="009C657B"/>
    <w:rsid w:val="009C6886"/>
    <w:rsid w:val="009C69A5"/>
    <w:rsid w:val="009C6F16"/>
    <w:rsid w:val="009D0852"/>
    <w:rsid w:val="009D08C2"/>
    <w:rsid w:val="009D0CFE"/>
    <w:rsid w:val="009D0FF3"/>
    <w:rsid w:val="009D1171"/>
    <w:rsid w:val="009D144C"/>
    <w:rsid w:val="009D1ECE"/>
    <w:rsid w:val="009D2302"/>
    <w:rsid w:val="009D2F68"/>
    <w:rsid w:val="009D3F4B"/>
    <w:rsid w:val="009D4538"/>
    <w:rsid w:val="009D511F"/>
    <w:rsid w:val="009D5DBA"/>
    <w:rsid w:val="009D5EB6"/>
    <w:rsid w:val="009D6DDB"/>
    <w:rsid w:val="009D6F3D"/>
    <w:rsid w:val="009D7C0A"/>
    <w:rsid w:val="009D7C6B"/>
    <w:rsid w:val="009D7E19"/>
    <w:rsid w:val="009D7E3A"/>
    <w:rsid w:val="009E002A"/>
    <w:rsid w:val="009E0605"/>
    <w:rsid w:val="009E075C"/>
    <w:rsid w:val="009E0B76"/>
    <w:rsid w:val="009E0DD4"/>
    <w:rsid w:val="009E101C"/>
    <w:rsid w:val="009E1892"/>
    <w:rsid w:val="009E1D8A"/>
    <w:rsid w:val="009E22D8"/>
    <w:rsid w:val="009E3029"/>
    <w:rsid w:val="009E33DF"/>
    <w:rsid w:val="009E3AA5"/>
    <w:rsid w:val="009E427A"/>
    <w:rsid w:val="009E48F5"/>
    <w:rsid w:val="009E5562"/>
    <w:rsid w:val="009E557C"/>
    <w:rsid w:val="009E5C78"/>
    <w:rsid w:val="009E5DAA"/>
    <w:rsid w:val="009E5E2F"/>
    <w:rsid w:val="009E6E71"/>
    <w:rsid w:val="009E743D"/>
    <w:rsid w:val="009E7595"/>
    <w:rsid w:val="009E7B21"/>
    <w:rsid w:val="009F0819"/>
    <w:rsid w:val="009F085E"/>
    <w:rsid w:val="009F1CA7"/>
    <w:rsid w:val="009F2A73"/>
    <w:rsid w:val="009F2B39"/>
    <w:rsid w:val="009F3274"/>
    <w:rsid w:val="009F3525"/>
    <w:rsid w:val="009F3B1A"/>
    <w:rsid w:val="009F4001"/>
    <w:rsid w:val="009F4400"/>
    <w:rsid w:val="009F488C"/>
    <w:rsid w:val="009F518F"/>
    <w:rsid w:val="009F53EE"/>
    <w:rsid w:val="009F5C48"/>
    <w:rsid w:val="009F615D"/>
    <w:rsid w:val="009F6666"/>
    <w:rsid w:val="009F66EA"/>
    <w:rsid w:val="009F6BB7"/>
    <w:rsid w:val="009F70B4"/>
    <w:rsid w:val="00A009CE"/>
    <w:rsid w:val="00A00BC4"/>
    <w:rsid w:val="00A011F1"/>
    <w:rsid w:val="00A01C23"/>
    <w:rsid w:val="00A02021"/>
    <w:rsid w:val="00A02160"/>
    <w:rsid w:val="00A0339E"/>
    <w:rsid w:val="00A03FB0"/>
    <w:rsid w:val="00A0429A"/>
    <w:rsid w:val="00A042EA"/>
    <w:rsid w:val="00A051CC"/>
    <w:rsid w:val="00A05961"/>
    <w:rsid w:val="00A062EF"/>
    <w:rsid w:val="00A06654"/>
    <w:rsid w:val="00A06CF0"/>
    <w:rsid w:val="00A07980"/>
    <w:rsid w:val="00A07CCD"/>
    <w:rsid w:val="00A11096"/>
    <w:rsid w:val="00A11207"/>
    <w:rsid w:val="00A11D6A"/>
    <w:rsid w:val="00A1226E"/>
    <w:rsid w:val="00A12512"/>
    <w:rsid w:val="00A13032"/>
    <w:rsid w:val="00A13C52"/>
    <w:rsid w:val="00A14B33"/>
    <w:rsid w:val="00A14D54"/>
    <w:rsid w:val="00A14EB5"/>
    <w:rsid w:val="00A14F86"/>
    <w:rsid w:val="00A1555C"/>
    <w:rsid w:val="00A15E1A"/>
    <w:rsid w:val="00A15F3E"/>
    <w:rsid w:val="00A17314"/>
    <w:rsid w:val="00A17790"/>
    <w:rsid w:val="00A21368"/>
    <w:rsid w:val="00A21686"/>
    <w:rsid w:val="00A2184C"/>
    <w:rsid w:val="00A2195B"/>
    <w:rsid w:val="00A225D1"/>
    <w:rsid w:val="00A22671"/>
    <w:rsid w:val="00A22A6D"/>
    <w:rsid w:val="00A22D98"/>
    <w:rsid w:val="00A23233"/>
    <w:rsid w:val="00A23C55"/>
    <w:rsid w:val="00A23DA6"/>
    <w:rsid w:val="00A241A0"/>
    <w:rsid w:val="00A244E1"/>
    <w:rsid w:val="00A24B2D"/>
    <w:rsid w:val="00A25286"/>
    <w:rsid w:val="00A253B7"/>
    <w:rsid w:val="00A25700"/>
    <w:rsid w:val="00A268F7"/>
    <w:rsid w:val="00A26989"/>
    <w:rsid w:val="00A26A37"/>
    <w:rsid w:val="00A26DE8"/>
    <w:rsid w:val="00A27AC0"/>
    <w:rsid w:val="00A27D90"/>
    <w:rsid w:val="00A27EC0"/>
    <w:rsid w:val="00A27F46"/>
    <w:rsid w:val="00A30EFA"/>
    <w:rsid w:val="00A319C6"/>
    <w:rsid w:val="00A32177"/>
    <w:rsid w:val="00A331D5"/>
    <w:rsid w:val="00A332CD"/>
    <w:rsid w:val="00A33701"/>
    <w:rsid w:val="00A33C40"/>
    <w:rsid w:val="00A33D00"/>
    <w:rsid w:val="00A340D2"/>
    <w:rsid w:val="00A34D85"/>
    <w:rsid w:val="00A3577E"/>
    <w:rsid w:val="00A35951"/>
    <w:rsid w:val="00A3605B"/>
    <w:rsid w:val="00A361AE"/>
    <w:rsid w:val="00A36636"/>
    <w:rsid w:val="00A36F70"/>
    <w:rsid w:val="00A37A3A"/>
    <w:rsid w:val="00A40091"/>
    <w:rsid w:val="00A403A6"/>
    <w:rsid w:val="00A41792"/>
    <w:rsid w:val="00A41AE3"/>
    <w:rsid w:val="00A428F9"/>
    <w:rsid w:val="00A4370B"/>
    <w:rsid w:val="00A43D9C"/>
    <w:rsid w:val="00A446C6"/>
    <w:rsid w:val="00A45CDA"/>
    <w:rsid w:val="00A46062"/>
    <w:rsid w:val="00A474B9"/>
    <w:rsid w:val="00A47672"/>
    <w:rsid w:val="00A50825"/>
    <w:rsid w:val="00A50B1A"/>
    <w:rsid w:val="00A51A7E"/>
    <w:rsid w:val="00A52A57"/>
    <w:rsid w:val="00A53461"/>
    <w:rsid w:val="00A53FCD"/>
    <w:rsid w:val="00A55887"/>
    <w:rsid w:val="00A55E14"/>
    <w:rsid w:val="00A56E8E"/>
    <w:rsid w:val="00A5764F"/>
    <w:rsid w:val="00A6034D"/>
    <w:rsid w:val="00A63086"/>
    <w:rsid w:val="00A63DC2"/>
    <w:rsid w:val="00A640B0"/>
    <w:rsid w:val="00A643F0"/>
    <w:rsid w:val="00A64626"/>
    <w:rsid w:val="00A64AE0"/>
    <w:rsid w:val="00A65DE9"/>
    <w:rsid w:val="00A66B33"/>
    <w:rsid w:val="00A674BD"/>
    <w:rsid w:val="00A678D6"/>
    <w:rsid w:val="00A67A01"/>
    <w:rsid w:val="00A70997"/>
    <w:rsid w:val="00A70BD3"/>
    <w:rsid w:val="00A70E4A"/>
    <w:rsid w:val="00A719AF"/>
    <w:rsid w:val="00A72093"/>
    <w:rsid w:val="00A7251F"/>
    <w:rsid w:val="00A72780"/>
    <w:rsid w:val="00A754AF"/>
    <w:rsid w:val="00A75627"/>
    <w:rsid w:val="00A758BE"/>
    <w:rsid w:val="00A7619A"/>
    <w:rsid w:val="00A76273"/>
    <w:rsid w:val="00A76A80"/>
    <w:rsid w:val="00A76FF8"/>
    <w:rsid w:val="00A7703F"/>
    <w:rsid w:val="00A770E4"/>
    <w:rsid w:val="00A77418"/>
    <w:rsid w:val="00A77D30"/>
    <w:rsid w:val="00A800E8"/>
    <w:rsid w:val="00A80225"/>
    <w:rsid w:val="00A80EEC"/>
    <w:rsid w:val="00A81574"/>
    <w:rsid w:val="00A82688"/>
    <w:rsid w:val="00A83373"/>
    <w:rsid w:val="00A85D46"/>
    <w:rsid w:val="00A85D57"/>
    <w:rsid w:val="00A865B1"/>
    <w:rsid w:val="00A86BAC"/>
    <w:rsid w:val="00A8760F"/>
    <w:rsid w:val="00A87658"/>
    <w:rsid w:val="00A87677"/>
    <w:rsid w:val="00A87C5C"/>
    <w:rsid w:val="00A87F91"/>
    <w:rsid w:val="00A90624"/>
    <w:rsid w:val="00A9088E"/>
    <w:rsid w:val="00A927E0"/>
    <w:rsid w:val="00A92C37"/>
    <w:rsid w:val="00A9366C"/>
    <w:rsid w:val="00A93D8C"/>
    <w:rsid w:val="00A93D91"/>
    <w:rsid w:val="00A93E4D"/>
    <w:rsid w:val="00A946AA"/>
    <w:rsid w:val="00A946DE"/>
    <w:rsid w:val="00A94AB4"/>
    <w:rsid w:val="00A94B35"/>
    <w:rsid w:val="00A956DA"/>
    <w:rsid w:val="00A95D6B"/>
    <w:rsid w:val="00A9635C"/>
    <w:rsid w:val="00A96521"/>
    <w:rsid w:val="00A96A2D"/>
    <w:rsid w:val="00A96BFC"/>
    <w:rsid w:val="00A96D9D"/>
    <w:rsid w:val="00A96FFF"/>
    <w:rsid w:val="00A97503"/>
    <w:rsid w:val="00AA09C0"/>
    <w:rsid w:val="00AA1A51"/>
    <w:rsid w:val="00AA1D89"/>
    <w:rsid w:val="00AA29D5"/>
    <w:rsid w:val="00AA2C03"/>
    <w:rsid w:val="00AA3612"/>
    <w:rsid w:val="00AA3AA8"/>
    <w:rsid w:val="00AA3BB2"/>
    <w:rsid w:val="00AA3C90"/>
    <w:rsid w:val="00AA4B33"/>
    <w:rsid w:val="00AA4F88"/>
    <w:rsid w:val="00AA4FED"/>
    <w:rsid w:val="00AA55B7"/>
    <w:rsid w:val="00AA55CE"/>
    <w:rsid w:val="00AA57E5"/>
    <w:rsid w:val="00AA662A"/>
    <w:rsid w:val="00AA69C4"/>
    <w:rsid w:val="00AA6C5C"/>
    <w:rsid w:val="00AA6C76"/>
    <w:rsid w:val="00AA7D8F"/>
    <w:rsid w:val="00AB098D"/>
    <w:rsid w:val="00AB0C10"/>
    <w:rsid w:val="00AB189C"/>
    <w:rsid w:val="00AB1AA4"/>
    <w:rsid w:val="00AB2984"/>
    <w:rsid w:val="00AB30B3"/>
    <w:rsid w:val="00AB3496"/>
    <w:rsid w:val="00AB452F"/>
    <w:rsid w:val="00AB4626"/>
    <w:rsid w:val="00AB463C"/>
    <w:rsid w:val="00AB5713"/>
    <w:rsid w:val="00AB5998"/>
    <w:rsid w:val="00AB60E3"/>
    <w:rsid w:val="00AB6175"/>
    <w:rsid w:val="00AB6F10"/>
    <w:rsid w:val="00AB701F"/>
    <w:rsid w:val="00AB707C"/>
    <w:rsid w:val="00AB7368"/>
    <w:rsid w:val="00AB73BD"/>
    <w:rsid w:val="00AB7635"/>
    <w:rsid w:val="00AB7DCE"/>
    <w:rsid w:val="00AC01D5"/>
    <w:rsid w:val="00AC1B3B"/>
    <w:rsid w:val="00AC3225"/>
    <w:rsid w:val="00AC3E9D"/>
    <w:rsid w:val="00AC4C38"/>
    <w:rsid w:val="00AC4C59"/>
    <w:rsid w:val="00AC4C9D"/>
    <w:rsid w:val="00AC523C"/>
    <w:rsid w:val="00AC5835"/>
    <w:rsid w:val="00AC5D68"/>
    <w:rsid w:val="00AC6422"/>
    <w:rsid w:val="00AC6C4C"/>
    <w:rsid w:val="00AC6E4D"/>
    <w:rsid w:val="00AC7372"/>
    <w:rsid w:val="00AC7A47"/>
    <w:rsid w:val="00AD033C"/>
    <w:rsid w:val="00AD04B6"/>
    <w:rsid w:val="00AD0B51"/>
    <w:rsid w:val="00AD17B5"/>
    <w:rsid w:val="00AD22A9"/>
    <w:rsid w:val="00AD25FB"/>
    <w:rsid w:val="00AD3289"/>
    <w:rsid w:val="00AD358A"/>
    <w:rsid w:val="00AD39A3"/>
    <w:rsid w:val="00AD3D80"/>
    <w:rsid w:val="00AD408F"/>
    <w:rsid w:val="00AD4E1D"/>
    <w:rsid w:val="00AD584C"/>
    <w:rsid w:val="00AD5A0F"/>
    <w:rsid w:val="00AD637F"/>
    <w:rsid w:val="00AD6393"/>
    <w:rsid w:val="00AD7EF1"/>
    <w:rsid w:val="00AE15B4"/>
    <w:rsid w:val="00AE1E1F"/>
    <w:rsid w:val="00AE2229"/>
    <w:rsid w:val="00AE3326"/>
    <w:rsid w:val="00AE3F97"/>
    <w:rsid w:val="00AE44BF"/>
    <w:rsid w:val="00AE4CA6"/>
    <w:rsid w:val="00AE4EFA"/>
    <w:rsid w:val="00AE5674"/>
    <w:rsid w:val="00AE678D"/>
    <w:rsid w:val="00AE7D65"/>
    <w:rsid w:val="00AE7DF1"/>
    <w:rsid w:val="00AF11D4"/>
    <w:rsid w:val="00AF186C"/>
    <w:rsid w:val="00AF19E7"/>
    <w:rsid w:val="00AF24D3"/>
    <w:rsid w:val="00AF2BD1"/>
    <w:rsid w:val="00AF2E36"/>
    <w:rsid w:val="00AF3F1D"/>
    <w:rsid w:val="00AF4159"/>
    <w:rsid w:val="00AF4E79"/>
    <w:rsid w:val="00AF648A"/>
    <w:rsid w:val="00AF67BF"/>
    <w:rsid w:val="00AF683A"/>
    <w:rsid w:val="00AF6DB1"/>
    <w:rsid w:val="00B00D0C"/>
    <w:rsid w:val="00B00E71"/>
    <w:rsid w:val="00B00ED4"/>
    <w:rsid w:val="00B00F50"/>
    <w:rsid w:val="00B020D9"/>
    <w:rsid w:val="00B0375D"/>
    <w:rsid w:val="00B03D35"/>
    <w:rsid w:val="00B03D82"/>
    <w:rsid w:val="00B03E05"/>
    <w:rsid w:val="00B04132"/>
    <w:rsid w:val="00B04814"/>
    <w:rsid w:val="00B0490B"/>
    <w:rsid w:val="00B049E4"/>
    <w:rsid w:val="00B04F15"/>
    <w:rsid w:val="00B05710"/>
    <w:rsid w:val="00B06BE9"/>
    <w:rsid w:val="00B06CDA"/>
    <w:rsid w:val="00B07165"/>
    <w:rsid w:val="00B07497"/>
    <w:rsid w:val="00B0776D"/>
    <w:rsid w:val="00B078BD"/>
    <w:rsid w:val="00B07FC2"/>
    <w:rsid w:val="00B10853"/>
    <w:rsid w:val="00B10D22"/>
    <w:rsid w:val="00B10EDF"/>
    <w:rsid w:val="00B1185C"/>
    <w:rsid w:val="00B11DD0"/>
    <w:rsid w:val="00B124E8"/>
    <w:rsid w:val="00B1252F"/>
    <w:rsid w:val="00B1286A"/>
    <w:rsid w:val="00B1350E"/>
    <w:rsid w:val="00B135EA"/>
    <w:rsid w:val="00B136DE"/>
    <w:rsid w:val="00B13E47"/>
    <w:rsid w:val="00B140BE"/>
    <w:rsid w:val="00B146FE"/>
    <w:rsid w:val="00B15722"/>
    <w:rsid w:val="00B15B1C"/>
    <w:rsid w:val="00B15C1C"/>
    <w:rsid w:val="00B16356"/>
    <w:rsid w:val="00B1650C"/>
    <w:rsid w:val="00B166A7"/>
    <w:rsid w:val="00B167D9"/>
    <w:rsid w:val="00B16EFF"/>
    <w:rsid w:val="00B20319"/>
    <w:rsid w:val="00B20AE8"/>
    <w:rsid w:val="00B20DEC"/>
    <w:rsid w:val="00B21048"/>
    <w:rsid w:val="00B21B7E"/>
    <w:rsid w:val="00B21C51"/>
    <w:rsid w:val="00B21DD5"/>
    <w:rsid w:val="00B224C0"/>
    <w:rsid w:val="00B226E4"/>
    <w:rsid w:val="00B2272B"/>
    <w:rsid w:val="00B229A4"/>
    <w:rsid w:val="00B22FEC"/>
    <w:rsid w:val="00B2375D"/>
    <w:rsid w:val="00B2417B"/>
    <w:rsid w:val="00B24516"/>
    <w:rsid w:val="00B2545E"/>
    <w:rsid w:val="00B2561F"/>
    <w:rsid w:val="00B26E58"/>
    <w:rsid w:val="00B27CB8"/>
    <w:rsid w:val="00B302A5"/>
    <w:rsid w:val="00B307B0"/>
    <w:rsid w:val="00B3133F"/>
    <w:rsid w:val="00B3151B"/>
    <w:rsid w:val="00B317BE"/>
    <w:rsid w:val="00B32B4D"/>
    <w:rsid w:val="00B331C8"/>
    <w:rsid w:val="00B3467F"/>
    <w:rsid w:val="00B349B5"/>
    <w:rsid w:val="00B35395"/>
    <w:rsid w:val="00B35BE7"/>
    <w:rsid w:val="00B35DE7"/>
    <w:rsid w:val="00B36529"/>
    <w:rsid w:val="00B36CBF"/>
    <w:rsid w:val="00B37497"/>
    <w:rsid w:val="00B37B02"/>
    <w:rsid w:val="00B37E95"/>
    <w:rsid w:val="00B40578"/>
    <w:rsid w:val="00B4094B"/>
    <w:rsid w:val="00B41747"/>
    <w:rsid w:val="00B43114"/>
    <w:rsid w:val="00B43441"/>
    <w:rsid w:val="00B436F5"/>
    <w:rsid w:val="00B43F31"/>
    <w:rsid w:val="00B441C7"/>
    <w:rsid w:val="00B4456F"/>
    <w:rsid w:val="00B44D57"/>
    <w:rsid w:val="00B44FDF"/>
    <w:rsid w:val="00B45034"/>
    <w:rsid w:val="00B45CC6"/>
    <w:rsid w:val="00B45D8F"/>
    <w:rsid w:val="00B45E36"/>
    <w:rsid w:val="00B46095"/>
    <w:rsid w:val="00B47B9B"/>
    <w:rsid w:val="00B47F5A"/>
    <w:rsid w:val="00B500A8"/>
    <w:rsid w:val="00B5072B"/>
    <w:rsid w:val="00B518CD"/>
    <w:rsid w:val="00B534D6"/>
    <w:rsid w:val="00B53666"/>
    <w:rsid w:val="00B53A56"/>
    <w:rsid w:val="00B54B0B"/>
    <w:rsid w:val="00B54B5E"/>
    <w:rsid w:val="00B55409"/>
    <w:rsid w:val="00B55FCB"/>
    <w:rsid w:val="00B56152"/>
    <w:rsid w:val="00B60936"/>
    <w:rsid w:val="00B60F5D"/>
    <w:rsid w:val="00B61E6E"/>
    <w:rsid w:val="00B621B9"/>
    <w:rsid w:val="00B63F0D"/>
    <w:rsid w:val="00B64116"/>
    <w:rsid w:val="00B64713"/>
    <w:rsid w:val="00B6498B"/>
    <w:rsid w:val="00B64A7A"/>
    <w:rsid w:val="00B65283"/>
    <w:rsid w:val="00B67611"/>
    <w:rsid w:val="00B67679"/>
    <w:rsid w:val="00B678A5"/>
    <w:rsid w:val="00B67E4E"/>
    <w:rsid w:val="00B7176A"/>
    <w:rsid w:val="00B718C6"/>
    <w:rsid w:val="00B72276"/>
    <w:rsid w:val="00B728A2"/>
    <w:rsid w:val="00B7290A"/>
    <w:rsid w:val="00B7381E"/>
    <w:rsid w:val="00B73B3B"/>
    <w:rsid w:val="00B74347"/>
    <w:rsid w:val="00B747CF"/>
    <w:rsid w:val="00B7498D"/>
    <w:rsid w:val="00B75608"/>
    <w:rsid w:val="00B75BE9"/>
    <w:rsid w:val="00B75E44"/>
    <w:rsid w:val="00B762CD"/>
    <w:rsid w:val="00B766D7"/>
    <w:rsid w:val="00B76B31"/>
    <w:rsid w:val="00B76F5A"/>
    <w:rsid w:val="00B773A2"/>
    <w:rsid w:val="00B802C8"/>
    <w:rsid w:val="00B80463"/>
    <w:rsid w:val="00B804CF"/>
    <w:rsid w:val="00B81570"/>
    <w:rsid w:val="00B83145"/>
    <w:rsid w:val="00B832AF"/>
    <w:rsid w:val="00B83745"/>
    <w:rsid w:val="00B838FA"/>
    <w:rsid w:val="00B83B39"/>
    <w:rsid w:val="00B842EB"/>
    <w:rsid w:val="00B85B17"/>
    <w:rsid w:val="00B85BE8"/>
    <w:rsid w:val="00B85F87"/>
    <w:rsid w:val="00B86904"/>
    <w:rsid w:val="00B86B0A"/>
    <w:rsid w:val="00B871AC"/>
    <w:rsid w:val="00B905F1"/>
    <w:rsid w:val="00B90AE5"/>
    <w:rsid w:val="00B90B87"/>
    <w:rsid w:val="00B90C6C"/>
    <w:rsid w:val="00B90EC0"/>
    <w:rsid w:val="00B910F2"/>
    <w:rsid w:val="00B91EF1"/>
    <w:rsid w:val="00B9236B"/>
    <w:rsid w:val="00B92CF2"/>
    <w:rsid w:val="00B92F5A"/>
    <w:rsid w:val="00B93C9D"/>
    <w:rsid w:val="00B95873"/>
    <w:rsid w:val="00B969D0"/>
    <w:rsid w:val="00B972A5"/>
    <w:rsid w:val="00B975CC"/>
    <w:rsid w:val="00BA10B6"/>
    <w:rsid w:val="00BA118A"/>
    <w:rsid w:val="00BA12BB"/>
    <w:rsid w:val="00BA1874"/>
    <w:rsid w:val="00BA1A5D"/>
    <w:rsid w:val="00BA214B"/>
    <w:rsid w:val="00BA2BCE"/>
    <w:rsid w:val="00BA362C"/>
    <w:rsid w:val="00BA409D"/>
    <w:rsid w:val="00BA45D5"/>
    <w:rsid w:val="00BA4BDD"/>
    <w:rsid w:val="00BA4F78"/>
    <w:rsid w:val="00BA6BFA"/>
    <w:rsid w:val="00BA721F"/>
    <w:rsid w:val="00BB0EF6"/>
    <w:rsid w:val="00BB11FA"/>
    <w:rsid w:val="00BB12C1"/>
    <w:rsid w:val="00BB29EF"/>
    <w:rsid w:val="00BB4E78"/>
    <w:rsid w:val="00BB52BF"/>
    <w:rsid w:val="00BB53AB"/>
    <w:rsid w:val="00BB53F0"/>
    <w:rsid w:val="00BB5405"/>
    <w:rsid w:val="00BB6BE1"/>
    <w:rsid w:val="00BB7003"/>
    <w:rsid w:val="00BB7399"/>
    <w:rsid w:val="00BB7647"/>
    <w:rsid w:val="00BC0A7F"/>
    <w:rsid w:val="00BC13E7"/>
    <w:rsid w:val="00BC173F"/>
    <w:rsid w:val="00BC17C3"/>
    <w:rsid w:val="00BC1CB2"/>
    <w:rsid w:val="00BC2FA5"/>
    <w:rsid w:val="00BC3252"/>
    <w:rsid w:val="00BC33E3"/>
    <w:rsid w:val="00BC49B5"/>
    <w:rsid w:val="00BC4D07"/>
    <w:rsid w:val="00BC4D53"/>
    <w:rsid w:val="00BC4EC5"/>
    <w:rsid w:val="00BC524E"/>
    <w:rsid w:val="00BC57F1"/>
    <w:rsid w:val="00BC5AA0"/>
    <w:rsid w:val="00BC5E5C"/>
    <w:rsid w:val="00BC6014"/>
    <w:rsid w:val="00BC6300"/>
    <w:rsid w:val="00BC6384"/>
    <w:rsid w:val="00BC7288"/>
    <w:rsid w:val="00BC73AF"/>
    <w:rsid w:val="00BC7845"/>
    <w:rsid w:val="00BD0604"/>
    <w:rsid w:val="00BD1830"/>
    <w:rsid w:val="00BD4B80"/>
    <w:rsid w:val="00BD506C"/>
    <w:rsid w:val="00BD529A"/>
    <w:rsid w:val="00BD6434"/>
    <w:rsid w:val="00BD6B65"/>
    <w:rsid w:val="00BD728D"/>
    <w:rsid w:val="00BD7FC5"/>
    <w:rsid w:val="00BE0749"/>
    <w:rsid w:val="00BE0D6B"/>
    <w:rsid w:val="00BE169A"/>
    <w:rsid w:val="00BE17B1"/>
    <w:rsid w:val="00BE2CBF"/>
    <w:rsid w:val="00BE2D9A"/>
    <w:rsid w:val="00BE314A"/>
    <w:rsid w:val="00BE32C6"/>
    <w:rsid w:val="00BE3DAD"/>
    <w:rsid w:val="00BE4B5E"/>
    <w:rsid w:val="00BE5303"/>
    <w:rsid w:val="00BE54AE"/>
    <w:rsid w:val="00BE550E"/>
    <w:rsid w:val="00BE66B9"/>
    <w:rsid w:val="00BE6F3E"/>
    <w:rsid w:val="00BE7687"/>
    <w:rsid w:val="00BE7D62"/>
    <w:rsid w:val="00BF09DF"/>
    <w:rsid w:val="00BF122F"/>
    <w:rsid w:val="00BF25D9"/>
    <w:rsid w:val="00BF27A2"/>
    <w:rsid w:val="00BF2AA8"/>
    <w:rsid w:val="00BF4144"/>
    <w:rsid w:val="00BF5422"/>
    <w:rsid w:val="00BF59CF"/>
    <w:rsid w:val="00BF6746"/>
    <w:rsid w:val="00C00441"/>
    <w:rsid w:val="00C0083A"/>
    <w:rsid w:val="00C021BA"/>
    <w:rsid w:val="00C02B42"/>
    <w:rsid w:val="00C03AB3"/>
    <w:rsid w:val="00C03C5F"/>
    <w:rsid w:val="00C04079"/>
    <w:rsid w:val="00C05090"/>
    <w:rsid w:val="00C052C5"/>
    <w:rsid w:val="00C05AA5"/>
    <w:rsid w:val="00C065DF"/>
    <w:rsid w:val="00C0663A"/>
    <w:rsid w:val="00C06DBA"/>
    <w:rsid w:val="00C07D26"/>
    <w:rsid w:val="00C112DF"/>
    <w:rsid w:val="00C114AF"/>
    <w:rsid w:val="00C118FA"/>
    <w:rsid w:val="00C12734"/>
    <w:rsid w:val="00C12CD6"/>
    <w:rsid w:val="00C13FB2"/>
    <w:rsid w:val="00C1423E"/>
    <w:rsid w:val="00C14537"/>
    <w:rsid w:val="00C16F3F"/>
    <w:rsid w:val="00C170A4"/>
    <w:rsid w:val="00C1776D"/>
    <w:rsid w:val="00C2017D"/>
    <w:rsid w:val="00C201BF"/>
    <w:rsid w:val="00C2093A"/>
    <w:rsid w:val="00C21312"/>
    <w:rsid w:val="00C21655"/>
    <w:rsid w:val="00C21CA3"/>
    <w:rsid w:val="00C22312"/>
    <w:rsid w:val="00C23532"/>
    <w:rsid w:val="00C238CE"/>
    <w:rsid w:val="00C2462D"/>
    <w:rsid w:val="00C2464E"/>
    <w:rsid w:val="00C24884"/>
    <w:rsid w:val="00C25058"/>
    <w:rsid w:val="00C25BF0"/>
    <w:rsid w:val="00C26233"/>
    <w:rsid w:val="00C26365"/>
    <w:rsid w:val="00C27534"/>
    <w:rsid w:val="00C27A03"/>
    <w:rsid w:val="00C27B74"/>
    <w:rsid w:val="00C27C92"/>
    <w:rsid w:val="00C27FA2"/>
    <w:rsid w:val="00C30BD8"/>
    <w:rsid w:val="00C31422"/>
    <w:rsid w:val="00C31A51"/>
    <w:rsid w:val="00C31BE9"/>
    <w:rsid w:val="00C32556"/>
    <w:rsid w:val="00C329E6"/>
    <w:rsid w:val="00C3317D"/>
    <w:rsid w:val="00C334C8"/>
    <w:rsid w:val="00C3464E"/>
    <w:rsid w:val="00C34674"/>
    <w:rsid w:val="00C34D0D"/>
    <w:rsid w:val="00C354D9"/>
    <w:rsid w:val="00C35CC8"/>
    <w:rsid w:val="00C35CF4"/>
    <w:rsid w:val="00C35E3F"/>
    <w:rsid w:val="00C360FE"/>
    <w:rsid w:val="00C361E3"/>
    <w:rsid w:val="00C362CA"/>
    <w:rsid w:val="00C362D8"/>
    <w:rsid w:val="00C36B27"/>
    <w:rsid w:val="00C37C08"/>
    <w:rsid w:val="00C4068B"/>
    <w:rsid w:val="00C40711"/>
    <w:rsid w:val="00C422F0"/>
    <w:rsid w:val="00C42D11"/>
    <w:rsid w:val="00C43AF2"/>
    <w:rsid w:val="00C44710"/>
    <w:rsid w:val="00C451D2"/>
    <w:rsid w:val="00C45405"/>
    <w:rsid w:val="00C45494"/>
    <w:rsid w:val="00C45838"/>
    <w:rsid w:val="00C45977"/>
    <w:rsid w:val="00C4733E"/>
    <w:rsid w:val="00C51561"/>
    <w:rsid w:val="00C522F5"/>
    <w:rsid w:val="00C5239E"/>
    <w:rsid w:val="00C524F1"/>
    <w:rsid w:val="00C52990"/>
    <w:rsid w:val="00C534F9"/>
    <w:rsid w:val="00C53627"/>
    <w:rsid w:val="00C538D6"/>
    <w:rsid w:val="00C548E4"/>
    <w:rsid w:val="00C54B92"/>
    <w:rsid w:val="00C54C10"/>
    <w:rsid w:val="00C54DD1"/>
    <w:rsid w:val="00C55B54"/>
    <w:rsid w:val="00C563DB"/>
    <w:rsid w:val="00C56B60"/>
    <w:rsid w:val="00C579D7"/>
    <w:rsid w:val="00C60158"/>
    <w:rsid w:val="00C60543"/>
    <w:rsid w:val="00C6113E"/>
    <w:rsid w:val="00C61865"/>
    <w:rsid w:val="00C6227E"/>
    <w:rsid w:val="00C63125"/>
    <w:rsid w:val="00C63415"/>
    <w:rsid w:val="00C63F93"/>
    <w:rsid w:val="00C64015"/>
    <w:rsid w:val="00C64CB8"/>
    <w:rsid w:val="00C64CFE"/>
    <w:rsid w:val="00C65463"/>
    <w:rsid w:val="00C66BB3"/>
    <w:rsid w:val="00C6701D"/>
    <w:rsid w:val="00C67B1C"/>
    <w:rsid w:val="00C67C10"/>
    <w:rsid w:val="00C7038C"/>
    <w:rsid w:val="00C70963"/>
    <w:rsid w:val="00C70F4B"/>
    <w:rsid w:val="00C71214"/>
    <w:rsid w:val="00C71410"/>
    <w:rsid w:val="00C716D1"/>
    <w:rsid w:val="00C71F26"/>
    <w:rsid w:val="00C72793"/>
    <w:rsid w:val="00C72F27"/>
    <w:rsid w:val="00C738AB"/>
    <w:rsid w:val="00C73C3E"/>
    <w:rsid w:val="00C73F73"/>
    <w:rsid w:val="00C73FB6"/>
    <w:rsid w:val="00C74651"/>
    <w:rsid w:val="00C74D30"/>
    <w:rsid w:val="00C754F5"/>
    <w:rsid w:val="00C756E9"/>
    <w:rsid w:val="00C75C7D"/>
    <w:rsid w:val="00C75EBD"/>
    <w:rsid w:val="00C763C9"/>
    <w:rsid w:val="00C770C7"/>
    <w:rsid w:val="00C7725F"/>
    <w:rsid w:val="00C805E3"/>
    <w:rsid w:val="00C808EF"/>
    <w:rsid w:val="00C80D03"/>
    <w:rsid w:val="00C815FB"/>
    <w:rsid w:val="00C82006"/>
    <w:rsid w:val="00C82356"/>
    <w:rsid w:val="00C8321E"/>
    <w:rsid w:val="00C8437B"/>
    <w:rsid w:val="00C84882"/>
    <w:rsid w:val="00C848CD"/>
    <w:rsid w:val="00C85717"/>
    <w:rsid w:val="00C859A2"/>
    <w:rsid w:val="00C86706"/>
    <w:rsid w:val="00C868F3"/>
    <w:rsid w:val="00C90220"/>
    <w:rsid w:val="00C90E5E"/>
    <w:rsid w:val="00C91494"/>
    <w:rsid w:val="00C91D7E"/>
    <w:rsid w:val="00C925DE"/>
    <w:rsid w:val="00C93084"/>
    <w:rsid w:val="00C93CE6"/>
    <w:rsid w:val="00C9434B"/>
    <w:rsid w:val="00C944EF"/>
    <w:rsid w:val="00C94946"/>
    <w:rsid w:val="00C94FDF"/>
    <w:rsid w:val="00C954C8"/>
    <w:rsid w:val="00C956A8"/>
    <w:rsid w:val="00C96129"/>
    <w:rsid w:val="00C97F5E"/>
    <w:rsid w:val="00CA0325"/>
    <w:rsid w:val="00CA26DA"/>
    <w:rsid w:val="00CA2B35"/>
    <w:rsid w:val="00CA2E83"/>
    <w:rsid w:val="00CA35F6"/>
    <w:rsid w:val="00CA3CAB"/>
    <w:rsid w:val="00CA4C8C"/>
    <w:rsid w:val="00CA4D62"/>
    <w:rsid w:val="00CA555B"/>
    <w:rsid w:val="00CA5DA8"/>
    <w:rsid w:val="00CA5F31"/>
    <w:rsid w:val="00CA6551"/>
    <w:rsid w:val="00CA665B"/>
    <w:rsid w:val="00CA6944"/>
    <w:rsid w:val="00CA77C0"/>
    <w:rsid w:val="00CA7F98"/>
    <w:rsid w:val="00CB02D5"/>
    <w:rsid w:val="00CB0F9D"/>
    <w:rsid w:val="00CB170F"/>
    <w:rsid w:val="00CB2A2B"/>
    <w:rsid w:val="00CB2E95"/>
    <w:rsid w:val="00CB4065"/>
    <w:rsid w:val="00CB4236"/>
    <w:rsid w:val="00CB48ED"/>
    <w:rsid w:val="00CB538E"/>
    <w:rsid w:val="00CB5CDC"/>
    <w:rsid w:val="00CB68A0"/>
    <w:rsid w:val="00CB6B41"/>
    <w:rsid w:val="00CB79B1"/>
    <w:rsid w:val="00CC0262"/>
    <w:rsid w:val="00CC0431"/>
    <w:rsid w:val="00CC1240"/>
    <w:rsid w:val="00CC13EF"/>
    <w:rsid w:val="00CC16B7"/>
    <w:rsid w:val="00CC1859"/>
    <w:rsid w:val="00CC18AA"/>
    <w:rsid w:val="00CC19F0"/>
    <w:rsid w:val="00CC2043"/>
    <w:rsid w:val="00CC342A"/>
    <w:rsid w:val="00CC3430"/>
    <w:rsid w:val="00CC3926"/>
    <w:rsid w:val="00CC4F76"/>
    <w:rsid w:val="00CC56B7"/>
    <w:rsid w:val="00CC60D9"/>
    <w:rsid w:val="00CC692A"/>
    <w:rsid w:val="00CC74D0"/>
    <w:rsid w:val="00CD05F7"/>
    <w:rsid w:val="00CD06C7"/>
    <w:rsid w:val="00CD083E"/>
    <w:rsid w:val="00CD0A73"/>
    <w:rsid w:val="00CD14DD"/>
    <w:rsid w:val="00CD1912"/>
    <w:rsid w:val="00CD1A6D"/>
    <w:rsid w:val="00CD27BA"/>
    <w:rsid w:val="00CD282F"/>
    <w:rsid w:val="00CD3D1F"/>
    <w:rsid w:val="00CD3FD3"/>
    <w:rsid w:val="00CD42F7"/>
    <w:rsid w:val="00CD53D5"/>
    <w:rsid w:val="00CD6087"/>
    <w:rsid w:val="00CD6094"/>
    <w:rsid w:val="00CD79F9"/>
    <w:rsid w:val="00CD7A7B"/>
    <w:rsid w:val="00CE082B"/>
    <w:rsid w:val="00CE0CC6"/>
    <w:rsid w:val="00CE1FF0"/>
    <w:rsid w:val="00CE2A75"/>
    <w:rsid w:val="00CE3AAC"/>
    <w:rsid w:val="00CE3E1B"/>
    <w:rsid w:val="00CE3F8B"/>
    <w:rsid w:val="00CE4138"/>
    <w:rsid w:val="00CE4353"/>
    <w:rsid w:val="00CE4CAF"/>
    <w:rsid w:val="00CE5265"/>
    <w:rsid w:val="00CE56FB"/>
    <w:rsid w:val="00CE5A3A"/>
    <w:rsid w:val="00CE5DD8"/>
    <w:rsid w:val="00CE6302"/>
    <w:rsid w:val="00CE65FB"/>
    <w:rsid w:val="00CE67AF"/>
    <w:rsid w:val="00CE7000"/>
    <w:rsid w:val="00CE702D"/>
    <w:rsid w:val="00CE7177"/>
    <w:rsid w:val="00CE7DDB"/>
    <w:rsid w:val="00CF167D"/>
    <w:rsid w:val="00CF1C05"/>
    <w:rsid w:val="00CF27CA"/>
    <w:rsid w:val="00CF2B92"/>
    <w:rsid w:val="00CF2D99"/>
    <w:rsid w:val="00CF39C8"/>
    <w:rsid w:val="00CF49AB"/>
    <w:rsid w:val="00CF4E2B"/>
    <w:rsid w:val="00CF54C7"/>
    <w:rsid w:val="00CF5B49"/>
    <w:rsid w:val="00CF6158"/>
    <w:rsid w:val="00CF6E85"/>
    <w:rsid w:val="00CF732E"/>
    <w:rsid w:val="00CF77D7"/>
    <w:rsid w:val="00CF7903"/>
    <w:rsid w:val="00CF7CE1"/>
    <w:rsid w:val="00CF7DA1"/>
    <w:rsid w:val="00D000AC"/>
    <w:rsid w:val="00D002BB"/>
    <w:rsid w:val="00D00E97"/>
    <w:rsid w:val="00D010DC"/>
    <w:rsid w:val="00D0114C"/>
    <w:rsid w:val="00D01BD7"/>
    <w:rsid w:val="00D02A21"/>
    <w:rsid w:val="00D040F1"/>
    <w:rsid w:val="00D0425E"/>
    <w:rsid w:val="00D0582B"/>
    <w:rsid w:val="00D064CD"/>
    <w:rsid w:val="00D06BF5"/>
    <w:rsid w:val="00D07A80"/>
    <w:rsid w:val="00D07F97"/>
    <w:rsid w:val="00D104C9"/>
    <w:rsid w:val="00D106DA"/>
    <w:rsid w:val="00D10770"/>
    <w:rsid w:val="00D10BA7"/>
    <w:rsid w:val="00D11218"/>
    <w:rsid w:val="00D117A7"/>
    <w:rsid w:val="00D12173"/>
    <w:rsid w:val="00D12642"/>
    <w:rsid w:val="00D13298"/>
    <w:rsid w:val="00D13657"/>
    <w:rsid w:val="00D13F98"/>
    <w:rsid w:val="00D14175"/>
    <w:rsid w:val="00D144B5"/>
    <w:rsid w:val="00D14722"/>
    <w:rsid w:val="00D15580"/>
    <w:rsid w:val="00D15910"/>
    <w:rsid w:val="00D1629A"/>
    <w:rsid w:val="00D170A5"/>
    <w:rsid w:val="00D170CE"/>
    <w:rsid w:val="00D17E52"/>
    <w:rsid w:val="00D2006F"/>
    <w:rsid w:val="00D20408"/>
    <w:rsid w:val="00D20542"/>
    <w:rsid w:val="00D2119F"/>
    <w:rsid w:val="00D23D53"/>
    <w:rsid w:val="00D23F75"/>
    <w:rsid w:val="00D247AF"/>
    <w:rsid w:val="00D24BEF"/>
    <w:rsid w:val="00D25EB3"/>
    <w:rsid w:val="00D26202"/>
    <w:rsid w:val="00D2630A"/>
    <w:rsid w:val="00D265DE"/>
    <w:rsid w:val="00D26625"/>
    <w:rsid w:val="00D26661"/>
    <w:rsid w:val="00D27475"/>
    <w:rsid w:val="00D274ED"/>
    <w:rsid w:val="00D2786A"/>
    <w:rsid w:val="00D314F7"/>
    <w:rsid w:val="00D32294"/>
    <w:rsid w:val="00D32C6C"/>
    <w:rsid w:val="00D340F0"/>
    <w:rsid w:val="00D34897"/>
    <w:rsid w:val="00D35419"/>
    <w:rsid w:val="00D36219"/>
    <w:rsid w:val="00D3769B"/>
    <w:rsid w:val="00D403F7"/>
    <w:rsid w:val="00D40428"/>
    <w:rsid w:val="00D419C2"/>
    <w:rsid w:val="00D42DFD"/>
    <w:rsid w:val="00D4383B"/>
    <w:rsid w:val="00D43B9E"/>
    <w:rsid w:val="00D43C33"/>
    <w:rsid w:val="00D45F34"/>
    <w:rsid w:val="00D473A4"/>
    <w:rsid w:val="00D47655"/>
    <w:rsid w:val="00D50307"/>
    <w:rsid w:val="00D5031B"/>
    <w:rsid w:val="00D50665"/>
    <w:rsid w:val="00D50C97"/>
    <w:rsid w:val="00D51445"/>
    <w:rsid w:val="00D51B1D"/>
    <w:rsid w:val="00D51D61"/>
    <w:rsid w:val="00D534BC"/>
    <w:rsid w:val="00D5353E"/>
    <w:rsid w:val="00D53E0E"/>
    <w:rsid w:val="00D54025"/>
    <w:rsid w:val="00D54038"/>
    <w:rsid w:val="00D5409B"/>
    <w:rsid w:val="00D54673"/>
    <w:rsid w:val="00D54A28"/>
    <w:rsid w:val="00D54C8C"/>
    <w:rsid w:val="00D56284"/>
    <w:rsid w:val="00D56894"/>
    <w:rsid w:val="00D5756D"/>
    <w:rsid w:val="00D57986"/>
    <w:rsid w:val="00D60800"/>
    <w:rsid w:val="00D6086A"/>
    <w:rsid w:val="00D6090A"/>
    <w:rsid w:val="00D626D3"/>
    <w:rsid w:val="00D63ED2"/>
    <w:rsid w:val="00D648BA"/>
    <w:rsid w:val="00D64CF0"/>
    <w:rsid w:val="00D665EC"/>
    <w:rsid w:val="00D66C3B"/>
    <w:rsid w:val="00D70D20"/>
    <w:rsid w:val="00D7198E"/>
    <w:rsid w:val="00D72E4B"/>
    <w:rsid w:val="00D732A0"/>
    <w:rsid w:val="00D73308"/>
    <w:rsid w:val="00D73671"/>
    <w:rsid w:val="00D73DF6"/>
    <w:rsid w:val="00D74647"/>
    <w:rsid w:val="00D74AF7"/>
    <w:rsid w:val="00D74EC1"/>
    <w:rsid w:val="00D753B8"/>
    <w:rsid w:val="00D75D89"/>
    <w:rsid w:val="00D75F55"/>
    <w:rsid w:val="00D760BB"/>
    <w:rsid w:val="00D76136"/>
    <w:rsid w:val="00D7616C"/>
    <w:rsid w:val="00D761D8"/>
    <w:rsid w:val="00D76633"/>
    <w:rsid w:val="00D7797C"/>
    <w:rsid w:val="00D80909"/>
    <w:rsid w:val="00D80B65"/>
    <w:rsid w:val="00D81D10"/>
    <w:rsid w:val="00D81E7E"/>
    <w:rsid w:val="00D821F1"/>
    <w:rsid w:val="00D83C37"/>
    <w:rsid w:val="00D83CBC"/>
    <w:rsid w:val="00D844A1"/>
    <w:rsid w:val="00D8526A"/>
    <w:rsid w:val="00D8531C"/>
    <w:rsid w:val="00D853A2"/>
    <w:rsid w:val="00D85A46"/>
    <w:rsid w:val="00D86C4A"/>
    <w:rsid w:val="00D87200"/>
    <w:rsid w:val="00D87D75"/>
    <w:rsid w:val="00D90358"/>
    <w:rsid w:val="00D904FB"/>
    <w:rsid w:val="00D918BF"/>
    <w:rsid w:val="00D924CD"/>
    <w:rsid w:val="00D92824"/>
    <w:rsid w:val="00D93138"/>
    <w:rsid w:val="00D9347D"/>
    <w:rsid w:val="00D93689"/>
    <w:rsid w:val="00D93D52"/>
    <w:rsid w:val="00D94EEF"/>
    <w:rsid w:val="00D950D7"/>
    <w:rsid w:val="00D95450"/>
    <w:rsid w:val="00D95CFC"/>
    <w:rsid w:val="00D961F6"/>
    <w:rsid w:val="00D96305"/>
    <w:rsid w:val="00D96F81"/>
    <w:rsid w:val="00D97105"/>
    <w:rsid w:val="00DA02C7"/>
    <w:rsid w:val="00DA13F7"/>
    <w:rsid w:val="00DA1B4B"/>
    <w:rsid w:val="00DA1CA4"/>
    <w:rsid w:val="00DA2935"/>
    <w:rsid w:val="00DA2E64"/>
    <w:rsid w:val="00DA2EED"/>
    <w:rsid w:val="00DA2F28"/>
    <w:rsid w:val="00DA30F9"/>
    <w:rsid w:val="00DA3D0F"/>
    <w:rsid w:val="00DA466B"/>
    <w:rsid w:val="00DA4F89"/>
    <w:rsid w:val="00DA52AB"/>
    <w:rsid w:val="00DA5528"/>
    <w:rsid w:val="00DA5874"/>
    <w:rsid w:val="00DA5F5A"/>
    <w:rsid w:val="00DA63B1"/>
    <w:rsid w:val="00DA702C"/>
    <w:rsid w:val="00DA7291"/>
    <w:rsid w:val="00DB1BE9"/>
    <w:rsid w:val="00DB1C8D"/>
    <w:rsid w:val="00DB2284"/>
    <w:rsid w:val="00DB2454"/>
    <w:rsid w:val="00DB271D"/>
    <w:rsid w:val="00DB3E86"/>
    <w:rsid w:val="00DB576B"/>
    <w:rsid w:val="00DB5931"/>
    <w:rsid w:val="00DB5A9F"/>
    <w:rsid w:val="00DB610B"/>
    <w:rsid w:val="00DB6735"/>
    <w:rsid w:val="00DB7326"/>
    <w:rsid w:val="00DC0213"/>
    <w:rsid w:val="00DC0446"/>
    <w:rsid w:val="00DC09C4"/>
    <w:rsid w:val="00DC0A7A"/>
    <w:rsid w:val="00DC0AFC"/>
    <w:rsid w:val="00DC12FC"/>
    <w:rsid w:val="00DC1772"/>
    <w:rsid w:val="00DC224C"/>
    <w:rsid w:val="00DC2E21"/>
    <w:rsid w:val="00DC33FA"/>
    <w:rsid w:val="00DC43B3"/>
    <w:rsid w:val="00DC576A"/>
    <w:rsid w:val="00DC648B"/>
    <w:rsid w:val="00DC65B9"/>
    <w:rsid w:val="00DC6C37"/>
    <w:rsid w:val="00DC6E4B"/>
    <w:rsid w:val="00DC6FCF"/>
    <w:rsid w:val="00DD0053"/>
    <w:rsid w:val="00DD1910"/>
    <w:rsid w:val="00DD1F7E"/>
    <w:rsid w:val="00DD1FF0"/>
    <w:rsid w:val="00DD417C"/>
    <w:rsid w:val="00DD4862"/>
    <w:rsid w:val="00DD4B0D"/>
    <w:rsid w:val="00DD4F10"/>
    <w:rsid w:val="00DD73CA"/>
    <w:rsid w:val="00DE101A"/>
    <w:rsid w:val="00DE10CD"/>
    <w:rsid w:val="00DE194C"/>
    <w:rsid w:val="00DE1C16"/>
    <w:rsid w:val="00DE2288"/>
    <w:rsid w:val="00DE2814"/>
    <w:rsid w:val="00DE3010"/>
    <w:rsid w:val="00DE31AC"/>
    <w:rsid w:val="00DE3693"/>
    <w:rsid w:val="00DE3A36"/>
    <w:rsid w:val="00DE4186"/>
    <w:rsid w:val="00DE4408"/>
    <w:rsid w:val="00DE4931"/>
    <w:rsid w:val="00DE4BAA"/>
    <w:rsid w:val="00DE4EF9"/>
    <w:rsid w:val="00DE50EA"/>
    <w:rsid w:val="00DE522B"/>
    <w:rsid w:val="00DE665B"/>
    <w:rsid w:val="00DE6A92"/>
    <w:rsid w:val="00DE78F3"/>
    <w:rsid w:val="00DE7F06"/>
    <w:rsid w:val="00DF02B8"/>
    <w:rsid w:val="00DF06E4"/>
    <w:rsid w:val="00DF0F90"/>
    <w:rsid w:val="00DF1255"/>
    <w:rsid w:val="00DF21B9"/>
    <w:rsid w:val="00DF26E5"/>
    <w:rsid w:val="00DF27B8"/>
    <w:rsid w:val="00DF43AB"/>
    <w:rsid w:val="00DF4472"/>
    <w:rsid w:val="00DF4740"/>
    <w:rsid w:val="00DF47C4"/>
    <w:rsid w:val="00DF4B77"/>
    <w:rsid w:val="00DF510B"/>
    <w:rsid w:val="00DF51E3"/>
    <w:rsid w:val="00DF534B"/>
    <w:rsid w:val="00DF544D"/>
    <w:rsid w:val="00DF5909"/>
    <w:rsid w:val="00DF6473"/>
    <w:rsid w:val="00DF6E47"/>
    <w:rsid w:val="00DF6FC0"/>
    <w:rsid w:val="00DF7097"/>
    <w:rsid w:val="00DF7647"/>
    <w:rsid w:val="00DF7984"/>
    <w:rsid w:val="00DF79B7"/>
    <w:rsid w:val="00DF7EA8"/>
    <w:rsid w:val="00DF7EEF"/>
    <w:rsid w:val="00E0118C"/>
    <w:rsid w:val="00E01C76"/>
    <w:rsid w:val="00E01F25"/>
    <w:rsid w:val="00E026E2"/>
    <w:rsid w:val="00E02E4C"/>
    <w:rsid w:val="00E03046"/>
    <w:rsid w:val="00E03DD6"/>
    <w:rsid w:val="00E057E2"/>
    <w:rsid w:val="00E0661B"/>
    <w:rsid w:val="00E06837"/>
    <w:rsid w:val="00E06B84"/>
    <w:rsid w:val="00E06E85"/>
    <w:rsid w:val="00E079F2"/>
    <w:rsid w:val="00E108EA"/>
    <w:rsid w:val="00E10E87"/>
    <w:rsid w:val="00E1116B"/>
    <w:rsid w:val="00E11619"/>
    <w:rsid w:val="00E12147"/>
    <w:rsid w:val="00E12BEC"/>
    <w:rsid w:val="00E13326"/>
    <w:rsid w:val="00E13659"/>
    <w:rsid w:val="00E13E6D"/>
    <w:rsid w:val="00E143D7"/>
    <w:rsid w:val="00E150BC"/>
    <w:rsid w:val="00E15238"/>
    <w:rsid w:val="00E15998"/>
    <w:rsid w:val="00E15D28"/>
    <w:rsid w:val="00E16A65"/>
    <w:rsid w:val="00E16EA7"/>
    <w:rsid w:val="00E207CE"/>
    <w:rsid w:val="00E20821"/>
    <w:rsid w:val="00E20E2D"/>
    <w:rsid w:val="00E21594"/>
    <w:rsid w:val="00E21C41"/>
    <w:rsid w:val="00E22CE9"/>
    <w:rsid w:val="00E235BE"/>
    <w:rsid w:val="00E23644"/>
    <w:rsid w:val="00E237C6"/>
    <w:rsid w:val="00E23974"/>
    <w:rsid w:val="00E23C10"/>
    <w:rsid w:val="00E246A3"/>
    <w:rsid w:val="00E249FC"/>
    <w:rsid w:val="00E2514B"/>
    <w:rsid w:val="00E26592"/>
    <w:rsid w:val="00E27147"/>
    <w:rsid w:val="00E27420"/>
    <w:rsid w:val="00E27923"/>
    <w:rsid w:val="00E279CF"/>
    <w:rsid w:val="00E27F75"/>
    <w:rsid w:val="00E3009E"/>
    <w:rsid w:val="00E30106"/>
    <w:rsid w:val="00E3099F"/>
    <w:rsid w:val="00E31603"/>
    <w:rsid w:val="00E32174"/>
    <w:rsid w:val="00E32DED"/>
    <w:rsid w:val="00E333F5"/>
    <w:rsid w:val="00E33C22"/>
    <w:rsid w:val="00E33D9A"/>
    <w:rsid w:val="00E34837"/>
    <w:rsid w:val="00E34BC9"/>
    <w:rsid w:val="00E3555B"/>
    <w:rsid w:val="00E369D2"/>
    <w:rsid w:val="00E36F2A"/>
    <w:rsid w:val="00E373A2"/>
    <w:rsid w:val="00E40462"/>
    <w:rsid w:val="00E40FD7"/>
    <w:rsid w:val="00E4119D"/>
    <w:rsid w:val="00E4132D"/>
    <w:rsid w:val="00E41B86"/>
    <w:rsid w:val="00E41E67"/>
    <w:rsid w:val="00E42A2E"/>
    <w:rsid w:val="00E4302E"/>
    <w:rsid w:val="00E43097"/>
    <w:rsid w:val="00E43132"/>
    <w:rsid w:val="00E43A54"/>
    <w:rsid w:val="00E44E21"/>
    <w:rsid w:val="00E4557A"/>
    <w:rsid w:val="00E461F7"/>
    <w:rsid w:val="00E46C59"/>
    <w:rsid w:val="00E46E4C"/>
    <w:rsid w:val="00E47419"/>
    <w:rsid w:val="00E5035A"/>
    <w:rsid w:val="00E509BD"/>
    <w:rsid w:val="00E51B48"/>
    <w:rsid w:val="00E52299"/>
    <w:rsid w:val="00E52B0B"/>
    <w:rsid w:val="00E52F4C"/>
    <w:rsid w:val="00E53173"/>
    <w:rsid w:val="00E535CF"/>
    <w:rsid w:val="00E536D2"/>
    <w:rsid w:val="00E53B6B"/>
    <w:rsid w:val="00E53BA1"/>
    <w:rsid w:val="00E53E58"/>
    <w:rsid w:val="00E5477B"/>
    <w:rsid w:val="00E548DF"/>
    <w:rsid w:val="00E54F1A"/>
    <w:rsid w:val="00E55459"/>
    <w:rsid w:val="00E55797"/>
    <w:rsid w:val="00E55AAA"/>
    <w:rsid w:val="00E5764E"/>
    <w:rsid w:val="00E57745"/>
    <w:rsid w:val="00E6043D"/>
    <w:rsid w:val="00E60B8C"/>
    <w:rsid w:val="00E61CF1"/>
    <w:rsid w:val="00E62FD9"/>
    <w:rsid w:val="00E6365C"/>
    <w:rsid w:val="00E6374C"/>
    <w:rsid w:val="00E65C32"/>
    <w:rsid w:val="00E65DED"/>
    <w:rsid w:val="00E66245"/>
    <w:rsid w:val="00E67604"/>
    <w:rsid w:val="00E70D67"/>
    <w:rsid w:val="00E72154"/>
    <w:rsid w:val="00E72644"/>
    <w:rsid w:val="00E731A8"/>
    <w:rsid w:val="00E73922"/>
    <w:rsid w:val="00E74A59"/>
    <w:rsid w:val="00E74EBD"/>
    <w:rsid w:val="00E74FD4"/>
    <w:rsid w:val="00E756E6"/>
    <w:rsid w:val="00E75C95"/>
    <w:rsid w:val="00E76089"/>
    <w:rsid w:val="00E76252"/>
    <w:rsid w:val="00E762DA"/>
    <w:rsid w:val="00E76AE1"/>
    <w:rsid w:val="00E7718B"/>
    <w:rsid w:val="00E77397"/>
    <w:rsid w:val="00E77CA5"/>
    <w:rsid w:val="00E80150"/>
    <w:rsid w:val="00E8026A"/>
    <w:rsid w:val="00E8134B"/>
    <w:rsid w:val="00E815D5"/>
    <w:rsid w:val="00E81831"/>
    <w:rsid w:val="00E82D2E"/>
    <w:rsid w:val="00E83921"/>
    <w:rsid w:val="00E847B5"/>
    <w:rsid w:val="00E84B78"/>
    <w:rsid w:val="00E85003"/>
    <w:rsid w:val="00E90524"/>
    <w:rsid w:val="00E9058A"/>
    <w:rsid w:val="00E90FBD"/>
    <w:rsid w:val="00E9102A"/>
    <w:rsid w:val="00E923EA"/>
    <w:rsid w:val="00E928B4"/>
    <w:rsid w:val="00E93489"/>
    <w:rsid w:val="00E9353B"/>
    <w:rsid w:val="00E9464A"/>
    <w:rsid w:val="00E948B3"/>
    <w:rsid w:val="00E94AAC"/>
    <w:rsid w:val="00E9595E"/>
    <w:rsid w:val="00E95A7B"/>
    <w:rsid w:val="00E95FE2"/>
    <w:rsid w:val="00E97E10"/>
    <w:rsid w:val="00EA05A4"/>
    <w:rsid w:val="00EA10D7"/>
    <w:rsid w:val="00EA1257"/>
    <w:rsid w:val="00EA17C0"/>
    <w:rsid w:val="00EA299A"/>
    <w:rsid w:val="00EA2B11"/>
    <w:rsid w:val="00EA2CAD"/>
    <w:rsid w:val="00EA3ADF"/>
    <w:rsid w:val="00EA4A37"/>
    <w:rsid w:val="00EA4E07"/>
    <w:rsid w:val="00EA6C9B"/>
    <w:rsid w:val="00EA73DB"/>
    <w:rsid w:val="00EB0630"/>
    <w:rsid w:val="00EB0933"/>
    <w:rsid w:val="00EB19B4"/>
    <w:rsid w:val="00EB2033"/>
    <w:rsid w:val="00EB2E86"/>
    <w:rsid w:val="00EB2ED9"/>
    <w:rsid w:val="00EB2F3B"/>
    <w:rsid w:val="00EB30D0"/>
    <w:rsid w:val="00EB3561"/>
    <w:rsid w:val="00EB37C6"/>
    <w:rsid w:val="00EB3CA9"/>
    <w:rsid w:val="00EB3EF0"/>
    <w:rsid w:val="00EB4306"/>
    <w:rsid w:val="00EB4A14"/>
    <w:rsid w:val="00EB4C5F"/>
    <w:rsid w:val="00EB54A7"/>
    <w:rsid w:val="00EB666B"/>
    <w:rsid w:val="00EB6823"/>
    <w:rsid w:val="00EB6854"/>
    <w:rsid w:val="00EB68B0"/>
    <w:rsid w:val="00EB73A6"/>
    <w:rsid w:val="00EB7436"/>
    <w:rsid w:val="00EB74B7"/>
    <w:rsid w:val="00EB7C68"/>
    <w:rsid w:val="00EC0218"/>
    <w:rsid w:val="00EC0343"/>
    <w:rsid w:val="00EC0A20"/>
    <w:rsid w:val="00EC0FC3"/>
    <w:rsid w:val="00EC27A0"/>
    <w:rsid w:val="00EC2A36"/>
    <w:rsid w:val="00EC2E0B"/>
    <w:rsid w:val="00EC32AC"/>
    <w:rsid w:val="00EC364C"/>
    <w:rsid w:val="00EC46EC"/>
    <w:rsid w:val="00EC4719"/>
    <w:rsid w:val="00EC5565"/>
    <w:rsid w:val="00EC61BD"/>
    <w:rsid w:val="00EC677D"/>
    <w:rsid w:val="00EC695D"/>
    <w:rsid w:val="00EC6CA5"/>
    <w:rsid w:val="00EC7036"/>
    <w:rsid w:val="00EC7975"/>
    <w:rsid w:val="00EC7D85"/>
    <w:rsid w:val="00ED054E"/>
    <w:rsid w:val="00ED0898"/>
    <w:rsid w:val="00ED2A87"/>
    <w:rsid w:val="00ED2BCA"/>
    <w:rsid w:val="00ED30F0"/>
    <w:rsid w:val="00ED31CD"/>
    <w:rsid w:val="00ED32CE"/>
    <w:rsid w:val="00ED37ED"/>
    <w:rsid w:val="00ED3A8D"/>
    <w:rsid w:val="00ED4C4C"/>
    <w:rsid w:val="00ED4E20"/>
    <w:rsid w:val="00ED4EBE"/>
    <w:rsid w:val="00ED5067"/>
    <w:rsid w:val="00ED6148"/>
    <w:rsid w:val="00ED628C"/>
    <w:rsid w:val="00ED6424"/>
    <w:rsid w:val="00ED661B"/>
    <w:rsid w:val="00ED6B04"/>
    <w:rsid w:val="00ED7B39"/>
    <w:rsid w:val="00EE0722"/>
    <w:rsid w:val="00EE0CB7"/>
    <w:rsid w:val="00EE1AAC"/>
    <w:rsid w:val="00EE1BCB"/>
    <w:rsid w:val="00EE227F"/>
    <w:rsid w:val="00EE2751"/>
    <w:rsid w:val="00EE3426"/>
    <w:rsid w:val="00EE3616"/>
    <w:rsid w:val="00EE3A40"/>
    <w:rsid w:val="00EE4A39"/>
    <w:rsid w:val="00EE4FCB"/>
    <w:rsid w:val="00EE6FCA"/>
    <w:rsid w:val="00EE755E"/>
    <w:rsid w:val="00EE7582"/>
    <w:rsid w:val="00EF00C1"/>
    <w:rsid w:val="00EF0B59"/>
    <w:rsid w:val="00EF0C38"/>
    <w:rsid w:val="00EF0F65"/>
    <w:rsid w:val="00EF1F31"/>
    <w:rsid w:val="00EF350E"/>
    <w:rsid w:val="00EF3B79"/>
    <w:rsid w:val="00EF3E06"/>
    <w:rsid w:val="00EF3E42"/>
    <w:rsid w:val="00EF4588"/>
    <w:rsid w:val="00EF5C5E"/>
    <w:rsid w:val="00EF5F41"/>
    <w:rsid w:val="00EF7AF5"/>
    <w:rsid w:val="00EF7CF3"/>
    <w:rsid w:val="00EF7EC4"/>
    <w:rsid w:val="00F0094C"/>
    <w:rsid w:val="00F00C00"/>
    <w:rsid w:val="00F01546"/>
    <w:rsid w:val="00F01A8A"/>
    <w:rsid w:val="00F01F0E"/>
    <w:rsid w:val="00F021DE"/>
    <w:rsid w:val="00F02442"/>
    <w:rsid w:val="00F02FCC"/>
    <w:rsid w:val="00F03430"/>
    <w:rsid w:val="00F03AFA"/>
    <w:rsid w:val="00F03F12"/>
    <w:rsid w:val="00F03FD5"/>
    <w:rsid w:val="00F048AE"/>
    <w:rsid w:val="00F04D63"/>
    <w:rsid w:val="00F0547B"/>
    <w:rsid w:val="00F05F4B"/>
    <w:rsid w:val="00F0659E"/>
    <w:rsid w:val="00F0737D"/>
    <w:rsid w:val="00F07952"/>
    <w:rsid w:val="00F10161"/>
    <w:rsid w:val="00F1083F"/>
    <w:rsid w:val="00F12624"/>
    <w:rsid w:val="00F12DB0"/>
    <w:rsid w:val="00F1399F"/>
    <w:rsid w:val="00F13C1B"/>
    <w:rsid w:val="00F13FA4"/>
    <w:rsid w:val="00F15A19"/>
    <w:rsid w:val="00F16A50"/>
    <w:rsid w:val="00F16C11"/>
    <w:rsid w:val="00F16CF1"/>
    <w:rsid w:val="00F173EA"/>
    <w:rsid w:val="00F17443"/>
    <w:rsid w:val="00F17610"/>
    <w:rsid w:val="00F1783F"/>
    <w:rsid w:val="00F17F08"/>
    <w:rsid w:val="00F206DF"/>
    <w:rsid w:val="00F21D68"/>
    <w:rsid w:val="00F22330"/>
    <w:rsid w:val="00F237D6"/>
    <w:rsid w:val="00F23A58"/>
    <w:rsid w:val="00F246A5"/>
    <w:rsid w:val="00F24A33"/>
    <w:rsid w:val="00F2589E"/>
    <w:rsid w:val="00F25C27"/>
    <w:rsid w:val="00F26200"/>
    <w:rsid w:val="00F26418"/>
    <w:rsid w:val="00F30988"/>
    <w:rsid w:val="00F31E72"/>
    <w:rsid w:val="00F31F8D"/>
    <w:rsid w:val="00F3241C"/>
    <w:rsid w:val="00F324DA"/>
    <w:rsid w:val="00F339A5"/>
    <w:rsid w:val="00F33F2E"/>
    <w:rsid w:val="00F3574F"/>
    <w:rsid w:val="00F35785"/>
    <w:rsid w:val="00F36174"/>
    <w:rsid w:val="00F36AE8"/>
    <w:rsid w:val="00F37C25"/>
    <w:rsid w:val="00F40D1E"/>
    <w:rsid w:val="00F412D4"/>
    <w:rsid w:val="00F42238"/>
    <w:rsid w:val="00F4234A"/>
    <w:rsid w:val="00F428D6"/>
    <w:rsid w:val="00F429FD"/>
    <w:rsid w:val="00F4372B"/>
    <w:rsid w:val="00F43FDB"/>
    <w:rsid w:val="00F442B5"/>
    <w:rsid w:val="00F442C7"/>
    <w:rsid w:val="00F443F1"/>
    <w:rsid w:val="00F44637"/>
    <w:rsid w:val="00F4530D"/>
    <w:rsid w:val="00F45DFA"/>
    <w:rsid w:val="00F46346"/>
    <w:rsid w:val="00F46873"/>
    <w:rsid w:val="00F46A6C"/>
    <w:rsid w:val="00F46D3B"/>
    <w:rsid w:val="00F476A9"/>
    <w:rsid w:val="00F47CF3"/>
    <w:rsid w:val="00F50823"/>
    <w:rsid w:val="00F5169A"/>
    <w:rsid w:val="00F51FC3"/>
    <w:rsid w:val="00F520E9"/>
    <w:rsid w:val="00F52241"/>
    <w:rsid w:val="00F523BC"/>
    <w:rsid w:val="00F52B77"/>
    <w:rsid w:val="00F5438F"/>
    <w:rsid w:val="00F545C2"/>
    <w:rsid w:val="00F549F2"/>
    <w:rsid w:val="00F54DB4"/>
    <w:rsid w:val="00F54EC8"/>
    <w:rsid w:val="00F55EF3"/>
    <w:rsid w:val="00F563FB"/>
    <w:rsid w:val="00F56AD7"/>
    <w:rsid w:val="00F57307"/>
    <w:rsid w:val="00F57F39"/>
    <w:rsid w:val="00F6021C"/>
    <w:rsid w:val="00F60A28"/>
    <w:rsid w:val="00F6139F"/>
    <w:rsid w:val="00F6186D"/>
    <w:rsid w:val="00F61FEA"/>
    <w:rsid w:val="00F62A57"/>
    <w:rsid w:val="00F62BD2"/>
    <w:rsid w:val="00F62C68"/>
    <w:rsid w:val="00F62D77"/>
    <w:rsid w:val="00F63047"/>
    <w:rsid w:val="00F63096"/>
    <w:rsid w:val="00F63619"/>
    <w:rsid w:val="00F63BE7"/>
    <w:rsid w:val="00F641DA"/>
    <w:rsid w:val="00F6453E"/>
    <w:rsid w:val="00F648EB"/>
    <w:rsid w:val="00F651B3"/>
    <w:rsid w:val="00F65CF3"/>
    <w:rsid w:val="00F660FB"/>
    <w:rsid w:val="00F66801"/>
    <w:rsid w:val="00F66D2C"/>
    <w:rsid w:val="00F6729C"/>
    <w:rsid w:val="00F679A8"/>
    <w:rsid w:val="00F679C4"/>
    <w:rsid w:val="00F70852"/>
    <w:rsid w:val="00F70888"/>
    <w:rsid w:val="00F70D76"/>
    <w:rsid w:val="00F710F8"/>
    <w:rsid w:val="00F7114B"/>
    <w:rsid w:val="00F719C8"/>
    <w:rsid w:val="00F71A88"/>
    <w:rsid w:val="00F72539"/>
    <w:rsid w:val="00F72D6F"/>
    <w:rsid w:val="00F72ED9"/>
    <w:rsid w:val="00F73346"/>
    <w:rsid w:val="00F758CA"/>
    <w:rsid w:val="00F75F8F"/>
    <w:rsid w:val="00F767FF"/>
    <w:rsid w:val="00F775F0"/>
    <w:rsid w:val="00F77E55"/>
    <w:rsid w:val="00F803C7"/>
    <w:rsid w:val="00F80777"/>
    <w:rsid w:val="00F80B12"/>
    <w:rsid w:val="00F81258"/>
    <w:rsid w:val="00F823E3"/>
    <w:rsid w:val="00F8266A"/>
    <w:rsid w:val="00F828FD"/>
    <w:rsid w:val="00F82CA4"/>
    <w:rsid w:val="00F8345B"/>
    <w:rsid w:val="00F83712"/>
    <w:rsid w:val="00F83852"/>
    <w:rsid w:val="00F83E0B"/>
    <w:rsid w:val="00F84928"/>
    <w:rsid w:val="00F84A5C"/>
    <w:rsid w:val="00F854FE"/>
    <w:rsid w:val="00F85C4D"/>
    <w:rsid w:val="00F86D0B"/>
    <w:rsid w:val="00F86F2E"/>
    <w:rsid w:val="00F878C1"/>
    <w:rsid w:val="00F87B55"/>
    <w:rsid w:val="00F87C8C"/>
    <w:rsid w:val="00F9042F"/>
    <w:rsid w:val="00F904DC"/>
    <w:rsid w:val="00F91725"/>
    <w:rsid w:val="00F91FA6"/>
    <w:rsid w:val="00F92258"/>
    <w:rsid w:val="00F924FD"/>
    <w:rsid w:val="00F92CD6"/>
    <w:rsid w:val="00F93424"/>
    <w:rsid w:val="00F93670"/>
    <w:rsid w:val="00F9422B"/>
    <w:rsid w:val="00F9462F"/>
    <w:rsid w:val="00F94CC8"/>
    <w:rsid w:val="00F94FCA"/>
    <w:rsid w:val="00F95986"/>
    <w:rsid w:val="00F96510"/>
    <w:rsid w:val="00F96B43"/>
    <w:rsid w:val="00F97E09"/>
    <w:rsid w:val="00FA0891"/>
    <w:rsid w:val="00FA17EB"/>
    <w:rsid w:val="00FA1B2B"/>
    <w:rsid w:val="00FA2276"/>
    <w:rsid w:val="00FA2886"/>
    <w:rsid w:val="00FA3177"/>
    <w:rsid w:val="00FA3832"/>
    <w:rsid w:val="00FA38E8"/>
    <w:rsid w:val="00FA3C1C"/>
    <w:rsid w:val="00FA3DC2"/>
    <w:rsid w:val="00FA3DCD"/>
    <w:rsid w:val="00FA3F24"/>
    <w:rsid w:val="00FA3F66"/>
    <w:rsid w:val="00FA4864"/>
    <w:rsid w:val="00FA4C72"/>
    <w:rsid w:val="00FA552E"/>
    <w:rsid w:val="00FA644E"/>
    <w:rsid w:val="00FA6F63"/>
    <w:rsid w:val="00FA724F"/>
    <w:rsid w:val="00FA7329"/>
    <w:rsid w:val="00FA742F"/>
    <w:rsid w:val="00FA75CB"/>
    <w:rsid w:val="00FA7D64"/>
    <w:rsid w:val="00FA7EC1"/>
    <w:rsid w:val="00FB04B1"/>
    <w:rsid w:val="00FB0534"/>
    <w:rsid w:val="00FB0B6E"/>
    <w:rsid w:val="00FB137C"/>
    <w:rsid w:val="00FB187E"/>
    <w:rsid w:val="00FB1B19"/>
    <w:rsid w:val="00FB2113"/>
    <w:rsid w:val="00FB239D"/>
    <w:rsid w:val="00FB25AF"/>
    <w:rsid w:val="00FB2602"/>
    <w:rsid w:val="00FB280D"/>
    <w:rsid w:val="00FB39A9"/>
    <w:rsid w:val="00FB3DF6"/>
    <w:rsid w:val="00FB41C2"/>
    <w:rsid w:val="00FB48FC"/>
    <w:rsid w:val="00FB4B1C"/>
    <w:rsid w:val="00FB53C7"/>
    <w:rsid w:val="00FB58CF"/>
    <w:rsid w:val="00FB67EC"/>
    <w:rsid w:val="00FB7404"/>
    <w:rsid w:val="00FB7835"/>
    <w:rsid w:val="00FB7EC4"/>
    <w:rsid w:val="00FC06AE"/>
    <w:rsid w:val="00FC0A37"/>
    <w:rsid w:val="00FC201F"/>
    <w:rsid w:val="00FC236F"/>
    <w:rsid w:val="00FC2B7E"/>
    <w:rsid w:val="00FC2C20"/>
    <w:rsid w:val="00FC2DB6"/>
    <w:rsid w:val="00FC2F7C"/>
    <w:rsid w:val="00FC3297"/>
    <w:rsid w:val="00FC34B6"/>
    <w:rsid w:val="00FC378B"/>
    <w:rsid w:val="00FC4165"/>
    <w:rsid w:val="00FC4E7E"/>
    <w:rsid w:val="00FC665A"/>
    <w:rsid w:val="00FC79B4"/>
    <w:rsid w:val="00FC7E4D"/>
    <w:rsid w:val="00FD0889"/>
    <w:rsid w:val="00FD0995"/>
    <w:rsid w:val="00FD0B74"/>
    <w:rsid w:val="00FD0CDA"/>
    <w:rsid w:val="00FD1713"/>
    <w:rsid w:val="00FD338E"/>
    <w:rsid w:val="00FD3B9C"/>
    <w:rsid w:val="00FD4186"/>
    <w:rsid w:val="00FD4ACF"/>
    <w:rsid w:val="00FD4C22"/>
    <w:rsid w:val="00FD4D51"/>
    <w:rsid w:val="00FD72E3"/>
    <w:rsid w:val="00FD7A1A"/>
    <w:rsid w:val="00FD7DCB"/>
    <w:rsid w:val="00FD7E76"/>
    <w:rsid w:val="00FE0045"/>
    <w:rsid w:val="00FE0E1B"/>
    <w:rsid w:val="00FE0ED3"/>
    <w:rsid w:val="00FE1E52"/>
    <w:rsid w:val="00FE28CC"/>
    <w:rsid w:val="00FE2FFB"/>
    <w:rsid w:val="00FE5561"/>
    <w:rsid w:val="00FE5A1D"/>
    <w:rsid w:val="00FE5E8C"/>
    <w:rsid w:val="00FE6002"/>
    <w:rsid w:val="00FE6E50"/>
    <w:rsid w:val="00FE777F"/>
    <w:rsid w:val="00FE7B11"/>
    <w:rsid w:val="00FE7B4C"/>
    <w:rsid w:val="00FF0A86"/>
    <w:rsid w:val="00FF1178"/>
    <w:rsid w:val="00FF1EEB"/>
    <w:rsid w:val="00FF20B0"/>
    <w:rsid w:val="00FF2290"/>
    <w:rsid w:val="00FF2331"/>
    <w:rsid w:val="00FF285B"/>
    <w:rsid w:val="00FF2F8F"/>
    <w:rsid w:val="00FF34C9"/>
    <w:rsid w:val="00FF37A9"/>
    <w:rsid w:val="00FF46A1"/>
    <w:rsid w:val="00FF4D13"/>
    <w:rsid w:val="00FF523B"/>
    <w:rsid w:val="00FF5839"/>
    <w:rsid w:val="00FF5BDC"/>
    <w:rsid w:val="00FF6444"/>
    <w:rsid w:val="00FF73F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country-region"/>
  <w:smartTagType w:namespaceuri="urn:schemas-microsoft-com:office:smarttags" w:name="PlaceType"/>
  <w:smartTagType w:namespaceuri="urn:schemas-microsoft-com:office:smarttags" w:name="City"/>
  <w:smartTagType w:namespaceuri="urn:schemas-microsoft-com:office:smarttags" w:name="State"/>
  <w:smartTagType w:namespaceuri="urn:schemas-microsoft-com:office:smarttags" w:name="PlaceName"/>
  <w:smartTagType w:namespaceuri="urn:schemas-microsoft-com:office:smarttags" w:name="place"/>
  <w:shapeDefaults>
    <o:shapedefaults v:ext="edit" spidmax="20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uiPriority="0"/>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semiHidden="0" w:unhideWhenUsed="0"/>
    <w:lsdException w:name="List 2" w:locked="1"/>
    <w:lsdException w:name="List 3" w:locked="1"/>
    <w:lsdException w:name="List 4" w:locked="1" w:semiHidden="0" w:unhideWhenUsed="0"/>
    <w:lsdException w:name="List 5" w:locked="1" w:semiHidden="0" w:unhideWhenUsed="0"/>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nhideWhenUsed="0" w:qFormat="1"/>
    <w:lsdException w:name="Closing" w:locked="1"/>
    <w:lsdException w:name="Signature" w:locked="1"/>
    <w:lsdException w:name="Default Paragraph Font"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semiHidden="0" w:unhideWhenUsed="0"/>
    <w:lsdException w:name="Date" w:locked="1" w:semiHidden="0" w:unhideWhenUsed="0"/>
    <w:lsdException w:name="Body Text First Indent" w:locked="1" w:semiHidden="0" w:unhideWhenUsed="0"/>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22" w:unhideWhenUsed="0" w:qFormat="1"/>
    <w:lsdException w:name="Emphasis" w:semiHidden="0" w:uiPriority="20" w:unhideWhenUsed="0" w:qFormat="1"/>
    <w:lsdException w:name="Document Map" w:locked="1"/>
    <w:lsdException w:name="Plain Text" w:locked="1"/>
    <w:lsdException w:name="E-mail Signature" w:locked="1"/>
    <w:lsdException w:name="HTML Top of Form" w:locked="1" w:uiPriority="0"/>
    <w:lsdException w:name="HTML Bottom of Form" w:locked="1" w:uiPriority="0"/>
    <w:lsdException w:name="Normal (Web)" w:locked="1"/>
    <w:lsdException w:name="HTML Acronym" w:locked="1" w:uiPriority="0"/>
    <w:lsdException w:name="HTML Address" w:locked="1"/>
    <w:lsdException w:name="HTML Cite" w:locked="1" w:uiPriority="0"/>
    <w:lsdException w:name="HTML Code" w:locked="1" w:uiPriority="0"/>
    <w:lsdException w:name="HTML Definition" w:locked="1" w:uiPriority="0"/>
    <w:lsdException w:name="HTML Keyboard" w:locked="1" w:uiPriority="0"/>
    <w:lsdException w:name="HTML Preformatted" w:locked="1"/>
    <w:lsdException w:name="HTML Sample" w:locked="1" w:uiPriority="0"/>
    <w:lsdException w:name="HTML Typewriter" w:locked="1" w:uiPriority="0"/>
    <w:lsdException w:name="HTML Variable" w:locked="1" w:uiPriority="0"/>
    <w:lsdException w:name="Normal Table" w:locked="1" w:uiPriority="0"/>
    <w:lsdException w:name="annotation subject" w:locked="1"/>
    <w:lsdException w:name="No List" w:locked="1"/>
    <w:lsdException w:name="Outline List 1" w:locked="1" w:uiPriority="0"/>
    <w:lsdException w:name="Outline List 2" w:locked="1" w:uiPriority="0"/>
    <w:lsdException w:name="Outline List 3" w:locked="1" w:uiPriority="0"/>
    <w:lsdException w:name="Table Simple 1" w:locked="1" w:uiPriority="0"/>
    <w:lsdException w:name="Table Simple 2" w:locked="1" w:uiPriority="0"/>
    <w:lsdException w:name="Table Simple 3" w:locked="1" w:uiPriority="0"/>
    <w:lsdException w:name="Table Classic 1" w:locked="1" w:uiPriority="0"/>
    <w:lsdException w:name="Table Classic 2" w:locked="1" w:uiPriority="0"/>
    <w:lsdException w:name="Table Classic 3" w:locked="1" w:uiPriority="0"/>
    <w:lsdException w:name="Table Classic 4" w:locked="1" w:uiPriority="0"/>
    <w:lsdException w:name="Table Colorful 1" w:locked="1" w:uiPriority="0"/>
    <w:lsdException w:name="Table Colorful 2" w:locked="1" w:uiPriority="0"/>
    <w:lsdException w:name="Table Colorful 3" w:locked="1" w:uiPriority="0"/>
    <w:lsdException w:name="Table Columns 1" w:locked="1" w:uiPriority="0"/>
    <w:lsdException w:name="Table Columns 2" w:locked="1" w:uiPriority="0"/>
    <w:lsdException w:name="Table Columns 3" w:locked="1" w:uiPriority="0"/>
    <w:lsdException w:name="Table Columns 4" w:locked="1" w:uiPriority="0"/>
    <w:lsdException w:name="Table Columns 5" w:locked="1" w:uiPriority="0"/>
    <w:lsdException w:name="Table Grid 1" w:locked="1" w:uiPriority="0"/>
    <w:lsdException w:name="Table Grid 2" w:locked="1" w:uiPriority="0"/>
    <w:lsdException w:name="Table Grid 3" w:locked="1" w:uiPriority="0"/>
    <w:lsdException w:name="Table Grid 4" w:locked="1" w:uiPriority="0"/>
    <w:lsdException w:name="Table Grid 5" w:locked="1" w:uiPriority="0"/>
    <w:lsdException w:name="Table Grid 6" w:locked="1" w:uiPriority="0"/>
    <w:lsdException w:name="Table Grid 7" w:locked="1" w:uiPriority="0"/>
    <w:lsdException w:name="Table Grid 8" w:locked="1" w:uiPriority="0"/>
    <w:lsdException w:name="Table List 1" w:locked="1" w:uiPriority="0"/>
    <w:lsdException w:name="Table List 2" w:locked="1" w:uiPriority="0"/>
    <w:lsdException w:name="Table List 3" w:locked="1" w:uiPriority="0"/>
    <w:lsdException w:name="Table List 4" w:locked="1" w:uiPriority="0"/>
    <w:lsdException w:name="Table List 5" w:locked="1" w:uiPriority="0"/>
    <w:lsdException w:name="Table List 6" w:locked="1" w:uiPriority="0"/>
    <w:lsdException w:name="Table List 7" w:locked="1" w:uiPriority="0"/>
    <w:lsdException w:name="Table List 8" w:locked="1" w:uiPriority="0"/>
    <w:lsdException w:name="Table 3D effects 1" w:locked="1" w:uiPriority="0"/>
    <w:lsdException w:name="Table 3D effects 2" w:locked="1" w:uiPriority="0"/>
    <w:lsdException w:name="Table 3D effects 3" w:locked="1" w:uiPriority="0"/>
    <w:lsdException w:name="Table Contemporary" w:locked="1" w:uiPriority="0"/>
    <w:lsdException w:name="Table Elegant" w:locked="1" w:uiPriority="0"/>
    <w:lsdException w:name="Table Professional" w:locked="1" w:uiPriority="0"/>
    <w:lsdException w:name="Table Subtle 1" w:locked="1" w:uiPriority="0"/>
    <w:lsdException w:name="Table Subtle 2" w:locked="1" w:uiPriority="0"/>
    <w:lsdException w:name="Table Web 1" w:locked="1" w:uiPriority="0"/>
    <w:lsdException w:name="Table Web 2" w:locked="1" w:uiPriority="0"/>
    <w:lsdException w:name="Table Web 3" w:locked="1" w:uiPriority="0"/>
    <w:lsdException w:name="Balloon Text" w:locked="1"/>
    <w:lsdException w:name="Table Grid" w:semiHidden="0" w:uiPriority="59" w:unhideWhenUsed="0"/>
    <w:lsdException w:name="Table Theme" w:locked="1" w:uiPriority="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2780"/>
    <w:pPr>
      <w:spacing w:before="120" w:after="120"/>
    </w:pPr>
    <w:rPr>
      <w:rFonts w:ascii="Calibri" w:hAnsi="Calibri"/>
      <w:sz w:val="22"/>
      <w:szCs w:val="24"/>
      <w:lang w:eastAsia="en-US"/>
    </w:rPr>
  </w:style>
  <w:style w:type="paragraph" w:styleId="Heading1">
    <w:name w:val="heading 1"/>
    <w:basedOn w:val="Normal"/>
    <w:next w:val="Normal"/>
    <w:link w:val="Heading1Char"/>
    <w:uiPriority w:val="99"/>
    <w:qFormat/>
    <w:rsid w:val="00AF186C"/>
    <w:pPr>
      <w:keepNext/>
      <w:pageBreakBefore/>
      <w:numPr>
        <w:numId w:val="16"/>
      </w:numPr>
      <w:spacing w:before="240" w:after="60"/>
      <w:outlineLvl w:val="0"/>
    </w:pPr>
    <w:rPr>
      <w:rFonts w:ascii="Arial" w:hAnsi="Arial"/>
      <w:b/>
      <w:kern w:val="32"/>
      <w:sz w:val="32"/>
      <w:szCs w:val="20"/>
    </w:rPr>
  </w:style>
  <w:style w:type="paragraph" w:styleId="Heading2">
    <w:name w:val="heading 2"/>
    <w:basedOn w:val="Normal"/>
    <w:next w:val="Normal"/>
    <w:link w:val="Heading2Char"/>
    <w:uiPriority w:val="99"/>
    <w:qFormat/>
    <w:rsid w:val="00AF186C"/>
    <w:pPr>
      <w:keepNext/>
      <w:numPr>
        <w:ilvl w:val="1"/>
        <w:numId w:val="16"/>
      </w:numPr>
      <w:spacing w:before="240" w:after="60"/>
      <w:outlineLvl w:val="1"/>
    </w:pPr>
    <w:rPr>
      <w:rFonts w:ascii="Arial" w:hAnsi="Arial"/>
      <w:b/>
      <w:sz w:val="28"/>
      <w:szCs w:val="20"/>
    </w:rPr>
  </w:style>
  <w:style w:type="paragraph" w:styleId="Heading3">
    <w:name w:val="heading 3"/>
    <w:aliases w:val="3rd Level Heading"/>
    <w:basedOn w:val="Normal"/>
    <w:next w:val="Normal"/>
    <w:link w:val="Heading3Char"/>
    <w:uiPriority w:val="99"/>
    <w:qFormat/>
    <w:rsid w:val="00AF186C"/>
    <w:pPr>
      <w:keepNext/>
      <w:numPr>
        <w:ilvl w:val="2"/>
        <w:numId w:val="16"/>
      </w:numPr>
      <w:spacing w:before="240" w:after="60"/>
      <w:outlineLvl w:val="2"/>
    </w:pPr>
    <w:rPr>
      <w:rFonts w:ascii="Times New Roman" w:hAnsi="Times New Roman"/>
      <w:b/>
      <w:sz w:val="26"/>
      <w:szCs w:val="20"/>
      <w:lang w:eastAsia="x-none"/>
    </w:rPr>
  </w:style>
  <w:style w:type="paragraph" w:styleId="Heading4">
    <w:name w:val="heading 4"/>
    <w:aliases w:val="4th Level Heading"/>
    <w:basedOn w:val="Normal"/>
    <w:next w:val="Normal"/>
    <w:link w:val="Heading4Char"/>
    <w:uiPriority w:val="99"/>
    <w:qFormat/>
    <w:rsid w:val="00AF186C"/>
    <w:pPr>
      <w:keepNext/>
      <w:numPr>
        <w:ilvl w:val="3"/>
        <w:numId w:val="16"/>
      </w:numPr>
      <w:spacing w:before="240" w:after="60"/>
      <w:outlineLvl w:val="3"/>
    </w:pPr>
    <w:rPr>
      <w:rFonts w:ascii="Times New Roman" w:hAnsi="Times New Roman"/>
      <w:i/>
      <w:sz w:val="28"/>
      <w:szCs w:val="20"/>
      <w:lang w:eastAsia="x-none"/>
    </w:rPr>
  </w:style>
  <w:style w:type="paragraph" w:styleId="Heading5">
    <w:name w:val="heading 5"/>
    <w:basedOn w:val="Normal"/>
    <w:next w:val="Normal"/>
    <w:link w:val="Heading5Char"/>
    <w:uiPriority w:val="99"/>
    <w:qFormat/>
    <w:rsid w:val="00AF186C"/>
    <w:pPr>
      <w:numPr>
        <w:ilvl w:val="4"/>
        <w:numId w:val="16"/>
      </w:numPr>
      <w:spacing w:before="240" w:after="60"/>
      <w:outlineLvl w:val="4"/>
    </w:pPr>
    <w:rPr>
      <w:rFonts w:ascii="Times New Roman" w:hAnsi="Times New Roman"/>
      <w:sz w:val="24"/>
      <w:szCs w:val="20"/>
      <w:u w:val="single"/>
    </w:rPr>
  </w:style>
  <w:style w:type="paragraph" w:styleId="Heading6">
    <w:name w:val="heading 6"/>
    <w:basedOn w:val="Normal"/>
    <w:next w:val="Normal"/>
    <w:link w:val="Heading6Char"/>
    <w:uiPriority w:val="99"/>
    <w:qFormat/>
    <w:rsid w:val="00AF186C"/>
    <w:pPr>
      <w:numPr>
        <w:ilvl w:val="5"/>
        <w:numId w:val="16"/>
      </w:numPr>
      <w:spacing w:before="240" w:after="60"/>
      <w:outlineLvl w:val="5"/>
    </w:pPr>
    <w:rPr>
      <w:rFonts w:ascii="Times New Roman" w:hAnsi="Times New Roman"/>
      <w:b/>
      <w:szCs w:val="20"/>
      <w:lang w:eastAsia="x-none"/>
    </w:rPr>
  </w:style>
  <w:style w:type="paragraph" w:styleId="Heading7">
    <w:name w:val="heading 7"/>
    <w:basedOn w:val="Normal"/>
    <w:next w:val="Normal"/>
    <w:link w:val="Heading7Char"/>
    <w:uiPriority w:val="99"/>
    <w:qFormat/>
    <w:rsid w:val="00AF186C"/>
    <w:pPr>
      <w:keepNext/>
      <w:numPr>
        <w:ilvl w:val="6"/>
        <w:numId w:val="16"/>
      </w:numPr>
      <w:jc w:val="center"/>
      <w:outlineLvl w:val="6"/>
    </w:pPr>
    <w:rPr>
      <w:rFonts w:ascii="Arial" w:hAnsi="Arial"/>
      <w:b/>
      <w:sz w:val="20"/>
      <w:szCs w:val="20"/>
      <w:lang w:eastAsia="x-none"/>
    </w:rPr>
  </w:style>
  <w:style w:type="paragraph" w:styleId="Heading8">
    <w:name w:val="heading 8"/>
    <w:basedOn w:val="Normal"/>
    <w:next w:val="Normal"/>
    <w:link w:val="Heading8Char"/>
    <w:uiPriority w:val="99"/>
    <w:qFormat/>
    <w:rsid w:val="004A36C2"/>
    <w:pPr>
      <w:keepNext/>
      <w:keepLines/>
      <w:numPr>
        <w:ilvl w:val="7"/>
        <w:numId w:val="16"/>
      </w:numPr>
      <w:spacing w:before="200" w:after="0"/>
      <w:jc w:val="both"/>
      <w:outlineLvl w:val="7"/>
    </w:pPr>
    <w:rPr>
      <w:rFonts w:ascii="Cambria" w:eastAsia="Calibri" w:hAnsi="Cambria"/>
      <w:color w:val="404040"/>
      <w:sz w:val="20"/>
      <w:szCs w:val="20"/>
      <w:lang w:val="en-US"/>
    </w:rPr>
  </w:style>
  <w:style w:type="paragraph" w:styleId="Heading9">
    <w:name w:val="heading 9"/>
    <w:basedOn w:val="Normal"/>
    <w:next w:val="Normal"/>
    <w:link w:val="Heading9Char"/>
    <w:uiPriority w:val="99"/>
    <w:qFormat/>
    <w:rsid w:val="00AF186C"/>
    <w:pPr>
      <w:keepNext/>
      <w:numPr>
        <w:ilvl w:val="8"/>
        <w:numId w:val="16"/>
      </w:numPr>
      <w:outlineLvl w:val="8"/>
    </w:pPr>
    <w:rPr>
      <w:rFonts w:ascii="Arial" w:eastAsia="Arial Unicode MS" w:hAnsi="Arial"/>
      <w:b/>
      <w:sz w:val="16"/>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AF186C"/>
    <w:rPr>
      <w:rFonts w:ascii="Arial" w:hAnsi="Arial"/>
      <w:b/>
      <w:kern w:val="32"/>
      <w:sz w:val="32"/>
      <w:lang w:eastAsia="en-US"/>
    </w:rPr>
  </w:style>
  <w:style w:type="character" w:customStyle="1" w:styleId="Heading2Char">
    <w:name w:val="Heading 2 Char"/>
    <w:link w:val="Heading2"/>
    <w:uiPriority w:val="99"/>
    <w:locked/>
    <w:rsid w:val="00AF186C"/>
    <w:rPr>
      <w:rFonts w:ascii="Arial" w:hAnsi="Arial"/>
      <w:b/>
      <w:sz w:val="28"/>
      <w:lang w:eastAsia="en-US"/>
    </w:rPr>
  </w:style>
  <w:style w:type="character" w:customStyle="1" w:styleId="Heading3Char">
    <w:name w:val="Heading 3 Char"/>
    <w:aliases w:val="3rd Level Heading Char"/>
    <w:link w:val="Heading3"/>
    <w:uiPriority w:val="99"/>
    <w:locked/>
    <w:rsid w:val="00AF186C"/>
    <w:rPr>
      <w:b/>
      <w:sz w:val="26"/>
      <w:lang w:eastAsia="x-none"/>
    </w:rPr>
  </w:style>
  <w:style w:type="character" w:customStyle="1" w:styleId="Heading4Char">
    <w:name w:val="Heading 4 Char"/>
    <w:aliases w:val="4th Level Heading Char"/>
    <w:link w:val="Heading4"/>
    <w:uiPriority w:val="99"/>
    <w:locked/>
    <w:rsid w:val="00AF186C"/>
    <w:rPr>
      <w:i/>
      <w:sz w:val="28"/>
      <w:lang w:eastAsia="x-none"/>
    </w:rPr>
  </w:style>
  <w:style w:type="character" w:customStyle="1" w:styleId="Heading5Char">
    <w:name w:val="Heading 5 Char"/>
    <w:link w:val="Heading5"/>
    <w:uiPriority w:val="99"/>
    <w:locked/>
    <w:rsid w:val="00AF186C"/>
    <w:rPr>
      <w:sz w:val="24"/>
      <w:u w:val="single"/>
      <w:lang w:eastAsia="en-US"/>
    </w:rPr>
  </w:style>
  <w:style w:type="character" w:customStyle="1" w:styleId="Heading6Char">
    <w:name w:val="Heading 6 Char"/>
    <w:link w:val="Heading6"/>
    <w:uiPriority w:val="99"/>
    <w:locked/>
    <w:rsid w:val="00AF186C"/>
    <w:rPr>
      <w:b/>
      <w:sz w:val="22"/>
      <w:lang w:eastAsia="x-none"/>
    </w:rPr>
  </w:style>
  <w:style w:type="character" w:customStyle="1" w:styleId="Heading7Char">
    <w:name w:val="Heading 7 Char"/>
    <w:link w:val="Heading7"/>
    <w:uiPriority w:val="99"/>
    <w:locked/>
    <w:rsid w:val="00AF186C"/>
    <w:rPr>
      <w:rFonts w:ascii="Arial" w:hAnsi="Arial"/>
      <w:b/>
      <w:lang w:eastAsia="x-none"/>
    </w:rPr>
  </w:style>
  <w:style w:type="character" w:customStyle="1" w:styleId="Heading8Char">
    <w:name w:val="Heading 8 Char"/>
    <w:link w:val="Heading8"/>
    <w:uiPriority w:val="99"/>
    <w:locked/>
    <w:rsid w:val="004A36C2"/>
    <w:rPr>
      <w:rFonts w:ascii="Cambria" w:eastAsia="Calibri" w:hAnsi="Cambria"/>
      <w:color w:val="404040"/>
      <w:lang w:val="en-US" w:eastAsia="en-US"/>
    </w:rPr>
  </w:style>
  <w:style w:type="character" w:customStyle="1" w:styleId="Heading9Char">
    <w:name w:val="Heading 9 Char"/>
    <w:link w:val="Heading9"/>
    <w:uiPriority w:val="99"/>
    <w:locked/>
    <w:rsid w:val="00AF186C"/>
    <w:rPr>
      <w:rFonts w:ascii="Arial" w:eastAsia="Arial Unicode MS" w:hAnsi="Arial"/>
      <w:b/>
      <w:sz w:val="16"/>
      <w:lang w:eastAsia="x-none"/>
    </w:rPr>
  </w:style>
  <w:style w:type="paragraph" w:styleId="TOC1">
    <w:name w:val="toc 1"/>
    <w:basedOn w:val="Normal"/>
    <w:next w:val="Normal"/>
    <w:autoRedefine/>
    <w:uiPriority w:val="39"/>
    <w:unhideWhenUsed/>
    <w:qFormat/>
    <w:rsid w:val="002B44D4"/>
    <w:rPr>
      <w:rFonts w:asciiTheme="minorHAnsi" w:hAnsiTheme="minorHAnsi"/>
      <w:b/>
      <w:bCs/>
      <w:caps/>
      <w:sz w:val="20"/>
      <w:szCs w:val="20"/>
    </w:rPr>
  </w:style>
  <w:style w:type="paragraph" w:styleId="TOC2">
    <w:name w:val="toc 2"/>
    <w:basedOn w:val="Normal"/>
    <w:next w:val="Normal"/>
    <w:autoRedefine/>
    <w:uiPriority w:val="39"/>
    <w:unhideWhenUsed/>
    <w:qFormat/>
    <w:rsid w:val="002B44D4"/>
    <w:pPr>
      <w:spacing w:before="0" w:after="0"/>
      <w:ind w:left="220"/>
    </w:pPr>
    <w:rPr>
      <w:rFonts w:asciiTheme="minorHAnsi" w:hAnsiTheme="minorHAnsi"/>
      <w:smallCaps/>
      <w:sz w:val="20"/>
      <w:szCs w:val="20"/>
    </w:rPr>
  </w:style>
  <w:style w:type="paragraph" w:styleId="TOC3">
    <w:name w:val="toc 3"/>
    <w:basedOn w:val="Normal"/>
    <w:next w:val="Normal"/>
    <w:autoRedefine/>
    <w:uiPriority w:val="39"/>
    <w:unhideWhenUsed/>
    <w:qFormat/>
    <w:rsid w:val="002B44D4"/>
    <w:pPr>
      <w:spacing w:before="0" w:after="0"/>
      <w:ind w:left="440"/>
    </w:pPr>
    <w:rPr>
      <w:rFonts w:asciiTheme="minorHAnsi" w:hAnsiTheme="minorHAnsi"/>
      <w:i/>
      <w:iCs/>
      <w:sz w:val="20"/>
      <w:szCs w:val="20"/>
    </w:rPr>
  </w:style>
  <w:style w:type="paragraph" w:styleId="Revision">
    <w:name w:val="Revision"/>
    <w:hidden/>
    <w:uiPriority w:val="99"/>
    <w:semiHidden/>
    <w:rsid w:val="004316F7"/>
    <w:rPr>
      <w:sz w:val="24"/>
      <w:szCs w:val="24"/>
      <w:lang w:eastAsia="en-US"/>
    </w:rPr>
  </w:style>
  <w:style w:type="paragraph" w:customStyle="1" w:styleId="BasicParagraph">
    <w:name w:val="[Basic Paragraph]"/>
    <w:basedOn w:val="Normal"/>
    <w:rsid w:val="004A36C2"/>
    <w:pPr>
      <w:autoSpaceDE w:val="0"/>
      <w:autoSpaceDN w:val="0"/>
      <w:adjustRightInd w:val="0"/>
      <w:spacing w:before="0" w:after="0" w:line="288" w:lineRule="auto"/>
      <w:textAlignment w:val="center"/>
    </w:pPr>
    <w:rPr>
      <w:rFonts w:ascii="Times New Roman" w:hAnsi="Times New Roman"/>
      <w:color w:val="000000"/>
      <w:sz w:val="24"/>
      <w:lang w:val="en-GB"/>
    </w:rPr>
  </w:style>
  <w:style w:type="character" w:styleId="Hyperlink">
    <w:name w:val="Hyperlink"/>
    <w:basedOn w:val="DefaultParagraphFont"/>
    <w:uiPriority w:val="99"/>
    <w:unhideWhenUsed/>
    <w:locked/>
    <w:rsid w:val="002B44D4"/>
    <w:rPr>
      <w:color w:val="0563C1" w:themeColor="hyperlink"/>
      <w:u w:val="single"/>
    </w:rPr>
  </w:style>
  <w:style w:type="paragraph" w:styleId="TableofFigures">
    <w:name w:val="table of figures"/>
    <w:basedOn w:val="Normal"/>
    <w:next w:val="Normal"/>
    <w:uiPriority w:val="99"/>
    <w:unhideWhenUsed/>
    <w:locked/>
    <w:rsid w:val="003D3BA7"/>
    <w:pPr>
      <w:spacing w:after="0"/>
    </w:pPr>
  </w:style>
  <w:style w:type="paragraph" w:styleId="Caption">
    <w:name w:val="caption"/>
    <w:aliases w:val="Caption Char Char,Tables,Figures,Caption Figure,Monitoring Table Caption,Monitoring Fig Caption,Caption Figure1,Monitoring Table Caption1,Monitoring Fig Caption1,Caption Figure2,Monitoring Table Caption2,Monitoring Fig Caption2,Caption1"/>
    <w:basedOn w:val="Normal"/>
    <w:next w:val="Normal"/>
    <w:link w:val="CaptionChar"/>
    <w:qFormat/>
    <w:rsid w:val="002868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eastAsia="SimSun"/>
      <w:szCs w:val="20"/>
      <w:lang w:val="en-GB"/>
    </w:rPr>
  </w:style>
  <w:style w:type="character" w:customStyle="1" w:styleId="CaptionChar">
    <w:name w:val="Caption Char"/>
    <w:aliases w:val="Caption Char Char Char,Tables Char,Figures Char,Caption Figure Char,Monitoring Table Caption Char,Monitoring Fig Caption Char,Caption Figure1 Char,Monitoring Table Caption1 Char,Monitoring Fig Caption1 Char,Caption Figure2 Char"/>
    <w:link w:val="Caption"/>
    <w:locked/>
    <w:rsid w:val="002868E0"/>
    <w:rPr>
      <w:rFonts w:ascii="Calibri" w:eastAsia="SimSun" w:hAnsi="Calibri"/>
      <w:sz w:val="22"/>
      <w:lang w:val="en-GB" w:eastAsia="en-US"/>
    </w:rPr>
  </w:style>
  <w:style w:type="paragraph" w:styleId="BalloonText">
    <w:name w:val="Balloon Text"/>
    <w:basedOn w:val="Normal"/>
    <w:link w:val="BalloonTextChar"/>
    <w:uiPriority w:val="99"/>
    <w:semiHidden/>
    <w:unhideWhenUsed/>
    <w:locked/>
    <w:rsid w:val="00EB19B4"/>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19B4"/>
    <w:rPr>
      <w:rFonts w:ascii="Segoe UI" w:hAnsi="Segoe UI" w:cs="Segoe UI"/>
      <w:sz w:val="18"/>
      <w:szCs w:val="18"/>
      <w:lang w:eastAsia="en-US"/>
    </w:rPr>
  </w:style>
  <w:style w:type="paragraph" w:styleId="Header">
    <w:name w:val="header"/>
    <w:basedOn w:val="Normal"/>
    <w:link w:val="HeaderChar"/>
    <w:uiPriority w:val="99"/>
    <w:unhideWhenUsed/>
    <w:locked/>
    <w:rsid w:val="00144A58"/>
    <w:pPr>
      <w:tabs>
        <w:tab w:val="center" w:pos="4513"/>
        <w:tab w:val="right" w:pos="9026"/>
      </w:tabs>
      <w:spacing w:before="0" w:after="0"/>
    </w:pPr>
  </w:style>
  <w:style w:type="character" w:customStyle="1" w:styleId="HeaderChar">
    <w:name w:val="Header Char"/>
    <w:basedOn w:val="DefaultParagraphFont"/>
    <w:link w:val="Header"/>
    <w:uiPriority w:val="99"/>
    <w:rsid w:val="00144A58"/>
    <w:rPr>
      <w:rFonts w:ascii="Calibri" w:hAnsi="Calibri"/>
      <w:sz w:val="22"/>
      <w:szCs w:val="24"/>
      <w:lang w:eastAsia="en-US"/>
    </w:rPr>
  </w:style>
  <w:style w:type="paragraph" w:styleId="Footer">
    <w:name w:val="footer"/>
    <w:basedOn w:val="Normal"/>
    <w:link w:val="FooterChar"/>
    <w:uiPriority w:val="99"/>
    <w:unhideWhenUsed/>
    <w:locked/>
    <w:rsid w:val="00144A58"/>
    <w:pPr>
      <w:tabs>
        <w:tab w:val="center" w:pos="4513"/>
        <w:tab w:val="right" w:pos="9026"/>
      </w:tabs>
      <w:spacing w:before="0" w:after="0"/>
    </w:pPr>
  </w:style>
  <w:style w:type="character" w:customStyle="1" w:styleId="FooterChar">
    <w:name w:val="Footer Char"/>
    <w:basedOn w:val="DefaultParagraphFont"/>
    <w:link w:val="Footer"/>
    <w:uiPriority w:val="99"/>
    <w:rsid w:val="00144A58"/>
    <w:rPr>
      <w:rFonts w:ascii="Calibri" w:hAnsi="Calibri"/>
      <w:sz w:val="22"/>
      <w:szCs w:val="24"/>
      <w:lang w:eastAsia="en-US"/>
    </w:rPr>
  </w:style>
  <w:style w:type="paragraph" w:styleId="TOC4">
    <w:name w:val="toc 4"/>
    <w:basedOn w:val="Normal"/>
    <w:next w:val="Normal"/>
    <w:autoRedefine/>
    <w:uiPriority w:val="39"/>
    <w:unhideWhenUsed/>
    <w:rsid w:val="00A2195B"/>
    <w:pPr>
      <w:spacing w:before="0" w:after="0"/>
      <w:ind w:left="660"/>
    </w:pPr>
    <w:rPr>
      <w:rFonts w:asciiTheme="minorHAnsi" w:hAnsiTheme="minorHAnsi"/>
      <w:sz w:val="18"/>
      <w:szCs w:val="18"/>
    </w:rPr>
  </w:style>
  <w:style w:type="paragraph" w:styleId="TOC5">
    <w:name w:val="toc 5"/>
    <w:basedOn w:val="Normal"/>
    <w:next w:val="Normal"/>
    <w:autoRedefine/>
    <w:uiPriority w:val="39"/>
    <w:unhideWhenUsed/>
    <w:rsid w:val="00A2195B"/>
    <w:pPr>
      <w:spacing w:before="0" w:after="0"/>
      <w:ind w:left="880"/>
    </w:pPr>
    <w:rPr>
      <w:rFonts w:asciiTheme="minorHAnsi" w:hAnsiTheme="minorHAnsi"/>
      <w:sz w:val="18"/>
      <w:szCs w:val="18"/>
    </w:rPr>
  </w:style>
  <w:style w:type="paragraph" w:styleId="TOC6">
    <w:name w:val="toc 6"/>
    <w:basedOn w:val="Normal"/>
    <w:next w:val="Normal"/>
    <w:autoRedefine/>
    <w:uiPriority w:val="39"/>
    <w:unhideWhenUsed/>
    <w:rsid w:val="00A2195B"/>
    <w:pPr>
      <w:spacing w:before="0" w:after="0"/>
      <w:ind w:left="1100"/>
    </w:pPr>
    <w:rPr>
      <w:rFonts w:asciiTheme="minorHAnsi" w:hAnsiTheme="minorHAnsi"/>
      <w:sz w:val="18"/>
      <w:szCs w:val="18"/>
    </w:rPr>
  </w:style>
  <w:style w:type="paragraph" w:styleId="TOC7">
    <w:name w:val="toc 7"/>
    <w:basedOn w:val="Normal"/>
    <w:next w:val="Normal"/>
    <w:autoRedefine/>
    <w:uiPriority w:val="39"/>
    <w:unhideWhenUsed/>
    <w:rsid w:val="00A2195B"/>
    <w:pPr>
      <w:spacing w:before="0" w:after="0"/>
      <w:ind w:left="1320"/>
    </w:pPr>
    <w:rPr>
      <w:rFonts w:asciiTheme="minorHAnsi" w:hAnsiTheme="minorHAnsi"/>
      <w:sz w:val="18"/>
      <w:szCs w:val="18"/>
    </w:rPr>
  </w:style>
  <w:style w:type="paragraph" w:styleId="TOC8">
    <w:name w:val="toc 8"/>
    <w:basedOn w:val="Normal"/>
    <w:next w:val="Normal"/>
    <w:autoRedefine/>
    <w:uiPriority w:val="39"/>
    <w:unhideWhenUsed/>
    <w:rsid w:val="00A2195B"/>
    <w:pPr>
      <w:spacing w:before="0" w:after="0"/>
      <w:ind w:left="1540"/>
    </w:pPr>
    <w:rPr>
      <w:rFonts w:asciiTheme="minorHAnsi" w:hAnsiTheme="minorHAnsi"/>
      <w:sz w:val="18"/>
      <w:szCs w:val="18"/>
    </w:rPr>
  </w:style>
  <w:style w:type="paragraph" w:styleId="TOC9">
    <w:name w:val="toc 9"/>
    <w:basedOn w:val="Normal"/>
    <w:next w:val="Normal"/>
    <w:autoRedefine/>
    <w:uiPriority w:val="39"/>
    <w:unhideWhenUsed/>
    <w:rsid w:val="00A2195B"/>
    <w:pPr>
      <w:spacing w:before="0" w:after="0"/>
      <w:ind w:left="1760"/>
    </w:pPr>
    <w:rPr>
      <w:rFonts w:asciiTheme="minorHAnsi" w:hAnsiTheme="minorHAnsi"/>
      <w:sz w:val="18"/>
      <w:szCs w:val="18"/>
    </w:rPr>
  </w:style>
  <w:style w:type="paragraph" w:styleId="ListParagraph">
    <w:name w:val="List Paragraph"/>
    <w:basedOn w:val="Normal"/>
    <w:uiPriority w:val="34"/>
    <w:qFormat/>
    <w:rsid w:val="004E4950"/>
    <w:pPr>
      <w:ind w:left="720"/>
      <w:contextualSpacing/>
    </w:pPr>
  </w:style>
  <w:style w:type="character" w:styleId="CommentReference">
    <w:name w:val="annotation reference"/>
    <w:basedOn w:val="DefaultParagraphFont"/>
    <w:uiPriority w:val="99"/>
    <w:semiHidden/>
    <w:unhideWhenUsed/>
    <w:locked/>
    <w:rsid w:val="00AD3D80"/>
    <w:rPr>
      <w:sz w:val="18"/>
      <w:szCs w:val="18"/>
    </w:rPr>
  </w:style>
  <w:style w:type="paragraph" w:styleId="CommentText">
    <w:name w:val="annotation text"/>
    <w:basedOn w:val="Normal"/>
    <w:link w:val="CommentTextChar"/>
    <w:uiPriority w:val="99"/>
    <w:semiHidden/>
    <w:unhideWhenUsed/>
    <w:locked/>
    <w:rsid w:val="00AD3D80"/>
    <w:rPr>
      <w:sz w:val="24"/>
    </w:rPr>
  </w:style>
  <w:style w:type="character" w:customStyle="1" w:styleId="CommentTextChar">
    <w:name w:val="Comment Text Char"/>
    <w:basedOn w:val="DefaultParagraphFont"/>
    <w:link w:val="CommentText"/>
    <w:uiPriority w:val="99"/>
    <w:semiHidden/>
    <w:rsid w:val="00AD3D80"/>
    <w:rPr>
      <w:rFonts w:ascii="Calibri" w:hAnsi="Calibri"/>
      <w:sz w:val="24"/>
      <w:szCs w:val="24"/>
      <w:lang w:eastAsia="en-US"/>
    </w:rPr>
  </w:style>
  <w:style w:type="character" w:styleId="FollowedHyperlink">
    <w:name w:val="FollowedHyperlink"/>
    <w:basedOn w:val="DefaultParagraphFont"/>
    <w:uiPriority w:val="99"/>
    <w:semiHidden/>
    <w:unhideWhenUsed/>
    <w:locked/>
    <w:rsid w:val="007C3ABF"/>
    <w:rPr>
      <w:color w:val="954F72" w:themeColor="followedHyperlink"/>
      <w:u w:val="single"/>
    </w:rPr>
  </w:style>
  <w:style w:type="paragraph" w:customStyle="1" w:styleId="Infopage">
    <w:name w:val="Info page"/>
    <w:basedOn w:val="Normal"/>
    <w:uiPriority w:val="99"/>
    <w:rsid w:val="006070CB"/>
    <w:pPr>
      <w:spacing w:before="0"/>
      <w:jc w:val="both"/>
    </w:pPr>
    <w:rPr>
      <w:rFonts w:ascii="Arial Narrow" w:hAnsi="Arial Narrow"/>
      <w:szCs w:val="22"/>
      <w:lang w:val="en-GB"/>
    </w:rPr>
  </w:style>
  <w:style w:type="character" w:styleId="PageNumber">
    <w:name w:val="page number"/>
    <w:basedOn w:val="DefaultParagraphFont"/>
    <w:uiPriority w:val="99"/>
    <w:locked/>
    <w:rsid w:val="006070CB"/>
    <w:rPr>
      <w:rFonts w:cs="Times New Roman"/>
    </w:rPr>
  </w:style>
  <w:style w:type="paragraph" w:styleId="BodyText3">
    <w:name w:val="Body Text 3"/>
    <w:basedOn w:val="Normal"/>
    <w:link w:val="BodyText3Char"/>
    <w:uiPriority w:val="99"/>
    <w:unhideWhenUsed/>
    <w:locked/>
    <w:rsid w:val="006070CB"/>
    <w:pPr>
      <w:spacing w:before="0"/>
      <w:jc w:val="both"/>
    </w:pPr>
    <w:rPr>
      <w:rFonts w:ascii="Arial" w:hAnsi="Arial"/>
      <w:sz w:val="16"/>
      <w:szCs w:val="16"/>
      <w:lang w:val="en-GB"/>
    </w:rPr>
  </w:style>
  <w:style w:type="character" w:customStyle="1" w:styleId="BodyText3Char">
    <w:name w:val="Body Text 3 Char"/>
    <w:basedOn w:val="DefaultParagraphFont"/>
    <w:link w:val="BodyText3"/>
    <w:uiPriority w:val="99"/>
    <w:rsid w:val="006070CB"/>
    <w:rPr>
      <w:rFonts w:ascii="Arial" w:hAnsi="Arial"/>
      <w:sz w:val="16"/>
      <w:szCs w:val="16"/>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uiPriority="0"/>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semiHidden="0" w:unhideWhenUsed="0"/>
    <w:lsdException w:name="List 2" w:locked="1"/>
    <w:lsdException w:name="List 3" w:locked="1"/>
    <w:lsdException w:name="List 4" w:locked="1" w:semiHidden="0" w:unhideWhenUsed="0"/>
    <w:lsdException w:name="List 5" w:locked="1" w:semiHidden="0" w:unhideWhenUsed="0"/>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nhideWhenUsed="0" w:qFormat="1"/>
    <w:lsdException w:name="Closing" w:locked="1"/>
    <w:lsdException w:name="Signature" w:locked="1"/>
    <w:lsdException w:name="Default Paragraph Font"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semiHidden="0" w:unhideWhenUsed="0"/>
    <w:lsdException w:name="Date" w:locked="1" w:semiHidden="0" w:unhideWhenUsed="0"/>
    <w:lsdException w:name="Body Text First Indent" w:locked="1" w:semiHidden="0" w:unhideWhenUsed="0"/>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22" w:unhideWhenUsed="0" w:qFormat="1"/>
    <w:lsdException w:name="Emphasis" w:semiHidden="0" w:uiPriority="20" w:unhideWhenUsed="0" w:qFormat="1"/>
    <w:lsdException w:name="Document Map" w:locked="1"/>
    <w:lsdException w:name="Plain Text" w:locked="1"/>
    <w:lsdException w:name="E-mail Signature" w:locked="1"/>
    <w:lsdException w:name="HTML Top of Form" w:locked="1" w:uiPriority="0"/>
    <w:lsdException w:name="HTML Bottom of Form" w:locked="1" w:uiPriority="0"/>
    <w:lsdException w:name="Normal (Web)" w:locked="1"/>
    <w:lsdException w:name="HTML Acronym" w:locked="1" w:uiPriority="0"/>
    <w:lsdException w:name="HTML Address" w:locked="1"/>
    <w:lsdException w:name="HTML Cite" w:locked="1" w:uiPriority="0"/>
    <w:lsdException w:name="HTML Code" w:locked="1" w:uiPriority="0"/>
    <w:lsdException w:name="HTML Definition" w:locked="1" w:uiPriority="0"/>
    <w:lsdException w:name="HTML Keyboard" w:locked="1" w:uiPriority="0"/>
    <w:lsdException w:name="HTML Preformatted" w:locked="1"/>
    <w:lsdException w:name="HTML Sample" w:locked="1" w:uiPriority="0"/>
    <w:lsdException w:name="HTML Typewriter" w:locked="1" w:uiPriority="0"/>
    <w:lsdException w:name="HTML Variable" w:locked="1" w:uiPriority="0"/>
    <w:lsdException w:name="Normal Table" w:locked="1" w:uiPriority="0"/>
    <w:lsdException w:name="annotation subject" w:locked="1"/>
    <w:lsdException w:name="No List" w:locked="1"/>
    <w:lsdException w:name="Outline List 1" w:locked="1" w:uiPriority="0"/>
    <w:lsdException w:name="Outline List 2" w:locked="1" w:uiPriority="0"/>
    <w:lsdException w:name="Outline List 3" w:locked="1" w:uiPriority="0"/>
    <w:lsdException w:name="Table Simple 1" w:locked="1" w:uiPriority="0"/>
    <w:lsdException w:name="Table Simple 2" w:locked="1" w:uiPriority="0"/>
    <w:lsdException w:name="Table Simple 3" w:locked="1" w:uiPriority="0"/>
    <w:lsdException w:name="Table Classic 1" w:locked="1" w:uiPriority="0"/>
    <w:lsdException w:name="Table Classic 2" w:locked="1" w:uiPriority="0"/>
    <w:lsdException w:name="Table Classic 3" w:locked="1" w:uiPriority="0"/>
    <w:lsdException w:name="Table Classic 4" w:locked="1" w:uiPriority="0"/>
    <w:lsdException w:name="Table Colorful 1" w:locked="1" w:uiPriority="0"/>
    <w:lsdException w:name="Table Colorful 2" w:locked="1" w:uiPriority="0"/>
    <w:lsdException w:name="Table Colorful 3" w:locked="1" w:uiPriority="0"/>
    <w:lsdException w:name="Table Columns 1" w:locked="1" w:uiPriority="0"/>
    <w:lsdException w:name="Table Columns 2" w:locked="1" w:uiPriority="0"/>
    <w:lsdException w:name="Table Columns 3" w:locked="1" w:uiPriority="0"/>
    <w:lsdException w:name="Table Columns 4" w:locked="1" w:uiPriority="0"/>
    <w:lsdException w:name="Table Columns 5" w:locked="1" w:uiPriority="0"/>
    <w:lsdException w:name="Table Grid 1" w:locked="1" w:uiPriority="0"/>
    <w:lsdException w:name="Table Grid 2" w:locked="1" w:uiPriority="0"/>
    <w:lsdException w:name="Table Grid 3" w:locked="1" w:uiPriority="0"/>
    <w:lsdException w:name="Table Grid 4" w:locked="1" w:uiPriority="0"/>
    <w:lsdException w:name="Table Grid 5" w:locked="1" w:uiPriority="0"/>
    <w:lsdException w:name="Table Grid 6" w:locked="1" w:uiPriority="0"/>
    <w:lsdException w:name="Table Grid 7" w:locked="1" w:uiPriority="0"/>
    <w:lsdException w:name="Table Grid 8" w:locked="1" w:uiPriority="0"/>
    <w:lsdException w:name="Table List 1" w:locked="1" w:uiPriority="0"/>
    <w:lsdException w:name="Table List 2" w:locked="1" w:uiPriority="0"/>
    <w:lsdException w:name="Table List 3" w:locked="1" w:uiPriority="0"/>
    <w:lsdException w:name="Table List 4" w:locked="1" w:uiPriority="0"/>
    <w:lsdException w:name="Table List 5" w:locked="1" w:uiPriority="0"/>
    <w:lsdException w:name="Table List 6" w:locked="1" w:uiPriority="0"/>
    <w:lsdException w:name="Table List 7" w:locked="1" w:uiPriority="0"/>
    <w:lsdException w:name="Table List 8" w:locked="1" w:uiPriority="0"/>
    <w:lsdException w:name="Table 3D effects 1" w:locked="1" w:uiPriority="0"/>
    <w:lsdException w:name="Table 3D effects 2" w:locked="1" w:uiPriority="0"/>
    <w:lsdException w:name="Table 3D effects 3" w:locked="1" w:uiPriority="0"/>
    <w:lsdException w:name="Table Contemporary" w:locked="1" w:uiPriority="0"/>
    <w:lsdException w:name="Table Elegant" w:locked="1" w:uiPriority="0"/>
    <w:lsdException w:name="Table Professional" w:locked="1" w:uiPriority="0"/>
    <w:lsdException w:name="Table Subtle 1" w:locked="1" w:uiPriority="0"/>
    <w:lsdException w:name="Table Subtle 2" w:locked="1" w:uiPriority="0"/>
    <w:lsdException w:name="Table Web 1" w:locked="1" w:uiPriority="0"/>
    <w:lsdException w:name="Table Web 2" w:locked="1" w:uiPriority="0"/>
    <w:lsdException w:name="Table Web 3" w:locked="1" w:uiPriority="0"/>
    <w:lsdException w:name="Balloon Text" w:locked="1"/>
    <w:lsdException w:name="Table Grid" w:semiHidden="0" w:uiPriority="59" w:unhideWhenUsed="0"/>
    <w:lsdException w:name="Table Theme" w:locked="1" w:uiPriority="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2780"/>
    <w:pPr>
      <w:spacing w:before="120" w:after="120"/>
    </w:pPr>
    <w:rPr>
      <w:rFonts w:ascii="Calibri" w:hAnsi="Calibri"/>
      <w:sz w:val="22"/>
      <w:szCs w:val="24"/>
      <w:lang w:eastAsia="en-US"/>
    </w:rPr>
  </w:style>
  <w:style w:type="paragraph" w:styleId="Heading1">
    <w:name w:val="heading 1"/>
    <w:basedOn w:val="Normal"/>
    <w:next w:val="Normal"/>
    <w:link w:val="Heading1Char"/>
    <w:uiPriority w:val="99"/>
    <w:qFormat/>
    <w:rsid w:val="00AF186C"/>
    <w:pPr>
      <w:keepNext/>
      <w:pageBreakBefore/>
      <w:numPr>
        <w:numId w:val="16"/>
      </w:numPr>
      <w:spacing w:before="240" w:after="60"/>
      <w:outlineLvl w:val="0"/>
    </w:pPr>
    <w:rPr>
      <w:rFonts w:ascii="Arial" w:hAnsi="Arial"/>
      <w:b/>
      <w:kern w:val="32"/>
      <w:sz w:val="32"/>
      <w:szCs w:val="20"/>
    </w:rPr>
  </w:style>
  <w:style w:type="paragraph" w:styleId="Heading2">
    <w:name w:val="heading 2"/>
    <w:basedOn w:val="Normal"/>
    <w:next w:val="Normal"/>
    <w:link w:val="Heading2Char"/>
    <w:uiPriority w:val="99"/>
    <w:qFormat/>
    <w:rsid w:val="00AF186C"/>
    <w:pPr>
      <w:keepNext/>
      <w:numPr>
        <w:ilvl w:val="1"/>
        <w:numId w:val="16"/>
      </w:numPr>
      <w:spacing w:before="240" w:after="60"/>
      <w:outlineLvl w:val="1"/>
    </w:pPr>
    <w:rPr>
      <w:rFonts w:ascii="Arial" w:hAnsi="Arial"/>
      <w:b/>
      <w:sz w:val="28"/>
      <w:szCs w:val="20"/>
    </w:rPr>
  </w:style>
  <w:style w:type="paragraph" w:styleId="Heading3">
    <w:name w:val="heading 3"/>
    <w:aliases w:val="3rd Level Heading"/>
    <w:basedOn w:val="Normal"/>
    <w:next w:val="Normal"/>
    <w:link w:val="Heading3Char"/>
    <w:uiPriority w:val="99"/>
    <w:qFormat/>
    <w:rsid w:val="00AF186C"/>
    <w:pPr>
      <w:keepNext/>
      <w:numPr>
        <w:ilvl w:val="2"/>
        <w:numId w:val="16"/>
      </w:numPr>
      <w:spacing w:before="240" w:after="60"/>
      <w:outlineLvl w:val="2"/>
    </w:pPr>
    <w:rPr>
      <w:rFonts w:ascii="Times New Roman" w:hAnsi="Times New Roman"/>
      <w:b/>
      <w:sz w:val="26"/>
      <w:szCs w:val="20"/>
      <w:lang w:eastAsia="x-none"/>
    </w:rPr>
  </w:style>
  <w:style w:type="paragraph" w:styleId="Heading4">
    <w:name w:val="heading 4"/>
    <w:aliases w:val="4th Level Heading"/>
    <w:basedOn w:val="Normal"/>
    <w:next w:val="Normal"/>
    <w:link w:val="Heading4Char"/>
    <w:uiPriority w:val="99"/>
    <w:qFormat/>
    <w:rsid w:val="00AF186C"/>
    <w:pPr>
      <w:keepNext/>
      <w:numPr>
        <w:ilvl w:val="3"/>
        <w:numId w:val="16"/>
      </w:numPr>
      <w:spacing w:before="240" w:after="60"/>
      <w:outlineLvl w:val="3"/>
    </w:pPr>
    <w:rPr>
      <w:rFonts w:ascii="Times New Roman" w:hAnsi="Times New Roman"/>
      <w:i/>
      <w:sz w:val="28"/>
      <w:szCs w:val="20"/>
      <w:lang w:eastAsia="x-none"/>
    </w:rPr>
  </w:style>
  <w:style w:type="paragraph" w:styleId="Heading5">
    <w:name w:val="heading 5"/>
    <w:basedOn w:val="Normal"/>
    <w:next w:val="Normal"/>
    <w:link w:val="Heading5Char"/>
    <w:uiPriority w:val="99"/>
    <w:qFormat/>
    <w:rsid w:val="00AF186C"/>
    <w:pPr>
      <w:numPr>
        <w:ilvl w:val="4"/>
        <w:numId w:val="16"/>
      </w:numPr>
      <w:spacing w:before="240" w:after="60"/>
      <w:outlineLvl w:val="4"/>
    </w:pPr>
    <w:rPr>
      <w:rFonts w:ascii="Times New Roman" w:hAnsi="Times New Roman"/>
      <w:sz w:val="24"/>
      <w:szCs w:val="20"/>
      <w:u w:val="single"/>
    </w:rPr>
  </w:style>
  <w:style w:type="paragraph" w:styleId="Heading6">
    <w:name w:val="heading 6"/>
    <w:basedOn w:val="Normal"/>
    <w:next w:val="Normal"/>
    <w:link w:val="Heading6Char"/>
    <w:uiPriority w:val="99"/>
    <w:qFormat/>
    <w:rsid w:val="00AF186C"/>
    <w:pPr>
      <w:numPr>
        <w:ilvl w:val="5"/>
        <w:numId w:val="16"/>
      </w:numPr>
      <w:spacing w:before="240" w:after="60"/>
      <w:outlineLvl w:val="5"/>
    </w:pPr>
    <w:rPr>
      <w:rFonts w:ascii="Times New Roman" w:hAnsi="Times New Roman"/>
      <w:b/>
      <w:szCs w:val="20"/>
      <w:lang w:eastAsia="x-none"/>
    </w:rPr>
  </w:style>
  <w:style w:type="paragraph" w:styleId="Heading7">
    <w:name w:val="heading 7"/>
    <w:basedOn w:val="Normal"/>
    <w:next w:val="Normal"/>
    <w:link w:val="Heading7Char"/>
    <w:uiPriority w:val="99"/>
    <w:qFormat/>
    <w:rsid w:val="00AF186C"/>
    <w:pPr>
      <w:keepNext/>
      <w:numPr>
        <w:ilvl w:val="6"/>
        <w:numId w:val="16"/>
      </w:numPr>
      <w:jc w:val="center"/>
      <w:outlineLvl w:val="6"/>
    </w:pPr>
    <w:rPr>
      <w:rFonts w:ascii="Arial" w:hAnsi="Arial"/>
      <w:b/>
      <w:sz w:val="20"/>
      <w:szCs w:val="20"/>
      <w:lang w:eastAsia="x-none"/>
    </w:rPr>
  </w:style>
  <w:style w:type="paragraph" w:styleId="Heading8">
    <w:name w:val="heading 8"/>
    <w:basedOn w:val="Normal"/>
    <w:next w:val="Normal"/>
    <w:link w:val="Heading8Char"/>
    <w:uiPriority w:val="99"/>
    <w:qFormat/>
    <w:rsid w:val="004A36C2"/>
    <w:pPr>
      <w:keepNext/>
      <w:keepLines/>
      <w:numPr>
        <w:ilvl w:val="7"/>
        <w:numId w:val="16"/>
      </w:numPr>
      <w:spacing w:before="200" w:after="0"/>
      <w:jc w:val="both"/>
      <w:outlineLvl w:val="7"/>
    </w:pPr>
    <w:rPr>
      <w:rFonts w:ascii="Cambria" w:eastAsia="Calibri" w:hAnsi="Cambria"/>
      <w:color w:val="404040"/>
      <w:sz w:val="20"/>
      <w:szCs w:val="20"/>
      <w:lang w:val="en-US"/>
    </w:rPr>
  </w:style>
  <w:style w:type="paragraph" w:styleId="Heading9">
    <w:name w:val="heading 9"/>
    <w:basedOn w:val="Normal"/>
    <w:next w:val="Normal"/>
    <w:link w:val="Heading9Char"/>
    <w:uiPriority w:val="99"/>
    <w:qFormat/>
    <w:rsid w:val="00AF186C"/>
    <w:pPr>
      <w:keepNext/>
      <w:numPr>
        <w:ilvl w:val="8"/>
        <w:numId w:val="16"/>
      </w:numPr>
      <w:outlineLvl w:val="8"/>
    </w:pPr>
    <w:rPr>
      <w:rFonts w:ascii="Arial" w:eastAsia="Arial Unicode MS" w:hAnsi="Arial"/>
      <w:b/>
      <w:sz w:val="16"/>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AF186C"/>
    <w:rPr>
      <w:rFonts w:ascii="Arial" w:hAnsi="Arial"/>
      <w:b/>
      <w:kern w:val="32"/>
      <w:sz w:val="32"/>
      <w:lang w:eastAsia="en-US"/>
    </w:rPr>
  </w:style>
  <w:style w:type="character" w:customStyle="1" w:styleId="Heading2Char">
    <w:name w:val="Heading 2 Char"/>
    <w:link w:val="Heading2"/>
    <w:uiPriority w:val="99"/>
    <w:locked/>
    <w:rsid w:val="00AF186C"/>
    <w:rPr>
      <w:rFonts w:ascii="Arial" w:hAnsi="Arial"/>
      <w:b/>
      <w:sz w:val="28"/>
      <w:lang w:eastAsia="en-US"/>
    </w:rPr>
  </w:style>
  <w:style w:type="character" w:customStyle="1" w:styleId="Heading3Char">
    <w:name w:val="Heading 3 Char"/>
    <w:aliases w:val="3rd Level Heading Char"/>
    <w:link w:val="Heading3"/>
    <w:uiPriority w:val="99"/>
    <w:locked/>
    <w:rsid w:val="00AF186C"/>
    <w:rPr>
      <w:b/>
      <w:sz w:val="26"/>
      <w:lang w:eastAsia="x-none"/>
    </w:rPr>
  </w:style>
  <w:style w:type="character" w:customStyle="1" w:styleId="Heading4Char">
    <w:name w:val="Heading 4 Char"/>
    <w:aliases w:val="4th Level Heading Char"/>
    <w:link w:val="Heading4"/>
    <w:uiPriority w:val="99"/>
    <w:locked/>
    <w:rsid w:val="00AF186C"/>
    <w:rPr>
      <w:i/>
      <w:sz w:val="28"/>
      <w:lang w:eastAsia="x-none"/>
    </w:rPr>
  </w:style>
  <w:style w:type="character" w:customStyle="1" w:styleId="Heading5Char">
    <w:name w:val="Heading 5 Char"/>
    <w:link w:val="Heading5"/>
    <w:uiPriority w:val="99"/>
    <w:locked/>
    <w:rsid w:val="00AF186C"/>
    <w:rPr>
      <w:sz w:val="24"/>
      <w:u w:val="single"/>
      <w:lang w:eastAsia="en-US"/>
    </w:rPr>
  </w:style>
  <w:style w:type="character" w:customStyle="1" w:styleId="Heading6Char">
    <w:name w:val="Heading 6 Char"/>
    <w:link w:val="Heading6"/>
    <w:uiPriority w:val="99"/>
    <w:locked/>
    <w:rsid w:val="00AF186C"/>
    <w:rPr>
      <w:b/>
      <w:sz w:val="22"/>
      <w:lang w:eastAsia="x-none"/>
    </w:rPr>
  </w:style>
  <w:style w:type="character" w:customStyle="1" w:styleId="Heading7Char">
    <w:name w:val="Heading 7 Char"/>
    <w:link w:val="Heading7"/>
    <w:uiPriority w:val="99"/>
    <w:locked/>
    <w:rsid w:val="00AF186C"/>
    <w:rPr>
      <w:rFonts w:ascii="Arial" w:hAnsi="Arial"/>
      <w:b/>
      <w:lang w:eastAsia="x-none"/>
    </w:rPr>
  </w:style>
  <w:style w:type="character" w:customStyle="1" w:styleId="Heading8Char">
    <w:name w:val="Heading 8 Char"/>
    <w:link w:val="Heading8"/>
    <w:uiPriority w:val="99"/>
    <w:locked/>
    <w:rsid w:val="004A36C2"/>
    <w:rPr>
      <w:rFonts w:ascii="Cambria" w:eastAsia="Calibri" w:hAnsi="Cambria"/>
      <w:color w:val="404040"/>
      <w:lang w:val="en-US" w:eastAsia="en-US"/>
    </w:rPr>
  </w:style>
  <w:style w:type="character" w:customStyle="1" w:styleId="Heading9Char">
    <w:name w:val="Heading 9 Char"/>
    <w:link w:val="Heading9"/>
    <w:uiPriority w:val="99"/>
    <w:locked/>
    <w:rsid w:val="00AF186C"/>
    <w:rPr>
      <w:rFonts w:ascii="Arial" w:eastAsia="Arial Unicode MS" w:hAnsi="Arial"/>
      <w:b/>
      <w:sz w:val="16"/>
      <w:lang w:eastAsia="x-none"/>
    </w:rPr>
  </w:style>
  <w:style w:type="paragraph" w:styleId="TOC1">
    <w:name w:val="toc 1"/>
    <w:basedOn w:val="Normal"/>
    <w:next w:val="Normal"/>
    <w:autoRedefine/>
    <w:uiPriority w:val="39"/>
    <w:unhideWhenUsed/>
    <w:qFormat/>
    <w:rsid w:val="002B44D4"/>
    <w:rPr>
      <w:rFonts w:asciiTheme="minorHAnsi" w:hAnsiTheme="minorHAnsi"/>
      <w:b/>
      <w:bCs/>
      <w:caps/>
      <w:sz w:val="20"/>
      <w:szCs w:val="20"/>
    </w:rPr>
  </w:style>
  <w:style w:type="paragraph" w:styleId="TOC2">
    <w:name w:val="toc 2"/>
    <w:basedOn w:val="Normal"/>
    <w:next w:val="Normal"/>
    <w:autoRedefine/>
    <w:uiPriority w:val="39"/>
    <w:unhideWhenUsed/>
    <w:qFormat/>
    <w:rsid w:val="002B44D4"/>
    <w:pPr>
      <w:spacing w:before="0" w:after="0"/>
      <w:ind w:left="220"/>
    </w:pPr>
    <w:rPr>
      <w:rFonts w:asciiTheme="minorHAnsi" w:hAnsiTheme="minorHAnsi"/>
      <w:smallCaps/>
      <w:sz w:val="20"/>
      <w:szCs w:val="20"/>
    </w:rPr>
  </w:style>
  <w:style w:type="paragraph" w:styleId="TOC3">
    <w:name w:val="toc 3"/>
    <w:basedOn w:val="Normal"/>
    <w:next w:val="Normal"/>
    <w:autoRedefine/>
    <w:uiPriority w:val="39"/>
    <w:unhideWhenUsed/>
    <w:qFormat/>
    <w:rsid w:val="002B44D4"/>
    <w:pPr>
      <w:spacing w:before="0" w:after="0"/>
      <w:ind w:left="440"/>
    </w:pPr>
    <w:rPr>
      <w:rFonts w:asciiTheme="minorHAnsi" w:hAnsiTheme="minorHAnsi"/>
      <w:i/>
      <w:iCs/>
      <w:sz w:val="20"/>
      <w:szCs w:val="20"/>
    </w:rPr>
  </w:style>
  <w:style w:type="paragraph" w:styleId="Revision">
    <w:name w:val="Revision"/>
    <w:hidden/>
    <w:uiPriority w:val="99"/>
    <w:semiHidden/>
    <w:rsid w:val="004316F7"/>
    <w:rPr>
      <w:sz w:val="24"/>
      <w:szCs w:val="24"/>
      <w:lang w:eastAsia="en-US"/>
    </w:rPr>
  </w:style>
  <w:style w:type="paragraph" w:customStyle="1" w:styleId="BasicParagraph">
    <w:name w:val="[Basic Paragraph]"/>
    <w:basedOn w:val="Normal"/>
    <w:rsid w:val="004A36C2"/>
    <w:pPr>
      <w:autoSpaceDE w:val="0"/>
      <w:autoSpaceDN w:val="0"/>
      <w:adjustRightInd w:val="0"/>
      <w:spacing w:before="0" w:after="0" w:line="288" w:lineRule="auto"/>
      <w:textAlignment w:val="center"/>
    </w:pPr>
    <w:rPr>
      <w:rFonts w:ascii="Times New Roman" w:hAnsi="Times New Roman"/>
      <w:color w:val="000000"/>
      <w:sz w:val="24"/>
      <w:lang w:val="en-GB"/>
    </w:rPr>
  </w:style>
  <w:style w:type="character" w:styleId="Hyperlink">
    <w:name w:val="Hyperlink"/>
    <w:basedOn w:val="DefaultParagraphFont"/>
    <w:uiPriority w:val="99"/>
    <w:unhideWhenUsed/>
    <w:locked/>
    <w:rsid w:val="002B44D4"/>
    <w:rPr>
      <w:color w:val="0563C1" w:themeColor="hyperlink"/>
      <w:u w:val="single"/>
    </w:rPr>
  </w:style>
  <w:style w:type="paragraph" w:styleId="TableofFigures">
    <w:name w:val="table of figures"/>
    <w:basedOn w:val="Normal"/>
    <w:next w:val="Normal"/>
    <w:uiPriority w:val="99"/>
    <w:unhideWhenUsed/>
    <w:locked/>
    <w:rsid w:val="003D3BA7"/>
    <w:pPr>
      <w:spacing w:after="0"/>
    </w:pPr>
  </w:style>
  <w:style w:type="paragraph" w:styleId="Caption">
    <w:name w:val="caption"/>
    <w:aliases w:val="Caption Char Char,Tables,Figures,Caption Figure,Monitoring Table Caption,Monitoring Fig Caption,Caption Figure1,Monitoring Table Caption1,Monitoring Fig Caption1,Caption Figure2,Monitoring Table Caption2,Monitoring Fig Caption2,Caption1"/>
    <w:basedOn w:val="Normal"/>
    <w:next w:val="Normal"/>
    <w:link w:val="CaptionChar"/>
    <w:qFormat/>
    <w:rsid w:val="002868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eastAsia="SimSun"/>
      <w:szCs w:val="20"/>
      <w:lang w:val="en-GB"/>
    </w:rPr>
  </w:style>
  <w:style w:type="character" w:customStyle="1" w:styleId="CaptionChar">
    <w:name w:val="Caption Char"/>
    <w:aliases w:val="Caption Char Char Char,Tables Char,Figures Char,Caption Figure Char,Monitoring Table Caption Char,Monitoring Fig Caption Char,Caption Figure1 Char,Monitoring Table Caption1 Char,Monitoring Fig Caption1 Char,Caption Figure2 Char"/>
    <w:link w:val="Caption"/>
    <w:locked/>
    <w:rsid w:val="002868E0"/>
    <w:rPr>
      <w:rFonts w:ascii="Calibri" w:eastAsia="SimSun" w:hAnsi="Calibri"/>
      <w:sz w:val="22"/>
      <w:lang w:val="en-GB" w:eastAsia="en-US"/>
    </w:rPr>
  </w:style>
  <w:style w:type="paragraph" w:styleId="BalloonText">
    <w:name w:val="Balloon Text"/>
    <w:basedOn w:val="Normal"/>
    <w:link w:val="BalloonTextChar"/>
    <w:uiPriority w:val="99"/>
    <w:semiHidden/>
    <w:unhideWhenUsed/>
    <w:locked/>
    <w:rsid w:val="00EB19B4"/>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19B4"/>
    <w:rPr>
      <w:rFonts w:ascii="Segoe UI" w:hAnsi="Segoe UI" w:cs="Segoe UI"/>
      <w:sz w:val="18"/>
      <w:szCs w:val="18"/>
      <w:lang w:eastAsia="en-US"/>
    </w:rPr>
  </w:style>
  <w:style w:type="paragraph" w:styleId="Header">
    <w:name w:val="header"/>
    <w:basedOn w:val="Normal"/>
    <w:link w:val="HeaderChar"/>
    <w:uiPriority w:val="99"/>
    <w:unhideWhenUsed/>
    <w:locked/>
    <w:rsid w:val="00144A58"/>
    <w:pPr>
      <w:tabs>
        <w:tab w:val="center" w:pos="4513"/>
        <w:tab w:val="right" w:pos="9026"/>
      </w:tabs>
      <w:spacing w:before="0" w:after="0"/>
    </w:pPr>
  </w:style>
  <w:style w:type="character" w:customStyle="1" w:styleId="HeaderChar">
    <w:name w:val="Header Char"/>
    <w:basedOn w:val="DefaultParagraphFont"/>
    <w:link w:val="Header"/>
    <w:uiPriority w:val="99"/>
    <w:rsid w:val="00144A58"/>
    <w:rPr>
      <w:rFonts w:ascii="Calibri" w:hAnsi="Calibri"/>
      <w:sz w:val="22"/>
      <w:szCs w:val="24"/>
      <w:lang w:eastAsia="en-US"/>
    </w:rPr>
  </w:style>
  <w:style w:type="paragraph" w:styleId="Footer">
    <w:name w:val="footer"/>
    <w:basedOn w:val="Normal"/>
    <w:link w:val="FooterChar"/>
    <w:uiPriority w:val="99"/>
    <w:unhideWhenUsed/>
    <w:locked/>
    <w:rsid w:val="00144A58"/>
    <w:pPr>
      <w:tabs>
        <w:tab w:val="center" w:pos="4513"/>
        <w:tab w:val="right" w:pos="9026"/>
      </w:tabs>
      <w:spacing w:before="0" w:after="0"/>
    </w:pPr>
  </w:style>
  <w:style w:type="character" w:customStyle="1" w:styleId="FooterChar">
    <w:name w:val="Footer Char"/>
    <w:basedOn w:val="DefaultParagraphFont"/>
    <w:link w:val="Footer"/>
    <w:uiPriority w:val="99"/>
    <w:rsid w:val="00144A58"/>
    <w:rPr>
      <w:rFonts w:ascii="Calibri" w:hAnsi="Calibri"/>
      <w:sz w:val="22"/>
      <w:szCs w:val="24"/>
      <w:lang w:eastAsia="en-US"/>
    </w:rPr>
  </w:style>
  <w:style w:type="paragraph" w:styleId="TOC4">
    <w:name w:val="toc 4"/>
    <w:basedOn w:val="Normal"/>
    <w:next w:val="Normal"/>
    <w:autoRedefine/>
    <w:uiPriority w:val="39"/>
    <w:unhideWhenUsed/>
    <w:rsid w:val="00A2195B"/>
    <w:pPr>
      <w:spacing w:before="0" w:after="0"/>
      <w:ind w:left="660"/>
    </w:pPr>
    <w:rPr>
      <w:rFonts w:asciiTheme="minorHAnsi" w:hAnsiTheme="minorHAnsi"/>
      <w:sz w:val="18"/>
      <w:szCs w:val="18"/>
    </w:rPr>
  </w:style>
  <w:style w:type="paragraph" w:styleId="TOC5">
    <w:name w:val="toc 5"/>
    <w:basedOn w:val="Normal"/>
    <w:next w:val="Normal"/>
    <w:autoRedefine/>
    <w:uiPriority w:val="39"/>
    <w:unhideWhenUsed/>
    <w:rsid w:val="00A2195B"/>
    <w:pPr>
      <w:spacing w:before="0" w:after="0"/>
      <w:ind w:left="880"/>
    </w:pPr>
    <w:rPr>
      <w:rFonts w:asciiTheme="minorHAnsi" w:hAnsiTheme="minorHAnsi"/>
      <w:sz w:val="18"/>
      <w:szCs w:val="18"/>
    </w:rPr>
  </w:style>
  <w:style w:type="paragraph" w:styleId="TOC6">
    <w:name w:val="toc 6"/>
    <w:basedOn w:val="Normal"/>
    <w:next w:val="Normal"/>
    <w:autoRedefine/>
    <w:uiPriority w:val="39"/>
    <w:unhideWhenUsed/>
    <w:rsid w:val="00A2195B"/>
    <w:pPr>
      <w:spacing w:before="0" w:after="0"/>
      <w:ind w:left="1100"/>
    </w:pPr>
    <w:rPr>
      <w:rFonts w:asciiTheme="minorHAnsi" w:hAnsiTheme="minorHAnsi"/>
      <w:sz w:val="18"/>
      <w:szCs w:val="18"/>
    </w:rPr>
  </w:style>
  <w:style w:type="paragraph" w:styleId="TOC7">
    <w:name w:val="toc 7"/>
    <w:basedOn w:val="Normal"/>
    <w:next w:val="Normal"/>
    <w:autoRedefine/>
    <w:uiPriority w:val="39"/>
    <w:unhideWhenUsed/>
    <w:rsid w:val="00A2195B"/>
    <w:pPr>
      <w:spacing w:before="0" w:after="0"/>
      <w:ind w:left="1320"/>
    </w:pPr>
    <w:rPr>
      <w:rFonts w:asciiTheme="minorHAnsi" w:hAnsiTheme="minorHAnsi"/>
      <w:sz w:val="18"/>
      <w:szCs w:val="18"/>
    </w:rPr>
  </w:style>
  <w:style w:type="paragraph" w:styleId="TOC8">
    <w:name w:val="toc 8"/>
    <w:basedOn w:val="Normal"/>
    <w:next w:val="Normal"/>
    <w:autoRedefine/>
    <w:uiPriority w:val="39"/>
    <w:unhideWhenUsed/>
    <w:rsid w:val="00A2195B"/>
    <w:pPr>
      <w:spacing w:before="0" w:after="0"/>
      <w:ind w:left="1540"/>
    </w:pPr>
    <w:rPr>
      <w:rFonts w:asciiTheme="minorHAnsi" w:hAnsiTheme="minorHAnsi"/>
      <w:sz w:val="18"/>
      <w:szCs w:val="18"/>
    </w:rPr>
  </w:style>
  <w:style w:type="paragraph" w:styleId="TOC9">
    <w:name w:val="toc 9"/>
    <w:basedOn w:val="Normal"/>
    <w:next w:val="Normal"/>
    <w:autoRedefine/>
    <w:uiPriority w:val="39"/>
    <w:unhideWhenUsed/>
    <w:rsid w:val="00A2195B"/>
    <w:pPr>
      <w:spacing w:before="0" w:after="0"/>
      <w:ind w:left="1760"/>
    </w:pPr>
    <w:rPr>
      <w:rFonts w:asciiTheme="minorHAnsi" w:hAnsiTheme="minorHAnsi"/>
      <w:sz w:val="18"/>
      <w:szCs w:val="18"/>
    </w:rPr>
  </w:style>
  <w:style w:type="paragraph" w:styleId="ListParagraph">
    <w:name w:val="List Paragraph"/>
    <w:basedOn w:val="Normal"/>
    <w:uiPriority w:val="34"/>
    <w:qFormat/>
    <w:rsid w:val="004E4950"/>
    <w:pPr>
      <w:ind w:left="720"/>
      <w:contextualSpacing/>
    </w:pPr>
  </w:style>
  <w:style w:type="character" w:styleId="CommentReference">
    <w:name w:val="annotation reference"/>
    <w:basedOn w:val="DefaultParagraphFont"/>
    <w:uiPriority w:val="99"/>
    <w:semiHidden/>
    <w:unhideWhenUsed/>
    <w:locked/>
    <w:rsid w:val="00AD3D80"/>
    <w:rPr>
      <w:sz w:val="18"/>
      <w:szCs w:val="18"/>
    </w:rPr>
  </w:style>
  <w:style w:type="paragraph" w:styleId="CommentText">
    <w:name w:val="annotation text"/>
    <w:basedOn w:val="Normal"/>
    <w:link w:val="CommentTextChar"/>
    <w:uiPriority w:val="99"/>
    <w:semiHidden/>
    <w:unhideWhenUsed/>
    <w:locked/>
    <w:rsid w:val="00AD3D80"/>
    <w:rPr>
      <w:sz w:val="24"/>
    </w:rPr>
  </w:style>
  <w:style w:type="character" w:customStyle="1" w:styleId="CommentTextChar">
    <w:name w:val="Comment Text Char"/>
    <w:basedOn w:val="DefaultParagraphFont"/>
    <w:link w:val="CommentText"/>
    <w:uiPriority w:val="99"/>
    <w:semiHidden/>
    <w:rsid w:val="00AD3D80"/>
    <w:rPr>
      <w:rFonts w:ascii="Calibri" w:hAnsi="Calibri"/>
      <w:sz w:val="24"/>
      <w:szCs w:val="24"/>
      <w:lang w:eastAsia="en-US"/>
    </w:rPr>
  </w:style>
  <w:style w:type="character" w:styleId="FollowedHyperlink">
    <w:name w:val="FollowedHyperlink"/>
    <w:basedOn w:val="DefaultParagraphFont"/>
    <w:uiPriority w:val="99"/>
    <w:semiHidden/>
    <w:unhideWhenUsed/>
    <w:locked/>
    <w:rsid w:val="007C3ABF"/>
    <w:rPr>
      <w:color w:val="954F72" w:themeColor="followedHyperlink"/>
      <w:u w:val="single"/>
    </w:rPr>
  </w:style>
  <w:style w:type="paragraph" w:customStyle="1" w:styleId="Infopage">
    <w:name w:val="Info page"/>
    <w:basedOn w:val="Normal"/>
    <w:uiPriority w:val="99"/>
    <w:rsid w:val="006070CB"/>
    <w:pPr>
      <w:spacing w:before="0"/>
      <w:jc w:val="both"/>
    </w:pPr>
    <w:rPr>
      <w:rFonts w:ascii="Arial Narrow" w:hAnsi="Arial Narrow"/>
      <w:szCs w:val="22"/>
      <w:lang w:val="en-GB"/>
    </w:rPr>
  </w:style>
  <w:style w:type="character" w:styleId="PageNumber">
    <w:name w:val="page number"/>
    <w:basedOn w:val="DefaultParagraphFont"/>
    <w:uiPriority w:val="99"/>
    <w:locked/>
    <w:rsid w:val="006070CB"/>
    <w:rPr>
      <w:rFonts w:cs="Times New Roman"/>
    </w:rPr>
  </w:style>
  <w:style w:type="paragraph" w:styleId="BodyText3">
    <w:name w:val="Body Text 3"/>
    <w:basedOn w:val="Normal"/>
    <w:link w:val="BodyText3Char"/>
    <w:uiPriority w:val="99"/>
    <w:unhideWhenUsed/>
    <w:locked/>
    <w:rsid w:val="006070CB"/>
    <w:pPr>
      <w:spacing w:before="0"/>
      <w:jc w:val="both"/>
    </w:pPr>
    <w:rPr>
      <w:rFonts w:ascii="Arial" w:hAnsi="Arial"/>
      <w:sz w:val="16"/>
      <w:szCs w:val="16"/>
      <w:lang w:val="en-GB"/>
    </w:rPr>
  </w:style>
  <w:style w:type="character" w:customStyle="1" w:styleId="BodyText3Char">
    <w:name w:val="Body Text 3 Char"/>
    <w:basedOn w:val="DefaultParagraphFont"/>
    <w:link w:val="BodyText3"/>
    <w:uiPriority w:val="99"/>
    <w:rsid w:val="006070CB"/>
    <w:rPr>
      <w:rFonts w:ascii="Arial" w:hAnsi="Arial"/>
      <w:sz w:val="16"/>
      <w:szCs w:val="16"/>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7409799">
      <w:bodyDiv w:val="1"/>
      <w:marLeft w:val="0"/>
      <w:marRight w:val="0"/>
      <w:marTop w:val="0"/>
      <w:marBottom w:val="0"/>
      <w:divBdr>
        <w:top w:val="none" w:sz="0" w:space="0" w:color="auto"/>
        <w:left w:val="none" w:sz="0" w:space="0" w:color="auto"/>
        <w:bottom w:val="none" w:sz="0" w:space="0" w:color="auto"/>
        <w:right w:val="none" w:sz="0" w:space="0" w:color="auto"/>
      </w:divBdr>
    </w:div>
    <w:div w:id="27149358">
      <w:bodyDiv w:val="1"/>
      <w:marLeft w:val="0"/>
      <w:marRight w:val="0"/>
      <w:marTop w:val="0"/>
      <w:marBottom w:val="0"/>
      <w:divBdr>
        <w:top w:val="none" w:sz="0" w:space="0" w:color="auto"/>
        <w:left w:val="none" w:sz="0" w:space="0" w:color="auto"/>
        <w:bottom w:val="none" w:sz="0" w:space="0" w:color="auto"/>
        <w:right w:val="none" w:sz="0" w:space="0" w:color="auto"/>
      </w:divBdr>
    </w:div>
    <w:div w:id="76362949">
      <w:bodyDiv w:val="1"/>
      <w:marLeft w:val="0"/>
      <w:marRight w:val="0"/>
      <w:marTop w:val="0"/>
      <w:marBottom w:val="0"/>
      <w:divBdr>
        <w:top w:val="none" w:sz="0" w:space="0" w:color="auto"/>
        <w:left w:val="none" w:sz="0" w:space="0" w:color="auto"/>
        <w:bottom w:val="none" w:sz="0" w:space="0" w:color="auto"/>
        <w:right w:val="none" w:sz="0" w:space="0" w:color="auto"/>
      </w:divBdr>
    </w:div>
    <w:div w:id="97723391">
      <w:bodyDiv w:val="1"/>
      <w:marLeft w:val="0"/>
      <w:marRight w:val="0"/>
      <w:marTop w:val="0"/>
      <w:marBottom w:val="0"/>
      <w:divBdr>
        <w:top w:val="none" w:sz="0" w:space="0" w:color="auto"/>
        <w:left w:val="none" w:sz="0" w:space="0" w:color="auto"/>
        <w:bottom w:val="none" w:sz="0" w:space="0" w:color="auto"/>
        <w:right w:val="none" w:sz="0" w:space="0" w:color="auto"/>
      </w:divBdr>
    </w:div>
    <w:div w:id="159732929">
      <w:bodyDiv w:val="1"/>
      <w:marLeft w:val="0"/>
      <w:marRight w:val="0"/>
      <w:marTop w:val="0"/>
      <w:marBottom w:val="0"/>
      <w:divBdr>
        <w:top w:val="none" w:sz="0" w:space="0" w:color="auto"/>
        <w:left w:val="none" w:sz="0" w:space="0" w:color="auto"/>
        <w:bottom w:val="none" w:sz="0" w:space="0" w:color="auto"/>
        <w:right w:val="none" w:sz="0" w:space="0" w:color="auto"/>
      </w:divBdr>
    </w:div>
    <w:div w:id="175661287">
      <w:bodyDiv w:val="1"/>
      <w:marLeft w:val="0"/>
      <w:marRight w:val="0"/>
      <w:marTop w:val="0"/>
      <w:marBottom w:val="0"/>
      <w:divBdr>
        <w:top w:val="none" w:sz="0" w:space="0" w:color="auto"/>
        <w:left w:val="none" w:sz="0" w:space="0" w:color="auto"/>
        <w:bottom w:val="none" w:sz="0" w:space="0" w:color="auto"/>
        <w:right w:val="none" w:sz="0" w:space="0" w:color="auto"/>
      </w:divBdr>
    </w:div>
    <w:div w:id="230119805">
      <w:bodyDiv w:val="1"/>
      <w:marLeft w:val="0"/>
      <w:marRight w:val="0"/>
      <w:marTop w:val="0"/>
      <w:marBottom w:val="0"/>
      <w:divBdr>
        <w:top w:val="none" w:sz="0" w:space="0" w:color="auto"/>
        <w:left w:val="none" w:sz="0" w:space="0" w:color="auto"/>
        <w:bottom w:val="none" w:sz="0" w:space="0" w:color="auto"/>
        <w:right w:val="none" w:sz="0" w:space="0" w:color="auto"/>
      </w:divBdr>
    </w:div>
    <w:div w:id="240674936">
      <w:bodyDiv w:val="1"/>
      <w:marLeft w:val="0"/>
      <w:marRight w:val="0"/>
      <w:marTop w:val="0"/>
      <w:marBottom w:val="0"/>
      <w:divBdr>
        <w:top w:val="none" w:sz="0" w:space="0" w:color="auto"/>
        <w:left w:val="none" w:sz="0" w:space="0" w:color="auto"/>
        <w:bottom w:val="none" w:sz="0" w:space="0" w:color="auto"/>
        <w:right w:val="none" w:sz="0" w:space="0" w:color="auto"/>
      </w:divBdr>
    </w:div>
    <w:div w:id="241062200">
      <w:bodyDiv w:val="1"/>
      <w:marLeft w:val="0"/>
      <w:marRight w:val="0"/>
      <w:marTop w:val="0"/>
      <w:marBottom w:val="0"/>
      <w:divBdr>
        <w:top w:val="none" w:sz="0" w:space="0" w:color="auto"/>
        <w:left w:val="none" w:sz="0" w:space="0" w:color="auto"/>
        <w:bottom w:val="none" w:sz="0" w:space="0" w:color="auto"/>
        <w:right w:val="none" w:sz="0" w:space="0" w:color="auto"/>
      </w:divBdr>
    </w:div>
    <w:div w:id="243925918">
      <w:bodyDiv w:val="1"/>
      <w:marLeft w:val="0"/>
      <w:marRight w:val="0"/>
      <w:marTop w:val="0"/>
      <w:marBottom w:val="0"/>
      <w:divBdr>
        <w:top w:val="none" w:sz="0" w:space="0" w:color="auto"/>
        <w:left w:val="none" w:sz="0" w:space="0" w:color="auto"/>
        <w:bottom w:val="none" w:sz="0" w:space="0" w:color="auto"/>
        <w:right w:val="none" w:sz="0" w:space="0" w:color="auto"/>
      </w:divBdr>
    </w:div>
    <w:div w:id="314383602">
      <w:bodyDiv w:val="1"/>
      <w:marLeft w:val="0"/>
      <w:marRight w:val="0"/>
      <w:marTop w:val="0"/>
      <w:marBottom w:val="0"/>
      <w:divBdr>
        <w:top w:val="none" w:sz="0" w:space="0" w:color="auto"/>
        <w:left w:val="none" w:sz="0" w:space="0" w:color="auto"/>
        <w:bottom w:val="none" w:sz="0" w:space="0" w:color="auto"/>
        <w:right w:val="none" w:sz="0" w:space="0" w:color="auto"/>
      </w:divBdr>
    </w:div>
    <w:div w:id="335764099">
      <w:bodyDiv w:val="1"/>
      <w:marLeft w:val="0"/>
      <w:marRight w:val="0"/>
      <w:marTop w:val="0"/>
      <w:marBottom w:val="0"/>
      <w:divBdr>
        <w:top w:val="none" w:sz="0" w:space="0" w:color="auto"/>
        <w:left w:val="none" w:sz="0" w:space="0" w:color="auto"/>
        <w:bottom w:val="none" w:sz="0" w:space="0" w:color="auto"/>
        <w:right w:val="none" w:sz="0" w:space="0" w:color="auto"/>
      </w:divBdr>
    </w:div>
    <w:div w:id="360866259">
      <w:bodyDiv w:val="1"/>
      <w:marLeft w:val="0"/>
      <w:marRight w:val="0"/>
      <w:marTop w:val="0"/>
      <w:marBottom w:val="0"/>
      <w:divBdr>
        <w:top w:val="none" w:sz="0" w:space="0" w:color="auto"/>
        <w:left w:val="none" w:sz="0" w:space="0" w:color="auto"/>
        <w:bottom w:val="none" w:sz="0" w:space="0" w:color="auto"/>
        <w:right w:val="none" w:sz="0" w:space="0" w:color="auto"/>
      </w:divBdr>
    </w:div>
    <w:div w:id="372194104">
      <w:bodyDiv w:val="1"/>
      <w:marLeft w:val="0"/>
      <w:marRight w:val="0"/>
      <w:marTop w:val="0"/>
      <w:marBottom w:val="0"/>
      <w:divBdr>
        <w:top w:val="none" w:sz="0" w:space="0" w:color="auto"/>
        <w:left w:val="none" w:sz="0" w:space="0" w:color="auto"/>
        <w:bottom w:val="none" w:sz="0" w:space="0" w:color="auto"/>
        <w:right w:val="none" w:sz="0" w:space="0" w:color="auto"/>
      </w:divBdr>
    </w:div>
    <w:div w:id="407271730">
      <w:bodyDiv w:val="1"/>
      <w:marLeft w:val="0"/>
      <w:marRight w:val="0"/>
      <w:marTop w:val="0"/>
      <w:marBottom w:val="0"/>
      <w:divBdr>
        <w:top w:val="none" w:sz="0" w:space="0" w:color="auto"/>
        <w:left w:val="none" w:sz="0" w:space="0" w:color="auto"/>
        <w:bottom w:val="none" w:sz="0" w:space="0" w:color="auto"/>
        <w:right w:val="none" w:sz="0" w:space="0" w:color="auto"/>
      </w:divBdr>
    </w:div>
    <w:div w:id="534780420">
      <w:bodyDiv w:val="1"/>
      <w:marLeft w:val="0"/>
      <w:marRight w:val="0"/>
      <w:marTop w:val="0"/>
      <w:marBottom w:val="0"/>
      <w:divBdr>
        <w:top w:val="none" w:sz="0" w:space="0" w:color="auto"/>
        <w:left w:val="none" w:sz="0" w:space="0" w:color="auto"/>
        <w:bottom w:val="none" w:sz="0" w:space="0" w:color="auto"/>
        <w:right w:val="none" w:sz="0" w:space="0" w:color="auto"/>
      </w:divBdr>
    </w:div>
    <w:div w:id="559630863">
      <w:bodyDiv w:val="1"/>
      <w:marLeft w:val="0"/>
      <w:marRight w:val="0"/>
      <w:marTop w:val="0"/>
      <w:marBottom w:val="0"/>
      <w:divBdr>
        <w:top w:val="none" w:sz="0" w:space="0" w:color="auto"/>
        <w:left w:val="none" w:sz="0" w:space="0" w:color="auto"/>
        <w:bottom w:val="none" w:sz="0" w:space="0" w:color="auto"/>
        <w:right w:val="none" w:sz="0" w:space="0" w:color="auto"/>
      </w:divBdr>
    </w:div>
    <w:div w:id="570851291">
      <w:bodyDiv w:val="1"/>
      <w:marLeft w:val="0"/>
      <w:marRight w:val="0"/>
      <w:marTop w:val="0"/>
      <w:marBottom w:val="0"/>
      <w:divBdr>
        <w:top w:val="none" w:sz="0" w:space="0" w:color="auto"/>
        <w:left w:val="none" w:sz="0" w:space="0" w:color="auto"/>
        <w:bottom w:val="none" w:sz="0" w:space="0" w:color="auto"/>
        <w:right w:val="none" w:sz="0" w:space="0" w:color="auto"/>
      </w:divBdr>
    </w:div>
    <w:div w:id="579751325">
      <w:bodyDiv w:val="1"/>
      <w:marLeft w:val="0"/>
      <w:marRight w:val="0"/>
      <w:marTop w:val="0"/>
      <w:marBottom w:val="0"/>
      <w:divBdr>
        <w:top w:val="none" w:sz="0" w:space="0" w:color="auto"/>
        <w:left w:val="none" w:sz="0" w:space="0" w:color="auto"/>
        <w:bottom w:val="none" w:sz="0" w:space="0" w:color="auto"/>
        <w:right w:val="none" w:sz="0" w:space="0" w:color="auto"/>
      </w:divBdr>
    </w:div>
    <w:div w:id="625280090">
      <w:bodyDiv w:val="1"/>
      <w:marLeft w:val="0"/>
      <w:marRight w:val="0"/>
      <w:marTop w:val="0"/>
      <w:marBottom w:val="0"/>
      <w:divBdr>
        <w:top w:val="none" w:sz="0" w:space="0" w:color="auto"/>
        <w:left w:val="none" w:sz="0" w:space="0" w:color="auto"/>
        <w:bottom w:val="none" w:sz="0" w:space="0" w:color="auto"/>
        <w:right w:val="none" w:sz="0" w:space="0" w:color="auto"/>
      </w:divBdr>
    </w:div>
    <w:div w:id="681591073">
      <w:bodyDiv w:val="1"/>
      <w:marLeft w:val="0"/>
      <w:marRight w:val="0"/>
      <w:marTop w:val="0"/>
      <w:marBottom w:val="0"/>
      <w:divBdr>
        <w:top w:val="none" w:sz="0" w:space="0" w:color="auto"/>
        <w:left w:val="none" w:sz="0" w:space="0" w:color="auto"/>
        <w:bottom w:val="none" w:sz="0" w:space="0" w:color="auto"/>
        <w:right w:val="none" w:sz="0" w:space="0" w:color="auto"/>
      </w:divBdr>
    </w:div>
    <w:div w:id="683290941">
      <w:bodyDiv w:val="1"/>
      <w:marLeft w:val="0"/>
      <w:marRight w:val="0"/>
      <w:marTop w:val="0"/>
      <w:marBottom w:val="0"/>
      <w:divBdr>
        <w:top w:val="none" w:sz="0" w:space="0" w:color="auto"/>
        <w:left w:val="none" w:sz="0" w:space="0" w:color="auto"/>
        <w:bottom w:val="none" w:sz="0" w:space="0" w:color="auto"/>
        <w:right w:val="none" w:sz="0" w:space="0" w:color="auto"/>
      </w:divBdr>
    </w:div>
    <w:div w:id="799416871">
      <w:bodyDiv w:val="1"/>
      <w:marLeft w:val="0"/>
      <w:marRight w:val="0"/>
      <w:marTop w:val="0"/>
      <w:marBottom w:val="0"/>
      <w:divBdr>
        <w:top w:val="none" w:sz="0" w:space="0" w:color="auto"/>
        <w:left w:val="none" w:sz="0" w:space="0" w:color="auto"/>
        <w:bottom w:val="none" w:sz="0" w:space="0" w:color="auto"/>
        <w:right w:val="none" w:sz="0" w:space="0" w:color="auto"/>
      </w:divBdr>
    </w:div>
    <w:div w:id="839929137">
      <w:bodyDiv w:val="1"/>
      <w:marLeft w:val="0"/>
      <w:marRight w:val="0"/>
      <w:marTop w:val="0"/>
      <w:marBottom w:val="0"/>
      <w:divBdr>
        <w:top w:val="none" w:sz="0" w:space="0" w:color="auto"/>
        <w:left w:val="none" w:sz="0" w:space="0" w:color="auto"/>
        <w:bottom w:val="none" w:sz="0" w:space="0" w:color="auto"/>
        <w:right w:val="none" w:sz="0" w:space="0" w:color="auto"/>
      </w:divBdr>
    </w:div>
    <w:div w:id="879055871">
      <w:bodyDiv w:val="1"/>
      <w:marLeft w:val="0"/>
      <w:marRight w:val="0"/>
      <w:marTop w:val="0"/>
      <w:marBottom w:val="0"/>
      <w:divBdr>
        <w:top w:val="none" w:sz="0" w:space="0" w:color="auto"/>
        <w:left w:val="none" w:sz="0" w:space="0" w:color="auto"/>
        <w:bottom w:val="none" w:sz="0" w:space="0" w:color="auto"/>
        <w:right w:val="none" w:sz="0" w:space="0" w:color="auto"/>
      </w:divBdr>
    </w:div>
    <w:div w:id="948315688">
      <w:bodyDiv w:val="1"/>
      <w:marLeft w:val="0"/>
      <w:marRight w:val="0"/>
      <w:marTop w:val="0"/>
      <w:marBottom w:val="0"/>
      <w:divBdr>
        <w:top w:val="none" w:sz="0" w:space="0" w:color="auto"/>
        <w:left w:val="none" w:sz="0" w:space="0" w:color="auto"/>
        <w:bottom w:val="none" w:sz="0" w:space="0" w:color="auto"/>
        <w:right w:val="none" w:sz="0" w:space="0" w:color="auto"/>
      </w:divBdr>
    </w:div>
    <w:div w:id="977685534">
      <w:bodyDiv w:val="1"/>
      <w:marLeft w:val="0"/>
      <w:marRight w:val="0"/>
      <w:marTop w:val="0"/>
      <w:marBottom w:val="0"/>
      <w:divBdr>
        <w:top w:val="none" w:sz="0" w:space="0" w:color="auto"/>
        <w:left w:val="none" w:sz="0" w:space="0" w:color="auto"/>
        <w:bottom w:val="none" w:sz="0" w:space="0" w:color="auto"/>
        <w:right w:val="none" w:sz="0" w:space="0" w:color="auto"/>
      </w:divBdr>
    </w:div>
    <w:div w:id="1000743318">
      <w:bodyDiv w:val="1"/>
      <w:marLeft w:val="0"/>
      <w:marRight w:val="0"/>
      <w:marTop w:val="0"/>
      <w:marBottom w:val="0"/>
      <w:divBdr>
        <w:top w:val="none" w:sz="0" w:space="0" w:color="auto"/>
        <w:left w:val="none" w:sz="0" w:space="0" w:color="auto"/>
        <w:bottom w:val="none" w:sz="0" w:space="0" w:color="auto"/>
        <w:right w:val="none" w:sz="0" w:space="0" w:color="auto"/>
      </w:divBdr>
    </w:div>
    <w:div w:id="1026448205">
      <w:bodyDiv w:val="1"/>
      <w:marLeft w:val="0"/>
      <w:marRight w:val="0"/>
      <w:marTop w:val="0"/>
      <w:marBottom w:val="0"/>
      <w:divBdr>
        <w:top w:val="none" w:sz="0" w:space="0" w:color="auto"/>
        <w:left w:val="none" w:sz="0" w:space="0" w:color="auto"/>
        <w:bottom w:val="none" w:sz="0" w:space="0" w:color="auto"/>
        <w:right w:val="none" w:sz="0" w:space="0" w:color="auto"/>
      </w:divBdr>
    </w:div>
    <w:div w:id="1044448402">
      <w:bodyDiv w:val="1"/>
      <w:marLeft w:val="0"/>
      <w:marRight w:val="0"/>
      <w:marTop w:val="0"/>
      <w:marBottom w:val="0"/>
      <w:divBdr>
        <w:top w:val="none" w:sz="0" w:space="0" w:color="auto"/>
        <w:left w:val="none" w:sz="0" w:space="0" w:color="auto"/>
        <w:bottom w:val="none" w:sz="0" w:space="0" w:color="auto"/>
        <w:right w:val="none" w:sz="0" w:space="0" w:color="auto"/>
      </w:divBdr>
    </w:div>
    <w:div w:id="1070468467">
      <w:bodyDiv w:val="1"/>
      <w:marLeft w:val="0"/>
      <w:marRight w:val="0"/>
      <w:marTop w:val="0"/>
      <w:marBottom w:val="0"/>
      <w:divBdr>
        <w:top w:val="none" w:sz="0" w:space="0" w:color="auto"/>
        <w:left w:val="none" w:sz="0" w:space="0" w:color="auto"/>
        <w:bottom w:val="none" w:sz="0" w:space="0" w:color="auto"/>
        <w:right w:val="none" w:sz="0" w:space="0" w:color="auto"/>
      </w:divBdr>
    </w:div>
    <w:div w:id="1092820970">
      <w:bodyDiv w:val="1"/>
      <w:marLeft w:val="0"/>
      <w:marRight w:val="0"/>
      <w:marTop w:val="0"/>
      <w:marBottom w:val="0"/>
      <w:divBdr>
        <w:top w:val="none" w:sz="0" w:space="0" w:color="auto"/>
        <w:left w:val="none" w:sz="0" w:space="0" w:color="auto"/>
        <w:bottom w:val="none" w:sz="0" w:space="0" w:color="auto"/>
        <w:right w:val="none" w:sz="0" w:space="0" w:color="auto"/>
      </w:divBdr>
    </w:div>
    <w:div w:id="1192302594">
      <w:bodyDiv w:val="1"/>
      <w:marLeft w:val="0"/>
      <w:marRight w:val="0"/>
      <w:marTop w:val="0"/>
      <w:marBottom w:val="0"/>
      <w:divBdr>
        <w:top w:val="none" w:sz="0" w:space="0" w:color="auto"/>
        <w:left w:val="none" w:sz="0" w:space="0" w:color="auto"/>
        <w:bottom w:val="none" w:sz="0" w:space="0" w:color="auto"/>
        <w:right w:val="none" w:sz="0" w:space="0" w:color="auto"/>
      </w:divBdr>
    </w:div>
    <w:div w:id="1200824596">
      <w:bodyDiv w:val="1"/>
      <w:marLeft w:val="0"/>
      <w:marRight w:val="0"/>
      <w:marTop w:val="0"/>
      <w:marBottom w:val="0"/>
      <w:divBdr>
        <w:top w:val="none" w:sz="0" w:space="0" w:color="auto"/>
        <w:left w:val="none" w:sz="0" w:space="0" w:color="auto"/>
        <w:bottom w:val="none" w:sz="0" w:space="0" w:color="auto"/>
        <w:right w:val="none" w:sz="0" w:space="0" w:color="auto"/>
      </w:divBdr>
    </w:div>
    <w:div w:id="1214924702">
      <w:bodyDiv w:val="1"/>
      <w:marLeft w:val="0"/>
      <w:marRight w:val="0"/>
      <w:marTop w:val="0"/>
      <w:marBottom w:val="0"/>
      <w:divBdr>
        <w:top w:val="none" w:sz="0" w:space="0" w:color="auto"/>
        <w:left w:val="none" w:sz="0" w:space="0" w:color="auto"/>
        <w:bottom w:val="none" w:sz="0" w:space="0" w:color="auto"/>
        <w:right w:val="none" w:sz="0" w:space="0" w:color="auto"/>
      </w:divBdr>
    </w:div>
    <w:div w:id="1284382757">
      <w:bodyDiv w:val="1"/>
      <w:marLeft w:val="0"/>
      <w:marRight w:val="0"/>
      <w:marTop w:val="0"/>
      <w:marBottom w:val="0"/>
      <w:divBdr>
        <w:top w:val="none" w:sz="0" w:space="0" w:color="auto"/>
        <w:left w:val="none" w:sz="0" w:space="0" w:color="auto"/>
        <w:bottom w:val="none" w:sz="0" w:space="0" w:color="auto"/>
        <w:right w:val="none" w:sz="0" w:space="0" w:color="auto"/>
      </w:divBdr>
    </w:div>
    <w:div w:id="1507135696">
      <w:bodyDiv w:val="1"/>
      <w:marLeft w:val="0"/>
      <w:marRight w:val="0"/>
      <w:marTop w:val="0"/>
      <w:marBottom w:val="0"/>
      <w:divBdr>
        <w:top w:val="none" w:sz="0" w:space="0" w:color="auto"/>
        <w:left w:val="none" w:sz="0" w:space="0" w:color="auto"/>
        <w:bottom w:val="none" w:sz="0" w:space="0" w:color="auto"/>
        <w:right w:val="none" w:sz="0" w:space="0" w:color="auto"/>
      </w:divBdr>
    </w:div>
    <w:div w:id="1577471069">
      <w:bodyDiv w:val="1"/>
      <w:marLeft w:val="0"/>
      <w:marRight w:val="0"/>
      <w:marTop w:val="0"/>
      <w:marBottom w:val="0"/>
      <w:divBdr>
        <w:top w:val="none" w:sz="0" w:space="0" w:color="auto"/>
        <w:left w:val="none" w:sz="0" w:space="0" w:color="auto"/>
        <w:bottom w:val="none" w:sz="0" w:space="0" w:color="auto"/>
        <w:right w:val="none" w:sz="0" w:space="0" w:color="auto"/>
      </w:divBdr>
    </w:div>
    <w:div w:id="1601061258">
      <w:bodyDiv w:val="1"/>
      <w:marLeft w:val="0"/>
      <w:marRight w:val="0"/>
      <w:marTop w:val="0"/>
      <w:marBottom w:val="0"/>
      <w:divBdr>
        <w:top w:val="none" w:sz="0" w:space="0" w:color="auto"/>
        <w:left w:val="none" w:sz="0" w:space="0" w:color="auto"/>
        <w:bottom w:val="none" w:sz="0" w:space="0" w:color="auto"/>
        <w:right w:val="none" w:sz="0" w:space="0" w:color="auto"/>
      </w:divBdr>
    </w:div>
    <w:div w:id="1605963609">
      <w:bodyDiv w:val="1"/>
      <w:marLeft w:val="0"/>
      <w:marRight w:val="0"/>
      <w:marTop w:val="0"/>
      <w:marBottom w:val="0"/>
      <w:divBdr>
        <w:top w:val="none" w:sz="0" w:space="0" w:color="auto"/>
        <w:left w:val="none" w:sz="0" w:space="0" w:color="auto"/>
        <w:bottom w:val="none" w:sz="0" w:space="0" w:color="auto"/>
        <w:right w:val="none" w:sz="0" w:space="0" w:color="auto"/>
      </w:divBdr>
    </w:div>
    <w:div w:id="1614509116">
      <w:bodyDiv w:val="1"/>
      <w:marLeft w:val="0"/>
      <w:marRight w:val="0"/>
      <w:marTop w:val="0"/>
      <w:marBottom w:val="0"/>
      <w:divBdr>
        <w:top w:val="none" w:sz="0" w:space="0" w:color="auto"/>
        <w:left w:val="none" w:sz="0" w:space="0" w:color="auto"/>
        <w:bottom w:val="none" w:sz="0" w:space="0" w:color="auto"/>
        <w:right w:val="none" w:sz="0" w:space="0" w:color="auto"/>
      </w:divBdr>
    </w:div>
    <w:div w:id="1622149312">
      <w:bodyDiv w:val="1"/>
      <w:marLeft w:val="0"/>
      <w:marRight w:val="0"/>
      <w:marTop w:val="0"/>
      <w:marBottom w:val="0"/>
      <w:divBdr>
        <w:top w:val="none" w:sz="0" w:space="0" w:color="auto"/>
        <w:left w:val="none" w:sz="0" w:space="0" w:color="auto"/>
        <w:bottom w:val="none" w:sz="0" w:space="0" w:color="auto"/>
        <w:right w:val="none" w:sz="0" w:space="0" w:color="auto"/>
      </w:divBdr>
    </w:div>
    <w:div w:id="1682389909">
      <w:bodyDiv w:val="1"/>
      <w:marLeft w:val="0"/>
      <w:marRight w:val="0"/>
      <w:marTop w:val="0"/>
      <w:marBottom w:val="0"/>
      <w:divBdr>
        <w:top w:val="none" w:sz="0" w:space="0" w:color="auto"/>
        <w:left w:val="none" w:sz="0" w:space="0" w:color="auto"/>
        <w:bottom w:val="none" w:sz="0" w:space="0" w:color="auto"/>
        <w:right w:val="none" w:sz="0" w:space="0" w:color="auto"/>
      </w:divBdr>
    </w:div>
    <w:div w:id="1714503342">
      <w:bodyDiv w:val="1"/>
      <w:marLeft w:val="0"/>
      <w:marRight w:val="0"/>
      <w:marTop w:val="0"/>
      <w:marBottom w:val="0"/>
      <w:divBdr>
        <w:top w:val="none" w:sz="0" w:space="0" w:color="auto"/>
        <w:left w:val="none" w:sz="0" w:space="0" w:color="auto"/>
        <w:bottom w:val="none" w:sz="0" w:space="0" w:color="auto"/>
        <w:right w:val="none" w:sz="0" w:space="0" w:color="auto"/>
      </w:divBdr>
    </w:div>
    <w:div w:id="1793673597">
      <w:bodyDiv w:val="1"/>
      <w:marLeft w:val="0"/>
      <w:marRight w:val="0"/>
      <w:marTop w:val="0"/>
      <w:marBottom w:val="0"/>
      <w:divBdr>
        <w:top w:val="none" w:sz="0" w:space="0" w:color="auto"/>
        <w:left w:val="none" w:sz="0" w:space="0" w:color="auto"/>
        <w:bottom w:val="none" w:sz="0" w:space="0" w:color="auto"/>
        <w:right w:val="none" w:sz="0" w:space="0" w:color="auto"/>
      </w:divBdr>
    </w:div>
    <w:div w:id="1853841436">
      <w:bodyDiv w:val="1"/>
      <w:marLeft w:val="0"/>
      <w:marRight w:val="0"/>
      <w:marTop w:val="0"/>
      <w:marBottom w:val="0"/>
      <w:divBdr>
        <w:top w:val="none" w:sz="0" w:space="0" w:color="auto"/>
        <w:left w:val="none" w:sz="0" w:space="0" w:color="auto"/>
        <w:bottom w:val="none" w:sz="0" w:space="0" w:color="auto"/>
        <w:right w:val="none" w:sz="0" w:space="0" w:color="auto"/>
      </w:divBdr>
    </w:div>
    <w:div w:id="1973632731">
      <w:bodyDiv w:val="1"/>
      <w:marLeft w:val="0"/>
      <w:marRight w:val="0"/>
      <w:marTop w:val="0"/>
      <w:marBottom w:val="0"/>
      <w:divBdr>
        <w:top w:val="none" w:sz="0" w:space="0" w:color="auto"/>
        <w:left w:val="none" w:sz="0" w:space="0" w:color="auto"/>
        <w:bottom w:val="none" w:sz="0" w:space="0" w:color="auto"/>
        <w:right w:val="none" w:sz="0" w:space="0" w:color="auto"/>
      </w:divBdr>
    </w:div>
    <w:div w:id="204066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4.png"/><Relationship Id="rId299" Type="http://schemas.openxmlformats.org/officeDocument/2006/relationships/image" Target="media/image222.png"/><Relationship Id="rId21" Type="http://schemas.openxmlformats.org/officeDocument/2006/relationships/footer" Target="footer3.xml"/><Relationship Id="rId63" Type="http://schemas.openxmlformats.org/officeDocument/2006/relationships/image" Target="media/image30.png"/><Relationship Id="rId159" Type="http://schemas.openxmlformats.org/officeDocument/2006/relationships/hyperlink" Target="http://dx.doi.org/10.1016/j.ecss.2008.05.009" TargetMode="External"/><Relationship Id="rId324" Type="http://schemas.openxmlformats.org/officeDocument/2006/relationships/image" Target="media/image247.png"/><Relationship Id="rId170" Type="http://schemas.openxmlformats.org/officeDocument/2006/relationships/hyperlink" Target="http://www.nrm.gov.au/about/nrm/regions/qld-mwhs.html" TargetMode="External"/><Relationship Id="rId226" Type="http://schemas.openxmlformats.org/officeDocument/2006/relationships/image" Target="media/image150.wmf"/><Relationship Id="rId268" Type="http://schemas.openxmlformats.org/officeDocument/2006/relationships/image" Target="media/image191.png"/><Relationship Id="rId32" Type="http://schemas.openxmlformats.org/officeDocument/2006/relationships/header" Target="header10.xml"/><Relationship Id="rId74" Type="http://schemas.openxmlformats.org/officeDocument/2006/relationships/image" Target="media/image41.png"/><Relationship Id="rId128" Type="http://schemas.openxmlformats.org/officeDocument/2006/relationships/image" Target="media/image95.png"/><Relationship Id="rId5" Type="http://schemas.openxmlformats.org/officeDocument/2006/relationships/customXml" Target="../customXml/item5.xml"/><Relationship Id="rId181" Type="http://schemas.openxmlformats.org/officeDocument/2006/relationships/hyperlink" Target="http://www.rrrc.org.au/publications/downloads/113-QDPIF-McKenzie-L-2009-June-Milestone-Report.pdf" TargetMode="External"/><Relationship Id="rId237" Type="http://schemas.openxmlformats.org/officeDocument/2006/relationships/image" Target="media/image160.png"/><Relationship Id="rId279" Type="http://schemas.openxmlformats.org/officeDocument/2006/relationships/image" Target="media/image202.png"/><Relationship Id="rId43" Type="http://schemas.openxmlformats.org/officeDocument/2006/relationships/image" Target="media/image10.png"/><Relationship Id="rId139" Type="http://schemas.openxmlformats.org/officeDocument/2006/relationships/image" Target="media/image106.png"/><Relationship Id="rId290" Type="http://schemas.openxmlformats.org/officeDocument/2006/relationships/image" Target="media/image213.png"/><Relationship Id="rId304" Type="http://schemas.openxmlformats.org/officeDocument/2006/relationships/image" Target="media/image227.png"/><Relationship Id="rId85" Type="http://schemas.openxmlformats.org/officeDocument/2006/relationships/image" Target="media/image52.png"/><Relationship Id="rId150" Type="http://schemas.openxmlformats.org/officeDocument/2006/relationships/image" Target="media/image117.png"/><Relationship Id="rId192" Type="http://schemas.openxmlformats.org/officeDocument/2006/relationships/header" Target="header17.xml"/><Relationship Id="rId206" Type="http://schemas.openxmlformats.org/officeDocument/2006/relationships/image" Target="media/image136.png"/><Relationship Id="rId248" Type="http://schemas.openxmlformats.org/officeDocument/2006/relationships/image" Target="media/image171.png"/><Relationship Id="rId12" Type="http://schemas.openxmlformats.org/officeDocument/2006/relationships/endnotes" Target="endnotes.xml"/><Relationship Id="rId108" Type="http://schemas.openxmlformats.org/officeDocument/2006/relationships/image" Target="media/image75.png"/><Relationship Id="rId315" Type="http://schemas.openxmlformats.org/officeDocument/2006/relationships/image" Target="media/image238.png"/><Relationship Id="rId54" Type="http://schemas.openxmlformats.org/officeDocument/2006/relationships/image" Target="media/image21.png"/><Relationship Id="rId96" Type="http://schemas.openxmlformats.org/officeDocument/2006/relationships/image" Target="media/image63.png"/><Relationship Id="rId161" Type="http://schemas.openxmlformats.org/officeDocument/2006/relationships/hyperlink" Target="http://dx.doi.org/10.1016/j.jembe.2008.12.003" TargetMode="External"/><Relationship Id="rId217" Type="http://schemas.openxmlformats.org/officeDocument/2006/relationships/header" Target="header20.xml"/><Relationship Id="rId259" Type="http://schemas.openxmlformats.org/officeDocument/2006/relationships/image" Target="media/image182.png"/><Relationship Id="rId23" Type="http://schemas.openxmlformats.org/officeDocument/2006/relationships/hyperlink" Target="http://www.gbrmpa.gov.au/managing-the-reef/how-the-reefs-managed/reef-2050-marine-monitoring-program" TargetMode="External"/><Relationship Id="rId119" Type="http://schemas.openxmlformats.org/officeDocument/2006/relationships/image" Target="media/image86.png"/><Relationship Id="rId270" Type="http://schemas.openxmlformats.org/officeDocument/2006/relationships/image" Target="media/image193.png"/><Relationship Id="rId326" Type="http://schemas.openxmlformats.org/officeDocument/2006/relationships/header" Target="header22.xml"/><Relationship Id="rId65" Type="http://schemas.openxmlformats.org/officeDocument/2006/relationships/image" Target="media/image32.png"/><Relationship Id="rId130" Type="http://schemas.openxmlformats.org/officeDocument/2006/relationships/image" Target="media/image97.png"/><Relationship Id="rId172" Type="http://schemas.openxmlformats.org/officeDocument/2006/relationships/hyperlink" Target="http://dx.doi.org/10.1016/j.marpolbul.2013.06.001" TargetMode="External"/><Relationship Id="rId228" Type="http://schemas.openxmlformats.org/officeDocument/2006/relationships/image" Target="media/image151.emf"/><Relationship Id="rId281" Type="http://schemas.openxmlformats.org/officeDocument/2006/relationships/image" Target="media/image204.png"/><Relationship Id="rId34" Type="http://schemas.openxmlformats.org/officeDocument/2006/relationships/header" Target="header12.xml"/><Relationship Id="rId76" Type="http://schemas.openxmlformats.org/officeDocument/2006/relationships/image" Target="media/image43.png"/><Relationship Id="rId141" Type="http://schemas.openxmlformats.org/officeDocument/2006/relationships/image" Target="media/image108.png"/><Relationship Id="rId7" Type="http://schemas.openxmlformats.org/officeDocument/2006/relationships/styles" Target="styles.xml"/><Relationship Id="rId183" Type="http://schemas.openxmlformats.org/officeDocument/2006/relationships/hyperlink" Target="http://www.environment.gov.au/water/publications/environmental/rivers/nrhp/bioassess.html" TargetMode="External"/><Relationship Id="rId239" Type="http://schemas.openxmlformats.org/officeDocument/2006/relationships/image" Target="media/image162.png"/><Relationship Id="rId250" Type="http://schemas.openxmlformats.org/officeDocument/2006/relationships/image" Target="media/image173.png"/><Relationship Id="rId271" Type="http://schemas.openxmlformats.org/officeDocument/2006/relationships/image" Target="media/image194.png"/><Relationship Id="rId292" Type="http://schemas.openxmlformats.org/officeDocument/2006/relationships/image" Target="media/image215.png"/><Relationship Id="rId306" Type="http://schemas.openxmlformats.org/officeDocument/2006/relationships/image" Target="media/image229.png"/><Relationship Id="rId24" Type="http://schemas.openxmlformats.org/officeDocument/2006/relationships/image" Target="media/image2.png"/><Relationship Id="rId45" Type="http://schemas.openxmlformats.org/officeDocument/2006/relationships/image" Target="media/image12.emf"/><Relationship Id="rId66" Type="http://schemas.openxmlformats.org/officeDocument/2006/relationships/image" Target="media/image33.png"/><Relationship Id="rId87" Type="http://schemas.openxmlformats.org/officeDocument/2006/relationships/image" Target="media/image54.png"/><Relationship Id="rId110" Type="http://schemas.openxmlformats.org/officeDocument/2006/relationships/image" Target="media/image77.png"/><Relationship Id="rId131" Type="http://schemas.openxmlformats.org/officeDocument/2006/relationships/image" Target="media/image98.png"/><Relationship Id="rId327" Type="http://schemas.openxmlformats.org/officeDocument/2006/relationships/header" Target="header23.xml"/><Relationship Id="rId152" Type="http://schemas.openxmlformats.org/officeDocument/2006/relationships/image" Target="media/image119.png"/><Relationship Id="rId173" Type="http://schemas.openxmlformats.org/officeDocument/2006/relationships/hyperlink" Target="http://dx.doi.org/10.1016/0304-3770(87)90083-0" TargetMode="External"/><Relationship Id="rId194" Type="http://schemas.openxmlformats.org/officeDocument/2006/relationships/footer" Target="footer6.xml"/><Relationship Id="rId208" Type="http://schemas.openxmlformats.org/officeDocument/2006/relationships/image" Target="media/image138.png"/><Relationship Id="rId229" Type="http://schemas.openxmlformats.org/officeDocument/2006/relationships/image" Target="media/image152.png"/><Relationship Id="rId240" Type="http://schemas.openxmlformats.org/officeDocument/2006/relationships/image" Target="media/image163.png"/><Relationship Id="rId261" Type="http://schemas.openxmlformats.org/officeDocument/2006/relationships/image" Target="media/image184.png"/><Relationship Id="rId14" Type="http://schemas.openxmlformats.org/officeDocument/2006/relationships/header" Target="header1.xml"/><Relationship Id="rId35" Type="http://schemas.openxmlformats.org/officeDocument/2006/relationships/header" Target="header13.xml"/><Relationship Id="rId56" Type="http://schemas.openxmlformats.org/officeDocument/2006/relationships/image" Target="media/image23.png"/><Relationship Id="rId77" Type="http://schemas.openxmlformats.org/officeDocument/2006/relationships/image" Target="media/image44.png"/><Relationship Id="rId100" Type="http://schemas.openxmlformats.org/officeDocument/2006/relationships/image" Target="media/image67.png"/><Relationship Id="rId282" Type="http://schemas.openxmlformats.org/officeDocument/2006/relationships/image" Target="media/image205.png"/><Relationship Id="rId317" Type="http://schemas.openxmlformats.org/officeDocument/2006/relationships/image" Target="media/image240.png"/><Relationship Id="rId8" Type="http://schemas.microsoft.com/office/2007/relationships/stylesWithEffects" Target="stylesWithEffects.xml"/><Relationship Id="rId98" Type="http://schemas.openxmlformats.org/officeDocument/2006/relationships/image" Target="media/image65.png"/><Relationship Id="rId121" Type="http://schemas.openxmlformats.org/officeDocument/2006/relationships/image" Target="media/image88.png"/><Relationship Id="rId142" Type="http://schemas.openxmlformats.org/officeDocument/2006/relationships/image" Target="media/image109.png"/><Relationship Id="rId163" Type="http://schemas.openxmlformats.org/officeDocument/2006/relationships/hyperlink" Target="http://www.nrm.gov.au/about/nrm/regions/qld-burd.html" TargetMode="External"/><Relationship Id="rId184" Type="http://schemas.openxmlformats.org/officeDocument/2006/relationships/hyperlink" Target="http://dx.doi.org/10.1016/j.aquatox.2015.05.007" TargetMode="External"/><Relationship Id="rId219" Type="http://schemas.openxmlformats.org/officeDocument/2006/relationships/header" Target="header21.xml"/><Relationship Id="rId230" Type="http://schemas.openxmlformats.org/officeDocument/2006/relationships/image" Target="media/image153.png"/><Relationship Id="rId251" Type="http://schemas.openxmlformats.org/officeDocument/2006/relationships/image" Target="media/image174.png"/><Relationship Id="rId25" Type="http://schemas.openxmlformats.org/officeDocument/2006/relationships/image" Target="media/image3.png"/><Relationship Id="rId46" Type="http://schemas.openxmlformats.org/officeDocument/2006/relationships/image" Target="media/image13.emf"/><Relationship Id="rId67" Type="http://schemas.openxmlformats.org/officeDocument/2006/relationships/image" Target="media/image34.png"/><Relationship Id="rId272" Type="http://schemas.openxmlformats.org/officeDocument/2006/relationships/image" Target="media/image195.png"/><Relationship Id="rId293" Type="http://schemas.openxmlformats.org/officeDocument/2006/relationships/image" Target="media/image216.png"/><Relationship Id="rId307" Type="http://schemas.openxmlformats.org/officeDocument/2006/relationships/image" Target="media/image230.png"/><Relationship Id="rId328" Type="http://schemas.openxmlformats.org/officeDocument/2006/relationships/footer" Target="footer8.xml"/><Relationship Id="rId88" Type="http://schemas.openxmlformats.org/officeDocument/2006/relationships/image" Target="media/image55.png"/><Relationship Id="rId111" Type="http://schemas.openxmlformats.org/officeDocument/2006/relationships/image" Target="media/image78.png"/><Relationship Id="rId132" Type="http://schemas.openxmlformats.org/officeDocument/2006/relationships/image" Target="media/image99.png"/><Relationship Id="rId153" Type="http://schemas.openxmlformats.org/officeDocument/2006/relationships/image" Target="media/image120.png"/><Relationship Id="rId174" Type="http://schemas.openxmlformats.org/officeDocument/2006/relationships/hyperlink" Target="http://www.reefplan.qld.gov.au/measuring-success/methods/scoring-system.aspx" TargetMode="External"/><Relationship Id="rId195" Type="http://schemas.openxmlformats.org/officeDocument/2006/relationships/image" Target="media/image125.png"/><Relationship Id="rId209" Type="http://schemas.openxmlformats.org/officeDocument/2006/relationships/image" Target="media/image139.jpeg"/><Relationship Id="rId220" Type="http://schemas.openxmlformats.org/officeDocument/2006/relationships/image" Target="media/image145.wmf"/><Relationship Id="rId241" Type="http://schemas.openxmlformats.org/officeDocument/2006/relationships/image" Target="media/image164.png"/><Relationship Id="rId15" Type="http://schemas.openxmlformats.org/officeDocument/2006/relationships/header" Target="header2.xml"/><Relationship Id="rId36" Type="http://schemas.openxmlformats.org/officeDocument/2006/relationships/header" Target="header14.xml"/><Relationship Id="rId57" Type="http://schemas.openxmlformats.org/officeDocument/2006/relationships/image" Target="media/image24.png"/><Relationship Id="rId262" Type="http://schemas.openxmlformats.org/officeDocument/2006/relationships/image" Target="media/image185.png"/><Relationship Id="rId283" Type="http://schemas.openxmlformats.org/officeDocument/2006/relationships/image" Target="media/image206.png"/><Relationship Id="rId318" Type="http://schemas.openxmlformats.org/officeDocument/2006/relationships/image" Target="media/image241.png"/><Relationship Id="rId78" Type="http://schemas.openxmlformats.org/officeDocument/2006/relationships/image" Target="media/image45.png"/><Relationship Id="rId99" Type="http://schemas.openxmlformats.org/officeDocument/2006/relationships/image" Target="media/image66.png"/><Relationship Id="rId101" Type="http://schemas.openxmlformats.org/officeDocument/2006/relationships/image" Target="media/image68.png"/><Relationship Id="rId122" Type="http://schemas.openxmlformats.org/officeDocument/2006/relationships/image" Target="media/image89.png"/><Relationship Id="rId143" Type="http://schemas.openxmlformats.org/officeDocument/2006/relationships/image" Target="media/image110.png"/><Relationship Id="rId164" Type="http://schemas.openxmlformats.org/officeDocument/2006/relationships/hyperlink" Target="http://www.nrm.gov.au/about/nrm/regions/qld-burd.html" TargetMode="External"/><Relationship Id="rId185" Type="http://schemas.openxmlformats.org/officeDocument/2006/relationships/hyperlink" Target="http://dx.doi.org/10.1016/j.marpolbul.2004.03.020" TargetMode="External"/><Relationship Id="rId9" Type="http://schemas.openxmlformats.org/officeDocument/2006/relationships/settings" Target="settings.xml"/><Relationship Id="rId210" Type="http://schemas.openxmlformats.org/officeDocument/2006/relationships/image" Target="media/image140.jpeg"/><Relationship Id="rId26" Type="http://schemas.openxmlformats.org/officeDocument/2006/relationships/image" Target="media/image4.jpeg"/><Relationship Id="rId231" Type="http://schemas.openxmlformats.org/officeDocument/2006/relationships/image" Target="media/image154.png"/><Relationship Id="rId252" Type="http://schemas.openxmlformats.org/officeDocument/2006/relationships/image" Target="media/image175.png"/><Relationship Id="rId273" Type="http://schemas.openxmlformats.org/officeDocument/2006/relationships/image" Target="media/image196.png"/><Relationship Id="rId294" Type="http://schemas.openxmlformats.org/officeDocument/2006/relationships/image" Target="media/image217.png"/><Relationship Id="rId308" Type="http://schemas.openxmlformats.org/officeDocument/2006/relationships/image" Target="media/image231.png"/><Relationship Id="rId329" Type="http://schemas.openxmlformats.org/officeDocument/2006/relationships/header" Target="header24.xml"/><Relationship Id="rId47" Type="http://schemas.openxmlformats.org/officeDocument/2006/relationships/image" Target="media/image14.png"/><Relationship Id="rId68" Type="http://schemas.openxmlformats.org/officeDocument/2006/relationships/image" Target="media/image35.png"/><Relationship Id="rId89" Type="http://schemas.openxmlformats.org/officeDocument/2006/relationships/image" Target="media/image56.png"/><Relationship Id="rId112" Type="http://schemas.openxmlformats.org/officeDocument/2006/relationships/image" Target="media/image79.png"/><Relationship Id="rId133" Type="http://schemas.openxmlformats.org/officeDocument/2006/relationships/image" Target="media/image100.png"/><Relationship Id="rId154" Type="http://schemas.openxmlformats.org/officeDocument/2006/relationships/image" Target="media/image121.png"/><Relationship Id="rId175" Type="http://schemas.openxmlformats.org/officeDocument/2006/relationships/hyperlink" Target="http://www.environment.gov.au/node/25064" TargetMode="External"/><Relationship Id="rId196" Type="http://schemas.openxmlformats.org/officeDocument/2006/relationships/image" Target="media/image126.png"/><Relationship Id="rId200" Type="http://schemas.openxmlformats.org/officeDocument/2006/relationships/image" Target="media/image130.png"/><Relationship Id="rId16" Type="http://schemas.openxmlformats.org/officeDocument/2006/relationships/footer" Target="footer1.xml"/><Relationship Id="rId221" Type="http://schemas.openxmlformats.org/officeDocument/2006/relationships/image" Target="media/image146.png"/><Relationship Id="rId242" Type="http://schemas.openxmlformats.org/officeDocument/2006/relationships/image" Target="media/image165.png"/><Relationship Id="rId263" Type="http://schemas.openxmlformats.org/officeDocument/2006/relationships/image" Target="media/image186.png"/><Relationship Id="rId284" Type="http://schemas.openxmlformats.org/officeDocument/2006/relationships/image" Target="media/image207.png"/><Relationship Id="rId319" Type="http://schemas.openxmlformats.org/officeDocument/2006/relationships/image" Target="media/image242.png"/><Relationship Id="rId37" Type="http://schemas.openxmlformats.org/officeDocument/2006/relationships/header" Target="header15.xml"/><Relationship Id="rId58" Type="http://schemas.openxmlformats.org/officeDocument/2006/relationships/image" Target="media/image25.png"/><Relationship Id="rId79" Type="http://schemas.openxmlformats.org/officeDocument/2006/relationships/image" Target="media/image46.png"/><Relationship Id="rId102" Type="http://schemas.openxmlformats.org/officeDocument/2006/relationships/image" Target="media/image69.png"/><Relationship Id="rId123" Type="http://schemas.openxmlformats.org/officeDocument/2006/relationships/image" Target="media/image90.png"/><Relationship Id="rId144" Type="http://schemas.openxmlformats.org/officeDocument/2006/relationships/image" Target="media/image111.png"/><Relationship Id="rId330" Type="http://schemas.openxmlformats.org/officeDocument/2006/relationships/fontTable" Target="fontTable.xml"/><Relationship Id="rId90" Type="http://schemas.openxmlformats.org/officeDocument/2006/relationships/image" Target="media/image57.png"/><Relationship Id="rId165" Type="http://schemas.openxmlformats.org/officeDocument/2006/relationships/hyperlink" Target="http://www.nrm.gov.au/about/nrm/regions/qld-bmar.html" TargetMode="External"/><Relationship Id="rId186" Type="http://schemas.openxmlformats.org/officeDocument/2006/relationships/hyperlink" Target="http://dx.doi.org/10.1016/j.jenvman.2013.11.050" TargetMode="External"/><Relationship Id="rId211" Type="http://schemas.openxmlformats.org/officeDocument/2006/relationships/image" Target="media/image141.jpeg"/><Relationship Id="rId232" Type="http://schemas.openxmlformats.org/officeDocument/2006/relationships/image" Target="media/image155.png"/><Relationship Id="rId253" Type="http://schemas.openxmlformats.org/officeDocument/2006/relationships/image" Target="media/image176.png"/><Relationship Id="rId274" Type="http://schemas.openxmlformats.org/officeDocument/2006/relationships/image" Target="media/image197.png"/><Relationship Id="rId295" Type="http://schemas.openxmlformats.org/officeDocument/2006/relationships/image" Target="media/image218.png"/><Relationship Id="rId309" Type="http://schemas.openxmlformats.org/officeDocument/2006/relationships/image" Target="media/image232.png"/><Relationship Id="rId27" Type="http://schemas.openxmlformats.org/officeDocument/2006/relationships/header" Target="header7.xml"/><Relationship Id="rId48" Type="http://schemas.openxmlformats.org/officeDocument/2006/relationships/image" Target="media/image15.png"/><Relationship Id="rId69" Type="http://schemas.openxmlformats.org/officeDocument/2006/relationships/image" Target="media/image36.png"/><Relationship Id="rId113" Type="http://schemas.openxmlformats.org/officeDocument/2006/relationships/image" Target="media/image80.png"/><Relationship Id="rId134" Type="http://schemas.openxmlformats.org/officeDocument/2006/relationships/image" Target="media/image101.png"/><Relationship Id="rId320" Type="http://schemas.openxmlformats.org/officeDocument/2006/relationships/image" Target="media/image243.png"/><Relationship Id="rId80" Type="http://schemas.openxmlformats.org/officeDocument/2006/relationships/image" Target="media/image47.png"/><Relationship Id="rId155" Type="http://schemas.openxmlformats.org/officeDocument/2006/relationships/image" Target="media/image122.png"/><Relationship Id="rId176" Type="http://schemas.openxmlformats.org/officeDocument/2006/relationships/hyperlink" Target="http://dx.doi.org/10.1016/S0304-3770(01)00193-0" TargetMode="External"/><Relationship Id="rId197" Type="http://schemas.openxmlformats.org/officeDocument/2006/relationships/image" Target="media/image127.png"/><Relationship Id="rId201" Type="http://schemas.openxmlformats.org/officeDocument/2006/relationships/image" Target="media/image131.png"/><Relationship Id="rId222" Type="http://schemas.openxmlformats.org/officeDocument/2006/relationships/image" Target="media/image147.png"/><Relationship Id="rId243" Type="http://schemas.openxmlformats.org/officeDocument/2006/relationships/image" Target="media/image166.png"/><Relationship Id="rId264" Type="http://schemas.openxmlformats.org/officeDocument/2006/relationships/image" Target="media/image187.png"/><Relationship Id="rId285" Type="http://schemas.openxmlformats.org/officeDocument/2006/relationships/image" Target="media/image208.png"/><Relationship Id="rId17" Type="http://schemas.openxmlformats.org/officeDocument/2006/relationships/header" Target="header3.xml"/><Relationship Id="rId38" Type="http://schemas.openxmlformats.org/officeDocument/2006/relationships/image" Target="media/image5.wmf"/><Relationship Id="rId59" Type="http://schemas.openxmlformats.org/officeDocument/2006/relationships/image" Target="media/image26.png"/><Relationship Id="rId103" Type="http://schemas.openxmlformats.org/officeDocument/2006/relationships/image" Target="media/image70.png"/><Relationship Id="rId124" Type="http://schemas.openxmlformats.org/officeDocument/2006/relationships/image" Target="media/image91.png"/><Relationship Id="rId310" Type="http://schemas.openxmlformats.org/officeDocument/2006/relationships/image" Target="media/image233.png"/><Relationship Id="rId70" Type="http://schemas.openxmlformats.org/officeDocument/2006/relationships/image" Target="media/image37.png"/><Relationship Id="rId91" Type="http://schemas.openxmlformats.org/officeDocument/2006/relationships/image" Target="media/image58.png"/><Relationship Id="rId145" Type="http://schemas.openxmlformats.org/officeDocument/2006/relationships/image" Target="media/image112.png"/><Relationship Id="rId166" Type="http://schemas.openxmlformats.org/officeDocument/2006/relationships/hyperlink" Target="http://www.nrm.gov.au/about/nrm/regions/qld-fitz.html" TargetMode="External"/><Relationship Id="rId187" Type="http://schemas.openxmlformats.org/officeDocument/2006/relationships/hyperlink" Target="http://www.R-project.org/" TargetMode="External"/><Relationship Id="rId331" Type="http://schemas.openxmlformats.org/officeDocument/2006/relationships/theme" Target="theme/theme1.xml"/><Relationship Id="rId1" Type="http://schemas.openxmlformats.org/officeDocument/2006/relationships/customXml" Target="../customXml/item1.xml"/><Relationship Id="rId212" Type="http://schemas.openxmlformats.org/officeDocument/2006/relationships/image" Target="media/image142.wmf"/><Relationship Id="rId233" Type="http://schemas.openxmlformats.org/officeDocument/2006/relationships/image" Target="media/image156.png"/><Relationship Id="rId254" Type="http://schemas.openxmlformats.org/officeDocument/2006/relationships/image" Target="media/image177.png"/><Relationship Id="rId28" Type="http://schemas.openxmlformats.org/officeDocument/2006/relationships/header" Target="header8.xml"/><Relationship Id="rId49" Type="http://schemas.openxmlformats.org/officeDocument/2006/relationships/image" Target="media/image16.png"/><Relationship Id="rId114" Type="http://schemas.openxmlformats.org/officeDocument/2006/relationships/image" Target="media/image81.png"/><Relationship Id="rId275" Type="http://schemas.openxmlformats.org/officeDocument/2006/relationships/image" Target="media/image198.png"/><Relationship Id="rId296" Type="http://schemas.openxmlformats.org/officeDocument/2006/relationships/image" Target="media/image219.png"/><Relationship Id="rId300" Type="http://schemas.openxmlformats.org/officeDocument/2006/relationships/image" Target="media/image223.png"/><Relationship Id="rId60" Type="http://schemas.openxmlformats.org/officeDocument/2006/relationships/image" Target="media/image27.png"/><Relationship Id="rId81" Type="http://schemas.openxmlformats.org/officeDocument/2006/relationships/image" Target="media/image48.png"/><Relationship Id="rId135" Type="http://schemas.openxmlformats.org/officeDocument/2006/relationships/image" Target="media/image102.png"/><Relationship Id="rId156" Type="http://schemas.openxmlformats.org/officeDocument/2006/relationships/hyperlink" Target="http://www.mdpi.com/2072-4292/8/3/210" TargetMode="External"/><Relationship Id="rId177" Type="http://schemas.openxmlformats.org/officeDocument/2006/relationships/hyperlink" Target="http://dx.doi.org/10.1071/MF9900677" TargetMode="External"/><Relationship Id="rId198" Type="http://schemas.openxmlformats.org/officeDocument/2006/relationships/image" Target="media/image128.png"/><Relationship Id="rId321" Type="http://schemas.openxmlformats.org/officeDocument/2006/relationships/image" Target="media/image244.png"/><Relationship Id="rId202" Type="http://schemas.openxmlformats.org/officeDocument/2006/relationships/image" Target="media/image132.png"/><Relationship Id="rId223" Type="http://schemas.openxmlformats.org/officeDocument/2006/relationships/image" Target="media/image148.png"/><Relationship Id="rId244" Type="http://schemas.openxmlformats.org/officeDocument/2006/relationships/image" Target="media/image167.png"/><Relationship Id="rId18" Type="http://schemas.openxmlformats.org/officeDocument/2006/relationships/header" Target="header4.xml"/><Relationship Id="rId39" Type="http://schemas.openxmlformats.org/officeDocument/2006/relationships/image" Target="media/image6.png"/><Relationship Id="rId265" Type="http://schemas.openxmlformats.org/officeDocument/2006/relationships/image" Target="media/image188.png"/><Relationship Id="rId286" Type="http://schemas.openxmlformats.org/officeDocument/2006/relationships/image" Target="media/image209.png"/><Relationship Id="rId50" Type="http://schemas.openxmlformats.org/officeDocument/2006/relationships/image" Target="media/image17.png"/><Relationship Id="rId104" Type="http://schemas.openxmlformats.org/officeDocument/2006/relationships/image" Target="media/image71.png"/><Relationship Id="rId125" Type="http://schemas.openxmlformats.org/officeDocument/2006/relationships/image" Target="media/image92.png"/><Relationship Id="rId146" Type="http://schemas.openxmlformats.org/officeDocument/2006/relationships/image" Target="media/image113.png"/><Relationship Id="rId167" Type="http://schemas.openxmlformats.org/officeDocument/2006/relationships/hyperlink" Target="http://www.nrm.gov.au/about/nrm/regions/qld-fitz.html" TargetMode="External"/><Relationship Id="rId188" Type="http://schemas.openxmlformats.org/officeDocument/2006/relationships/hyperlink" Target="http://dx.doi.org/10.1016/j.ecss.2013.08.026" TargetMode="External"/><Relationship Id="rId311" Type="http://schemas.openxmlformats.org/officeDocument/2006/relationships/image" Target="media/image234.png"/><Relationship Id="rId71" Type="http://schemas.openxmlformats.org/officeDocument/2006/relationships/image" Target="media/image38.png"/><Relationship Id="rId92" Type="http://schemas.openxmlformats.org/officeDocument/2006/relationships/image" Target="media/image59.png"/><Relationship Id="rId213" Type="http://schemas.openxmlformats.org/officeDocument/2006/relationships/image" Target="media/image143.wmf"/><Relationship Id="rId234" Type="http://schemas.openxmlformats.org/officeDocument/2006/relationships/image" Target="media/image157.png"/><Relationship Id="rId2" Type="http://schemas.openxmlformats.org/officeDocument/2006/relationships/customXml" Target="../customXml/item2.xml"/><Relationship Id="rId29" Type="http://schemas.openxmlformats.org/officeDocument/2006/relationships/footer" Target="footer4.xml"/><Relationship Id="rId255" Type="http://schemas.openxmlformats.org/officeDocument/2006/relationships/image" Target="media/image178.png"/><Relationship Id="rId276" Type="http://schemas.openxmlformats.org/officeDocument/2006/relationships/image" Target="media/image199.png"/><Relationship Id="rId297" Type="http://schemas.openxmlformats.org/officeDocument/2006/relationships/image" Target="media/image220.png"/><Relationship Id="rId40" Type="http://schemas.openxmlformats.org/officeDocument/2006/relationships/image" Target="media/image7.png"/><Relationship Id="rId115" Type="http://schemas.openxmlformats.org/officeDocument/2006/relationships/image" Target="media/image82.png"/><Relationship Id="rId136" Type="http://schemas.openxmlformats.org/officeDocument/2006/relationships/image" Target="media/image103.png"/><Relationship Id="rId157" Type="http://schemas.openxmlformats.org/officeDocument/2006/relationships/image" Target="media/image123.png"/><Relationship Id="rId178" Type="http://schemas.openxmlformats.org/officeDocument/2006/relationships/hyperlink" Target="http://dx.doi.org/10.1016/j.scitotenv.2015.04.061" TargetMode="External"/><Relationship Id="rId301" Type="http://schemas.openxmlformats.org/officeDocument/2006/relationships/image" Target="media/image224.png"/><Relationship Id="rId322" Type="http://schemas.openxmlformats.org/officeDocument/2006/relationships/image" Target="media/image245.png"/><Relationship Id="rId61" Type="http://schemas.openxmlformats.org/officeDocument/2006/relationships/image" Target="media/image28.png"/><Relationship Id="rId82" Type="http://schemas.openxmlformats.org/officeDocument/2006/relationships/image" Target="media/image49.png"/><Relationship Id="rId199" Type="http://schemas.openxmlformats.org/officeDocument/2006/relationships/image" Target="media/image129.png"/><Relationship Id="rId203" Type="http://schemas.openxmlformats.org/officeDocument/2006/relationships/image" Target="media/image133.png"/><Relationship Id="rId19" Type="http://schemas.openxmlformats.org/officeDocument/2006/relationships/header" Target="header5.xml"/><Relationship Id="rId224" Type="http://schemas.openxmlformats.org/officeDocument/2006/relationships/image" Target="media/image149.png"/><Relationship Id="rId245" Type="http://schemas.openxmlformats.org/officeDocument/2006/relationships/image" Target="media/image168.png"/><Relationship Id="rId266" Type="http://schemas.openxmlformats.org/officeDocument/2006/relationships/image" Target="media/image189.png"/><Relationship Id="rId287" Type="http://schemas.openxmlformats.org/officeDocument/2006/relationships/image" Target="media/image210.png"/><Relationship Id="rId30" Type="http://schemas.openxmlformats.org/officeDocument/2006/relationships/header" Target="header9.xml"/><Relationship Id="rId105" Type="http://schemas.openxmlformats.org/officeDocument/2006/relationships/image" Target="media/image72.png"/><Relationship Id="rId126" Type="http://schemas.openxmlformats.org/officeDocument/2006/relationships/image" Target="media/image93.png"/><Relationship Id="rId147" Type="http://schemas.openxmlformats.org/officeDocument/2006/relationships/image" Target="media/image114.png"/><Relationship Id="rId168" Type="http://schemas.openxmlformats.org/officeDocument/2006/relationships/hyperlink" Target="http://www.nrm.gov.au/about/nrm/regions/qld-fitz.html" TargetMode="External"/><Relationship Id="rId312" Type="http://schemas.openxmlformats.org/officeDocument/2006/relationships/image" Target="media/image235.png"/><Relationship Id="rId51" Type="http://schemas.openxmlformats.org/officeDocument/2006/relationships/image" Target="media/image18.png"/><Relationship Id="rId72" Type="http://schemas.openxmlformats.org/officeDocument/2006/relationships/image" Target="media/image39.png"/><Relationship Id="rId93" Type="http://schemas.openxmlformats.org/officeDocument/2006/relationships/image" Target="media/image60.png"/><Relationship Id="rId189" Type="http://schemas.openxmlformats.org/officeDocument/2006/relationships/hyperlink" Target="http://dx.doi.org/10.1071/MF97001" TargetMode="External"/><Relationship Id="rId3" Type="http://schemas.openxmlformats.org/officeDocument/2006/relationships/customXml" Target="../customXml/item3.xml"/><Relationship Id="rId214" Type="http://schemas.openxmlformats.org/officeDocument/2006/relationships/image" Target="media/image144.jpeg"/><Relationship Id="rId235" Type="http://schemas.openxmlformats.org/officeDocument/2006/relationships/image" Target="media/image158.png"/><Relationship Id="rId256" Type="http://schemas.openxmlformats.org/officeDocument/2006/relationships/image" Target="media/image179.png"/><Relationship Id="rId277" Type="http://schemas.openxmlformats.org/officeDocument/2006/relationships/image" Target="media/image200.png"/><Relationship Id="rId298" Type="http://schemas.openxmlformats.org/officeDocument/2006/relationships/image" Target="media/image221.png"/><Relationship Id="rId116" Type="http://schemas.openxmlformats.org/officeDocument/2006/relationships/image" Target="media/image83.png"/><Relationship Id="rId137" Type="http://schemas.openxmlformats.org/officeDocument/2006/relationships/image" Target="media/image104.png"/><Relationship Id="rId158" Type="http://schemas.openxmlformats.org/officeDocument/2006/relationships/image" Target="media/image124.png"/><Relationship Id="rId302" Type="http://schemas.openxmlformats.org/officeDocument/2006/relationships/image" Target="media/image225.png"/><Relationship Id="rId323" Type="http://schemas.openxmlformats.org/officeDocument/2006/relationships/image" Target="media/image246.png"/><Relationship Id="rId20" Type="http://schemas.openxmlformats.org/officeDocument/2006/relationships/footer" Target="footer2.xml"/><Relationship Id="rId41" Type="http://schemas.openxmlformats.org/officeDocument/2006/relationships/image" Target="media/image8.png"/><Relationship Id="rId62" Type="http://schemas.openxmlformats.org/officeDocument/2006/relationships/image" Target="media/image29.png"/><Relationship Id="rId83" Type="http://schemas.openxmlformats.org/officeDocument/2006/relationships/image" Target="media/image50.png"/><Relationship Id="rId179" Type="http://schemas.openxmlformats.org/officeDocument/2006/relationships/hyperlink" Target="http://nrmonline.nrm.gov.au/catalog/mql:2229" TargetMode="External"/><Relationship Id="rId190" Type="http://schemas.openxmlformats.org/officeDocument/2006/relationships/hyperlink" Target="http://dx.doi.org/10.1016/j.marpolbul.2015.08.016" TargetMode="External"/><Relationship Id="rId204" Type="http://schemas.openxmlformats.org/officeDocument/2006/relationships/image" Target="media/image134.png"/><Relationship Id="rId225" Type="http://schemas.openxmlformats.org/officeDocument/2006/relationships/hyperlink" Target="file:///E:\New_Appendices%202014_15.docx" TargetMode="External"/><Relationship Id="rId246" Type="http://schemas.openxmlformats.org/officeDocument/2006/relationships/image" Target="media/image169.png"/><Relationship Id="rId267" Type="http://schemas.openxmlformats.org/officeDocument/2006/relationships/image" Target="media/image190.png"/><Relationship Id="rId288" Type="http://schemas.openxmlformats.org/officeDocument/2006/relationships/image" Target="media/image211.png"/><Relationship Id="rId106" Type="http://schemas.openxmlformats.org/officeDocument/2006/relationships/image" Target="media/image73.png"/><Relationship Id="rId127" Type="http://schemas.openxmlformats.org/officeDocument/2006/relationships/image" Target="media/image94.png"/><Relationship Id="rId313" Type="http://schemas.openxmlformats.org/officeDocument/2006/relationships/image" Target="media/image236.png"/><Relationship Id="rId10" Type="http://schemas.openxmlformats.org/officeDocument/2006/relationships/webSettings" Target="webSettings.xml"/><Relationship Id="rId31" Type="http://schemas.openxmlformats.org/officeDocument/2006/relationships/footer" Target="footer5.xml"/><Relationship Id="rId52" Type="http://schemas.openxmlformats.org/officeDocument/2006/relationships/image" Target="media/image19.png"/><Relationship Id="rId73" Type="http://schemas.openxmlformats.org/officeDocument/2006/relationships/image" Target="media/image40.png"/><Relationship Id="rId94" Type="http://schemas.openxmlformats.org/officeDocument/2006/relationships/image" Target="media/image61.png"/><Relationship Id="rId148" Type="http://schemas.openxmlformats.org/officeDocument/2006/relationships/image" Target="media/image115.png"/><Relationship Id="rId169" Type="http://schemas.openxmlformats.org/officeDocument/2006/relationships/hyperlink" Target="http://www.nrm.gov.au/about/nrm/regions/qld-mwhs.html" TargetMode="External"/><Relationship Id="rId4" Type="http://schemas.openxmlformats.org/officeDocument/2006/relationships/customXml" Target="../customXml/item4.xml"/><Relationship Id="rId180" Type="http://schemas.openxmlformats.org/officeDocument/2006/relationships/hyperlink" Target="http://dx.doi.org/10.1016/j.ecolind.2013.11.017" TargetMode="External"/><Relationship Id="rId215" Type="http://schemas.openxmlformats.org/officeDocument/2006/relationships/hyperlink" Target="http://www.nata.asn.au" TargetMode="External"/><Relationship Id="rId236" Type="http://schemas.openxmlformats.org/officeDocument/2006/relationships/image" Target="media/image159.png"/><Relationship Id="rId257" Type="http://schemas.openxmlformats.org/officeDocument/2006/relationships/image" Target="media/image180.png"/><Relationship Id="rId278" Type="http://schemas.openxmlformats.org/officeDocument/2006/relationships/image" Target="media/image201.png"/><Relationship Id="rId303" Type="http://schemas.openxmlformats.org/officeDocument/2006/relationships/image" Target="media/image226.png"/><Relationship Id="rId42" Type="http://schemas.openxmlformats.org/officeDocument/2006/relationships/image" Target="media/image9.png"/><Relationship Id="rId84" Type="http://schemas.openxmlformats.org/officeDocument/2006/relationships/image" Target="media/image51.png"/><Relationship Id="rId138" Type="http://schemas.openxmlformats.org/officeDocument/2006/relationships/image" Target="media/image105.png"/><Relationship Id="rId191" Type="http://schemas.openxmlformats.org/officeDocument/2006/relationships/header" Target="header16.xml"/><Relationship Id="rId205" Type="http://schemas.openxmlformats.org/officeDocument/2006/relationships/image" Target="media/image135.png"/><Relationship Id="rId247" Type="http://schemas.openxmlformats.org/officeDocument/2006/relationships/image" Target="media/image170.png"/><Relationship Id="rId107" Type="http://schemas.openxmlformats.org/officeDocument/2006/relationships/image" Target="media/image74.png"/><Relationship Id="rId289" Type="http://schemas.openxmlformats.org/officeDocument/2006/relationships/image" Target="media/image212.png"/><Relationship Id="rId11" Type="http://schemas.openxmlformats.org/officeDocument/2006/relationships/footnotes" Target="footnotes.xml"/><Relationship Id="rId53" Type="http://schemas.openxmlformats.org/officeDocument/2006/relationships/image" Target="media/image20.png"/><Relationship Id="rId149" Type="http://schemas.openxmlformats.org/officeDocument/2006/relationships/image" Target="media/image116.png"/><Relationship Id="rId314" Type="http://schemas.openxmlformats.org/officeDocument/2006/relationships/image" Target="media/image237.png"/><Relationship Id="rId95" Type="http://schemas.openxmlformats.org/officeDocument/2006/relationships/image" Target="media/image62.png"/><Relationship Id="rId160" Type="http://schemas.openxmlformats.org/officeDocument/2006/relationships/hyperlink" Target="http://dx.doi.org/10.1016/j.ecolind.2016.02.050" TargetMode="External"/><Relationship Id="rId216" Type="http://schemas.openxmlformats.org/officeDocument/2006/relationships/header" Target="header19.xml"/><Relationship Id="rId258" Type="http://schemas.openxmlformats.org/officeDocument/2006/relationships/image" Target="media/image181.png"/><Relationship Id="rId22" Type="http://schemas.openxmlformats.org/officeDocument/2006/relationships/header" Target="header6.xml"/><Relationship Id="rId64" Type="http://schemas.openxmlformats.org/officeDocument/2006/relationships/image" Target="media/image31.png"/><Relationship Id="rId118" Type="http://schemas.openxmlformats.org/officeDocument/2006/relationships/image" Target="media/image85.png"/><Relationship Id="rId325" Type="http://schemas.openxmlformats.org/officeDocument/2006/relationships/image" Target="media/image248.png"/><Relationship Id="rId171" Type="http://schemas.openxmlformats.org/officeDocument/2006/relationships/hyperlink" Target="http://www.nrm.gov.au/about/nrm/regions/qld-wetr.html" TargetMode="External"/><Relationship Id="rId227" Type="http://schemas.openxmlformats.org/officeDocument/2006/relationships/oleObject" Target="embeddings/oleObject1.bin"/><Relationship Id="rId269" Type="http://schemas.openxmlformats.org/officeDocument/2006/relationships/image" Target="media/image192.png"/><Relationship Id="rId33" Type="http://schemas.openxmlformats.org/officeDocument/2006/relationships/header" Target="header11.xml"/><Relationship Id="rId129" Type="http://schemas.openxmlformats.org/officeDocument/2006/relationships/image" Target="media/image96.png"/><Relationship Id="rId280" Type="http://schemas.openxmlformats.org/officeDocument/2006/relationships/image" Target="media/image203.png"/><Relationship Id="rId75" Type="http://schemas.openxmlformats.org/officeDocument/2006/relationships/image" Target="media/image42.png"/><Relationship Id="rId140" Type="http://schemas.openxmlformats.org/officeDocument/2006/relationships/image" Target="media/image107.png"/><Relationship Id="rId182" Type="http://schemas.openxmlformats.org/officeDocument/2006/relationships/hyperlink" Target="http://doi.pangaea.de/10.1594/PANGAEA.826368" TargetMode="External"/><Relationship Id="rId6" Type="http://schemas.openxmlformats.org/officeDocument/2006/relationships/numbering" Target="numbering.xml"/><Relationship Id="rId238" Type="http://schemas.openxmlformats.org/officeDocument/2006/relationships/image" Target="media/image161.png"/><Relationship Id="rId291" Type="http://schemas.openxmlformats.org/officeDocument/2006/relationships/image" Target="media/image214.png"/><Relationship Id="rId305" Type="http://schemas.openxmlformats.org/officeDocument/2006/relationships/image" Target="media/image228.png"/><Relationship Id="rId44" Type="http://schemas.openxmlformats.org/officeDocument/2006/relationships/image" Target="media/image11.png"/><Relationship Id="rId86" Type="http://schemas.openxmlformats.org/officeDocument/2006/relationships/image" Target="media/image53.png"/><Relationship Id="rId151" Type="http://schemas.openxmlformats.org/officeDocument/2006/relationships/image" Target="media/image118.png"/><Relationship Id="rId193" Type="http://schemas.openxmlformats.org/officeDocument/2006/relationships/header" Target="header18.xml"/><Relationship Id="rId207" Type="http://schemas.openxmlformats.org/officeDocument/2006/relationships/image" Target="media/image137.png"/><Relationship Id="rId249" Type="http://schemas.openxmlformats.org/officeDocument/2006/relationships/image" Target="media/image172.png"/><Relationship Id="rId13" Type="http://schemas.openxmlformats.org/officeDocument/2006/relationships/image" Target="media/image1.jpg"/><Relationship Id="rId109" Type="http://schemas.openxmlformats.org/officeDocument/2006/relationships/image" Target="media/image76.png"/><Relationship Id="rId260" Type="http://schemas.openxmlformats.org/officeDocument/2006/relationships/image" Target="media/image183.png"/><Relationship Id="rId316" Type="http://schemas.openxmlformats.org/officeDocument/2006/relationships/image" Target="media/image239.png"/><Relationship Id="rId55" Type="http://schemas.openxmlformats.org/officeDocument/2006/relationships/image" Target="media/image22.png"/><Relationship Id="rId97" Type="http://schemas.openxmlformats.org/officeDocument/2006/relationships/image" Target="media/image64.png"/><Relationship Id="rId120" Type="http://schemas.openxmlformats.org/officeDocument/2006/relationships/image" Target="media/image87.png"/><Relationship Id="rId162" Type="http://schemas.openxmlformats.org/officeDocument/2006/relationships/hyperlink" Target="http://dx.doi.org/10.1016/j.marpolbul.2014.03.050" TargetMode="External"/><Relationship Id="rId218"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6" ma:contentTypeDescription="" ma:contentTypeScope="" ma:versionID="7cb892ac8d932330eaaffd757faf6f42">
  <xsd:schema xmlns:xsd="http://www.w3.org/2001/XMLSchema" xmlns:xs="http://www.w3.org/2001/XMLSchema" xmlns:p="http://schemas.microsoft.com/office/2006/metadata/properties" xmlns:ns2="8ccc4631-9afc-4718-b120-5e2e37a03cc7" targetNamespace="http://schemas.microsoft.com/office/2006/metadata/properties" ma:root="true" ma:fieldsID="676c2c3fb3e7d9b4847bdd76abd09fb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PROJ-213-283</_dlc_DocId>
    <_dlc_DocIdUrl xmlns="8ccc4631-9afc-4718-b120-5e2e37a03cc7">
      <Url>http://thedock.gbrmpa.gov.au/sites/Projects/P000056/_layouts/DocIdRedir.aspx?ID=PROJ-213-283</Url>
      <Description>PROJ-213-283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AA2280-7CAF-4025-8621-40C9D49B90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FDF3F6-CA78-44AC-B670-568BE59E716D}">
  <ds:schemaRefs>
    <ds:schemaRef ds:uri="http://schemas.microsoft.com/sharepoint/events"/>
  </ds:schemaRefs>
</ds:datastoreItem>
</file>

<file path=customXml/itemProps3.xml><?xml version="1.0" encoding="utf-8"?>
<ds:datastoreItem xmlns:ds="http://schemas.openxmlformats.org/officeDocument/2006/customXml" ds:itemID="{38C57CAE-942B-4958-8B97-49862892FA96}">
  <ds:schemaRefs>
    <ds:schemaRef ds:uri="http://schemas.microsoft.com/office/2006/metadata/properties"/>
    <ds:schemaRef ds:uri="http://schemas.microsoft.com/office/infopath/2007/PartnerControls"/>
    <ds:schemaRef ds:uri="8ccc4631-9afc-4718-b120-5e2e37a03cc7"/>
  </ds:schemaRefs>
</ds:datastoreItem>
</file>

<file path=customXml/itemProps4.xml><?xml version="1.0" encoding="utf-8"?>
<ds:datastoreItem xmlns:ds="http://schemas.openxmlformats.org/officeDocument/2006/customXml" ds:itemID="{498ADAC6-1361-46A1-8D27-3BB4CEDF38ED}">
  <ds:schemaRefs>
    <ds:schemaRef ds:uri="http://schemas.microsoft.com/sharepoint/v3/contenttype/forms"/>
  </ds:schemaRefs>
</ds:datastoreItem>
</file>

<file path=customXml/itemProps5.xml><?xml version="1.0" encoding="utf-8"?>
<ds:datastoreItem xmlns:ds="http://schemas.openxmlformats.org/officeDocument/2006/customXml" ds:itemID="{A43C149D-5E55-411A-9E28-627C88007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259</Pages>
  <Words>143948</Words>
  <Characters>820504</Characters>
  <Application>Microsoft Office Word</Application>
  <DocSecurity>0</DocSecurity>
  <Lines>6837</Lines>
  <Paragraphs>1925</Paragraphs>
  <ScaleCrop>false</ScaleCrop>
  <HeadingPairs>
    <vt:vector size="2" baseType="variant">
      <vt:variant>
        <vt:lpstr>Title</vt:lpstr>
      </vt:variant>
      <vt:variant>
        <vt:i4>1</vt:i4>
      </vt:variant>
    </vt:vector>
  </HeadingPairs>
  <TitlesOfParts>
    <vt:vector size="1" baseType="lpstr">
      <vt:lpstr>Marine Monitoring Program - Inshore Seagrass, Annual Report for the sampling period 1st June 2013 – 31st May 2014.</vt:lpstr>
    </vt:vector>
  </TitlesOfParts>
  <Manager>Len McKenzie</Manager>
  <Company>JCU</Company>
  <LinksUpToDate>false</LinksUpToDate>
  <CharactersWithSpaces>962527</CharactersWithSpaces>
  <SharedDoc>false</SharedDoc>
  <HLinks>
    <vt:vector size="4842" baseType="variant">
      <vt:variant>
        <vt:i4>4653067</vt:i4>
      </vt:variant>
      <vt:variant>
        <vt:i4>6818</vt:i4>
      </vt:variant>
      <vt:variant>
        <vt:i4>0</vt:i4>
      </vt:variant>
      <vt:variant>
        <vt:i4>5</vt:i4>
      </vt:variant>
      <vt:variant>
        <vt:lpwstr/>
      </vt:variant>
      <vt:variant>
        <vt:lpwstr>_ENREF_64</vt:lpwstr>
      </vt:variant>
      <vt:variant>
        <vt:i4>4653067</vt:i4>
      </vt:variant>
      <vt:variant>
        <vt:i4>6809</vt:i4>
      </vt:variant>
      <vt:variant>
        <vt:i4>0</vt:i4>
      </vt:variant>
      <vt:variant>
        <vt:i4>5</vt:i4>
      </vt:variant>
      <vt:variant>
        <vt:lpwstr/>
      </vt:variant>
      <vt:variant>
        <vt:lpwstr>_ENREF_64</vt:lpwstr>
      </vt:variant>
      <vt:variant>
        <vt:i4>4653067</vt:i4>
      </vt:variant>
      <vt:variant>
        <vt:i4>6797</vt:i4>
      </vt:variant>
      <vt:variant>
        <vt:i4>0</vt:i4>
      </vt:variant>
      <vt:variant>
        <vt:i4>5</vt:i4>
      </vt:variant>
      <vt:variant>
        <vt:lpwstr/>
      </vt:variant>
      <vt:variant>
        <vt:lpwstr>_ENREF_64</vt:lpwstr>
      </vt:variant>
      <vt:variant>
        <vt:i4>4653067</vt:i4>
      </vt:variant>
      <vt:variant>
        <vt:i4>6788</vt:i4>
      </vt:variant>
      <vt:variant>
        <vt:i4>0</vt:i4>
      </vt:variant>
      <vt:variant>
        <vt:i4>5</vt:i4>
      </vt:variant>
      <vt:variant>
        <vt:lpwstr/>
      </vt:variant>
      <vt:variant>
        <vt:lpwstr>_ENREF_64</vt:lpwstr>
      </vt:variant>
      <vt:variant>
        <vt:i4>4653067</vt:i4>
      </vt:variant>
      <vt:variant>
        <vt:i4>6776</vt:i4>
      </vt:variant>
      <vt:variant>
        <vt:i4>0</vt:i4>
      </vt:variant>
      <vt:variant>
        <vt:i4>5</vt:i4>
      </vt:variant>
      <vt:variant>
        <vt:lpwstr/>
      </vt:variant>
      <vt:variant>
        <vt:lpwstr>_ENREF_64</vt:lpwstr>
      </vt:variant>
      <vt:variant>
        <vt:i4>4653067</vt:i4>
      </vt:variant>
      <vt:variant>
        <vt:i4>6767</vt:i4>
      </vt:variant>
      <vt:variant>
        <vt:i4>0</vt:i4>
      </vt:variant>
      <vt:variant>
        <vt:i4>5</vt:i4>
      </vt:variant>
      <vt:variant>
        <vt:lpwstr/>
      </vt:variant>
      <vt:variant>
        <vt:lpwstr>_ENREF_64</vt:lpwstr>
      </vt:variant>
      <vt:variant>
        <vt:i4>4653067</vt:i4>
      </vt:variant>
      <vt:variant>
        <vt:i4>6758</vt:i4>
      </vt:variant>
      <vt:variant>
        <vt:i4>0</vt:i4>
      </vt:variant>
      <vt:variant>
        <vt:i4>5</vt:i4>
      </vt:variant>
      <vt:variant>
        <vt:lpwstr/>
      </vt:variant>
      <vt:variant>
        <vt:lpwstr>_ENREF_64</vt:lpwstr>
      </vt:variant>
      <vt:variant>
        <vt:i4>4653067</vt:i4>
      </vt:variant>
      <vt:variant>
        <vt:i4>6749</vt:i4>
      </vt:variant>
      <vt:variant>
        <vt:i4>0</vt:i4>
      </vt:variant>
      <vt:variant>
        <vt:i4>5</vt:i4>
      </vt:variant>
      <vt:variant>
        <vt:lpwstr/>
      </vt:variant>
      <vt:variant>
        <vt:lpwstr>_ENREF_64</vt:lpwstr>
      </vt:variant>
      <vt:variant>
        <vt:i4>4653067</vt:i4>
      </vt:variant>
      <vt:variant>
        <vt:i4>6740</vt:i4>
      </vt:variant>
      <vt:variant>
        <vt:i4>0</vt:i4>
      </vt:variant>
      <vt:variant>
        <vt:i4>5</vt:i4>
      </vt:variant>
      <vt:variant>
        <vt:lpwstr/>
      </vt:variant>
      <vt:variant>
        <vt:lpwstr>_ENREF_64</vt:lpwstr>
      </vt:variant>
      <vt:variant>
        <vt:i4>7340088</vt:i4>
      </vt:variant>
      <vt:variant>
        <vt:i4>6602</vt:i4>
      </vt:variant>
      <vt:variant>
        <vt:i4>0</vt:i4>
      </vt:variant>
      <vt:variant>
        <vt:i4>5</vt:i4>
      </vt:variant>
      <vt:variant>
        <vt:lpwstr/>
      </vt:variant>
      <vt:variant>
        <vt:lpwstr>_ENREF_130</vt:lpwstr>
      </vt:variant>
      <vt:variant>
        <vt:i4>7667771</vt:i4>
      </vt:variant>
      <vt:variant>
        <vt:i4>6569</vt:i4>
      </vt:variant>
      <vt:variant>
        <vt:i4>0</vt:i4>
      </vt:variant>
      <vt:variant>
        <vt:i4>5</vt:i4>
      </vt:variant>
      <vt:variant>
        <vt:lpwstr/>
      </vt:variant>
      <vt:variant>
        <vt:lpwstr>_ENREF_105</vt:lpwstr>
      </vt:variant>
      <vt:variant>
        <vt:i4>7340090</vt:i4>
      </vt:variant>
      <vt:variant>
        <vt:i4>6565</vt:i4>
      </vt:variant>
      <vt:variant>
        <vt:i4>0</vt:i4>
      </vt:variant>
      <vt:variant>
        <vt:i4>5</vt:i4>
      </vt:variant>
      <vt:variant>
        <vt:lpwstr/>
      </vt:variant>
      <vt:variant>
        <vt:lpwstr>_ENREF_110</vt:lpwstr>
      </vt:variant>
      <vt:variant>
        <vt:i4>4718603</vt:i4>
      </vt:variant>
      <vt:variant>
        <vt:i4>6562</vt:i4>
      </vt:variant>
      <vt:variant>
        <vt:i4>0</vt:i4>
      </vt:variant>
      <vt:variant>
        <vt:i4>5</vt:i4>
      </vt:variant>
      <vt:variant>
        <vt:lpwstr/>
      </vt:variant>
      <vt:variant>
        <vt:lpwstr>_ENREF_93</vt:lpwstr>
      </vt:variant>
      <vt:variant>
        <vt:i4>4194315</vt:i4>
      </vt:variant>
      <vt:variant>
        <vt:i4>6559</vt:i4>
      </vt:variant>
      <vt:variant>
        <vt:i4>0</vt:i4>
      </vt:variant>
      <vt:variant>
        <vt:i4>5</vt:i4>
      </vt:variant>
      <vt:variant>
        <vt:lpwstr/>
      </vt:variant>
      <vt:variant>
        <vt:lpwstr>_ENREF_10</vt:lpwstr>
      </vt:variant>
      <vt:variant>
        <vt:i4>7929914</vt:i4>
      </vt:variant>
      <vt:variant>
        <vt:i4>6551</vt:i4>
      </vt:variant>
      <vt:variant>
        <vt:i4>0</vt:i4>
      </vt:variant>
      <vt:variant>
        <vt:i4>5</vt:i4>
      </vt:variant>
      <vt:variant>
        <vt:lpwstr/>
      </vt:variant>
      <vt:variant>
        <vt:lpwstr>_ENREF_119</vt:lpwstr>
      </vt:variant>
      <vt:variant>
        <vt:i4>4325387</vt:i4>
      </vt:variant>
      <vt:variant>
        <vt:i4>6548</vt:i4>
      </vt:variant>
      <vt:variant>
        <vt:i4>0</vt:i4>
      </vt:variant>
      <vt:variant>
        <vt:i4>5</vt:i4>
      </vt:variant>
      <vt:variant>
        <vt:lpwstr/>
      </vt:variant>
      <vt:variant>
        <vt:lpwstr>_ENREF_3</vt:lpwstr>
      </vt:variant>
      <vt:variant>
        <vt:i4>7667770</vt:i4>
      </vt:variant>
      <vt:variant>
        <vt:i4>6460</vt:i4>
      </vt:variant>
      <vt:variant>
        <vt:i4>0</vt:i4>
      </vt:variant>
      <vt:variant>
        <vt:i4>5</vt:i4>
      </vt:variant>
      <vt:variant>
        <vt:lpwstr/>
      </vt:variant>
      <vt:variant>
        <vt:lpwstr>_ENREF_115</vt:lpwstr>
      </vt:variant>
      <vt:variant>
        <vt:i4>7602232</vt:i4>
      </vt:variant>
      <vt:variant>
        <vt:i4>6454</vt:i4>
      </vt:variant>
      <vt:variant>
        <vt:i4>0</vt:i4>
      </vt:variant>
      <vt:variant>
        <vt:i4>5</vt:i4>
      </vt:variant>
      <vt:variant>
        <vt:lpwstr/>
      </vt:variant>
      <vt:variant>
        <vt:lpwstr>_ENREF_237</vt:lpwstr>
      </vt:variant>
      <vt:variant>
        <vt:i4>4587531</vt:i4>
      </vt:variant>
      <vt:variant>
        <vt:i4>6448</vt:i4>
      </vt:variant>
      <vt:variant>
        <vt:i4>0</vt:i4>
      </vt:variant>
      <vt:variant>
        <vt:i4>5</vt:i4>
      </vt:variant>
      <vt:variant>
        <vt:lpwstr/>
      </vt:variant>
      <vt:variant>
        <vt:lpwstr>_ENREF_74</vt:lpwstr>
      </vt:variant>
      <vt:variant>
        <vt:i4>4784139</vt:i4>
      </vt:variant>
      <vt:variant>
        <vt:i4>6442</vt:i4>
      </vt:variant>
      <vt:variant>
        <vt:i4>0</vt:i4>
      </vt:variant>
      <vt:variant>
        <vt:i4>5</vt:i4>
      </vt:variant>
      <vt:variant>
        <vt:lpwstr/>
      </vt:variant>
      <vt:variant>
        <vt:lpwstr>_ENREF_85</vt:lpwstr>
      </vt:variant>
      <vt:variant>
        <vt:i4>4521995</vt:i4>
      </vt:variant>
      <vt:variant>
        <vt:i4>6436</vt:i4>
      </vt:variant>
      <vt:variant>
        <vt:i4>0</vt:i4>
      </vt:variant>
      <vt:variant>
        <vt:i4>5</vt:i4>
      </vt:variant>
      <vt:variant>
        <vt:lpwstr/>
      </vt:variant>
      <vt:variant>
        <vt:lpwstr>_ENREF_42</vt:lpwstr>
      </vt:variant>
      <vt:variant>
        <vt:i4>7536696</vt:i4>
      </vt:variant>
      <vt:variant>
        <vt:i4>6430</vt:i4>
      </vt:variant>
      <vt:variant>
        <vt:i4>0</vt:i4>
      </vt:variant>
      <vt:variant>
        <vt:i4>5</vt:i4>
      </vt:variant>
      <vt:variant>
        <vt:lpwstr/>
      </vt:variant>
      <vt:variant>
        <vt:lpwstr>_ENREF_230</vt:lpwstr>
      </vt:variant>
      <vt:variant>
        <vt:i4>7340090</vt:i4>
      </vt:variant>
      <vt:variant>
        <vt:i4>6424</vt:i4>
      </vt:variant>
      <vt:variant>
        <vt:i4>0</vt:i4>
      </vt:variant>
      <vt:variant>
        <vt:i4>5</vt:i4>
      </vt:variant>
      <vt:variant>
        <vt:lpwstr/>
      </vt:variant>
      <vt:variant>
        <vt:lpwstr>_ENREF_213</vt:lpwstr>
      </vt:variant>
      <vt:variant>
        <vt:i4>4587531</vt:i4>
      </vt:variant>
      <vt:variant>
        <vt:i4>6418</vt:i4>
      </vt:variant>
      <vt:variant>
        <vt:i4>0</vt:i4>
      </vt:variant>
      <vt:variant>
        <vt:i4>5</vt:i4>
      </vt:variant>
      <vt:variant>
        <vt:lpwstr/>
      </vt:variant>
      <vt:variant>
        <vt:lpwstr>_ENREF_70</vt:lpwstr>
      </vt:variant>
      <vt:variant>
        <vt:i4>7995448</vt:i4>
      </vt:variant>
      <vt:variant>
        <vt:i4>6412</vt:i4>
      </vt:variant>
      <vt:variant>
        <vt:i4>0</vt:i4>
      </vt:variant>
      <vt:variant>
        <vt:i4>5</vt:i4>
      </vt:variant>
      <vt:variant>
        <vt:lpwstr/>
      </vt:variant>
      <vt:variant>
        <vt:lpwstr>_ENREF_239</vt:lpwstr>
      </vt:variant>
      <vt:variant>
        <vt:i4>7340095</vt:i4>
      </vt:variant>
      <vt:variant>
        <vt:i4>6406</vt:i4>
      </vt:variant>
      <vt:variant>
        <vt:i4>0</vt:i4>
      </vt:variant>
      <vt:variant>
        <vt:i4>5</vt:i4>
      </vt:variant>
      <vt:variant>
        <vt:lpwstr/>
      </vt:variant>
      <vt:variant>
        <vt:lpwstr>_ENREF_243</vt:lpwstr>
      </vt:variant>
      <vt:variant>
        <vt:i4>4194315</vt:i4>
      </vt:variant>
      <vt:variant>
        <vt:i4>6400</vt:i4>
      </vt:variant>
      <vt:variant>
        <vt:i4>0</vt:i4>
      </vt:variant>
      <vt:variant>
        <vt:i4>5</vt:i4>
      </vt:variant>
      <vt:variant>
        <vt:lpwstr/>
      </vt:variant>
      <vt:variant>
        <vt:lpwstr>_ENREF_1</vt:lpwstr>
      </vt:variant>
      <vt:variant>
        <vt:i4>4325387</vt:i4>
      </vt:variant>
      <vt:variant>
        <vt:i4>6394</vt:i4>
      </vt:variant>
      <vt:variant>
        <vt:i4>0</vt:i4>
      </vt:variant>
      <vt:variant>
        <vt:i4>5</vt:i4>
      </vt:variant>
      <vt:variant>
        <vt:lpwstr/>
      </vt:variant>
      <vt:variant>
        <vt:lpwstr>_ENREF_39</vt:lpwstr>
      </vt:variant>
      <vt:variant>
        <vt:i4>7995449</vt:i4>
      </vt:variant>
      <vt:variant>
        <vt:i4>6388</vt:i4>
      </vt:variant>
      <vt:variant>
        <vt:i4>0</vt:i4>
      </vt:variant>
      <vt:variant>
        <vt:i4>5</vt:i4>
      </vt:variant>
      <vt:variant>
        <vt:lpwstr/>
      </vt:variant>
      <vt:variant>
        <vt:lpwstr>_ENREF_229</vt:lpwstr>
      </vt:variant>
      <vt:variant>
        <vt:i4>7733306</vt:i4>
      </vt:variant>
      <vt:variant>
        <vt:i4>6382</vt:i4>
      </vt:variant>
      <vt:variant>
        <vt:i4>0</vt:i4>
      </vt:variant>
      <vt:variant>
        <vt:i4>5</vt:i4>
      </vt:variant>
      <vt:variant>
        <vt:lpwstr/>
      </vt:variant>
      <vt:variant>
        <vt:lpwstr>_ENREF_116</vt:lpwstr>
      </vt:variant>
      <vt:variant>
        <vt:i4>7405625</vt:i4>
      </vt:variant>
      <vt:variant>
        <vt:i4>6376</vt:i4>
      </vt:variant>
      <vt:variant>
        <vt:i4>0</vt:i4>
      </vt:variant>
      <vt:variant>
        <vt:i4>5</vt:i4>
      </vt:variant>
      <vt:variant>
        <vt:lpwstr/>
      </vt:variant>
      <vt:variant>
        <vt:lpwstr>_ENREF_121</vt:lpwstr>
      </vt:variant>
      <vt:variant>
        <vt:i4>7340092</vt:i4>
      </vt:variant>
      <vt:variant>
        <vt:i4>6370</vt:i4>
      </vt:variant>
      <vt:variant>
        <vt:i4>0</vt:i4>
      </vt:variant>
      <vt:variant>
        <vt:i4>5</vt:i4>
      </vt:variant>
      <vt:variant>
        <vt:lpwstr/>
      </vt:variant>
      <vt:variant>
        <vt:lpwstr>_ENREF_170</vt:lpwstr>
      </vt:variant>
      <vt:variant>
        <vt:i4>7995451</vt:i4>
      </vt:variant>
      <vt:variant>
        <vt:i4>6364</vt:i4>
      </vt:variant>
      <vt:variant>
        <vt:i4>0</vt:i4>
      </vt:variant>
      <vt:variant>
        <vt:i4>5</vt:i4>
      </vt:variant>
      <vt:variant>
        <vt:lpwstr/>
      </vt:variant>
      <vt:variant>
        <vt:lpwstr>_ENREF_209</vt:lpwstr>
      </vt:variant>
      <vt:variant>
        <vt:i4>4194315</vt:i4>
      </vt:variant>
      <vt:variant>
        <vt:i4>6358</vt:i4>
      </vt:variant>
      <vt:variant>
        <vt:i4>0</vt:i4>
      </vt:variant>
      <vt:variant>
        <vt:i4>5</vt:i4>
      </vt:variant>
      <vt:variant>
        <vt:lpwstr/>
      </vt:variant>
      <vt:variant>
        <vt:lpwstr>_ENREF_18</vt:lpwstr>
      </vt:variant>
      <vt:variant>
        <vt:i4>7667775</vt:i4>
      </vt:variant>
      <vt:variant>
        <vt:i4>6352</vt:i4>
      </vt:variant>
      <vt:variant>
        <vt:i4>0</vt:i4>
      </vt:variant>
      <vt:variant>
        <vt:i4>5</vt:i4>
      </vt:variant>
      <vt:variant>
        <vt:lpwstr/>
      </vt:variant>
      <vt:variant>
        <vt:lpwstr>_ENREF_145</vt:lpwstr>
      </vt:variant>
      <vt:variant>
        <vt:i4>4587531</vt:i4>
      </vt:variant>
      <vt:variant>
        <vt:i4>6346</vt:i4>
      </vt:variant>
      <vt:variant>
        <vt:i4>0</vt:i4>
      </vt:variant>
      <vt:variant>
        <vt:i4>5</vt:i4>
      </vt:variant>
      <vt:variant>
        <vt:lpwstr/>
      </vt:variant>
      <vt:variant>
        <vt:lpwstr>_ENREF_7</vt:lpwstr>
      </vt:variant>
      <vt:variant>
        <vt:i4>8060987</vt:i4>
      </vt:variant>
      <vt:variant>
        <vt:i4>6340</vt:i4>
      </vt:variant>
      <vt:variant>
        <vt:i4>0</vt:i4>
      </vt:variant>
      <vt:variant>
        <vt:i4>5</vt:i4>
      </vt:variant>
      <vt:variant>
        <vt:lpwstr/>
      </vt:variant>
      <vt:variant>
        <vt:lpwstr>_ENREF_208</vt:lpwstr>
      </vt:variant>
      <vt:variant>
        <vt:i4>7405627</vt:i4>
      </vt:variant>
      <vt:variant>
        <vt:i4>6334</vt:i4>
      </vt:variant>
      <vt:variant>
        <vt:i4>0</vt:i4>
      </vt:variant>
      <vt:variant>
        <vt:i4>5</vt:i4>
      </vt:variant>
      <vt:variant>
        <vt:lpwstr/>
      </vt:variant>
      <vt:variant>
        <vt:lpwstr>_ENREF_202</vt:lpwstr>
      </vt:variant>
      <vt:variant>
        <vt:i4>7536696</vt:i4>
      </vt:variant>
      <vt:variant>
        <vt:i4>6328</vt:i4>
      </vt:variant>
      <vt:variant>
        <vt:i4>0</vt:i4>
      </vt:variant>
      <vt:variant>
        <vt:i4>5</vt:i4>
      </vt:variant>
      <vt:variant>
        <vt:lpwstr/>
      </vt:variant>
      <vt:variant>
        <vt:lpwstr>_ENREF_133</vt:lpwstr>
      </vt:variant>
      <vt:variant>
        <vt:i4>4718603</vt:i4>
      </vt:variant>
      <vt:variant>
        <vt:i4>6322</vt:i4>
      </vt:variant>
      <vt:variant>
        <vt:i4>0</vt:i4>
      </vt:variant>
      <vt:variant>
        <vt:i4>5</vt:i4>
      </vt:variant>
      <vt:variant>
        <vt:lpwstr/>
      </vt:variant>
      <vt:variant>
        <vt:lpwstr>_ENREF_96</vt:lpwstr>
      </vt:variant>
      <vt:variant>
        <vt:i4>4784139</vt:i4>
      </vt:variant>
      <vt:variant>
        <vt:i4>6316</vt:i4>
      </vt:variant>
      <vt:variant>
        <vt:i4>0</vt:i4>
      </vt:variant>
      <vt:variant>
        <vt:i4>5</vt:i4>
      </vt:variant>
      <vt:variant>
        <vt:lpwstr/>
      </vt:variant>
      <vt:variant>
        <vt:lpwstr>_ENREF_8</vt:lpwstr>
      </vt:variant>
      <vt:variant>
        <vt:i4>7405630</vt:i4>
      </vt:variant>
      <vt:variant>
        <vt:i4>6310</vt:i4>
      </vt:variant>
      <vt:variant>
        <vt:i4>0</vt:i4>
      </vt:variant>
      <vt:variant>
        <vt:i4>5</vt:i4>
      </vt:variant>
      <vt:variant>
        <vt:lpwstr/>
      </vt:variant>
      <vt:variant>
        <vt:lpwstr>_ENREF_252</vt:lpwstr>
      </vt:variant>
      <vt:variant>
        <vt:i4>7602232</vt:i4>
      </vt:variant>
      <vt:variant>
        <vt:i4>6304</vt:i4>
      </vt:variant>
      <vt:variant>
        <vt:i4>0</vt:i4>
      </vt:variant>
      <vt:variant>
        <vt:i4>5</vt:i4>
      </vt:variant>
      <vt:variant>
        <vt:lpwstr/>
      </vt:variant>
      <vt:variant>
        <vt:lpwstr>_ENREF_134</vt:lpwstr>
      </vt:variant>
      <vt:variant>
        <vt:i4>7798834</vt:i4>
      </vt:variant>
      <vt:variant>
        <vt:i4>6298</vt:i4>
      </vt:variant>
      <vt:variant>
        <vt:i4>0</vt:i4>
      </vt:variant>
      <vt:variant>
        <vt:i4>5</vt:i4>
      </vt:variant>
      <vt:variant>
        <vt:lpwstr/>
      </vt:variant>
      <vt:variant>
        <vt:lpwstr>_ENREF_197</vt:lpwstr>
      </vt:variant>
      <vt:variant>
        <vt:i4>4587531</vt:i4>
      </vt:variant>
      <vt:variant>
        <vt:i4>6292</vt:i4>
      </vt:variant>
      <vt:variant>
        <vt:i4>0</vt:i4>
      </vt:variant>
      <vt:variant>
        <vt:i4>5</vt:i4>
      </vt:variant>
      <vt:variant>
        <vt:lpwstr/>
      </vt:variant>
      <vt:variant>
        <vt:lpwstr>_ENREF_76</vt:lpwstr>
      </vt:variant>
      <vt:variant>
        <vt:i4>4521995</vt:i4>
      </vt:variant>
      <vt:variant>
        <vt:i4>6286</vt:i4>
      </vt:variant>
      <vt:variant>
        <vt:i4>0</vt:i4>
      </vt:variant>
      <vt:variant>
        <vt:i4>5</vt:i4>
      </vt:variant>
      <vt:variant>
        <vt:lpwstr/>
      </vt:variant>
      <vt:variant>
        <vt:lpwstr>_ENREF_48</vt:lpwstr>
      </vt:variant>
      <vt:variant>
        <vt:i4>8060984</vt:i4>
      </vt:variant>
      <vt:variant>
        <vt:i4>6280</vt:i4>
      </vt:variant>
      <vt:variant>
        <vt:i4>0</vt:i4>
      </vt:variant>
      <vt:variant>
        <vt:i4>5</vt:i4>
      </vt:variant>
      <vt:variant>
        <vt:lpwstr/>
      </vt:variant>
      <vt:variant>
        <vt:lpwstr>_ENREF_238</vt:lpwstr>
      </vt:variant>
      <vt:variant>
        <vt:i4>7405626</vt:i4>
      </vt:variant>
      <vt:variant>
        <vt:i4>6274</vt:i4>
      </vt:variant>
      <vt:variant>
        <vt:i4>0</vt:i4>
      </vt:variant>
      <vt:variant>
        <vt:i4>5</vt:i4>
      </vt:variant>
      <vt:variant>
        <vt:lpwstr/>
      </vt:variant>
      <vt:variant>
        <vt:lpwstr>_ENREF_212</vt:lpwstr>
      </vt:variant>
      <vt:variant>
        <vt:i4>4194315</vt:i4>
      </vt:variant>
      <vt:variant>
        <vt:i4>6268</vt:i4>
      </vt:variant>
      <vt:variant>
        <vt:i4>0</vt:i4>
      </vt:variant>
      <vt:variant>
        <vt:i4>5</vt:i4>
      </vt:variant>
      <vt:variant>
        <vt:lpwstr/>
      </vt:variant>
      <vt:variant>
        <vt:lpwstr>_ENREF_11</vt:lpwstr>
      </vt:variant>
      <vt:variant>
        <vt:i4>7667768</vt:i4>
      </vt:variant>
      <vt:variant>
        <vt:i4>6262</vt:i4>
      </vt:variant>
      <vt:variant>
        <vt:i4>0</vt:i4>
      </vt:variant>
      <vt:variant>
        <vt:i4>5</vt:i4>
      </vt:variant>
      <vt:variant>
        <vt:lpwstr/>
      </vt:variant>
      <vt:variant>
        <vt:lpwstr>_ENREF_135</vt:lpwstr>
      </vt:variant>
      <vt:variant>
        <vt:i4>7667773</vt:i4>
      </vt:variant>
      <vt:variant>
        <vt:i4>6256</vt:i4>
      </vt:variant>
      <vt:variant>
        <vt:i4>0</vt:i4>
      </vt:variant>
      <vt:variant>
        <vt:i4>5</vt:i4>
      </vt:variant>
      <vt:variant>
        <vt:lpwstr/>
      </vt:variant>
      <vt:variant>
        <vt:lpwstr>_ENREF_266</vt:lpwstr>
      </vt:variant>
      <vt:variant>
        <vt:i4>7733304</vt:i4>
      </vt:variant>
      <vt:variant>
        <vt:i4>6250</vt:i4>
      </vt:variant>
      <vt:variant>
        <vt:i4>0</vt:i4>
      </vt:variant>
      <vt:variant>
        <vt:i4>5</vt:i4>
      </vt:variant>
      <vt:variant>
        <vt:lpwstr/>
      </vt:variant>
      <vt:variant>
        <vt:lpwstr>_ENREF_136</vt:lpwstr>
      </vt:variant>
      <vt:variant>
        <vt:i4>7471162</vt:i4>
      </vt:variant>
      <vt:variant>
        <vt:i4>6244</vt:i4>
      </vt:variant>
      <vt:variant>
        <vt:i4>0</vt:i4>
      </vt:variant>
      <vt:variant>
        <vt:i4>5</vt:i4>
      </vt:variant>
      <vt:variant>
        <vt:lpwstr/>
      </vt:variant>
      <vt:variant>
        <vt:lpwstr>_ENREF_211</vt:lpwstr>
      </vt:variant>
      <vt:variant>
        <vt:i4>4194315</vt:i4>
      </vt:variant>
      <vt:variant>
        <vt:i4>6238</vt:i4>
      </vt:variant>
      <vt:variant>
        <vt:i4>0</vt:i4>
      </vt:variant>
      <vt:variant>
        <vt:i4>5</vt:i4>
      </vt:variant>
      <vt:variant>
        <vt:lpwstr/>
      </vt:variant>
      <vt:variant>
        <vt:lpwstr>_ENREF_15</vt:lpwstr>
      </vt:variant>
      <vt:variant>
        <vt:i4>4784139</vt:i4>
      </vt:variant>
      <vt:variant>
        <vt:i4>6232</vt:i4>
      </vt:variant>
      <vt:variant>
        <vt:i4>0</vt:i4>
      </vt:variant>
      <vt:variant>
        <vt:i4>5</vt:i4>
      </vt:variant>
      <vt:variant>
        <vt:lpwstr/>
      </vt:variant>
      <vt:variant>
        <vt:lpwstr>_ENREF_83</vt:lpwstr>
      </vt:variant>
      <vt:variant>
        <vt:i4>7340088</vt:i4>
      </vt:variant>
      <vt:variant>
        <vt:i4>6226</vt:i4>
      </vt:variant>
      <vt:variant>
        <vt:i4>0</vt:i4>
      </vt:variant>
      <vt:variant>
        <vt:i4>5</vt:i4>
      </vt:variant>
      <vt:variant>
        <vt:lpwstr/>
      </vt:variant>
      <vt:variant>
        <vt:lpwstr>_ENREF_233</vt:lpwstr>
      </vt:variant>
      <vt:variant>
        <vt:i4>7471167</vt:i4>
      </vt:variant>
      <vt:variant>
        <vt:i4>6220</vt:i4>
      </vt:variant>
      <vt:variant>
        <vt:i4>0</vt:i4>
      </vt:variant>
      <vt:variant>
        <vt:i4>5</vt:i4>
      </vt:variant>
      <vt:variant>
        <vt:lpwstr/>
      </vt:variant>
      <vt:variant>
        <vt:lpwstr>_ENREF_241</vt:lpwstr>
      </vt:variant>
      <vt:variant>
        <vt:i4>7405624</vt:i4>
      </vt:variant>
      <vt:variant>
        <vt:i4>6214</vt:i4>
      </vt:variant>
      <vt:variant>
        <vt:i4>0</vt:i4>
      </vt:variant>
      <vt:variant>
        <vt:i4>5</vt:i4>
      </vt:variant>
      <vt:variant>
        <vt:lpwstr/>
      </vt:variant>
      <vt:variant>
        <vt:lpwstr>_ENREF_232</vt:lpwstr>
      </vt:variant>
      <vt:variant>
        <vt:i4>7471162</vt:i4>
      </vt:variant>
      <vt:variant>
        <vt:i4>6208</vt:i4>
      </vt:variant>
      <vt:variant>
        <vt:i4>0</vt:i4>
      </vt:variant>
      <vt:variant>
        <vt:i4>5</vt:i4>
      </vt:variant>
      <vt:variant>
        <vt:lpwstr/>
      </vt:variant>
      <vt:variant>
        <vt:lpwstr>_ENREF_112</vt:lpwstr>
      </vt:variant>
      <vt:variant>
        <vt:i4>7471160</vt:i4>
      </vt:variant>
      <vt:variant>
        <vt:i4>6202</vt:i4>
      </vt:variant>
      <vt:variant>
        <vt:i4>0</vt:i4>
      </vt:variant>
      <vt:variant>
        <vt:i4>5</vt:i4>
      </vt:variant>
      <vt:variant>
        <vt:lpwstr/>
      </vt:variant>
      <vt:variant>
        <vt:lpwstr>_ENREF_132</vt:lpwstr>
      </vt:variant>
      <vt:variant>
        <vt:i4>7864378</vt:i4>
      </vt:variant>
      <vt:variant>
        <vt:i4>6196</vt:i4>
      </vt:variant>
      <vt:variant>
        <vt:i4>0</vt:i4>
      </vt:variant>
      <vt:variant>
        <vt:i4>5</vt:i4>
      </vt:variant>
      <vt:variant>
        <vt:lpwstr/>
      </vt:variant>
      <vt:variant>
        <vt:lpwstr>_ENREF_118</vt:lpwstr>
      </vt:variant>
      <vt:variant>
        <vt:i4>7798846</vt:i4>
      </vt:variant>
      <vt:variant>
        <vt:i4>6190</vt:i4>
      </vt:variant>
      <vt:variant>
        <vt:i4>0</vt:i4>
      </vt:variant>
      <vt:variant>
        <vt:i4>5</vt:i4>
      </vt:variant>
      <vt:variant>
        <vt:lpwstr/>
      </vt:variant>
      <vt:variant>
        <vt:lpwstr>_ENREF_157</vt:lpwstr>
      </vt:variant>
      <vt:variant>
        <vt:i4>4194315</vt:i4>
      </vt:variant>
      <vt:variant>
        <vt:i4>6184</vt:i4>
      </vt:variant>
      <vt:variant>
        <vt:i4>0</vt:i4>
      </vt:variant>
      <vt:variant>
        <vt:i4>5</vt:i4>
      </vt:variant>
      <vt:variant>
        <vt:lpwstr/>
      </vt:variant>
      <vt:variant>
        <vt:lpwstr>_ENREF_12</vt:lpwstr>
      </vt:variant>
      <vt:variant>
        <vt:i4>7340089</vt:i4>
      </vt:variant>
      <vt:variant>
        <vt:i4>6178</vt:i4>
      </vt:variant>
      <vt:variant>
        <vt:i4>0</vt:i4>
      </vt:variant>
      <vt:variant>
        <vt:i4>5</vt:i4>
      </vt:variant>
      <vt:variant>
        <vt:lpwstr/>
      </vt:variant>
      <vt:variant>
        <vt:lpwstr>_ENREF_223</vt:lpwstr>
      </vt:variant>
      <vt:variant>
        <vt:i4>4718603</vt:i4>
      </vt:variant>
      <vt:variant>
        <vt:i4>6172</vt:i4>
      </vt:variant>
      <vt:variant>
        <vt:i4>0</vt:i4>
      </vt:variant>
      <vt:variant>
        <vt:i4>5</vt:i4>
      </vt:variant>
      <vt:variant>
        <vt:lpwstr/>
      </vt:variant>
      <vt:variant>
        <vt:lpwstr>_ENREF_99</vt:lpwstr>
      </vt:variant>
      <vt:variant>
        <vt:i4>7471165</vt:i4>
      </vt:variant>
      <vt:variant>
        <vt:i4>6166</vt:i4>
      </vt:variant>
      <vt:variant>
        <vt:i4>0</vt:i4>
      </vt:variant>
      <vt:variant>
        <vt:i4>5</vt:i4>
      </vt:variant>
      <vt:variant>
        <vt:lpwstr/>
      </vt:variant>
      <vt:variant>
        <vt:lpwstr>_ENREF_162</vt:lpwstr>
      </vt:variant>
      <vt:variant>
        <vt:i4>4521995</vt:i4>
      </vt:variant>
      <vt:variant>
        <vt:i4>6160</vt:i4>
      </vt:variant>
      <vt:variant>
        <vt:i4>0</vt:i4>
      </vt:variant>
      <vt:variant>
        <vt:i4>5</vt:i4>
      </vt:variant>
      <vt:variant>
        <vt:lpwstr/>
      </vt:variant>
      <vt:variant>
        <vt:lpwstr>_ENREF_44</vt:lpwstr>
      </vt:variant>
      <vt:variant>
        <vt:i4>4194315</vt:i4>
      </vt:variant>
      <vt:variant>
        <vt:i4>6154</vt:i4>
      </vt:variant>
      <vt:variant>
        <vt:i4>0</vt:i4>
      </vt:variant>
      <vt:variant>
        <vt:i4>5</vt:i4>
      </vt:variant>
      <vt:variant>
        <vt:lpwstr/>
      </vt:variant>
      <vt:variant>
        <vt:lpwstr>_ENREF_16</vt:lpwstr>
      </vt:variant>
      <vt:variant>
        <vt:i4>7798847</vt:i4>
      </vt:variant>
      <vt:variant>
        <vt:i4>6148</vt:i4>
      </vt:variant>
      <vt:variant>
        <vt:i4>0</vt:i4>
      </vt:variant>
      <vt:variant>
        <vt:i4>5</vt:i4>
      </vt:variant>
      <vt:variant>
        <vt:lpwstr/>
      </vt:variant>
      <vt:variant>
        <vt:lpwstr>_ENREF_244</vt:lpwstr>
      </vt:variant>
      <vt:variant>
        <vt:i4>7536699</vt:i4>
      </vt:variant>
      <vt:variant>
        <vt:i4>6142</vt:i4>
      </vt:variant>
      <vt:variant>
        <vt:i4>0</vt:i4>
      </vt:variant>
      <vt:variant>
        <vt:i4>5</vt:i4>
      </vt:variant>
      <vt:variant>
        <vt:lpwstr/>
      </vt:variant>
      <vt:variant>
        <vt:lpwstr>_ENREF_200</vt:lpwstr>
      </vt:variant>
      <vt:variant>
        <vt:i4>7536697</vt:i4>
      </vt:variant>
      <vt:variant>
        <vt:i4>6136</vt:i4>
      </vt:variant>
      <vt:variant>
        <vt:i4>0</vt:i4>
      </vt:variant>
      <vt:variant>
        <vt:i4>5</vt:i4>
      </vt:variant>
      <vt:variant>
        <vt:lpwstr/>
      </vt:variant>
      <vt:variant>
        <vt:lpwstr>_ENREF_123</vt:lpwstr>
      </vt:variant>
      <vt:variant>
        <vt:i4>7864370</vt:i4>
      </vt:variant>
      <vt:variant>
        <vt:i4>6130</vt:i4>
      </vt:variant>
      <vt:variant>
        <vt:i4>0</vt:i4>
      </vt:variant>
      <vt:variant>
        <vt:i4>5</vt:i4>
      </vt:variant>
      <vt:variant>
        <vt:lpwstr/>
      </vt:variant>
      <vt:variant>
        <vt:lpwstr>_ENREF_198</vt:lpwstr>
      </vt:variant>
      <vt:variant>
        <vt:i4>4718603</vt:i4>
      </vt:variant>
      <vt:variant>
        <vt:i4>6124</vt:i4>
      </vt:variant>
      <vt:variant>
        <vt:i4>0</vt:i4>
      </vt:variant>
      <vt:variant>
        <vt:i4>5</vt:i4>
      </vt:variant>
      <vt:variant>
        <vt:lpwstr/>
      </vt:variant>
      <vt:variant>
        <vt:lpwstr>_ENREF_97</vt:lpwstr>
      </vt:variant>
      <vt:variant>
        <vt:i4>7733305</vt:i4>
      </vt:variant>
      <vt:variant>
        <vt:i4>6118</vt:i4>
      </vt:variant>
      <vt:variant>
        <vt:i4>0</vt:i4>
      </vt:variant>
      <vt:variant>
        <vt:i4>5</vt:i4>
      </vt:variant>
      <vt:variant>
        <vt:lpwstr/>
      </vt:variant>
      <vt:variant>
        <vt:lpwstr>_ENREF_225</vt:lpwstr>
      </vt:variant>
      <vt:variant>
        <vt:i4>4194315</vt:i4>
      </vt:variant>
      <vt:variant>
        <vt:i4>6112</vt:i4>
      </vt:variant>
      <vt:variant>
        <vt:i4>0</vt:i4>
      </vt:variant>
      <vt:variant>
        <vt:i4>5</vt:i4>
      </vt:variant>
      <vt:variant>
        <vt:lpwstr/>
      </vt:variant>
      <vt:variant>
        <vt:lpwstr>_ENREF_19</vt:lpwstr>
      </vt:variant>
      <vt:variant>
        <vt:i4>7405618</vt:i4>
      </vt:variant>
      <vt:variant>
        <vt:i4>6106</vt:i4>
      </vt:variant>
      <vt:variant>
        <vt:i4>0</vt:i4>
      </vt:variant>
      <vt:variant>
        <vt:i4>5</vt:i4>
      </vt:variant>
      <vt:variant>
        <vt:lpwstr/>
      </vt:variant>
      <vt:variant>
        <vt:lpwstr>_ENREF_191</vt:lpwstr>
      </vt:variant>
      <vt:variant>
        <vt:i4>7733305</vt:i4>
      </vt:variant>
      <vt:variant>
        <vt:i4>6100</vt:i4>
      </vt:variant>
      <vt:variant>
        <vt:i4>0</vt:i4>
      </vt:variant>
      <vt:variant>
        <vt:i4>5</vt:i4>
      </vt:variant>
      <vt:variant>
        <vt:lpwstr/>
      </vt:variant>
      <vt:variant>
        <vt:lpwstr>_ENREF_126</vt:lpwstr>
      </vt:variant>
      <vt:variant>
        <vt:i4>7667769</vt:i4>
      </vt:variant>
      <vt:variant>
        <vt:i4>6094</vt:i4>
      </vt:variant>
      <vt:variant>
        <vt:i4>0</vt:i4>
      </vt:variant>
      <vt:variant>
        <vt:i4>5</vt:i4>
      </vt:variant>
      <vt:variant>
        <vt:lpwstr/>
      </vt:variant>
      <vt:variant>
        <vt:lpwstr>_ENREF_125</vt:lpwstr>
      </vt:variant>
      <vt:variant>
        <vt:i4>7602239</vt:i4>
      </vt:variant>
      <vt:variant>
        <vt:i4>6088</vt:i4>
      </vt:variant>
      <vt:variant>
        <vt:i4>0</vt:i4>
      </vt:variant>
      <vt:variant>
        <vt:i4>5</vt:i4>
      </vt:variant>
      <vt:variant>
        <vt:lpwstr/>
      </vt:variant>
      <vt:variant>
        <vt:lpwstr>_ENREF_247</vt:lpwstr>
      </vt:variant>
      <vt:variant>
        <vt:i4>4784139</vt:i4>
      </vt:variant>
      <vt:variant>
        <vt:i4>6028</vt:i4>
      </vt:variant>
      <vt:variant>
        <vt:i4>0</vt:i4>
      </vt:variant>
      <vt:variant>
        <vt:i4>5</vt:i4>
      </vt:variant>
      <vt:variant>
        <vt:lpwstr/>
      </vt:variant>
      <vt:variant>
        <vt:lpwstr>_ENREF_89</vt:lpwstr>
      </vt:variant>
      <vt:variant>
        <vt:i4>4653067</vt:i4>
      </vt:variant>
      <vt:variant>
        <vt:i4>6001</vt:i4>
      </vt:variant>
      <vt:variant>
        <vt:i4>0</vt:i4>
      </vt:variant>
      <vt:variant>
        <vt:i4>5</vt:i4>
      </vt:variant>
      <vt:variant>
        <vt:lpwstr/>
      </vt:variant>
      <vt:variant>
        <vt:lpwstr>_ENREF_6</vt:lpwstr>
      </vt:variant>
      <vt:variant>
        <vt:i4>4784139</vt:i4>
      </vt:variant>
      <vt:variant>
        <vt:i4>5992</vt:i4>
      </vt:variant>
      <vt:variant>
        <vt:i4>0</vt:i4>
      </vt:variant>
      <vt:variant>
        <vt:i4>5</vt:i4>
      </vt:variant>
      <vt:variant>
        <vt:lpwstr/>
      </vt:variant>
      <vt:variant>
        <vt:lpwstr>_ENREF_88</vt:lpwstr>
      </vt:variant>
      <vt:variant>
        <vt:i4>4521995</vt:i4>
      </vt:variant>
      <vt:variant>
        <vt:i4>5986</vt:i4>
      </vt:variant>
      <vt:variant>
        <vt:i4>0</vt:i4>
      </vt:variant>
      <vt:variant>
        <vt:i4>5</vt:i4>
      </vt:variant>
      <vt:variant>
        <vt:lpwstr/>
      </vt:variant>
      <vt:variant>
        <vt:lpwstr>_ENREF_41</vt:lpwstr>
      </vt:variant>
      <vt:variant>
        <vt:i4>4390923</vt:i4>
      </vt:variant>
      <vt:variant>
        <vt:i4>5982</vt:i4>
      </vt:variant>
      <vt:variant>
        <vt:i4>0</vt:i4>
      </vt:variant>
      <vt:variant>
        <vt:i4>5</vt:i4>
      </vt:variant>
      <vt:variant>
        <vt:lpwstr/>
      </vt:variant>
      <vt:variant>
        <vt:lpwstr>_ENREF_26</vt:lpwstr>
      </vt:variant>
      <vt:variant>
        <vt:i4>4194315</vt:i4>
      </vt:variant>
      <vt:variant>
        <vt:i4>5979</vt:i4>
      </vt:variant>
      <vt:variant>
        <vt:i4>0</vt:i4>
      </vt:variant>
      <vt:variant>
        <vt:i4>5</vt:i4>
      </vt:variant>
      <vt:variant>
        <vt:lpwstr/>
      </vt:variant>
      <vt:variant>
        <vt:lpwstr>_ENREF_13</vt:lpwstr>
      </vt:variant>
      <vt:variant>
        <vt:i4>7471165</vt:i4>
      </vt:variant>
      <vt:variant>
        <vt:i4>5976</vt:i4>
      </vt:variant>
      <vt:variant>
        <vt:i4>0</vt:i4>
      </vt:variant>
      <vt:variant>
        <vt:i4>5</vt:i4>
      </vt:variant>
      <vt:variant>
        <vt:lpwstr/>
      </vt:variant>
      <vt:variant>
        <vt:lpwstr>_ENREF_261</vt:lpwstr>
      </vt:variant>
      <vt:variant>
        <vt:i4>7733309</vt:i4>
      </vt:variant>
      <vt:variant>
        <vt:i4>5973</vt:i4>
      </vt:variant>
      <vt:variant>
        <vt:i4>0</vt:i4>
      </vt:variant>
      <vt:variant>
        <vt:i4>5</vt:i4>
      </vt:variant>
      <vt:variant>
        <vt:lpwstr/>
      </vt:variant>
      <vt:variant>
        <vt:lpwstr>_ENREF_166</vt:lpwstr>
      </vt:variant>
      <vt:variant>
        <vt:i4>7929906</vt:i4>
      </vt:variant>
      <vt:variant>
        <vt:i4>5963</vt:i4>
      </vt:variant>
      <vt:variant>
        <vt:i4>0</vt:i4>
      </vt:variant>
      <vt:variant>
        <vt:i4>5</vt:i4>
      </vt:variant>
      <vt:variant>
        <vt:lpwstr/>
      </vt:variant>
      <vt:variant>
        <vt:lpwstr>_ENREF_199</vt:lpwstr>
      </vt:variant>
      <vt:variant>
        <vt:i4>4325387</vt:i4>
      </vt:variant>
      <vt:variant>
        <vt:i4>5957</vt:i4>
      </vt:variant>
      <vt:variant>
        <vt:i4>0</vt:i4>
      </vt:variant>
      <vt:variant>
        <vt:i4>5</vt:i4>
      </vt:variant>
      <vt:variant>
        <vt:lpwstr/>
      </vt:variant>
      <vt:variant>
        <vt:lpwstr>_ENREF_38</vt:lpwstr>
      </vt:variant>
      <vt:variant>
        <vt:i4>7536700</vt:i4>
      </vt:variant>
      <vt:variant>
        <vt:i4>5951</vt:i4>
      </vt:variant>
      <vt:variant>
        <vt:i4>0</vt:i4>
      </vt:variant>
      <vt:variant>
        <vt:i4>5</vt:i4>
      </vt:variant>
      <vt:variant>
        <vt:lpwstr/>
      </vt:variant>
      <vt:variant>
        <vt:lpwstr>_ENREF_173</vt:lpwstr>
      </vt:variant>
      <vt:variant>
        <vt:i4>7536691</vt:i4>
      </vt:variant>
      <vt:variant>
        <vt:i4>5941</vt:i4>
      </vt:variant>
      <vt:variant>
        <vt:i4>0</vt:i4>
      </vt:variant>
      <vt:variant>
        <vt:i4>5</vt:i4>
      </vt:variant>
      <vt:variant>
        <vt:lpwstr/>
      </vt:variant>
      <vt:variant>
        <vt:lpwstr>_ENREF_183</vt:lpwstr>
      </vt:variant>
      <vt:variant>
        <vt:i4>7602238</vt:i4>
      </vt:variant>
      <vt:variant>
        <vt:i4>5938</vt:i4>
      </vt:variant>
      <vt:variant>
        <vt:i4>0</vt:i4>
      </vt:variant>
      <vt:variant>
        <vt:i4>5</vt:i4>
      </vt:variant>
      <vt:variant>
        <vt:lpwstr/>
      </vt:variant>
      <vt:variant>
        <vt:lpwstr>_ENREF_154</vt:lpwstr>
      </vt:variant>
      <vt:variant>
        <vt:i4>7667763</vt:i4>
      </vt:variant>
      <vt:variant>
        <vt:i4>5935</vt:i4>
      </vt:variant>
      <vt:variant>
        <vt:i4>0</vt:i4>
      </vt:variant>
      <vt:variant>
        <vt:i4>5</vt:i4>
      </vt:variant>
      <vt:variant>
        <vt:lpwstr/>
      </vt:variant>
      <vt:variant>
        <vt:lpwstr>_ENREF_185</vt:lpwstr>
      </vt:variant>
      <vt:variant>
        <vt:i4>7340083</vt:i4>
      </vt:variant>
      <vt:variant>
        <vt:i4>5925</vt:i4>
      </vt:variant>
      <vt:variant>
        <vt:i4>0</vt:i4>
      </vt:variant>
      <vt:variant>
        <vt:i4>5</vt:i4>
      </vt:variant>
      <vt:variant>
        <vt:lpwstr/>
      </vt:variant>
      <vt:variant>
        <vt:lpwstr>_ENREF_180</vt:lpwstr>
      </vt:variant>
      <vt:variant>
        <vt:i4>3604542</vt:i4>
      </vt:variant>
      <vt:variant>
        <vt:i4>5916</vt:i4>
      </vt:variant>
      <vt:variant>
        <vt:i4>0</vt:i4>
      </vt:variant>
      <vt:variant>
        <vt:i4>5</vt:i4>
      </vt:variant>
      <vt:variant>
        <vt:lpwstr>http://www.nata.asn.au/</vt:lpwstr>
      </vt:variant>
      <vt:variant>
        <vt:lpwstr/>
      </vt:variant>
      <vt:variant>
        <vt:i4>7602236</vt:i4>
      </vt:variant>
      <vt:variant>
        <vt:i4>5901</vt:i4>
      </vt:variant>
      <vt:variant>
        <vt:i4>0</vt:i4>
      </vt:variant>
      <vt:variant>
        <vt:i4>5</vt:i4>
      </vt:variant>
      <vt:variant>
        <vt:lpwstr/>
      </vt:variant>
      <vt:variant>
        <vt:lpwstr>_ENREF_174</vt:lpwstr>
      </vt:variant>
      <vt:variant>
        <vt:i4>7536703</vt:i4>
      </vt:variant>
      <vt:variant>
        <vt:i4>5892</vt:i4>
      </vt:variant>
      <vt:variant>
        <vt:i4>0</vt:i4>
      </vt:variant>
      <vt:variant>
        <vt:i4>5</vt:i4>
      </vt:variant>
      <vt:variant>
        <vt:lpwstr/>
      </vt:variant>
      <vt:variant>
        <vt:lpwstr>_ENREF_143</vt:lpwstr>
      </vt:variant>
      <vt:variant>
        <vt:i4>7405628</vt:i4>
      </vt:variant>
      <vt:variant>
        <vt:i4>5886</vt:i4>
      </vt:variant>
      <vt:variant>
        <vt:i4>0</vt:i4>
      </vt:variant>
      <vt:variant>
        <vt:i4>5</vt:i4>
      </vt:variant>
      <vt:variant>
        <vt:lpwstr/>
      </vt:variant>
      <vt:variant>
        <vt:lpwstr>_ENREF_171</vt:lpwstr>
      </vt:variant>
      <vt:variant>
        <vt:i4>7929913</vt:i4>
      </vt:variant>
      <vt:variant>
        <vt:i4>5880</vt:i4>
      </vt:variant>
      <vt:variant>
        <vt:i4>0</vt:i4>
      </vt:variant>
      <vt:variant>
        <vt:i4>5</vt:i4>
      </vt:variant>
      <vt:variant>
        <vt:lpwstr/>
      </vt:variant>
      <vt:variant>
        <vt:lpwstr>_ENREF_129</vt:lpwstr>
      </vt:variant>
      <vt:variant>
        <vt:i4>7471155</vt:i4>
      </vt:variant>
      <vt:variant>
        <vt:i4>5874</vt:i4>
      </vt:variant>
      <vt:variant>
        <vt:i4>0</vt:i4>
      </vt:variant>
      <vt:variant>
        <vt:i4>5</vt:i4>
      </vt:variant>
      <vt:variant>
        <vt:lpwstr/>
      </vt:variant>
      <vt:variant>
        <vt:lpwstr>_ENREF_182</vt:lpwstr>
      </vt:variant>
      <vt:variant>
        <vt:i4>7602236</vt:i4>
      </vt:variant>
      <vt:variant>
        <vt:i4>5868</vt:i4>
      </vt:variant>
      <vt:variant>
        <vt:i4>0</vt:i4>
      </vt:variant>
      <vt:variant>
        <vt:i4>5</vt:i4>
      </vt:variant>
      <vt:variant>
        <vt:lpwstr/>
      </vt:variant>
      <vt:variant>
        <vt:lpwstr>_ENREF_174</vt:lpwstr>
      </vt:variant>
      <vt:variant>
        <vt:i4>7929917</vt:i4>
      </vt:variant>
      <vt:variant>
        <vt:i4>5859</vt:i4>
      </vt:variant>
      <vt:variant>
        <vt:i4>0</vt:i4>
      </vt:variant>
      <vt:variant>
        <vt:i4>5</vt:i4>
      </vt:variant>
      <vt:variant>
        <vt:lpwstr/>
      </vt:variant>
      <vt:variant>
        <vt:lpwstr>_ENREF_169</vt:lpwstr>
      </vt:variant>
      <vt:variant>
        <vt:i4>7340094</vt:i4>
      </vt:variant>
      <vt:variant>
        <vt:i4>5850</vt:i4>
      </vt:variant>
      <vt:variant>
        <vt:i4>0</vt:i4>
      </vt:variant>
      <vt:variant>
        <vt:i4>5</vt:i4>
      </vt:variant>
      <vt:variant>
        <vt:lpwstr/>
      </vt:variant>
      <vt:variant>
        <vt:lpwstr>_ENREF_253</vt:lpwstr>
      </vt:variant>
      <vt:variant>
        <vt:i4>7733308</vt:i4>
      </vt:variant>
      <vt:variant>
        <vt:i4>5844</vt:i4>
      </vt:variant>
      <vt:variant>
        <vt:i4>0</vt:i4>
      </vt:variant>
      <vt:variant>
        <vt:i4>5</vt:i4>
      </vt:variant>
      <vt:variant>
        <vt:lpwstr/>
      </vt:variant>
      <vt:variant>
        <vt:lpwstr>_ENREF_176</vt:lpwstr>
      </vt:variant>
      <vt:variant>
        <vt:i4>4653067</vt:i4>
      </vt:variant>
      <vt:variant>
        <vt:i4>5832</vt:i4>
      </vt:variant>
      <vt:variant>
        <vt:i4>0</vt:i4>
      </vt:variant>
      <vt:variant>
        <vt:i4>5</vt:i4>
      </vt:variant>
      <vt:variant>
        <vt:lpwstr/>
      </vt:variant>
      <vt:variant>
        <vt:lpwstr>_ENREF_64</vt:lpwstr>
      </vt:variant>
      <vt:variant>
        <vt:i4>7667771</vt:i4>
      </vt:variant>
      <vt:variant>
        <vt:i4>5709</vt:i4>
      </vt:variant>
      <vt:variant>
        <vt:i4>0</vt:i4>
      </vt:variant>
      <vt:variant>
        <vt:i4>5</vt:i4>
      </vt:variant>
      <vt:variant>
        <vt:lpwstr/>
      </vt:variant>
      <vt:variant>
        <vt:lpwstr>_ENREF_105</vt:lpwstr>
      </vt:variant>
      <vt:variant>
        <vt:i4>7340090</vt:i4>
      </vt:variant>
      <vt:variant>
        <vt:i4>5705</vt:i4>
      </vt:variant>
      <vt:variant>
        <vt:i4>0</vt:i4>
      </vt:variant>
      <vt:variant>
        <vt:i4>5</vt:i4>
      </vt:variant>
      <vt:variant>
        <vt:lpwstr/>
      </vt:variant>
      <vt:variant>
        <vt:lpwstr>_ENREF_110</vt:lpwstr>
      </vt:variant>
      <vt:variant>
        <vt:i4>4718603</vt:i4>
      </vt:variant>
      <vt:variant>
        <vt:i4>5702</vt:i4>
      </vt:variant>
      <vt:variant>
        <vt:i4>0</vt:i4>
      </vt:variant>
      <vt:variant>
        <vt:i4>5</vt:i4>
      </vt:variant>
      <vt:variant>
        <vt:lpwstr/>
      </vt:variant>
      <vt:variant>
        <vt:lpwstr>_ENREF_93</vt:lpwstr>
      </vt:variant>
      <vt:variant>
        <vt:i4>4194315</vt:i4>
      </vt:variant>
      <vt:variant>
        <vt:i4>5699</vt:i4>
      </vt:variant>
      <vt:variant>
        <vt:i4>0</vt:i4>
      </vt:variant>
      <vt:variant>
        <vt:i4>5</vt:i4>
      </vt:variant>
      <vt:variant>
        <vt:lpwstr/>
      </vt:variant>
      <vt:variant>
        <vt:lpwstr>_ENREF_10</vt:lpwstr>
      </vt:variant>
      <vt:variant>
        <vt:i4>7929914</vt:i4>
      </vt:variant>
      <vt:variant>
        <vt:i4>5691</vt:i4>
      </vt:variant>
      <vt:variant>
        <vt:i4>0</vt:i4>
      </vt:variant>
      <vt:variant>
        <vt:i4>5</vt:i4>
      </vt:variant>
      <vt:variant>
        <vt:lpwstr/>
      </vt:variant>
      <vt:variant>
        <vt:lpwstr>_ENREF_119</vt:lpwstr>
      </vt:variant>
      <vt:variant>
        <vt:i4>4325387</vt:i4>
      </vt:variant>
      <vt:variant>
        <vt:i4>5688</vt:i4>
      </vt:variant>
      <vt:variant>
        <vt:i4>0</vt:i4>
      </vt:variant>
      <vt:variant>
        <vt:i4>5</vt:i4>
      </vt:variant>
      <vt:variant>
        <vt:lpwstr/>
      </vt:variant>
      <vt:variant>
        <vt:lpwstr>_ENREF_3</vt:lpwstr>
      </vt:variant>
      <vt:variant>
        <vt:i4>7733308</vt:i4>
      </vt:variant>
      <vt:variant>
        <vt:i4>5627</vt:i4>
      </vt:variant>
      <vt:variant>
        <vt:i4>0</vt:i4>
      </vt:variant>
      <vt:variant>
        <vt:i4>5</vt:i4>
      </vt:variant>
      <vt:variant>
        <vt:lpwstr/>
      </vt:variant>
      <vt:variant>
        <vt:lpwstr>_ENREF_176</vt:lpwstr>
      </vt:variant>
      <vt:variant>
        <vt:i4>7864371</vt:i4>
      </vt:variant>
      <vt:variant>
        <vt:i4>5615</vt:i4>
      </vt:variant>
      <vt:variant>
        <vt:i4>0</vt:i4>
      </vt:variant>
      <vt:variant>
        <vt:i4>5</vt:i4>
      </vt:variant>
      <vt:variant>
        <vt:lpwstr/>
      </vt:variant>
      <vt:variant>
        <vt:lpwstr>_ENREF_188</vt:lpwstr>
      </vt:variant>
      <vt:variant>
        <vt:i4>7864371</vt:i4>
      </vt:variant>
      <vt:variant>
        <vt:i4>5609</vt:i4>
      </vt:variant>
      <vt:variant>
        <vt:i4>0</vt:i4>
      </vt:variant>
      <vt:variant>
        <vt:i4>5</vt:i4>
      </vt:variant>
      <vt:variant>
        <vt:lpwstr/>
      </vt:variant>
      <vt:variant>
        <vt:lpwstr>_ENREF_188</vt:lpwstr>
      </vt:variant>
      <vt:variant>
        <vt:i4>4521995</vt:i4>
      </vt:variant>
      <vt:variant>
        <vt:i4>5603</vt:i4>
      </vt:variant>
      <vt:variant>
        <vt:i4>0</vt:i4>
      </vt:variant>
      <vt:variant>
        <vt:i4>5</vt:i4>
      </vt:variant>
      <vt:variant>
        <vt:lpwstr/>
      </vt:variant>
      <vt:variant>
        <vt:lpwstr>_ENREF_47</vt:lpwstr>
      </vt:variant>
      <vt:variant>
        <vt:i4>7864371</vt:i4>
      </vt:variant>
      <vt:variant>
        <vt:i4>5597</vt:i4>
      </vt:variant>
      <vt:variant>
        <vt:i4>0</vt:i4>
      </vt:variant>
      <vt:variant>
        <vt:i4>5</vt:i4>
      </vt:variant>
      <vt:variant>
        <vt:lpwstr/>
      </vt:variant>
      <vt:variant>
        <vt:lpwstr>_ENREF_188</vt:lpwstr>
      </vt:variant>
      <vt:variant>
        <vt:i4>7602234</vt:i4>
      </vt:variant>
      <vt:variant>
        <vt:i4>5591</vt:i4>
      </vt:variant>
      <vt:variant>
        <vt:i4>0</vt:i4>
      </vt:variant>
      <vt:variant>
        <vt:i4>5</vt:i4>
      </vt:variant>
      <vt:variant>
        <vt:lpwstr/>
      </vt:variant>
      <vt:variant>
        <vt:lpwstr>_ENREF_217</vt:lpwstr>
      </vt:variant>
      <vt:variant>
        <vt:i4>7405630</vt:i4>
      </vt:variant>
      <vt:variant>
        <vt:i4>5585</vt:i4>
      </vt:variant>
      <vt:variant>
        <vt:i4>0</vt:i4>
      </vt:variant>
      <vt:variant>
        <vt:i4>5</vt:i4>
      </vt:variant>
      <vt:variant>
        <vt:lpwstr/>
      </vt:variant>
      <vt:variant>
        <vt:lpwstr>_ENREF_151</vt:lpwstr>
      </vt:variant>
      <vt:variant>
        <vt:i4>7405627</vt:i4>
      </vt:variant>
      <vt:variant>
        <vt:i4>5579</vt:i4>
      </vt:variant>
      <vt:variant>
        <vt:i4>0</vt:i4>
      </vt:variant>
      <vt:variant>
        <vt:i4>5</vt:i4>
      </vt:variant>
      <vt:variant>
        <vt:lpwstr/>
      </vt:variant>
      <vt:variant>
        <vt:lpwstr>_ENREF_101</vt:lpwstr>
      </vt:variant>
      <vt:variant>
        <vt:i4>4718603</vt:i4>
      </vt:variant>
      <vt:variant>
        <vt:i4>5573</vt:i4>
      </vt:variant>
      <vt:variant>
        <vt:i4>0</vt:i4>
      </vt:variant>
      <vt:variant>
        <vt:i4>5</vt:i4>
      </vt:variant>
      <vt:variant>
        <vt:lpwstr/>
      </vt:variant>
      <vt:variant>
        <vt:lpwstr>_ENREF_91</vt:lpwstr>
      </vt:variant>
      <vt:variant>
        <vt:i4>7733310</vt:i4>
      </vt:variant>
      <vt:variant>
        <vt:i4>5567</vt:i4>
      </vt:variant>
      <vt:variant>
        <vt:i4>0</vt:i4>
      </vt:variant>
      <vt:variant>
        <vt:i4>5</vt:i4>
      </vt:variant>
      <vt:variant>
        <vt:lpwstr/>
      </vt:variant>
      <vt:variant>
        <vt:lpwstr>_ENREF_255</vt:lpwstr>
      </vt:variant>
      <vt:variant>
        <vt:i4>4325387</vt:i4>
      </vt:variant>
      <vt:variant>
        <vt:i4>5561</vt:i4>
      </vt:variant>
      <vt:variant>
        <vt:i4>0</vt:i4>
      </vt:variant>
      <vt:variant>
        <vt:i4>5</vt:i4>
      </vt:variant>
      <vt:variant>
        <vt:lpwstr/>
      </vt:variant>
      <vt:variant>
        <vt:lpwstr>_ENREF_33</vt:lpwstr>
      </vt:variant>
      <vt:variant>
        <vt:i4>7602235</vt:i4>
      </vt:variant>
      <vt:variant>
        <vt:i4>5555</vt:i4>
      </vt:variant>
      <vt:variant>
        <vt:i4>0</vt:i4>
      </vt:variant>
      <vt:variant>
        <vt:i4>5</vt:i4>
      </vt:variant>
      <vt:variant>
        <vt:lpwstr/>
      </vt:variant>
      <vt:variant>
        <vt:lpwstr>_ENREF_104</vt:lpwstr>
      </vt:variant>
      <vt:variant>
        <vt:i4>7602235</vt:i4>
      </vt:variant>
      <vt:variant>
        <vt:i4>5549</vt:i4>
      </vt:variant>
      <vt:variant>
        <vt:i4>0</vt:i4>
      </vt:variant>
      <vt:variant>
        <vt:i4>5</vt:i4>
      </vt:variant>
      <vt:variant>
        <vt:lpwstr/>
      </vt:variant>
      <vt:variant>
        <vt:lpwstr>_ENREF_207</vt:lpwstr>
      </vt:variant>
      <vt:variant>
        <vt:i4>4325387</vt:i4>
      </vt:variant>
      <vt:variant>
        <vt:i4>5543</vt:i4>
      </vt:variant>
      <vt:variant>
        <vt:i4>0</vt:i4>
      </vt:variant>
      <vt:variant>
        <vt:i4>5</vt:i4>
      </vt:variant>
      <vt:variant>
        <vt:lpwstr/>
      </vt:variant>
      <vt:variant>
        <vt:lpwstr>_ENREF_32</vt:lpwstr>
      </vt:variant>
      <vt:variant>
        <vt:i4>4325387</vt:i4>
      </vt:variant>
      <vt:variant>
        <vt:i4>5534</vt:i4>
      </vt:variant>
      <vt:variant>
        <vt:i4>0</vt:i4>
      </vt:variant>
      <vt:variant>
        <vt:i4>5</vt:i4>
      </vt:variant>
      <vt:variant>
        <vt:lpwstr/>
      </vt:variant>
      <vt:variant>
        <vt:lpwstr>_ENREF_31</vt:lpwstr>
      </vt:variant>
      <vt:variant>
        <vt:i4>4653067</vt:i4>
      </vt:variant>
      <vt:variant>
        <vt:i4>5525</vt:i4>
      </vt:variant>
      <vt:variant>
        <vt:i4>0</vt:i4>
      </vt:variant>
      <vt:variant>
        <vt:i4>5</vt:i4>
      </vt:variant>
      <vt:variant>
        <vt:lpwstr/>
      </vt:variant>
      <vt:variant>
        <vt:lpwstr>_ENREF_66</vt:lpwstr>
      </vt:variant>
      <vt:variant>
        <vt:i4>4456459</vt:i4>
      </vt:variant>
      <vt:variant>
        <vt:i4>5504</vt:i4>
      </vt:variant>
      <vt:variant>
        <vt:i4>0</vt:i4>
      </vt:variant>
      <vt:variant>
        <vt:i4>5</vt:i4>
      </vt:variant>
      <vt:variant>
        <vt:lpwstr/>
      </vt:variant>
      <vt:variant>
        <vt:lpwstr>_ENREF_57</vt:lpwstr>
      </vt:variant>
      <vt:variant>
        <vt:i4>4325387</vt:i4>
      </vt:variant>
      <vt:variant>
        <vt:i4>5474</vt:i4>
      </vt:variant>
      <vt:variant>
        <vt:i4>0</vt:i4>
      </vt:variant>
      <vt:variant>
        <vt:i4>5</vt:i4>
      </vt:variant>
      <vt:variant>
        <vt:lpwstr/>
      </vt:variant>
      <vt:variant>
        <vt:lpwstr>_ENREF_39</vt:lpwstr>
      </vt:variant>
      <vt:variant>
        <vt:i4>7864382</vt:i4>
      </vt:variant>
      <vt:variant>
        <vt:i4>5462</vt:i4>
      </vt:variant>
      <vt:variant>
        <vt:i4>0</vt:i4>
      </vt:variant>
      <vt:variant>
        <vt:i4>5</vt:i4>
      </vt:variant>
      <vt:variant>
        <vt:lpwstr/>
      </vt:variant>
      <vt:variant>
        <vt:lpwstr>_ENREF_158</vt:lpwstr>
      </vt:variant>
      <vt:variant>
        <vt:i4>7667773</vt:i4>
      </vt:variant>
      <vt:variant>
        <vt:i4>5450</vt:i4>
      </vt:variant>
      <vt:variant>
        <vt:i4>0</vt:i4>
      </vt:variant>
      <vt:variant>
        <vt:i4>5</vt:i4>
      </vt:variant>
      <vt:variant>
        <vt:lpwstr/>
      </vt:variant>
      <vt:variant>
        <vt:lpwstr>_ENREF_165</vt:lpwstr>
      </vt:variant>
      <vt:variant>
        <vt:i4>7929914</vt:i4>
      </vt:variant>
      <vt:variant>
        <vt:i4>5389</vt:i4>
      </vt:variant>
      <vt:variant>
        <vt:i4>0</vt:i4>
      </vt:variant>
      <vt:variant>
        <vt:i4>5</vt:i4>
      </vt:variant>
      <vt:variant>
        <vt:lpwstr/>
      </vt:variant>
      <vt:variant>
        <vt:lpwstr>_ENREF_119</vt:lpwstr>
      </vt:variant>
      <vt:variant>
        <vt:i4>4325387</vt:i4>
      </vt:variant>
      <vt:variant>
        <vt:i4>5386</vt:i4>
      </vt:variant>
      <vt:variant>
        <vt:i4>0</vt:i4>
      </vt:variant>
      <vt:variant>
        <vt:i4>5</vt:i4>
      </vt:variant>
      <vt:variant>
        <vt:lpwstr/>
      </vt:variant>
      <vt:variant>
        <vt:lpwstr>_ENREF_3</vt:lpwstr>
      </vt:variant>
      <vt:variant>
        <vt:i4>4390923</vt:i4>
      </vt:variant>
      <vt:variant>
        <vt:i4>5340</vt:i4>
      </vt:variant>
      <vt:variant>
        <vt:i4>0</vt:i4>
      </vt:variant>
      <vt:variant>
        <vt:i4>5</vt:i4>
      </vt:variant>
      <vt:variant>
        <vt:lpwstr/>
      </vt:variant>
      <vt:variant>
        <vt:lpwstr>_ENREF_29</vt:lpwstr>
      </vt:variant>
      <vt:variant>
        <vt:i4>4390923</vt:i4>
      </vt:variant>
      <vt:variant>
        <vt:i4>5334</vt:i4>
      </vt:variant>
      <vt:variant>
        <vt:i4>0</vt:i4>
      </vt:variant>
      <vt:variant>
        <vt:i4>5</vt:i4>
      </vt:variant>
      <vt:variant>
        <vt:lpwstr/>
      </vt:variant>
      <vt:variant>
        <vt:lpwstr>_ENREF_29</vt:lpwstr>
      </vt:variant>
      <vt:variant>
        <vt:i4>4390923</vt:i4>
      </vt:variant>
      <vt:variant>
        <vt:i4>5328</vt:i4>
      </vt:variant>
      <vt:variant>
        <vt:i4>0</vt:i4>
      </vt:variant>
      <vt:variant>
        <vt:i4>5</vt:i4>
      </vt:variant>
      <vt:variant>
        <vt:lpwstr/>
      </vt:variant>
      <vt:variant>
        <vt:lpwstr>_ENREF_29</vt:lpwstr>
      </vt:variant>
      <vt:variant>
        <vt:i4>4390923</vt:i4>
      </vt:variant>
      <vt:variant>
        <vt:i4>5322</vt:i4>
      </vt:variant>
      <vt:variant>
        <vt:i4>0</vt:i4>
      </vt:variant>
      <vt:variant>
        <vt:i4>5</vt:i4>
      </vt:variant>
      <vt:variant>
        <vt:lpwstr/>
      </vt:variant>
      <vt:variant>
        <vt:lpwstr>_ENREF_29</vt:lpwstr>
      </vt:variant>
      <vt:variant>
        <vt:i4>4390923</vt:i4>
      </vt:variant>
      <vt:variant>
        <vt:i4>5316</vt:i4>
      </vt:variant>
      <vt:variant>
        <vt:i4>0</vt:i4>
      </vt:variant>
      <vt:variant>
        <vt:i4>5</vt:i4>
      </vt:variant>
      <vt:variant>
        <vt:lpwstr/>
      </vt:variant>
      <vt:variant>
        <vt:lpwstr>_ENREF_29</vt:lpwstr>
      </vt:variant>
      <vt:variant>
        <vt:i4>4521995</vt:i4>
      </vt:variant>
      <vt:variant>
        <vt:i4>5265</vt:i4>
      </vt:variant>
      <vt:variant>
        <vt:i4>0</vt:i4>
      </vt:variant>
      <vt:variant>
        <vt:i4>5</vt:i4>
      </vt:variant>
      <vt:variant>
        <vt:lpwstr/>
      </vt:variant>
      <vt:variant>
        <vt:lpwstr>_ENREF_48</vt:lpwstr>
      </vt:variant>
      <vt:variant>
        <vt:i4>4521995</vt:i4>
      </vt:variant>
      <vt:variant>
        <vt:i4>5259</vt:i4>
      </vt:variant>
      <vt:variant>
        <vt:i4>0</vt:i4>
      </vt:variant>
      <vt:variant>
        <vt:i4>5</vt:i4>
      </vt:variant>
      <vt:variant>
        <vt:lpwstr/>
      </vt:variant>
      <vt:variant>
        <vt:lpwstr>_ENREF_47</vt:lpwstr>
      </vt:variant>
      <vt:variant>
        <vt:i4>4521995</vt:i4>
      </vt:variant>
      <vt:variant>
        <vt:i4>5253</vt:i4>
      </vt:variant>
      <vt:variant>
        <vt:i4>0</vt:i4>
      </vt:variant>
      <vt:variant>
        <vt:i4>5</vt:i4>
      </vt:variant>
      <vt:variant>
        <vt:lpwstr/>
      </vt:variant>
      <vt:variant>
        <vt:lpwstr>_ENREF_47</vt:lpwstr>
      </vt:variant>
      <vt:variant>
        <vt:i4>7340082</vt:i4>
      </vt:variant>
      <vt:variant>
        <vt:i4>5247</vt:i4>
      </vt:variant>
      <vt:variant>
        <vt:i4>0</vt:i4>
      </vt:variant>
      <vt:variant>
        <vt:i4>5</vt:i4>
      </vt:variant>
      <vt:variant>
        <vt:lpwstr/>
      </vt:variant>
      <vt:variant>
        <vt:lpwstr>_ENREF_190</vt:lpwstr>
      </vt:variant>
      <vt:variant>
        <vt:i4>7602234</vt:i4>
      </vt:variant>
      <vt:variant>
        <vt:i4>5241</vt:i4>
      </vt:variant>
      <vt:variant>
        <vt:i4>0</vt:i4>
      </vt:variant>
      <vt:variant>
        <vt:i4>5</vt:i4>
      </vt:variant>
      <vt:variant>
        <vt:lpwstr/>
      </vt:variant>
      <vt:variant>
        <vt:lpwstr>_ENREF_217</vt:lpwstr>
      </vt:variant>
      <vt:variant>
        <vt:i4>4456459</vt:i4>
      </vt:variant>
      <vt:variant>
        <vt:i4>5235</vt:i4>
      </vt:variant>
      <vt:variant>
        <vt:i4>0</vt:i4>
      </vt:variant>
      <vt:variant>
        <vt:i4>5</vt:i4>
      </vt:variant>
      <vt:variant>
        <vt:lpwstr/>
      </vt:variant>
      <vt:variant>
        <vt:lpwstr>_ENREF_50</vt:lpwstr>
      </vt:variant>
      <vt:variant>
        <vt:i4>7471166</vt:i4>
      </vt:variant>
      <vt:variant>
        <vt:i4>5229</vt:i4>
      </vt:variant>
      <vt:variant>
        <vt:i4>0</vt:i4>
      </vt:variant>
      <vt:variant>
        <vt:i4>5</vt:i4>
      </vt:variant>
      <vt:variant>
        <vt:lpwstr/>
      </vt:variant>
      <vt:variant>
        <vt:lpwstr>_ENREF_152</vt:lpwstr>
      </vt:variant>
      <vt:variant>
        <vt:i4>4521995</vt:i4>
      </vt:variant>
      <vt:variant>
        <vt:i4>5223</vt:i4>
      </vt:variant>
      <vt:variant>
        <vt:i4>0</vt:i4>
      </vt:variant>
      <vt:variant>
        <vt:i4>5</vt:i4>
      </vt:variant>
      <vt:variant>
        <vt:lpwstr/>
      </vt:variant>
      <vt:variant>
        <vt:lpwstr>_ENREF_45</vt:lpwstr>
      </vt:variant>
      <vt:variant>
        <vt:i4>4653067</vt:i4>
      </vt:variant>
      <vt:variant>
        <vt:i4>5217</vt:i4>
      </vt:variant>
      <vt:variant>
        <vt:i4>0</vt:i4>
      </vt:variant>
      <vt:variant>
        <vt:i4>5</vt:i4>
      </vt:variant>
      <vt:variant>
        <vt:lpwstr/>
      </vt:variant>
      <vt:variant>
        <vt:lpwstr>_ENREF_67</vt:lpwstr>
      </vt:variant>
      <vt:variant>
        <vt:i4>4390923</vt:i4>
      </vt:variant>
      <vt:variant>
        <vt:i4>5205</vt:i4>
      </vt:variant>
      <vt:variant>
        <vt:i4>0</vt:i4>
      </vt:variant>
      <vt:variant>
        <vt:i4>5</vt:i4>
      </vt:variant>
      <vt:variant>
        <vt:lpwstr/>
      </vt:variant>
      <vt:variant>
        <vt:lpwstr>_ENREF_29</vt:lpwstr>
      </vt:variant>
      <vt:variant>
        <vt:i4>4456459</vt:i4>
      </vt:variant>
      <vt:variant>
        <vt:i4>5187</vt:i4>
      </vt:variant>
      <vt:variant>
        <vt:i4>0</vt:i4>
      </vt:variant>
      <vt:variant>
        <vt:i4>5</vt:i4>
      </vt:variant>
      <vt:variant>
        <vt:lpwstr/>
      </vt:variant>
      <vt:variant>
        <vt:lpwstr>_ENREF_57</vt:lpwstr>
      </vt:variant>
      <vt:variant>
        <vt:i4>4325387</vt:i4>
      </vt:variant>
      <vt:variant>
        <vt:i4>5157</vt:i4>
      </vt:variant>
      <vt:variant>
        <vt:i4>0</vt:i4>
      </vt:variant>
      <vt:variant>
        <vt:i4>5</vt:i4>
      </vt:variant>
      <vt:variant>
        <vt:lpwstr/>
      </vt:variant>
      <vt:variant>
        <vt:lpwstr>_ENREF_39</vt:lpwstr>
      </vt:variant>
      <vt:variant>
        <vt:i4>7667771</vt:i4>
      </vt:variant>
      <vt:variant>
        <vt:i4>5088</vt:i4>
      </vt:variant>
      <vt:variant>
        <vt:i4>0</vt:i4>
      </vt:variant>
      <vt:variant>
        <vt:i4>5</vt:i4>
      </vt:variant>
      <vt:variant>
        <vt:lpwstr/>
      </vt:variant>
      <vt:variant>
        <vt:lpwstr>_ENREF_105</vt:lpwstr>
      </vt:variant>
      <vt:variant>
        <vt:i4>7340090</vt:i4>
      </vt:variant>
      <vt:variant>
        <vt:i4>5084</vt:i4>
      </vt:variant>
      <vt:variant>
        <vt:i4>0</vt:i4>
      </vt:variant>
      <vt:variant>
        <vt:i4>5</vt:i4>
      </vt:variant>
      <vt:variant>
        <vt:lpwstr/>
      </vt:variant>
      <vt:variant>
        <vt:lpwstr>_ENREF_110</vt:lpwstr>
      </vt:variant>
      <vt:variant>
        <vt:i4>4718603</vt:i4>
      </vt:variant>
      <vt:variant>
        <vt:i4>5081</vt:i4>
      </vt:variant>
      <vt:variant>
        <vt:i4>0</vt:i4>
      </vt:variant>
      <vt:variant>
        <vt:i4>5</vt:i4>
      </vt:variant>
      <vt:variant>
        <vt:lpwstr/>
      </vt:variant>
      <vt:variant>
        <vt:lpwstr>_ENREF_93</vt:lpwstr>
      </vt:variant>
      <vt:variant>
        <vt:i4>4194315</vt:i4>
      </vt:variant>
      <vt:variant>
        <vt:i4>5078</vt:i4>
      </vt:variant>
      <vt:variant>
        <vt:i4>0</vt:i4>
      </vt:variant>
      <vt:variant>
        <vt:i4>5</vt:i4>
      </vt:variant>
      <vt:variant>
        <vt:lpwstr/>
      </vt:variant>
      <vt:variant>
        <vt:lpwstr>_ENREF_10</vt:lpwstr>
      </vt:variant>
      <vt:variant>
        <vt:i4>7929914</vt:i4>
      </vt:variant>
      <vt:variant>
        <vt:i4>5058</vt:i4>
      </vt:variant>
      <vt:variant>
        <vt:i4>0</vt:i4>
      </vt:variant>
      <vt:variant>
        <vt:i4>5</vt:i4>
      </vt:variant>
      <vt:variant>
        <vt:lpwstr/>
      </vt:variant>
      <vt:variant>
        <vt:lpwstr>_ENREF_119</vt:lpwstr>
      </vt:variant>
      <vt:variant>
        <vt:i4>4325387</vt:i4>
      </vt:variant>
      <vt:variant>
        <vt:i4>5055</vt:i4>
      </vt:variant>
      <vt:variant>
        <vt:i4>0</vt:i4>
      </vt:variant>
      <vt:variant>
        <vt:i4>5</vt:i4>
      </vt:variant>
      <vt:variant>
        <vt:lpwstr/>
      </vt:variant>
      <vt:variant>
        <vt:lpwstr>_ENREF_3</vt:lpwstr>
      </vt:variant>
      <vt:variant>
        <vt:i4>7798844</vt:i4>
      </vt:variant>
      <vt:variant>
        <vt:i4>4970</vt:i4>
      </vt:variant>
      <vt:variant>
        <vt:i4>0</vt:i4>
      </vt:variant>
      <vt:variant>
        <vt:i4>5</vt:i4>
      </vt:variant>
      <vt:variant>
        <vt:lpwstr/>
      </vt:variant>
      <vt:variant>
        <vt:lpwstr>_ENREF_177</vt:lpwstr>
      </vt:variant>
      <vt:variant>
        <vt:i4>4390923</vt:i4>
      </vt:variant>
      <vt:variant>
        <vt:i4>4949</vt:i4>
      </vt:variant>
      <vt:variant>
        <vt:i4>0</vt:i4>
      </vt:variant>
      <vt:variant>
        <vt:i4>5</vt:i4>
      </vt:variant>
      <vt:variant>
        <vt:lpwstr/>
      </vt:variant>
      <vt:variant>
        <vt:lpwstr>_ENREF_24</vt:lpwstr>
      </vt:variant>
      <vt:variant>
        <vt:i4>7929907</vt:i4>
      </vt:variant>
      <vt:variant>
        <vt:i4>4943</vt:i4>
      </vt:variant>
      <vt:variant>
        <vt:i4>0</vt:i4>
      </vt:variant>
      <vt:variant>
        <vt:i4>5</vt:i4>
      </vt:variant>
      <vt:variant>
        <vt:lpwstr/>
      </vt:variant>
      <vt:variant>
        <vt:lpwstr>_ENREF_189</vt:lpwstr>
      </vt:variant>
      <vt:variant>
        <vt:i4>7929907</vt:i4>
      </vt:variant>
      <vt:variant>
        <vt:i4>4937</vt:i4>
      </vt:variant>
      <vt:variant>
        <vt:i4>0</vt:i4>
      </vt:variant>
      <vt:variant>
        <vt:i4>5</vt:i4>
      </vt:variant>
      <vt:variant>
        <vt:lpwstr/>
      </vt:variant>
      <vt:variant>
        <vt:lpwstr>_ENREF_189</vt:lpwstr>
      </vt:variant>
      <vt:variant>
        <vt:i4>4521995</vt:i4>
      </vt:variant>
      <vt:variant>
        <vt:i4>4931</vt:i4>
      </vt:variant>
      <vt:variant>
        <vt:i4>0</vt:i4>
      </vt:variant>
      <vt:variant>
        <vt:i4>5</vt:i4>
      </vt:variant>
      <vt:variant>
        <vt:lpwstr/>
      </vt:variant>
      <vt:variant>
        <vt:lpwstr>_ENREF_40</vt:lpwstr>
      </vt:variant>
      <vt:variant>
        <vt:i4>7340082</vt:i4>
      </vt:variant>
      <vt:variant>
        <vt:i4>4925</vt:i4>
      </vt:variant>
      <vt:variant>
        <vt:i4>0</vt:i4>
      </vt:variant>
      <vt:variant>
        <vt:i4>5</vt:i4>
      </vt:variant>
      <vt:variant>
        <vt:lpwstr/>
      </vt:variant>
      <vt:variant>
        <vt:lpwstr>_ENREF_190</vt:lpwstr>
      </vt:variant>
      <vt:variant>
        <vt:i4>7536701</vt:i4>
      </vt:variant>
      <vt:variant>
        <vt:i4>4919</vt:i4>
      </vt:variant>
      <vt:variant>
        <vt:i4>0</vt:i4>
      </vt:variant>
      <vt:variant>
        <vt:i4>5</vt:i4>
      </vt:variant>
      <vt:variant>
        <vt:lpwstr/>
      </vt:variant>
      <vt:variant>
        <vt:lpwstr>_ENREF_163</vt:lpwstr>
      </vt:variant>
      <vt:variant>
        <vt:i4>4653067</vt:i4>
      </vt:variant>
      <vt:variant>
        <vt:i4>4910</vt:i4>
      </vt:variant>
      <vt:variant>
        <vt:i4>0</vt:i4>
      </vt:variant>
      <vt:variant>
        <vt:i4>5</vt:i4>
      </vt:variant>
      <vt:variant>
        <vt:lpwstr/>
      </vt:variant>
      <vt:variant>
        <vt:lpwstr>_ENREF_68</vt:lpwstr>
      </vt:variant>
      <vt:variant>
        <vt:i4>4653067</vt:i4>
      </vt:variant>
      <vt:variant>
        <vt:i4>4867</vt:i4>
      </vt:variant>
      <vt:variant>
        <vt:i4>0</vt:i4>
      </vt:variant>
      <vt:variant>
        <vt:i4>5</vt:i4>
      </vt:variant>
      <vt:variant>
        <vt:lpwstr/>
      </vt:variant>
      <vt:variant>
        <vt:lpwstr>_ENREF_64</vt:lpwstr>
      </vt:variant>
      <vt:variant>
        <vt:i4>4194315</vt:i4>
      </vt:variant>
      <vt:variant>
        <vt:i4>4864</vt:i4>
      </vt:variant>
      <vt:variant>
        <vt:i4>0</vt:i4>
      </vt:variant>
      <vt:variant>
        <vt:i4>5</vt:i4>
      </vt:variant>
      <vt:variant>
        <vt:lpwstr/>
      </vt:variant>
      <vt:variant>
        <vt:lpwstr>_ENREF_1</vt:lpwstr>
      </vt:variant>
      <vt:variant>
        <vt:i4>4325387</vt:i4>
      </vt:variant>
      <vt:variant>
        <vt:i4>4839</vt:i4>
      </vt:variant>
      <vt:variant>
        <vt:i4>0</vt:i4>
      </vt:variant>
      <vt:variant>
        <vt:i4>5</vt:i4>
      </vt:variant>
      <vt:variant>
        <vt:lpwstr/>
      </vt:variant>
      <vt:variant>
        <vt:lpwstr>_ENREF_39</vt:lpwstr>
      </vt:variant>
      <vt:variant>
        <vt:i4>4325387</vt:i4>
      </vt:variant>
      <vt:variant>
        <vt:i4>4830</vt:i4>
      </vt:variant>
      <vt:variant>
        <vt:i4>0</vt:i4>
      </vt:variant>
      <vt:variant>
        <vt:i4>5</vt:i4>
      </vt:variant>
      <vt:variant>
        <vt:lpwstr/>
      </vt:variant>
      <vt:variant>
        <vt:lpwstr>_ENREF_39</vt:lpwstr>
      </vt:variant>
      <vt:variant>
        <vt:i4>7929914</vt:i4>
      </vt:variant>
      <vt:variant>
        <vt:i4>4703</vt:i4>
      </vt:variant>
      <vt:variant>
        <vt:i4>0</vt:i4>
      </vt:variant>
      <vt:variant>
        <vt:i4>5</vt:i4>
      </vt:variant>
      <vt:variant>
        <vt:lpwstr/>
      </vt:variant>
      <vt:variant>
        <vt:lpwstr>_ENREF_119</vt:lpwstr>
      </vt:variant>
      <vt:variant>
        <vt:i4>4325387</vt:i4>
      </vt:variant>
      <vt:variant>
        <vt:i4>4700</vt:i4>
      </vt:variant>
      <vt:variant>
        <vt:i4>0</vt:i4>
      </vt:variant>
      <vt:variant>
        <vt:i4>5</vt:i4>
      </vt:variant>
      <vt:variant>
        <vt:lpwstr/>
      </vt:variant>
      <vt:variant>
        <vt:lpwstr>_ENREF_3</vt:lpwstr>
      </vt:variant>
      <vt:variant>
        <vt:i4>7798845</vt:i4>
      </vt:variant>
      <vt:variant>
        <vt:i4>4654</vt:i4>
      </vt:variant>
      <vt:variant>
        <vt:i4>0</vt:i4>
      </vt:variant>
      <vt:variant>
        <vt:i4>5</vt:i4>
      </vt:variant>
      <vt:variant>
        <vt:lpwstr/>
      </vt:variant>
      <vt:variant>
        <vt:lpwstr>_ENREF_167</vt:lpwstr>
      </vt:variant>
      <vt:variant>
        <vt:i4>7864381</vt:i4>
      </vt:variant>
      <vt:variant>
        <vt:i4>4648</vt:i4>
      </vt:variant>
      <vt:variant>
        <vt:i4>0</vt:i4>
      </vt:variant>
      <vt:variant>
        <vt:i4>5</vt:i4>
      </vt:variant>
      <vt:variant>
        <vt:lpwstr/>
      </vt:variant>
      <vt:variant>
        <vt:lpwstr>_ENREF_168</vt:lpwstr>
      </vt:variant>
      <vt:variant>
        <vt:i4>7864381</vt:i4>
      </vt:variant>
      <vt:variant>
        <vt:i4>4642</vt:i4>
      </vt:variant>
      <vt:variant>
        <vt:i4>0</vt:i4>
      </vt:variant>
      <vt:variant>
        <vt:i4>5</vt:i4>
      </vt:variant>
      <vt:variant>
        <vt:lpwstr/>
      </vt:variant>
      <vt:variant>
        <vt:lpwstr>_ENREF_168</vt:lpwstr>
      </vt:variant>
      <vt:variant>
        <vt:i4>7864381</vt:i4>
      </vt:variant>
      <vt:variant>
        <vt:i4>4636</vt:i4>
      </vt:variant>
      <vt:variant>
        <vt:i4>0</vt:i4>
      </vt:variant>
      <vt:variant>
        <vt:i4>5</vt:i4>
      </vt:variant>
      <vt:variant>
        <vt:lpwstr/>
      </vt:variant>
      <vt:variant>
        <vt:lpwstr>_ENREF_168</vt:lpwstr>
      </vt:variant>
      <vt:variant>
        <vt:i4>4456459</vt:i4>
      </vt:variant>
      <vt:variant>
        <vt:i4>4632</vt:i4>
      </vt:variant>
      <vt:variant>
        <vt:i4>0</vt:i4>
      </vt:variant>
      <vt:variant>
        <vt:i4>5</vt:i4>
      </vt:variant>
      <vt:variant>
        <vt:lpwstr/>
      </vt:variant>
      <vt:variant>
        <vt:lpwstr>_ENREF_53</vt:lpwstr>
      </vt:variant>
      <vt:variant>
        <vt:i4>4521995</vt:i4>
      </vt:variant>
      <vt:variant>
        <vt:i4>4629</vt:i4>
      </vt:variant>
      <vt:variant>
        <vt:i4>0</vt:i4>
      </vt:variant>
      <vt:variant>
        <vt:i4>5</vt:i4>
      </vt:variant>
      <vt:variant>
        <vt:lpwstr/>
      </vt:variant>
      <vt:variant>
        <vt:lpwstr>_ENREF_49</vt:lpwstr>
      </vt:variant>
      <vt:variant>
        <vt:i4>4587531</vt:i4>
      </vt:variant>
      <vt:variant>
        <vt:i4>4621</vt:i4>
      </vt:variant>
      <vt:variant>
        <vt:i4>0</vt:i4>
      </vt:variant>
      <vt:variant>
        <vt:i4>5</vt:i4>
      </vt:variant>
      <vt:variant>
        <vt:lpwstr/>
      </vt:variant>
      <vt:variant>
        <vt:lpwstr>_ENREF_79</vt:lpwstr>
      </vt:variant>
      <vt:variant>
        <vt:i4>4587531</vt:i4>
      </vt:variant>
      <vt:variant>
        <vt:i4>4615</vt:i4>
      </vt:variant>
      <vt:variant>
        <vt:i4>0</vt:i4>
      </vt:variant>
      <vt:variant>
        <vt:i4>5</vt:i4>
      </vt:variant>
      <vt:variant>
        <vt:lpwstr/>
      </vt:variant>
      <vt:variant>
        <vt:lpwstr>_ENREF_79</vt:lpwstr>
      </vt:variant>
      <vt:variant>
        <vt:i4>4587531</vt:i4>
      </vt:variant>
      <vt:variant>
        <vt:i4>4609</vt:i4>
      </vt:variant>
      <vt:variant>
        <vt:i4>0</vt:i4>
      </vt:variant>
      <vt:variant>
        <vt:i4>5</vt:i4>
      </vt:variant>
      <vt:variant>
        <vt:lpwstr/>
      </vt:variant>
      <vt:variant>
        <vt:lpwstr>_ENREF_79</vt:lpwstr>
      </vt:variant>
      <vt:variant>
        <vt:i4>7798844</vt:i4>
      </vt:variant>
      <vt:variant>
        <vt:i4>4573</vt:i4>
      </vt:variant>
      <vt:variant>
        <vt:i4>0</vt:i4>
      </vt:variant>
      <vt:variant>
        <vt:i4>5</vt:i4>
      </vt:variant>
      <vt:variant>
        <vt:lpwstr/>
      </vt:variant>
      <vt:variant>
        <vt:lpwstr>_ENREF_177</vt:lpwstr>
      </vt:variant>
      <vt:variant>
        <vt:i4>7667762</vt:i4>
      </vt:variant>
      <vt:variant>
        <vt:i4>4558</vt:i4>
      </vt:variant>
      <vt:variant>
        <vt:i4>0</vt:i4>
      </vt:variant>
      <vt:variant>
        <vt:i4>5</vt:i4>
      </vt:variant>
      <vt:variant>
        <vt:lpwstr/>
      </vt:variant>
      <vt:variant>
        <vt:lpwstr>_ENREF_195</vt:lpwstr>
      </vt:variant>
      <vt:variant>
        <vt:i4>7340090</vt:i4>
      </vt:variant>
      <vt:variant>
        <vt:i4>4552</vt:i4>
      </vt:variant>
      <vt:variant>
        <vt:i4>0</vt:i4>
      </vt:variant>
      <vt:variant>
        <vt:i4>5</vt:i4>
      </vt:variant>
      <vt:variant>
        <vt:lpwstr/>
      </vt:variant>
      <vt:variant>
        <vt:lpwstr>_ENREF_110</vt:lpwstr>
      </vt:variant>
      <vt:variant>
        <vt:i4>7798840</vt:i4>
      </vt:variant>
      <vt:variant>
        <vt:i4>4546</vt:i4>
      </vt:variant>
      <vt:variant>
        <vt:i4>0</vt:i4>
      </vt:variant>
      <vt:variant>
        <vt:i4>5</vt:i4>
      </vt:variant>
      <vt:variant>
        <vt:lpwstr/>
      </vt:variant>
      <vt:variant>
        <vt:lpwstr>_ENREF_234</vt:lpwstr>
      </vt:variant>
      <vt:variant>
        <vt:i4>7602232</vt:i4>
      </vt:variant>
      <vt:variant>
        <vt:i4>4534</vt:i4>
      </vt:variant>
      <vt:variant>
        <vt:i4>0</vt:i4>
      </vt:variant>
      <vt:variant>
        <vt:i4>5</vt:i4>
      </vt:variant>
      <vt:variant>
        <vt:lpwstr/>
      </vt:variant>
      <vt:variant>
        <vt:lpwstr>_ENREF_237</vt:lpwstr>
      </vt:variant>
      <vt:variant>
        <vt:i4>7602233</vt:i4>
      </vt:variant>
      <vt:variant>
        <vt:i4>4525</vt:i4>
      </vt:variant>
      <vt:variant>
        <vt:i4>0</vt:i4>
      </vt:variant>
      <vt:variant>
        <vt:i4>5</vt:i4>
      </vt:variant>
      <vt:variant>
        <vt:lpwstr/>
      </vt:variant>
      <vt:variant>
        <vt:lpwstr>_ENREF_124</vt:lpwstr>
      </vt:variant>
      <vt:variant>
        <vt:i4>8060985</vt:i4>
      </vt:variant>
      <vt:variant>
        <vt:i4>4519</vt:i4>
      </vt:variant>
      <vt:variant>
        <vt:i4>0</vt:i4>
      </vt:variant>
      <vt:variant>
        <vt:i4>5</vt:i4>
      </vt:variant>
      <vt:variant>
        <vt:lpwstr/>
      </vt:variant>
      <vt:variant>
        <vt:lpwstr>_ENREF_228</vt:lpwstr>
      </vt:variant>
      <vt:variant>
        <vt:i4>4521995</vt:i4>
      </vt:variant>
      <vt:variant>
        <vt:i4>4513</vt:i4>
      </vt:variant>
      <vt:variant>
        <vt:i4>0</vt:i4>
      </vt:variant>
      <vt:variant>
        <vt:i4>5</vt:i4>
      </vt:variant>
      <vt:variant>
        <vt:lpwstr/>
      </vt:variant>
      <vt:variant>
        <vt:lpwstr>_ENREF_47</vt:lpwstr>
      </vt:variant>
      <vt:variant>
        <vt:i4>4521995</vt:i4>
      </vt:variant>
      <vt:variant>
        <vt:i4>4507</vt:i4>
      </vt:variant>
      <vt:variant>
        <vt:i4>0</vt:i4>
      </vt:variant>
      <vt:variant>
        <vt:i4>5</vt:i4>
      </vt:variant>
      <vt:variant>
        <vt:lpwstr/>
      </vt:variant>
      <vt:variant>
        <vt:lpwstr>_ENREF_46</vt:lpwstr>
      </vt:variant>
      <vt:variant>
        <vt:i4>7929919</vt:i4>
      </vt:variant>
      <vt:variant>
        <vt:i4>4501</vt:i4>
      </vt:variant>
      <vt:variant>
        <vt:i4>0</vt:i4>
      </vt:variant>
      <vt:variant>
        <vt:i4>5</vt:i4>
      </vt:variant>
      <vt:variant>
        <vt:lpwstr/>
      </vt:variant>
      <vt:variant>
        <vt:lpwstr>_ENREF_149</vt:lpwstr>
      </vt:variant>
      <vt:variant>
        <vt:i4>7733310</vt:i4>
      </vt:variant>
      <vt:variant>
        <vt:i4>4495</vt:i4>
      </vt:variant>
      <vt:variant>
        <vt:i4>0</vt:i4>
      </vt:variant>
      <vt:variant>
        <vt:i4>5</vt:i4>
      </vt:variant>
      <vt:variant>
        <vt:lpwstr/>
      </vt:variant>
      <vt:variant>
        <vt:lpwstr>_ENREF_156</vt:lpwstr>
      </vt:variant>
      <vt:variant>
        <vt:i4>4521995</vt:i4>
      </vt:variant>
      <vt:variant>
        <vt:i4>4489</vt:i4>
      </vt:variant>
      <vt:variant>
        <vt:i4>0</vt:i4>
      </vt:variant>
      <vt:variant>
        <vt:i4>5</vt:i4>
      </vt:variant>
      <vt:variant>
        <vt:lpwstr/>
      </vt:variant>
      <vt:variant>
        <vt:lpwstr>_ENREF_47</vt:lpwstr>
      </vt:variant>
      <vt:variant>
        <vt:i4>7340082</vt:i4>
      </vt:variant>
      <vt:variant>
        <vt:i4>4483</vt:i4>
      </vt:variant>
      <vt:variant>
        <vt:i4>0</vt:i4>
      </vt:variant>
      <vt:variant>
        <vt:i4>5</vt:i4>
      </vt:variant>
      <vt:variant>
        <vt:lpwstr/>
      </vt:variant>
      <vt:variant>
        <vt:lpwstr>_ENREF_190</vt:lpwstr>
      </vt:variant>
      <vt:variant>
        <vt:i4>8060985</vt:i4>
      </vt:variant>
      <vt:variant>
        <vt:i4>4474</vt:i4>
      </vt:variant>
      <vt:variant>
        <vt:i4>0</vt:i4>
      </vt:variant>
      <vt:variant>
        <vt:i4>5</vt:i4>
      </vt:variant>
      <vt:variant>
        <vt:lpwstr/>
      </vt:variant>
      <vt:variant>
        <vt:lpwstr>_ENREF_228</vt:lpwstr>
      </vt:variant>
      <vt:variant>
        <vt:i4>4653067</vt:i4>
      </vt:variant>
      <vt:variant>
        <vt:i4>4468</vt:i4>
      </vt:variant>
      <vt:variant>
        <vt:i4>0</vt:i4>
      </vt:variant>
      <vt:variant>
        <vt:i4>5</vt:i4>
      </vt:variant>
      <vt:variant>
        <vt:lpwstr/>
      </vt:variant>
      <vt:variant>
        <vt:lpwstr>_ENREF_65</vt:lpwstr>
      </vt:variant>
      <vt:variant>
        <vt:i4>4587531</vt:i4>
      </vt:variant>
      <vt:variant>
        <vt:i4>4456</vt:i4>
      </vt:variant>
      <vt:variant>
        <vt:i4>0</vt:i4>
      </vt:variant>
      <vt:variant>
        <vt:i4>5</vt:i4>
      </vt:variant>
      <vt:variant>
        <vt:lpwstr/>
      </vt:variant>
      <vt:variant>
        <vt:lpwstr>_ENREF_79</vt:lpwstr>
      </vt:variant>
      <vt:variant>
        <vt:i4>4718603</vt:i4>
      </vt:variant>
      <vt:variant>
        <vt:i4>4441</vt:i4>
      </vt:variant>
      <vt:variant>
        <vt:i4>0</vt:i4>
      </vt:variant>
      <vt:variant>
        <vt:i4>5</vt:i4>
      </vt:variant>
      <vt:variant>
        <vt:lpwstr/>
      </vt:variant>
      <vt:variant>
        <vt:lpwstr>_ENREF_92</vt:lpwstr>
      </vt:variant>
      <vt:variant>
        <vt:i4>7536698</vt:i4>
      </vt:variant>
      <vt:variant>
        <vt:i4>4435</vt:i4>
      </vt:variant>
      <vt:variant>
        <vt:i4>0</vt:i4>
      </vt:variant>
      <vt:variant>
        <vt:i4>5</vt:i4>
      </vt:variant>
      <vt:variant>
        <vt:lpwstr/>
      </vt:variant>
      <vt:variant>
        <vt:lpwstr>_ENREF_113</vt:lpwstr>
      </vt:variant>
      <vt:variant>
        <vt:i4>4325387</vt:i4>
      </vt:variant>
      <vt:variant>
        <vt:i4>4351</vt:i4>
      </vt:variant>
      <vt:variant>
        <vt:i4>0</vt:i4>
      </vt:variant>
      <vt:variant>
        <vt:i4>5</vt:i4>
      </vt:variant>
      <vt:variant>
        <vt:lpwstr/>
      </vt:variant>
      <vt:variant>
        <vt:lpwstr>_ENREF_39</vt:lpwstr>
      </vt:variant>
      <vt:variant>
        <vt:i4>4325387</vt:i4>
      </vt:variant>
      <vt:variant>
        <vt:i4>4342</vt:i4>
      </vt:variant>
      <vt:variant>
        <vt:i4>0</vt:i4>
      </vt:variant>
      <vt:variant>
        <vt:i4>5</vt:i4>
      </vt:variant>
      <vt:variant>
        <vt:lpwstr/>
      </vt:variant>
      <vt:variant>
        <vt:lpwstr>_ENREF_39</vt:lpwstr>
      </vt:variant>
      <vt:variant>
        <vt:i4>7667771</vt:i4>
      </vt:variant>
      <vt:variant>
        <vt:i4>4252</vt:i4>
      </vt:variant>
      <vt:variant>
        <vt:i4>0</vt:i4>
      </vt:variant>
      <vt:variant>
        <vt:i4>5</vt:i4>
      </vt:variant>
      <vt:variant>
        <vt:lpwstr/>
      </vt:variant>
      <vt:variant>
        <vt:lpwstr>_ENREF_105</vt:lpwstr>
      </vt:variant>
      <vt:variant>
        <vt:i4>7340090</vt:i4>
      </vt:variant>
      <vt:variant>
        <vt:i4>4248</vt:i4>
      </vt:variant>
      <vt:variant>
        <vt:i4>0</vt:i4>
      </vt:variant>
      <vt:variant>
        <vt:i4>5</vt:i4>
      </vt:variant>
      <vt:variant>
        <vt:lpwstr/>
      </vt:variant>
      <vt:variant>
        <vt:lpwstr>_ENREF_110</vt:lpwstr>
      </vt:variant>
      <vt:variant>
        <vt:i4>4718603</vt:i4>
      </vt:variant>
      <vt:variant>
        <vt:i4>4245</vt:i4>
      </vt:variant>
      <vt:variant>
        <vt:i4>0</vt:i4>
      </vt:variant>
      <vt:variant>
        <vt:i4>5</vt:i4>
      </vt:variant>
      <vt:variant>
        <vt:lpwstr/>
      </vt:variant>
      <vt:variant>
        <vt:lpwstr>_ENREF_93</vt:lpwstr>
      </vt:variant>
      <vt:variant>
        <vt:i4>4194315</vt:i4>
      </vt:variant>
      <vt:variant>
        <vt:i4>4242</vt:i4>
      </vt:variant>
      <vt:variant>
        <vt:i4>0</vt:i4>
      </vt:variant>
      <vt:variant>
        <vt:i4>5</vt:i4>
      </vt:variant>
      <vt:variant>
        <vt:lpwstr/>
      </vt:variant>
      <vt:variant>
        <vt:lpwstr>_ENREF_10</vt:lpwstr>
      </vt:variant>
      <vt:variant>
        <vt:i4>7929914</vt:i4>
      </vt:variant>
      <vt:variant>
        <vt:i4>4216</vt:i4>
      </vt:variant>
      <vt:variant>
        <vt:i4>0</vt:i4>
      </vt:variant>
      <vt:variant>
        <vt:i4>5</vt:i4>
      </vt:variant>
      <vt:variant>
        <vt:lpwstr/>
      </vt:variant>
      <vt:variant>
        <vt:lpwstr>_ENREF_119</vt:lpwstr>
      </vt:variant>
      <vt:variant>
        <vt:i4>4325387</vt:i4>
      </vt:variant>
      <vt:variant>
        <vt:i4>4213</vt:i4>
      </vt:variant>
      <vt:variant>
        <vt:i4>0</vt:i4>
      </vt:variant>
      <vt:variant>
        <vt:i4>5</vt:i4>
      </vt:variant>
      <vt:variant>
        <vt:lpwstr/>
      </vt:variant>
      <vt:variant>
        <vt:lpwstr>_ENREF_3</vt:lpwstr>
      </vt:variant>
      <vt:variant>
        <vt:i4>7733309</vt:i4>
      </vt:variant>
      <vt:variant>
        <vt:i4>4155</vt:i4>
      </vt:variant>
      <vt:variant>
        <vt:i4>0</vt:i4>
      </vt:variant>
      <vt:variant>
        <vt:i4>5</vt:i4>
      </vt:variant>
      <vt:variant>
        <vt:lpwstr/>
      </vt:variant>
      <vt:variant>
        <vt:lpwstr>_ENREF_265</vt:lpwstr>
      </vt:variant>
      <vt:variant>
        <vt:i4>7733309</vt:i4>
      </vt:variant>
      <vt:variant>
        <vt:i4>4149</vt:i4>
      </vt:variant>
      <vt:variant>
        <vt:i4>0</vt:i4>
      </vt:variant>
      <vt:variant>
        <vt:i4>5</vt:i4>
      </vt:variant>
      <vt:variant>
        <vt:lpwstr/>
      </vt:variant>
      <vt:variant>
        <vt:lpwstr>_ENREF_265</vt:lpwstr>
      </vt:variant>
      <vt:variant>
        <vt:i4>7864376</vt:i4>
      </vt:variant>
      <vt:variant>
        <vt:i4>4143</vt:i4>
      </vt:variant>
      <vt:variant>
        <vt:i4>0</vt:i4>
      </vt:variant>
      <vt:variant>
        <vt:i4>5</vt:i4>
      </vt:variant>
      <vt:variant>
        <vt:lpwstr/>
      </vt:variant>
      <vt:variant>
        <vt:lpwstr>_ENREF_138</vt:lpwstr>
      </vt:variant>
      <vt:variant>
        <vt:i4>7864376</vt:i4>
      </vt:variant>
      <vt:variant>
        <vt:i4>4137</vt:i4>
      </vt:variant>
      <vt:variant>
        <vt:i4>0</vt:i4>
      </vt:variant>
      <vt:variant>
        <vt:i4>5</vt:i4>
      </vt:variant>
      <vt:variant>
        <vt:lpwstr/>
      </vt:variant>
      <vt:variant>
        <vt:lpwstr>_ENREF_138</vt:lpwstr>
      </vt:variant>
      <vt:variant>
        <vt:i4>7733309</vt:i4>
      </vt:variant>
      <vt:variant>
        <vt:i4>4133</vt:i4>
      </vt:variant>
      <vt:variant>
        <vt:i4>0</vt:i4>
      </vt:variant>
      <vt:variant>
        <vt:i4>5</vt:i4>
      </vt:variant>
      <vt:variant>
        <vt:lpwstr/>
      </vt:variant>
      <vt:variant>
        <vt:lpwstr>_ENREF_265</vt:lpwstr>
      </vt:variant>
      <vt:variant>
        <vt:i4>7864376</vt:i4>
      </vt:variant>
      <vt:variant>
        <vt:i4>4130</vt:i4>
      </vt:variant>
      <vt:variant>
        <vt:i4>0</vt:i4>
      </vt:variant>
      <vt:variant>
        <vt:i4>5</vt:i4>
      </vt:variant>
      <vt:variant>
        <vt:lpwstr/>
      </vt:variant>
      <vt:variant>
        <vt:lpwstr>_ENREF_138</vt:lpwstr>
      </vt:variant>
      <vt:variant>
        <vt:i4>7602239</vt:i4>
      </vt:variant>
      <vt:variant>
        <vt:i4>4071</vt:i4>
      </vt:variant>
      <vt:variant>
        <vt:i4>0</vt:i4>
      </vt:variant>
      <vt:variant>
        <vt:i4>5</vt:i4>
      </vt:variant>
      <vt:variant>
        <vt:lpwstr/>
      </vt:variant>
      <vt:variant>
        <vt:lpwstr>_ENREF_247</vt:lpwstr>
      </vt:variant>
      <vt:variant>
        <vt:i4>7340091</vt:i4>
      </vt:variant>
      <vt:variant>
        <vt:i4>4067</vt:i4>
      </vt:variant>
      <vt:variant>
        <vt:i4>0</vt:i4>
      </vt:variant>
      <vt:variant>
        <vt:i4>5</vt:i4>
      </vt:variant>
      <vt:variant>
        <vt:lpwstr/>
      </vt:variant>
      <vt:variant>
        <vt:lpwstr>_ENREF_100</vt:lpwstr>
      </vt:variant>
      <vt:variant>
        <vt:i4>7929915</vt:i4>
      </vt:variant>
      <vt:variant>
        <vt:i4>4064</vt:i4>
      </vt:variant>
      <vt:variant>
        <vt:i4>0</vt:i4>
      </vt:variant>
      <vt:variant>
        <vt:i4>5</vt:i4>
      </vt:variant>
      <vt:variant>
        <vt:lpwstr/>
      </vt:variant>
      <vt:variant>
        <vt:lpwstr>_ENREF_109</vt:lpwstr>
      </vt:variant>
      <vt:variant>
        <vt:i4>7798840</vt:i4>
      </vt:variant>
      <vt:variant>
        <vt:i4>4061</vt:i4>
      </vt:variant>
      <vt:variant>
        <vt:i4>0</vt:i4>
      </vt:variant>
      <vt:variant>
        <vt:i4>5</vt:i4>
      </vt:variant>
      <vt:variant>
        <vt:lpwstr/>
      </vt:variant>
      <vt:variant>
        <vt:lpwstr>_ENREF_234</vt:lpwstr>
      </vt:variant>
      <vt:variant>
        <vt:i4>7733310</vt:i4>
      </vt:variant>
      <vt:variant>
        <vt:i4>4033</vt:i4>
      </vt:variant>
      <vt:variant>
        <vt:i4>0</vt:i4>
      </vt:variant>
      <vt:variant>
        <vt:i4>5</vt:i4>
      </vt:variant>
      <vt:variant>
        <vt:lpwstr/>
      </vt:variant>
      <vt:variant>
        <vt:lpwstr>_ENREF_156</vt:lpwstr>
      </vt:variant>
      <vt:variant>
        <vt:i4>4521995</vt:i4>
      </vt:variant>
      <vt:variant>
        <vt:i4>4027</vt:i4>
      </vt:variant>
      <vt:variant>
        <vt:i4>0</vt:i4>
      </vt:variant>
      <vt:variant>
        <vt:i4>5</vt:i4>
      </vt:variant>
      <vt:variant>
        <vt:lpwstr/>
      </vt:variant>
      <vt:variant>
        <vt:lpwstr>_ENREF_47</vt:lpwstr>
      </vt:variant>
      <vt:variant>
        <vt:i4>7340082</vt:i4>
      </vt:variant>
      <vt:variant>
        <vt:i4>4021</vt:i4>
      </vt:variant>
      <vt:variant>
        <vt:i4>0</vt:i4>
      </vt:variant>
      <vt:variant>
        <vt:i4>5</vt:i4>
      </vt:variant>
      <vt:variant>
        <vt:lpwstr/>
      </vt:variant>
      <vt:variant>
        <vt:lpwstr>_ENREF_190</vt:lpwstr>
      </vt:variant>
      <vt:variant>
        <vt:i4>4653067</vt:i4>
      </vt:variant>
      <vt:variant>
        <vt:i4>4015</vt:i4>
      </vt:variant>
      <vt:variant>
        <vt:i4>0</vt:i4>
      </vt:variant>
      <vt:variant>
        <vt:i4>5</vt:i4>
      </vt:variant>
      <vt:variant>
        <vt:lpwstr/>
      </vt:variant>
      <vt:variant>
        <vt:lpwstr>_ENREF_69</vt:lpwstr>
      </vt:variant>
      <vt:variant>
        <vt:i4>7667772</vt:i4>
      </vt:variant>
      <vt:variant>
        <vt:i4>3985</vt:i4>
      </vt:variant>
      <vt:variant>
        <vt:i4>0</vt:i4>
      </vt:variant>
      <vt:variant>
        <vt:i4>5</vt:i4>
      </vt:variant>
      <vt:variant>
        <vt:lpwstr/>
      </vt:variant>
      <vt:variant>
        <vt:lpwstr>_ENREF_175</vt:lpwstr>
      </vt:variant>
      <vt:variant>
        <vt:i4>7667772</vt:i4>
      </vt:variant>
      <vt:variant>
        <vt:i4>3979</vt:i4>
      </vt:variant>
      <vt:variant>
        <vt:i4>0</vt:i4>
      </vt:variant>
      <vt:variant>
        <vt:i4>5</vt:i4>
      </vt:variant>
      <vt:variant>
        <vt:lpwstr/>
      </vt:variant>
      <vt:variant>
        <vt:lpwstr>_ENREF_175</vt:lpwstr>
      </vt:variant>
      <vt:variant>
        <vt:i4>4325387</vt:i4>
      </vt:variant>
      <vt:variant>
        <vt:i4>3961</vt:i4>
      </vt:variant>
      <vt:variant>
        <vt:i4>0</vt:i4>
      </vt:variant>
      <vt:variant>
        <vt:i4>5</vt:i4>
      </vt:variant>
      <vt:variant>
        <vt:lpwstr/>
      </vt:variant>
      <vt:variant>
        <vt:lpwstr>_ENREF_39</vt:lpwstr>
      </vt:variant>
      <vt:variant>
        <vt:i4>7667771</vt:i4>
      </vt:variant>
      <vt:variant>
        <vt:i4>3895</vt:i4>
      </vt:variant>
      <vt:variant>
        <vt:i4>0</vt:i4>
      </vt:variant>
      <vt:variant>
        <vt:i4>5</vt:i4>
      </vt:variant>
      <vt:variant>
        <vt:lpwstr/>
      </vt:variant>
      <vt:variant>
        <vt:lpwstr>_ENREF_105</vt:lpwstr>
      </vt:variant>
      <vt:variant>
        <vt:i4>7340090</vt:i4>
      </vt:variant>
      <vt:variant>
        <vt:i4>3891</vt:i4>
      </vt:variant>
      <vt:variant>
        <vt:i4>0</vt:i4>
      </vt:variant>
      <vt:variant>
        <vt:i4>5</vt:i4>
      </vt:variant>
      <vt:variant>
        <vt:lpwstr/>
      </vt:variant>
      <vt:variant>
        <vt:lpwstr>_ENREF_110</vt:lpwstr>
      </vt:variant>
      <vt:variant>
        <vt:i4>4718603</vt:i4>
      </vt:variant>
      <vt:variant>
        <vt:i4>3888</vt:i4>
      </vt:variant>
      <vt:variant>
        <vt:i4>0</vt:i4>
      </vt:variant>
      <vt:variant>
        <vt:i4>5</vt:i4>
      </vt:variant>
      <vt:variant>
        <vt:lpwstr/>
      </vt:variant>
      <vt:variant>
        <vt:lpwstr>_ENREF_93</vt:lpwstr>
      </vt:variant>
      <vt:variant>
        <vt:i4>4194315</vt:i4>
      </vt:variant>
      <vt:variant>
        <vt:i4>3885</vt:i4>
      </vt:variant>
      <vt:variant>
        <vt:i4>0</vt:i4>
      </vt:variant>
      <vt:variant>
        <vt:i4>5</vt:i4>
      </vt:variant>
      <vt:variant>
        <vt:lpwstr/>
      </vt:variant>
      <vt:variant>
        <vt:lpwstr>_ENREF_10</vt:lpwstr>
      </vt:variant>
      <vt:variant>
        <vt:i4>4325387</vt:i4>
      </vt:variant>
      <vt:variant>
        <vt:i4>3851</vt:i4>
      </vt:variant>
      <vt:variant>
        <vt:i4>0</vt:i4>
      </vt:variant>
      <vt:variant>
        <vt:i4>5</vt:i4>
      </vt:variant>
      <vt:variant>
        <vt:lpwstr/>
      </vt:variant>
      <vt:variant>
        <vt:lpwstr>_ENREF_3</vt:lpwstr>
      </vt:variant>
      <vt:variant>
        <vt:i4>7929916</vt:i4>
      </vt:variant>
      <vt:variant>
        <vt:i4>3764</vt:i4>
      </vt:variant>
      <vt:variant>
        <vt:i4>0</vt:i4>
      </vt:variant>
      <vt:variant>
        <vt:i4>5</vt:i4>
      </vt:variant>
      <vt:variant>
        <vt:lpwstr/>
      </vt:variant>
      <vt:variant>
        <vt:lpwstr>_ENREF_179</vt:lpwstr>
      </vt:variant>
      <vt:variant>
        <vt:i4>4587531</vt:i4>
      </vt:variant>
      <vt:variant>
        <vt:i4>3746</vt:i4>
      </vt:variant>
      <vt:variant>
        <vt:i4>0</vt:i4>
      </vt:variant>
      <vt:variant>
        <vt:i4>5</vt:i4>
      </vt:variant>
      <vt:variant>
        <vt:lpwstr/>
      </vt:variant>
      <vt:variant>
        <vt:lpwstr>_ENREF_77</vt:lpwstr>
      </vt:variant>
      <vt:variant>
        <vt:i4>7536697</vt:i4>
      </vt:variant>
      <vt:variant>
        <vt:i4>3740</vt:i4>
      </vt:variant>
      <vt:variant>
        <vt:i4>0</vt:i4>
      </vt:variant>
      <vt:variant>
        <vt:i4>5</vt:i4>
      </vt:variant>
      <vt:variant>
        <vt:lpwstr/>
      </vt:variant>
      <vt:variant>
        <vt:lpwstr>_ENREF_220</vt:lpwstr>
      </vt:variant>
      <vt:variant>
        <vt:i4>7536697</vt:i4>
      </vt:variant>
      <vt:variant>
        <vt:i4>3734</vt:i4>
      </vt:variant>
      <vt:variant>
        <vt:i4>0</vt:i4>
      </vt:variant>
      <vt:variant>
        <vt:i4>5</vt:i4>
      </vt:variant>
      <vt:variant>
        <vt:lpwstr/>
      </vt:variant>
      <vt:variant>
        <vt:lpwstr>_ENREF_220</vt:lpwstr>
      </vt:variant>
      <vt:variant>
        <vt:i4>7405624</vt:i4>
      </vt:variant>
      <vt:variant>
        <vt:i4>3716</vt:i4>
      </vt:variant>
      <vt:variant>
        <vt:i4>0</vt:i4>
      </vt:variant>
      <vt:variant>
        <vt:i4>5</vt:i4>
      </vt:variant>
      <vt:variant>
        <vt:lpwstr/>
      </vt:variant>
      <vt:variant>
        <vt:lpwstr>_ENREF_131</vt:lpwstr>
      </vt:variant>
      <vt:variant>
        <vt:i4>4521995</vt:i4>
      </vt:variant>
      <vt:variant>
        <vt:i4>3698</vt:i4>
      </vt:variant>
      <vt:variant>
        <vt:i4>0</vt:i4>
      </vt:variant>
      <vt:variant>
        <vt:i4>5</vt:i4>
      </vt:variant>
      <vt:variant>
        <vt:lpwstr/>
      </vt:variant>
      <vt:variant>
        <vt:lpwstr>_ENREF_47</vt:lpwstr>
      </vt:variant>
      <vt:variant>
        <vt:i4>7733306</vt:i4>
      </vt:variant>
      <vt:variant>
        <vt:i4>3694</vt:i4>
      </vt:variant>
      <vt:variant>
        <vt:i4>0</vt:i4>
      </vt:variant>
      <vt:variant>
        <vt:i4>5</vt:i4>
      </vt:variant>
      <vt:variant>
        <vt:lpwstr/>
      </vt:variant>
      <vt:variant>
        <vt:lpwstr>_ENREF_215</vt:lpwstr>
      </vt:variant>
      <vt:variant>
        <vt:i4>7733310</vt:i4>
      </vt:variant>
      <vt:variant>
        <vt:i4>3691</vt:i4>
      </vt:variant>
      <vt:variant>
        <vt:i4>0</vt:i4>
      </vt:variant>
      <vt:variant>
        <vt:i4>5</vt:i4>
      </vt:variant>
      <vt:variant>
        <vt:lpwstr/>
      </vt:variant>
      <vt:variant>
        <vt:lpwstr>_ENREF_156</vt:lpwstr>
      </vt:variant>
      <vt:variant>
        <vt:i4>4456459</vt:i4>
      </vt:variant>
      <vt:variant>
        <vt:i4>3688</vt:i4>
      </vt:variant>
      <vt:variant>
        <vt:i4>0</vt:i4>
      </vt:variant>
      <vt:variant>
        <vt:i4>5</vt:i4>
      </vt:variant>
      <vt:variant>
        <vt:lpwstr/>
      </vt:variant>
      <vt:variant>
        <vt:lpwstr>_ENREF_51</vt:lpwstr>
      </vt:variant>
      <vt:variant>
        <vt:i4>4521995</vt:i4>
      </vt:variant>
      <vt:variant>
        <vt:i4>3678</vt:i4>
      </vt:variant>
      <vt:variant>
        <vt:i4>0</vt:i4>
      </vt:variant>
      <vt:variant>
        <vt:i4>5</vt:i4>
      </vt:variant>
      <vt:variant>
        <vt:lpwstr/>
      </vt:variant>
      <vt:variant>
        <vt:lpwstr>_ENREF_47</vt:lpwstr>
      </vt:variant>
      <vt:variant>
        <vt:i4>7340082</vt:i4>
      </vt:variant>
      <vt:variant>
        <vt:i4>3672</vt:i4>
      </vt:variant>
      <vt:variant>
        <vt:i4>0</vt:i4>
      </vt:variant>
      <vt:variant>
        <vt:i4>5</vt:i4>
      </vt:variant>
      <vt:variant>
        <vt:lpwstr/>
      </vt:variant>
      <vt:variant>
        <vt:lpwstr>_ENREF_190</vt:lpwstr>
      </vt:variant>
      <vt:variant>
        <vt:i4>4718603</vt:i4>
      </vt:variant>
      <vt:variant>
        <vt:i4>3666</vt:i4>
      </vt:variant>
      <vt:variant>
        <vt:i4>0</vt:i4>
      </vt:variant>
      <vt:variant>
        <vt:i4>5</vt:i4>
      </vt:variant>
      <vt:variant>
        <vt:lpwstr/>
      </vt:variant>
      <vt:variant>
        <vt:lpwstr>_ENREF_94</vt:lpwstr>
      </vt:variant>
      <vt:variant>
        <vt:i4>4521995</vt:i4>
      </vt:variant>
      <vt:variant>
        <vt:i4>3639</vt:i4>
      </vt:variant>
      <vt:variant>
        <vt:i4>0</vt:i4>
      </vt:variant>
      <vt:variant>
        <vt:i4>5</vt:i4>
      </vt:variant>
      <vt:variant>
        <vt:lpwstr/>
      </vt:variant>
      <vt:variant>
        <vt:lpwstr>_ENREF_43</vt:lpwstr>
      </vt:variant>
      <vt:variant>
        <vt:i4>4653067</vt:i4>
      </vt:variant>
      <vt:variant>
        <vt:i4>3633</vt:i4>
      </vt:variant>
      <vt:variant>
        <vt:i4>0</vt:i4>
      </vt:variant>
      <vt:variant>
        <vt:i4>5</vt:i4>
      </vt:variant>
      <vt:variant>
        <vt:lpwstr/>
      </vt:variant>
      <vt:variant>
        <vt:lpwstr>_ENREF_64</vt:lpwstr>
      </vt:variant>
      <vt:variant>
        <vt:i4>7471163</vt:i4>
      </vt:variant>
      <vt:variant>
        <vt:i4>3620</vt:i4>
      </vt:variant>
      <vt:variant>
        <vt:i4>0</vt:i4>
      </vt:variant>
      <vt:variant>
        <vt:i4>5</vt:i4>
      </vt:variant>
      <vt:variant>
        <vt:lpwstr/>
      </vt:variant>
      <vt:variant>
        <vt:lpwstr>_ENREF_102</vt:lpwstr>
      </vt:variant>
      <vt:variant>
        <vt:i4>4456459</vt:i4>
      </vt:variant>
      <vt:variant>
        <vt:i4>3617</vt:i4>
      </vt:variant>
      <vt:variant>
        <vt:i4>0</vt:i4>
      </vt:variant>
      <vt:variant>
        <vt:i4>5</vt:i4>
      </vt:variant>
      <vt:variant>
        <vt:lpwstr/>
      </vt:variant>
      <vt:variant>
        <vt:lpwstr>_ENREF_5</vt:lpwstr>
      </vt:variant>
      <vt:variant>
        <vt:i4>4194315</vt:i4>
      </vt:variant>
      <vt:variant>
        <vt:i4>3606</vt:i4>
      </vt:variant>
      <vt:variant>
        <vt:i4>0</vt:i4>
      </vt:variant>
      <vt:variant>
        <vt:i4>5</vt:i4>
      </vt:variant>
      <vt:variant>
        <vt:lpwstr/>
      </vt:variant>
      <vt:variant>
        <vt:lpwstr>_ENREF_13</vt:lpwstr>
      </vt:variant>
      <vt:variant>
        <vt:i4>4653067</vt:i4>
      </vt:variant>
      <vt:variant>
        <vt:i4>3602</vt:i4>
      </vt:variant>
      <vt:variant>
        <vt:i4>0</vt:i4>
      </vt:variant>
      <vt:variant>
        <vt:i4>5</vt:i4>
      </vt:variant>
      <vt:variant>
        <vt:lpwstr/>
      </vt:variant>
      <vt:variant>
        <vt:lpwstr>_ENREF_64</vt:lpwstr>
      </vt:variant>
      <vt:variant>
        <vt:i4>4325387</vt:i4>
      </vt:variant>
      <vt:variant>
        <vt:i4>3599</vt:i4>
      </vt:variant>
      <vt:variant>
        <vt:i4>0</vt:i4>
      </vt:variant>
      <vt:variant>
        <vt:i4>5</vt:i4>
      </vt:variant>
      <vt:variant>
        <vt:lpwstr/>
      </vt:variant>
      <vt:variant>
        <vt:lpwstr>_ENREF_39</vt:lpwstr>
      </vt:variant>
      <vt:variant>
        <vt:i4>4194315</vt:i4>
      </vt:variant>
      <vt:variant>
        <vt:i4>3580</vt:i4>
      </vt:variant>
      <vt:variant>
        <vt:i4>0</vt:i4>
      </vt:variant>
      <vt:variant>
        <vt:i4>5</vt:i4>
      </vt:variant>
      <vt:variant>
        <vt:lpwstr/>
      </vt:variant>
      <vt:variant>
        <vt:lpwstr>_ENREF_13</vt:lpwstr>
      </vt:variant>
      <vt:variant>
        <vt:i4>4653067</vt:i4>
      </vt:variant>
      <vt:variant>
        <vt:i4>3576</vt:i4>
      </vt:variant>
      <vt:variant>
        <vt:i4>0</vt:i4>
      </vt:variant>
      <vt:variant>
        <vt:i4>5</vt:i4>
      </vt:variant>
      <vt:variant>
        <vt:lpwstr/>
      </vt:variant>
      <vt:variant>
        <vt:lpwstr>_ENREF_64</vt:lpwstr>
      </vt:variant>
      <vt:variant>
        <vt:i4>4325387</vt:i4>
      </vt:variant>
      <vt:variant>
        <vt:i4>3573</vt:i4>
      </vt:variant>
      <vt:variant>
        <vt:i4>0</vt:i4>
      </vt:variant>
      <vt:variant>
        <vt:i4>5</vt:i4>
      </vt:variant>
      <vt:variant>
        <vt:lpwstr/>
      </vt:variant>
      <vt:variant>
        <vt:lpwstr>_ENREF_39</vt:lpwstr>
      </vt:variant>
      <vt:variant>
        <vt:i4>7667771</vt:i4>
      </vt:variant>
      <vt:variant>
        <vt:i4>3539</vt:i4>
      </vt:variant>
      <vt:variant>
        <vt:i4>0</vt:i4>
      </vt:variant>
      <vt:variant>
        <vt:i4>5</vt:i4>
      </vt:variant>
      <vt:variant>
        <vt:lpwstr/>
      </vt:variant>
      <vt:variant>
        <vt:lpwstr>_ENREF_105</vt:lpwstr>
      </vt:variant>
      <vt:variant>
        <vt:i4>7340090</vt:i4>
      </vt:variant>
      <vt:variant>
        <vt:i4>3535</vt:i4>
      </vt:variant>
      <vt:variant>
        <vt:i4>0</vt:i4>
      </vt:variant>
      <vt:variant>
        <vt:i4>5</vt:i4>
      </vt:variant>
      <vt:variant>
        <vt:lpwstr/>
      </vt:variant>
      <vt:variant>
        <vt:lpwstr>_ENREF_110</vt:lpwstr>
      </vt:variant>
      <vt:variant>
        <vt:i4>4718603</vt:i4>
      </vt:variant>
      <vt:variant>
        <vt:i4>3532</vt:i4>
      </vt:variant>
      <vt:variant>
        <vt:i4>0</vt:i4>
      </vt:variant>
      <vt:variant>
        <vt:i4>5</vt:i4>
      </vt:variant>
      <vt:variant>
        <vt:lpwstr/>
      </vt:variant>
      <vt:variant>
        <vt:lpwstr>_ENREF_93</vt:lpwstr>
      </vt:variant>
      <vt:variant>
        <vt:i4>4194315</vt:i4>
      </vt:variant>
      <vt:variant>
        <vt:i4>3529</vt:i4>
      </vt:variant>
      <vt:variant>
        <vt:i4>0</vt:i4>
      </vt:variant>
      <vt:variant>
        <vt:i4>5</vt:i4>
      </vt:variant>
      <vt:variant>
        <vt:lpwstr/>
      </vt:variant>
      <vt:variant>
        <vt:lpwstr>_ENREF_10</vt:lpwstr>
      </vt:variant>
      <vt:variant>
        <vt:i4>7929914</vt:i4>
      </vt:variant>
      <vt:variant>
        <vt:i4>3494</vt:i4>
      </vt:variant>
      <vt:variant>
        <vt:i4>0</vt:i4>
      </vt:variant>
      <vt:variant>
        <vt:i4>5</vt:i4>
      </vt:variant>
      <vt:variant>
        <vt:lpwstr/>
      </vt:variant>
      <vt:variant>
        <vt:lpwstr>_ENREF_119</vt:lpwstr>
      </vt:variant>
      <vt:variant>
        <vt:i4>4325387</vt:i4>
      </vt:variant>
      <vt:variant>
        <vt:i4>3491</vt:i4>
      </vt:variant>
      <vt:variant>
        <vt:i4>0</vt:i4>
      </vt:variant>
      <vt:variant>
        <vt:i4>5</vt:i4>
      </vt:variant>
      <vt:variant>
        <vt:lpwstr/>
      </vt:variant>
      <vt:variant>
        <vt:lpwstr>_ENREF_3</vt:lpwstr>
      </vt:variant>
      <vt:variant>
        <vt:i4>7340090</vt:i4>
      </vt:variant>
      <vt:variant>
        <vt:i4>3471</vt:i4>
      </vt:variant>
      <vt:variant>
        <vt:i4>0</vt:i4>
      </vt:variant>
      <vt:variant>
        <vt:i4>5</vt:i4>
      </vt:variant>
      <vt:variant>
        <vt:lpwstr/>
      </vt:variant>
      <vt:variant>
        <vt:lpwstr>_ENREF_110</vt:lpwstr>
      </vt:variant>
      <vt:variant>
        <vt:i4>4194315</vt:i4>
      </vt:variant>
      <vt:variant>
        <vt:i4>3468</vt:i4>
      </vt:variant>
      <vt:variant>
        <vt:i4>0</vt:i4>
      </vt:variant>
      <vt:variant>
        <vt:i4>5</vt:i4>
      </vt:variant>
      <vt:variant>
        <vt:lpwstr/>
      </vt:variant>
      <vt:variant>
        <vt:lpwstr>_ENREF_10</vt:lpwstr>
      </vt:variant>
      <vt:variant>
        <vt:i4>7929914</vt:i4>
      </vt:variant>
      <vt:variant>
        <vt:i4>3462</vt:i4>
      </vt:variant>
      <vt:variant>
        <vt:i4>0</vt:i4>
      </vt:variant>
      <vt:variant>
        <vt:i4>5</vt:i4>
      </vt:variant>
      <vt:variant>
        <vt:lpwstr/>
      </vt:variant>
      <vt:variant>
        <vt:lpwstr>_ENREF_119</vt:lpwstr>
      </vt:variant>
      <vt:variant>
        <vt:i4>4325387</vt:i4>
      </vt:variant>
      <vt:variant>
        <vt:i4>3459</vt:i4>
      </vt:variant>
      <vt:variant>
        <vt:i4>0</vt:i4>
      </vt:variant>
      <vt:variant>
        <vt:i4>5</vt:i4>
      </vt:variant>
      <vt:variant>
        <vt:lpwstr/>
      </vt:variant>
      <vt:variant>
        <vt:lpwstr>_ENREF_3</vt:lpwstr>
      </vt:variant>
      <vt:variant>
        <vt:i4>4325387</vt:i4>
      </vt:variant>
      <vt:variant>
        <vt:i4>3449</vt:i4>
      </vt:variant>
      <vt:variant>
        <vt:i4>0</vt:i4>
      </vt:variant>
      <vt:variant>
        <vt:i4>5</vt:i4>
      </vt:variant>
      <vt:variant>
        <vt:lpwstr/>
      </vt:variant>
      <vt:variant>
        <vt:lpwstr>_ENREF_30</vt:lpwstr>
      </vt:variant>
      <vt:variant>
        <vt:i4>7602233</vt:i4>
      </vt:variant>
      <vt:variant>
        <vt:i4>3443</vt:i4>
      </vt:variant>
      <vt:variant>
        <vt:i4>0</vt:i4>
      </vt:variant>
      <vt:variant>
        <vt:i4>5</vt:i4>
      </vt:variant>
      <vt:variant>
        <vt:lpwstr/>
      </vt:variant>
      <vt:variant>
        <vt:lpwstr>_ENREF_227</vt:lpwstr>
      </vt:variant>
      <vt:variant>
        <vt:i4>7602233</vt:i4>
      </vt:variant>
      <vt:variant>
        <vt:i4>3434</vt:i4>
      </vt:variant>
      <vt:variant>
        <vt:i4>0</vt:i4>
      </vt:variant>
      <vt:variant>
        <vt:i4>5</vt:i4>
      </vt:variant>
      <vt:variant>
        <vt:lpwstr/>
      </vt:variant>
      <vt:variant>
        <vt:lpwstr>_ENREF_227</vt:lpwstr>
      </vt:variant>
      <vt:variant>
        <vt:i4>4718603</vt:i4>
      </vt:variant>
      <vt:variant>
        <vt:i4>3428</vt:i4>
      </vt:variant>
      <vt:variant>
        <vt:i4>0</vt:i4>
      </vt:variant>
      <vt:variant>
        <vt:i4>5</vt:i4>
      </vt:variant>
      <vt:variant>
        <vt:lpwstr/>
      </vt:variant>
      <vt:variant>
        <vt:lpwstr>_ENREF_93</vt:lpwstr>
      </vt:variant>
      <vt:variant>
        <vt:i4>7602233</vt:i4>
      </vt:variant>
      <vt:variant>
        <vt:i4>3419</vt:i4>
      </vt:variant>
      <vt:variant>
        <vt:i4>0</vt:i4>
      </vt:variant>
      <vt:variant>
        <vt:i4>5</vt:i4>
      </vt:variant>
      <vt:variant>
        <vt:lpwstr/>
      </vt:variant>
      <vt:variant>
        <vt:lpwstr>_ENREF_227</vt:lpwstr>
      </vt:variant>
      <vt:variant>
        <vt:i4>4718603</vt:i4>
      </vt:variant>
      <vt:variant>
        <vt:i4>3413</vt:i4>
      </vt:variant>
      <vt:variant>
        <vt:i4>0</vt:i4>
      </vt:variant>
      <vt:variant>
        <vt:i4>5</vt:i4>
      </vt:variant>
      <vt:variant>
        <vt:lpwstr/>
      </vt:variant>
      <vt:variant>
        <vt:lpwstr>_ENREF_93</vt:lpwstr>
      </vt:variant>
      <vt:variant>
        <vt:i4>4718603</vt:i4>
      </vt:variant>
      <vt:variant>
        <vt:i4>3407</vt:i4>
      </vt:variant>
      <vt:variant>
        <vt:i4>0</vt:i4>
      </vt:variant>
      <vt:variant>
        <vt:i4>5</vt:i4>
      </vt:variant>
      <vt:variant>
        <vt:lpwstr/>
      </vt:variant>
      <vt:variant>
        <vt:lpwstr>_ENREF_93</vt:lpwstr>
      </vt:variant>
      <vt:variant>
        <vt:i4>7405625</vt:i4>
      </vt:variant>
      <vt:variant>
        <vt:i4>3398</vt:i4>
      </vt:variant>
      <vt:variant>
        <vt:i4>0</vt:i4>
      </vt:variant>
      <vt:variant>
        <vt:i4>5</vt:i4>
      </vt:variant>
      <vt:variant>
        <vt:lpwstr/>
      </vt:variant>
      <vt:variant>
        <vt:lpwstr>_ENREF_222</vt:lpwstr>
      </vt:variant>
      <vt:variant>
        <vt:i4>7405625</vt:i4>
      </vt:variant>
      <vt:variant>
        <vt:i4>3392</vt:i4>
      </vt:variant>
      <vt:variant>
        <vt:i4>0</vt:i4>
      </vt:variant>
      <vt:variant>
        <vt:i4>5</vt:i4>
      </vt:variant>
      <vt:variant>
        <vt:lpwstr/>
      </vt:variant>
      <vt:variant>
        <vt:lpwstr>_ENREF_222</vt:lpwstr>
      </vt:variant>
      <vt:variant>
        <vt:i4>7405625</vt:i4>
      </vt:variant>
      <vt:variant>
        <vt:i4>3383</vt:i4>
      </vt:variant>
      <vt:variant>
        <vt:i4>0</vt:i4>
      </vt:variant>
      <vt:variant>
        <vt:i4>5</vt:i4>
      </vt:variant>
      <vt:variant>
        <vt:lpwstr/>
      </vt:variant>
      <vt:variant>
        <vt:lpwstr>_ENREF_222</vt:lpwstr>
      </vt:variant>
      <vt:variant>
        <vt:i4>7864380</vt:i4>
      </vt:variant>
      <vt:variant>
        <vt:i4>3377</vt:i4>
      </vt:variant>
      <vt:variant>
        <vt:i4>0</vt:i4>
      </vt:variant>
      <vt:variant>
        <vt:i4>5</vt:i4>
      </vt:variant>
      <vt:variant>
        <vt:lpwstr/>
      </vt:variant>
      <vt:variant>
        <vt:lpwstr>_ENREF_178</vt:lpwstr>
      </vt:variant>
      <vt:variant>
        <vt:i4>7929916</vt:i4>
      </vt:variant>
      <vt:variant>
        <vt:i4>3302</vt:i4>
      </vt:variant>
      <vt:variant>
        <vt:i4>0</vt:i4>
      </vt:variant>
      <vt:variant>
        <vt:i4>5</vt:i4>
      </vt:variant>
      <vt:variant>
        <vt:lpwstr/>
      </vt:variant>
      <vt:variant>
        <vt:lpwstr>_ENREF_179</vt:lpwstr>
      </vt:variant>
      <vt:variant>
        <vt:i4>4456459</vt:i4>
      </vt:variant>
      <vt:variant>
        <vt:i4>3281</vt:i4>
      </vt:variant>
      <vt:variant>
        <vt:i4>0</vt:i4>
      </vt:variant>
      <vt:variant>
        <vt:i4>5</vt:i4>
      </vt:variant>
      <vt:variant>
        <vt:lpwstr/>
      </vt:variant>
      <vt:variant>
        <vt:lpwstr>_ENREF_56</vt:lpwstr>
      </vt:variant>
      <vt:variant>
        <vt:i4>4456459</vt:i4>
      </vt:variant>
      <vt:variant>
        <vt:i4>3275</vt:i4>
      </vt:variant>
      <vt:variant>
        <vt:i4>0</vt:i4>
      </vt:variant>
      <vt:variant>
        <vt:i4>5</vt:i4>
      </vt:variant>
      <vt:variant>
        <vt:lpwstr/>
      </vt:variant>
      <vt:variant>
        <vt:lpwstr>_ENREF_54</vt:lpwstr>
      </vt:variant>
      <vt:variant>
        <vt:i4>4456459</vt:i4>
      </vt:variant>
      <vt:variant>
        <vt:i4>3269</vt:i4>
      </vt:variant>
      <vt:variant>
        <vt:i4>0</vt:i4>
      </vt:variant>
      <vt:variant>
        <vt:i4>5</vt:i4>
      </vt:variant>
      <vt:variant>
        <vt:lpwstr/>
      </vt:variant>
      <vt:variant>
        <vt:lpwstr>_ENREF_53</vt:lpwstr>
      </vt:variant>
      <vt:variant>
        <vt:i4>4456459</vt:i4>
      </vt:variant>
      <vt:variant>
        <vt:i4>3263</vt:i4>
      </vt:variant>
      <vt:variant>
        <vt:i4>0</vt:i4>
      </vt:variant>
      <vt:variant>
        <vt:i4>5</vt:i4>
      </vt:variant>
      <vt:variant>
        <vt:lpwstr/>
      </vt:variant>
      <vt:variant>
        <vt:lpwstr>_ENREF_55</vt:lpwstr>
      </vt:variant>
      <vt:variant>
        <vt:i4>7864380</vt:i4>
      </vt:variant>
      <vt:variant>
        <vt:i4>3257</vt:i4>
      </vt:variant>
      <vt:variant>
        <vt:i4>0</vt:i4>
      </vt:variant>
      <vt:variant>
        <vt:i4>5</vt:i4>
      </vt:variant>
      <vt:variant>
        <vt:lpwstr/>
      </vt:variant>
      <vt:variant>
        <vt:lpwstr>_ENREF_178</vt:lpwstr>
      </vt:variant>
      <vt:variant>
        <vt:i4>7864380</vt:i4>
      </vt:variant>
      <vt:variant>
        <vt:i4>3251</vt:i4>
      </vt:variant>
      <vt:variant>
        <vt:i4>0</vt:i4>
      </vt:variant>
      <vt:variant>
        <vt:i4>5</vt:i4>
      </vt:variant>
      <vt:variant>
        <vt:lpwstr/>
      </vt:variant>
      <vt:variant>
        <vt:lpwstr>_ENREF_178</vt:lpwstr>
      </vt:variant>
      <vt:variant>
        <vt:i4>7864380</vt:i4>
      </vt:variant>
      <vt:variant>
        <vt:i4>3245</vt:i4>
      </vt:variant>
      <vt:variant>
        <vt:i4>0</vt:i4>
      </vt:variant>
      <vt:variant>
        <vt:i4>5</vt:i4>
      </vt:variant>
      <vt:variant>
        <vt:lpwstr/>
      </vt:variant>
      <vt:variant>
        <vt:lpwstr>_ENREF_178</vt:lpwstr>
      </vt:variant>
      <vt:variant>
        <vt:i4>7864380</vt:i4>
      </vt:variant>
      <vt:variant>
        <vt:i4>3239</vt:i4>
      </vt:variant>
      <vt:variant>
        <vt:i4>0</vt:i4>
      </vt:variant>
      <vt:variant>
        <vt:i4>5</vt:i4>
      </vt:variant>
      <vt:variant>
        <vt:lpwstr/>
      </vt:variant>
      <vt:variant>
        <vt:lpwstr>_ENREF_178</vt:lpwstr>
      </vt:variant>
      <vt:variant>
        <vt:i4>7733310</vt:i4>
      </vt:variant>
      <vt:variant>
        <vt:i4>3230</vt:i4>
      </vt:variant>
      <vt:variant>
        <vt:i4>0</vt:i4>
      </vt:variant>
      <vt:variant>
        <vt:i4>5</vt:i4>
      </vt:variant>
      <vt:variant>
        <vt:lpwstr/>
      </vt:variant>
      <vt:variant>
        <vt:lpwstr>_ENREF_156</vt:lpwstr>
      </vt:variant>
      <vt:variant>
        <vt:i4>4653067</vt:i4>
      </vt:variant>
      <vt:variant>
        <vt:i4>3166</vt:i4>
      </vt:variant>
      <vt:variant>
        <vt:i4>0</vt:i4>
      </vt:variant>
      <vt:variant>
        <vt:i4>5</vt:i4>
      </vt:variant>
      <vt:variant>
        <vt:lpwstr/>
      </vt:variant>
      <vt:variant>
        <vt:lpwstr>_ENREF_60</vt:lpwstr>
      </vt:variant>
      <vt:variant>
        <vt:i4>4325387</vt:i4>
      </vt:variant>
      <vt:variant>
        <vt:i4>3163</vt:i4>
      </vt:variant>
      <vt:variant>
        <vt:i4>0</vt:i4>
      </vt:variant>
      <vt:variant>
        <vt:i4>5</vt:i4>
      </vt:variant>
      <vt:variant>
        <vt:lpwstr/>
      </vt:variant>
      <vt:variant>
        <vt:lpwstr>_ENREF_39</vt:lpwstr>
      </vt:variant>
      <vt:variant>
        <vt:i4>4653067</vt:i4>
      </vt:variant>
      <vt:variant>
        <vt:i4>3157</vt:i4>
      </vt:variant>
      <vt:variant>
        <vt:i4>0</vt:i4>
      </vt:variant>
      <vt:variant>
        <vt:i4>5</vt:i4>
      </vt:variant>
      <vt:variant>
        <vt:lpwstr/>
      </vt:variant>
      <vt:variant>
        <vt:lpwstr>_ENREF_62</vt:lpwstr>
      </vt:variant>
      <vt:variant>
        <vt:i4>4325387</vt:i4>
      </vt:variant>
      <vt:variant>
        <vt:i4>3154</vt:i4>
      </vt:variant>
      <vt:variant>
        <vt:i4>0</vt:i4>
      </vt:variant>
      <vt:variant>
        <vt:i4>5</vt:i4>
      </vt:variant>
      <vt:variant>
        <vt:lpwstr/>
      </vt:variant>
      <vt:variant>
        <vt:lpwstr>_ENREF_39</vt:lpwstr>
      </vt:variant>
      <vt:variant>
        <vt:i4>7929916</vt:i4>
      </vt:variant>
      <vt:variant>
        <vt:i4>3135</vt:i4>
      </vt:variant>
      <vt:variant>
        <vt:i4>0</vt:i4>
      </vt:variant>
      <vt:variant>
        <vt:i4>5</vt:i4>
      </vt:variant>
      <vt:variant>
        <vt:lpwstr/>
      </vt:variant>
      <vt:variant>
        <vt:lpwstr>_ENREF_179</vt:lpwstr>
      </vt:variant>
      <vt:variant>
        <vt:i4>7798847</vt:i4>
      </vt:variant>
      <vt:variant>
        <vt:i4>3131</vt:i4>
      </vt:variant>
      <vt:variant>
        <vt:i4>0</vt:i4>
      </vt:variant>
      <vt:variant>
        <vt:i4>5</vt:i4>
      </vt:variant>
      <vt:variant>
        <vt:lpwstr/>
      </vt:variant>
      <vt:variant>
        <vt:lpwstr>_ENREF_147</vt:lpwstr>
      </vt:variant>
      <vt:variant>
        <vt:i4>7340082</vt:i4>
      </vt:variant>
      <vt:variant>
        <vt:i4>3128</vt:i4>
      </vt:variant>
      <vt:variant>
        <vt:i4>0</vt:i4>
      </vt:variant>
      <vt:variant>
        <vt:i4>5</vt:i4>
      </vt:variant>
      <vt:variant>
        <vt:lpwstr/>
      </vt:variant>
      <vt:variant>
        <vt:lpwstr>_ENREF_190</vt:lpwstr>
      </vt:variant>
      <vt:variant>
        <vt:i4>7667775</vt:i4>
      </vt:variant>
      <vt:variant>
        <vt:i4>3125</vt:i4>
      </vt:variant>
      <vt:variant>
        <vt:i4>0</vt:i4>
      </vt:variant>
      <vt:variant>
        <vt:i4>5</vt:i4>
      </vt:variant>
      <vt:variant>
        <vt:lpwstr/>
      </vt:variant>
      <vt:variant>
        <vt:lpwstr>_ENREF_145</vt:lpwstr>
      </vt:variant>
      <vt:variant>
        <vt:i4>7471160</vt:i4>
      </vt:variant>
      <vt:variant>
        <vt:i4>3115</vt:i4>
      </vt:variant>
      <vt:variant>
        <vt:i4>0</vt:i4>
      </vt:variant>
      <vt:variant>
        <vt:i4>5</vt:i4>
      </vt:variant>
      <vt:variant>
        <vt:lpwstr/>
      </vt:variant>
      <vt:variant>
        <vt:lpwstr>_ENREF_231</vt:lpwstr>
      </vt:variant>
      <vt:variant>
        <vt:i4>7667774</vt:i4>
      </vt:variant>
      <vt:variant>
        <vt:i4>3109</vt:i4>
      </vt:variant>
      <vt:variant>
        <vt:i4>0</vt:i4>
      </vt:variant>
      <vt:variant>
        <vt:i4>5</vt:i4>
      </vt:variant>
      <vt:variant>
        <vt:lpwstr/>
      </vt:variant>
      <vt:variant>
        <vt:lpwstr>_ENREF_256</vt:lpwstr>
      </vt:variant>
      <vt:variant>
        <vt:i4>4718603</vt:i4>
      </vt:variant>
      <vt:variant>
        <vt:i4>3103</vt:i4>
      </vt:variant>
      <vt:variant>
        <vt:i4>0</vt:i4>
      </vt:variant>
      <vt:variant>
        <vt:i4>5</vt:i4>
      </vt:variant>
      <vt:variant>
        <vt:lpwstr/>
      </vt:variant>
      <vt:variant>
        <vt:lpwstr>_ENREF_90</vt:lpwstr>
      </vt:variant>
      <vt:variant>
        <vt:i4>4521995</vt:i4>
      </vt:variant>
      <vt:variant>
        <vt:i4>3097</vt:i4>
      </vt:variant>
      <vt:variant>
        <vt:i4>0</vt:i4>
      </vt:variant>
      <vt:variant>
        <vt:i4>5</vt:i4>
      </vt:variant>
      <vt:variant>
        <vt:lpwstr/>
      </vt:variant>
      <vt:variant>
        <vt:lpwstr>_ENREF_46</vt:lpwstr>
      </vt:variant>
      <vt:variant>
        <vt:i4>7340082</vt:i4>
      </vt:variant>
      <vt:variant>
        <vt:i4>3091</vt:i4>
      </vt:variant>
      <vt:variant>
        <vt:i4>0</vt:i4>
      </vt:variant>
      <vt:variant>
        <vt:i4>5</vt:i4>
      </vt:variant>
      <vt:variant>
        <vt:lpwstr/>
      </vt:variant>
      <vt:variant>
        <vt:lpwstr>_ENREF_190</vt:lpwstr>
      </vt:variant>
      <vt:variant>
        <vt:i4>7733299</vt:i4>
      </vt:variant>
      <vt:variant>
        <vt:i4>3064</vt:i4>
      </vt:variant>
      <vt:variant>
        <vt:i4>0</vt:i4>
      </vt:variant>
      <vt:variant>
        <vt:i4>5</vt:i4>
      </vt:variant>
      <vt:variant>
        <vt:lpwstr/>
      </vt:variant>
      <vt:variant>
        <vt:lpwstr>_ENREF_186</vt:lpwstr>
      </vt:variant>
      <vt:variant>
        <vt:i4>7340090</vt:i4>
      </vt:variant>
      <vt:variant>
        <vt:i4>3060</vt:i4>
      </vt:variant>
      <vt:variant>
        <vt:i4>0</vt:i4>
      </vt:variant>
      <vt:variant>
        <vt:i4>5</vt:i4>
      </vt:variant>
      <vt:variant>
        <vt:lpwstr/>
      </vt:variant>
      <vt:variant>
        <vt:lpwstr>_ENREF_110</vt:lpwstr>
      </vt:variant>
      <vt:variant>
        <vt:i4>4194315</vt:i4>
      </vt:variant>
      <vt:variant>
        <vt:i4>3057</vt:i4>
      </vt:variant>
      <vt:variant>
        <vt:i4>0</vt:i4>
      </vt:variant>
      <vt:variant>
        <vt:i4>5</vt:i4>
      </vt:variant>
      <vt:variant>
        <vt:lpwstr/>
      </vt:variant>
      <vt:variant>
        <vt:lpwstr>_ENREF_10</vt:lpwstr>
      </vt:variant>
      <vt:variant>
        <vt:i4>7405627</vt:i4>
      </vt:variant>
      <vt:variant>
        <vt:i4>3052</vt:i4>
      </vt:variant>
      <vt:variant>
        <vt:i4>0</vt:i4>
      </vt:variant>
      <vt:variant>
        <vt:i4>5</vt:i4>
      </vt:variant>
      <vt:variant>
        <vt:lpwstr/>
      </vt:variant>
      <vt:variant>
        <vt:lpwstr>_ENREF_101</vt:lpwstr>
      </vt:variant>
      <vt:variant>
        <vt:i4>4325387</vt:i4>
      </vt:variant>
      <vt:variant>
        <vt:i4>3046</vt:i4>
      </vt:variant>
      <vt:variant>
        <vt:i4>0</vt:i4>
      </vt:variant>
      <vt:variant>
        <vt:i4>5</vt:i4>
      </vt:variant>
      <vt:variant>
        <vt:lpwstr/>
      </vt:variant>
      <vt:variant>
        <vt:lpwstr>_ENREF_3</vt:lpwstr>
      </vt:variant>
      <vt:variant>
        <vt:i4>4456459</vt:i4>
      </vt:variant>
      <vt:variant>
        <vt:i4>3042</vt:i4>
      </vt:variant>
      <vt:variant>
        <vt:i4>0</vt:i4>
      </vt:variant>
      <vt:variant>
        <vt:i4>5</vt:i4>
      </vt:variant>
      <vt:variant>
        <vt:lpwstr/>
      </vt:variant>
      <vt:variant>
        <vt:lpwstr>_ENREF_59</vt:lpwstr>
      </vt:variant>
      <vt:variant>
        <vt:i4>4325387</vt:i4>
      </vt:variant>
      <vt:variant>
        <vt:i4>3039</vt:i4>
      </vt:variant>
      <vt:variant>
        <vt:i4>0</vt:i4>
      </vt:variant>
      <vt:variant>
        <vt:i4>5</vt:i4>
      </vt:variant>
      <vt:variant>
        <vt:lpwstr/>
      </vt:variant>
      <vt:variant>
        <vt:lpwstr>_ENREF_34</vt:lpwstr>
      </vt:variant>
      <vt:variant>
        <vt:i4>7929914</vt:i4>
      </vt:variant>
      <vt:variant>
        <vt:i4>3036</vt:i4>
      </vt:variant>
      <vt:variant>
        <vt:i4>0</vt:i4>
      </vt:variant>
      <vt:variant>
        <vt:i4>5</vt:i4>
      </vt:variant>
      <vt:variant>
        <vt:lpwstr/>
      </vt:variant>
      <vt:variant>
        <vt:lpwstr>_ENREF_119</vt:lpwstr>
      </vt:variant>
      <vt:variant>
        <vt:i4>4325387</vt:i4>
      </vt:variant>
      <vt:variant>
        <vt:i4>3033</vt:i4>
      </vt:variant>
      <vt:variant>
        <vt:i4>0</vt:i4>
      </vt:variant>
      <vt:variant>
        <vt:i4>5</vt:i4>
      </vt:variant>
      <vt:variant>
        <vt:lpwstr/>
      </vt:variant>
      <vt:variant>
        <vt:lpwstr>_ENREF_3</vt:lpwstr>
      </vt:variant>
      <vt:variant>
        <vt:i4>4456459</vt:i4>
      </vt:variant>
      <vt:variant>
        <vt:i4>3017</vt:i4>
      </vt:variant>
      <vt:variant>
        <vt:i4>0</vt:i4>
      </vt:variant>
      <vt:variant>
        <vt:i4>5</vt:i4>
      </vt:variant>
      <vt:variant>
        <vt:lpwstr/>
      </vt:variant>
      <vt:variant>
        <vt:lpwstr>_ENREF_58</vt:lpwstr>
      </vt:variant>
      <vt:variant>
        <vt:i4>4456459</vt:i4>
      </vt:variant>
      <vt:variant>
        <vt:i4>3011</vt:i4>
      </vt:variant>
      <vt:variant>
        <vt:i4>0</vt:i4>
      </vt:variant>
      <vt:variant>
        <vt:i4>5</vt:i4>
      </vt:variant>
      <vt:variant>
        <vt:lpwstr/>
      </vt:variant>
      <vt:variant>
        <vt:lpwstr>_ENREF_58</vt:lpwstr>
      </vt:variant>
      <vt:variant>
        <vt:i4>7798843</vt:i4>
      </vt:variant>
      <vt:variant>
        <vt:i4>3005</vt:i4>
      </vt:variant>
      <vt:variant>
        <vt:i4>0</vt:i4>
      </vt:variant>
      <vt:variant>
        <vt:i4>5</vt:i4>
      </vt:variant>
      <vt:variant>
        <vt:lpwstr/>
      </vt:variant>
      <vt:variant>
        <vt:lpwstr>_ENREF_204</vt:lpwstr>
      </vt:variant>
      <vt:variant>
        <vt:i4>7602238</vt:i4>
      </vt:variant>
      <vt:variant>
        <vt:i4>2999</vt:i4>
      </vt:variant>
      <vt:variant>
        <vt:i4>0</vt:i4>
      </vt:variant>
      <vt:variant>
        <vt:i4>5</vt:i4>
      </vt:variant>
      <vt:variant>
        <vt:lpwstr/>
      </vt:variant>
      <vt:variant>
        <vt:lpwstr>_ENREF_257</vt:lpwstr>
      </vt:variant>
      <vt:variant>
        <vt:i4>4456459</vt:i4>
      </vt:variant>
      <vt:variant>
        <vt:i4>2993</vt:i4>
      </vt:variant>
      <vt:variant>
        <vt:i4>0</vt:i4>
      </vt:variant>
      <vt:variant>
        <vt:i4>5</vt:i4>
      </vt:variant>
      <vt:variant>
        <vt:lpwstr/>
      </vt:variant>
      <vt:variant>
        <vt:lpwstr>_ENREF_58</vt:lpwstr>
      </vt:variant>
      <vt:variant>
        <vt:i4>4784139</vt:i4>
      </vt:variant>
      <vt:variant>
        <vt:i4>2978</vt:i4>
      </vt:variant>
      <vt:variant>
        <vt:i4>0</vt:i4>
      </vt:variant>
      <vt:variant>
        <vt:i4>5</vt:i4>
      </vt:variant>
      <vt:variant>
        <vt:lpwstr/>
      </vt:variant>
      <vt:variant>
        <vt:lpwstr>_ENREF_89</vt:lpwstr>
      </vt:variant>
      <vt:variant>
        <vt:i4>7536700</vt:i4>
      </vt:variant>
      <vt:variant>
        <vt:i4>2972</vt:i4>
      </vt:variant>
      <vt:variant>
        <vt:i4>0</vt:i4>
      </vt:variant>
      <vt:variant>
        <vt:i4>5</vt:i4>
      </vt:variant>
      <vt:variant>
        <vt:lpwstr/>
      </vt:variant>
      <vt:variant>
        <vt:lpwstr>_ENREF_173</vt:lpwstr>
      </vt:variant>
      <vt:variant>
        <vt:i4>4784139</vt:i4>
      </vt:variant>
      <vt:variant>
        <vt:i4>2966</vt:i4>
      </vt:variant>
      <vt:variant>
        <vt:i4>0</vt:i4>
      </vt:variant>
      <vt:variant>
        <vt:i4>5</vt:i4>
      </vt:variant>
      <vt:variant>
        <vt:lpwstr/>
      </vt:variant>
      <vt:variant>
        <vt:lpwstr>_ENREF_89</vt:lpwstr>
      </vt:variant>
      <vt:variant>
        <vt:i4>7798845</vt:i4>
      </vt:variant>
      <vt:variant>
        <vt:i4>2957</vt:i4>
      </vt:variant>
      <vt:variant>
        <vt:i4>0</vt:i4>
      </vt:variant>
      <vt:variant>
        <vt:i4>5</vt:i4>
      </vt:variant>
      <vt:variant>
        <vt:lpwstr/>
      </vt:variant>
      <vt:variant>
        <vt:lpwstr>_ENREF_264</vt:lpwstr>
      </vt:variant>
      <vt:variant>
        <vt:i4>7798845</vt:i4>
      </vt:variant>
      <vt:variant>
        <vt:i4>2951</vt:i4>
      </vt:variant>
      <vt:variant>
        <vt:i4>0</vt:i4>
      </vt:variant>
      <vt:variant>
        <vt:i4>5</vt:i4>
      </vt:variant>
      <vt:variant>
        <vt:lpwstr/>
      </vt:variant>
      <vt:variant>
        <vt:lpwstr>_ENREF_264</vt:lpwstr>
      </vt:variant>
      <vt:variant>
        <vt:i4>7536698</vt:i4>
      </vt:variant>
      <vt:variant>
        <vt:i4>2945</vt:i4>
      </vt:variant>
      <vt:variant>
        <vt:i4>0</vt:i4>
      </vt:variant>
      <vt:variant>
        <vt:i4>5</vt:i4>
      </vt:variant>
      <vt:variant>
        <vt:lpwstr/>
      </vt:variant>
      <vt:variant>
        <vt:lpwstr>_ENREF_210</vt:lpwstr>
      </vt:variant>
      <vt:variant>
        <vt:i4>7340093</vt:i4>
      </vt:variant>
      <vt:variant>
        <vt:i4>2939</vt:i4>
      </vt:variant>
      <vt:variant>
        <vt:i4>0</vt:i4>
      </vt:variant>
      <vt:variant>
        <vt:i4>5</vt:i4>
      </vt:variant>
      <vt:variant>
        <vt:lpwstr/>
      </vt:variant>
      <vt:variant>
        <vt:lpwstr>_ENREF_263</vt:lpwstr>
      </vt:variant>
      <vt:variant>
        <vt:i4>7798845</vt:i4>
      </vt:variant>
      <vt:variant>
        <vt:i4>2933</vt:i4>
      </vt:variant>
      <vt:variant>
        <vt:i4>0</vt:i4>
      </vt:variant>
      <vt:variant>
        <vt:i4>5</vt:i4>
      </vt:variant>
      <vt:variant>
        <vt:lpwstr/>
      </vt:variant>
      <vt:variant>
        <vt:lpwstr>_ENREF_264</vt:lpwstr>
      </vt:variant>
      <vt:variant>
        <vt:i4>4456459</vt:i4>
      </vt:variant>
      <vt:variant>
        <vt:i4>2927</vt:i4>
      </vt:variant>
      <vt:variant>
        <vt:i4>0</vt:i4>
      </vt:variant>
      <vt:variant>
        <vt:i4>5</vt:i4>
      </vt:variant>
      <vt:variant>
        <vt:lpwstr/>
      </vt:variant>
      <vt:variant>
        <vt:lpwstr>_ENREF_57</vt:lpwstr>
      </vt:variant>
      <vt:variant>
        <vt:i4>7471167</vt:i4>
      </vt:variant>
      <vt:variant>
        <vt:i4>2921</vt:i4>
      </vt:variant>
      <vt:variant>
        <vt:i4>0</vt:i4>
      </vt:variant>
      <vt:variant>
        <vt:i4>5</vt:i4>
      </vt:variant>
      <vt:variant>
        <vt:lpwstr/>
      </vt:variant>
      <vt:variant>
        <vt:lpwstr>_ENREF_142</vt:lpwstr>
      </vt:variant>
      <vt:variant>
        <vt:i4>4390923</vt:i4>
      </vt:variant>
      <vt:variant>
        <vt:i4>2915</vt:i4>
      </vt:variant>
      <vt:variant>
        <vt:i4>0</vt:i4>
      </vt:variant>
      <vt:variant>
        <vt:i4>5</vt:i4>
      </vt:variant>
      <vt:variant>
        <vt:lpwstr/>
      </vt:variant>
      <vt:variant>
        <vt:lpwstr>_ENREF_28</vt:lpwstr>
      </vt:variant>
      <vt:variant>
        <vt:i4>7340091</vt:i4>
      </vt:variant>
      <vt:variant>
        <vt:i4>2909</vt:i4>
      </vt:variant>
      <vt:variant>
        <vt:i4>0</vt:i4>
      </vt:variant>
      <vt:variant>
        <vt:i4>5</vt:i4>
      </vt:variant>
      <vt:variant>
        <vt:lpwstr/>
      </vt:variant>
      <vt:variant>
        <vt:lpwstr>_ENREF_203</vt:lpwstr>
      </vt:variant>
      <vt:variant>
        <vt:i4>4390923</vt:i4>
      </vt:variant>
      <vt:variant>
        <vt:i4>2903</vt:i4>
      </vt:variant>
      <vt:variant>
        <vt:i4>0</vt:i4>
      </vt:variant>
      <vt:variant>
        <vt:i4>5</vt:i4>
      </vt:variant>
      <vt:variant>
        <vt:lpwstr/>
      </vt:variant>
      <vt:variant>
        <vt:lpwstr>_ENREF_28</vt:lpwstr>
      </vt:variant>
      <vt:variant>
        <vt:i4>7405629</vt:i4>
      </vt:variant>
      <vt:variant>
        <vt:i4>2897</vt:i4>
      </vt:variant>
      <vt:variant>
        <vt:i4>0</vt:i4>
      </vt:variant>
      <vt:variant>
        <vt:i4>5</vt:i4>
      </vt:variant>
      <vt:variant>
        <vt:lpwstr/>
      </vt:variant>
      <vt:variant>
        <vt:lpwstr>_ENREF_262</vt:lpwstr>
      </vt:variant>
      <vt:variant>
        <vt:i4>7733311</vt:i4>
      </vt:variant>
      <vt:variant>
        <vt:i4>2891</vt:i4>
      </vt:variant>
      <vt:variant>
        <vt:i4>0</vt:i4>
      </vt:variant>
      <vt:variant>
        <vt:i4>5</vt:i4>
      </vt:variant>
      <vt:variant>
        <vt:lpwstr/>
      </vt:variant>
      <vt:variant>
        <vt:lpwstr>_ENREF_146</vt:lpwstr>
      </vt:variant>
      <vt:variant>
        <vt:i4>7405629</vt:i4>
      </vt:variant>
      <vt:variant>
        <vt:i4>2887</vt:i4>
      </vt:variant>
      <vt:variant>
        <vt:i4>0</vt:i4>
      </vt:variant>
      <vt:variant>
        <vt:i4>5</vt:i4>
      </vt:variant>
      <vt:variant>
        <vt:lpwstr/>
      </vt:variant>
      <vt:variant>
        <vt:lpwstr>_ENREF_262</vt:lpwstr>
      </vt:variant>
      <vt:variant>
        <vt:i4>4587531</vt:i4>
      </vt:variant>
      <vt:variant>
        <vt:i4>2884</vt:i4>
      </vt:variant>
      <vt:variant>
        <vt:i4>0</vt:i4>
      </vt:variant>
      <vt:variant>
        <vt:i4>5</vt:i4>
      </vt:variant>
      <vt:variant>
        <vt:lpwstr/>
      </vt:variant>
      <vt:variant>
        <vt:lpwstr>_ENREF_71</vt:lpwstr>
      </vt:variant>
      <vt:variant>
        <vt:i4>7471166</vt:i4>
      </vt:variant>
      <vt:variant>
        <vt:i4>2873</vt:i4>
      </vt:variant>
      <vt:variant>
        <vt:i4>0</vt:i4>
      </vt:variant>
      <vt:variant>
        <vt:i4>5</vt:i4>
      </vt:variant>
      <vt:variant>
        <vt:lpwstr/>
      </vt:variant>
      <vt:variant>
        <vt:lpwstr>_ENREF_251</vt:lpwstr>
      </vt:variant>
      <vt:variant>
        <vt:i4>4325387</vt:i4>
      </vt:variant>
      <vt:variant>
        <vt:i4>2869</vt:i4>
      </vt:variant>
      <vt:variant>
        <vt:i4>0</vt:i4>
      </vt:variant>
      <vt:variant>
        <vt:i4>5</vt:i4>
      </vt:variant>
      <vt:variant>
        <vt:lpwstr/>
      </vt:variant>
      <vt:variant>
        <vt:lpwstr>_ENREF_39</vt:lpwstr>
      </vt:variant>
      <vt:variant>
        <vt:i4>4390923</vt:i4>
      </vt:variant>
      <vt:variant>
        <vt:i4>2866</vt:i4>
      </vt:variant>
      <vt:variant>
        <vt:i4>0</vt:i4>
      </vt:variant>
      <vt:variant>
        <vt:i4>5</vt:i4>
      </vt:variant>
      <vt:variant>
        <vt:lpwstr/>
      </vt:variant>
      <vt:variant>
        <vt:lpwstr>_ENREF_20</vt:lpwstr>
      </vt:variant>
      <vt:variant>
        <vt:i4>7667768</vt:i4>
      </vt:variant>
      <vt:variant>
        <vt:i4>2863</vt:i4>
      </vt:variant>
      <vt:variant>
        <vt:i4>0</vt:i4>
      </vt:variant>
      <vt:variant>
        <vt:i4>5</vt:i4>
      </vt:variant>
      <vt:variant>
        <vt:lpwstr/>
      </vt:variant>
      <vt:variant>
        <vt:lpwstr>_ENREF_236</vt:lpwstr>
      </vt:variant>
      <vt:variant>
        <vt:i4>4718603</vt:i4>
      </vt:variant>
      <vt:variant>
        <vt:i4>2860</vt:i4>
      </vt:variant>
      <vt:variant>
        <vt:i4>0</vt:i4>
      </vt:variant>
      <vt:variant>
        <vt:i4>5</vt:i4>
      </vt:variant>
      <vt:variant>
        <vt:lpwstr/>
      </vt:variant>
      <vt:variant>
        <vt:lpwstr>_ENREF_98</vt:lpwstr>
      </vt:variant>
      <vt:variant>
        <vt:i4>7667771</vt:i4>
      </vt:variant>
      <vt:variant>
        <vt:i4>2850</vt:i4>
      </vt:variant>
      <vt:variant>
        <vt:i4>0</vt:i4>
      </vt:variant>
      <vt:variant>
        <vt:i4>5</vt:i4>
      </vt:variant>
      <vt:variant>
        <vt:lpwstr/>
      </vt:variant>
      <vt:variant>
        <vt:lpwstr>_ENREF_206</vt:lpwstr>
      </vt:variant>
      <vt:variant>
        <vt:i4>7471166</vt:i4>
      </vt:variant>
      <vt:variant>
        <vt:i4>2844</vt:i4>
      </vt:variant>
      <vt:variant>
        <vt:i4>0</vt:i4>
      </vt:variant>
      <vt:variant>
        <vt:i4>5</vt:i4>
      </vt:variant>
      <vt:variant>
        <vt:lpwstr/>
      </vt:variant>
      <vt:variant>
        <vt:lpwstr>_ENREF_251</vt:lpwstr>
      </vt:variant>
      <vt:variant>
        <vt:i4>7602227</vt:i4>
      </vt:variant>
      <vt:variant>
        <vt:i4>2838</vt:i4>
      </vt:variant>
      <vt:variant>
        <vt:i4>0</vt:i4>
      </vt:variant>
      <vt:variant>
        <vt:i4>5</vt:i4>
      </vt:variant>
      <vt:variant>
        <vt:lpwstr/>
      </vt:variant>
      <vt:variant>
        <vt:lpwstr>_ENREF_184</vt:lpwstr>
      </vt:variant>
      <vt:variant>
        <vt:i4>7340093</vt:i4>
      </vt:variant>
      <vt:variant>
        <vt:i4>2826</vt:i4>
      </vt:variant>
      <vt:variant>
        <vt:i4>0</vt:i4>
      </vt:variant>
      <vt:variant>
        <vt:i4>5</vt:i4>
      </vt:variant>
      <vt:variant>
        <vt:lpwstr/>
      </vt:variant>
      <vt:variant>
        <vt:lpwstr>_ENREF_160</vt:lpwstr>
      </vt:variant>
      <vt:variant>
        <vt:i4>7864383</vt:i4>
      </vt:variant>
      <vt:variant>
        <vt:i4>2820</vt:i4>
      </vt:variant>
      <vt:variant>
        <vt:i4>0</vt:i4>
      </vt:variant>
      <vt:variant>
        <vt:i4>5</vt:i4>
      </vt:variant>
      <vt:variant>
        <vt:lpwstr/>
      </vt:variant>
      <vt:variant>
        <vt:lpwstr>_ENREF_148</vt:lpwstr>
      </vt:variant>
      <vt:variant>
        <vt:i4>7864383</vt:i4>
      </vt:variant>
      <vt:variant>
        <vt:i4>2814</vt:i4>
      </vt:variant>
      <vt:variant>
        <vt:i4>0</vt:i4>
      </vt:variant>
      <vt:variant>
        <vt:i4>5</vt:i4>
      </vt:variant>
      <vt:variant>
        <vt:lpwstr/>
      </vt:variant>
      <vt:variant>
        <vt:lpwstr>_ENREF_148</vt:lpwstr>
      </vt:variant>
      <vt:variant>
        <vt:i4>4784139</vt:i4>
      </vt:variant>
      <vt:variant>
        <vt:i4>2808</vt:i4>
      </vt:variant>
      <vt:variant>
        <vt:i4>0</vt:i4>
      </vt:variant>
      <vt:variant>
        <vt:i4>5</vt:i4>
      </vt:variant>
      <vt:variant>
        <vt:lpwstr/>
      </vt:variant>
      <vt:variant>
        <vt:lpwstr>_ENREF_84</vt:lpwstr>
      </vt:variant>
      <vt:variant>
        <vt:i4>4521995</vt:i4>
      </vt:variant>
      <vt:variant>
        <vt:i4>2802</vt:i4>
      </vt:variant>
      <vt:variant>
        <vt:i4>0</vt:i4>
      </vt:variant>
      <vt:variant>
        <vt:i4>5</vt:i4>
      </vt:variant>
      <vt:variant>
        <vt:lpwstr/>
      </vt:variant>
      <vt:variant>
        <vt:lpwstr>_ENREF_43</vt:lpwstr>
      </vt:variant>
      <vt:variant>
        <vt:i4>4653067</vt:i4>
      </vt:variant>
      <vt:variant>
        <vt:i4>2796</vt:i4>
      </vt:variant>
      <vt:variant>
        <vt:i4>0</vt:i4>
      </vt:variant>
      <vt:variant>
        <vt:i4>5</vt:i4>
      </vt:variant>
      <vt:variant>
        <vt:lpwstr/>
      </vt:variant>
      <vt:variant>
        <vt:lpwstr>_ENREF_64</vt:lpwstr>
      </vt:variant>
      <vt:variant>
        <vt:i4>4653067</vt:i4>
      </vt:variant>
      <vt:variant>
        <vt:i4>2790</vt:i4>
      </vt:variant>
      <vt:variant>
        <vt:i4>0</vt:i4>
      </vt:variant>
      <vt:variant>
        <vt:i4>5</vt:i4>
      </vt:variant>
      <vt:variant>
        <vt:lpwstr/>
      </vt:variant>
      <vt:variant>
        <vt:lpwstr>_ENREF_63</vt:lpwstr>
      </vt:variant>
      <vt:variant>
        <vt:i4>4456459</vt:i4>
      </vt:variant>
      <vt:variant>
        <vt:i4>2784</vt:i4>
      </vt:variant>
      <vt:variant>
        <vt:i4>0</vt:i4>
      </vt:variant>
      <vt:variant>
        <vt:i4>5</vt:i4>
      </vt:variant>
      <vt:variant>
        <vt:lpwstr/>
      </vt:variant>
      <vt:variant>
        <vt:lpwstr>_ENREF_5</vt:lpwstr>
      </vt:variant>
      <vt:variant>
        <vt:i4>7471164</vt:i4>
      </vt:variant>
      <vt:variant>
        <vt:i4>2769</vt:i4>
      </vt:variant>
      <vt:variant>
        <vt:i4>0</vt:i4>
      </vt:variant>
      <vt:variant>
        <vt:i4>5</vt:i4>
      </vt:variant>
      <vt:variant>
        <vt:lpwstr/>
      </vt:variant>
      <vt:variant>
        <vt:lpwstr>_ENREF_172</vt:lpwstr>
      </vt:variant>
      <vt:variant>
        <vt:i4>4325387</vt:i4>
      </vt:variant>
      <vt:variant>
        <vt:i4>2765</vt:i4>
      </vt:variant>
      <vt:variant>
        <vt:i4>0</vt:i4>
      </vt:variant>
      <vt:variant>
        <vt:i4>5</vt:i4>
      </vt:variant>
      <vt:variant>
        <vt:lpwstr/>
      </vt:variant>
      <vt:variant>
        <vt:lpwstr>_ENREF_35</vt:lpwstr>
      </vt:variant>
      <vt:variant>
        <vt:i4>7733307</vt:i4>
      </vt:variant>
      <vt:variant>
        <vt:i4>2762</vt:i4>
      </vt:variant>
      <vt:variant>
        <vt:i4>0</vt:i4>
      </vt:variant>
      <vt:variant>
        <vt:i4>5</vt:i4>
      </vt:variant>
      <vt:variant>
        <vt:lpwstr/>
      </vt:variant>
      <vt:variant>
        <vt:lpwstr>_ENREF_205</vt:lpwstr>
      </vt:variant>
      <vt:variant>
        <vt:i4>4194315</vt:i4>
      </vt:variant>
      <vt:variant>
        <vt:i4>2756</vt:i4>
      </vt:variant>
      <vt:variant>
        <vt:i4>0</vt:i4>
      </vt:variant>
      <vt:variant>
        <vt:i4>5</vt:i4>
      </vt:variant>
      <vt:variant>
        <vt:lpwstr/>
      </vt:variant>
      <vt:variant>
        <vt:lpwstr>_ENREF_14</vt:lpwstr>
      </vt:variant>
      <vt:variant>
        <vt:i4>7471163</vt:i4>
      </vt:variant>
      <vt:variant>
        <vt:i4>2753</vt:i4>
      </vt:variant>
      <vt:variant>
        <vt:i4>0</vt:i4>
      </vt:variant>
      <vt:variant>
        <vt:i4>5</vt:i4>
      </vt:variant>
      <vt:variant>
        <vt:lpwstr/>
      </vt:variant>
      <vt:variant>
        <vt:lpwstr>_ENREF_201</vt:lpwstr>
      </vt:variant>
      <vt:variant>
        <vt:i4>7733304</vt:i4>
      </vt:variant>
      <vt:variant>
        <vt:i4>2750</vt:i4>
      </vt:variant>
      <vt:variant>
        <vt:i4>0</vt:i4>
      </vt:variant>
      <vt:variant>
        <vt:i4>5</vt:i4>
      </vt:variant>
      <vt:variant>
        <vt:lpwstr/>
      </vt:variant>
      <vt:variant>
        <vt:lpwstr>_ENREF_235</vt:lpwstr>
      </vt:variant>
      <vt:variant>
        <vt:i4>4390923</vt:i4>
      </vt:variant>
      <vt:variant>
        <vt:i4>2747</vt:i4>
      </vt:variant>
      <vt:variant>
        <vt:i4>0</vt:i4>
      </vt:variant>
      <vt:variant>
        <vt:i4>5</vt:i4>
      </vt:variant>
      <vt:variant>
        <vt:lpwstr/>
      </vt:variant>
      <vt:variant>
        <vt:lpwstr>_ENREF_22</vt:lpwstr>
      </vt:variant>
      <vt:variant>
        <vt:i4>7340095</vt:i4>
      </vt:variant>
      <vt:variant>
        <vt:i4>2739</vt:i4>
      </vt:variant>
      <vt:variant>
        <vt:i4>0</vt:i4>
      </vt:variant>
      <vt:variant>
        <vt:i4>5</vt:i4>
      </vt:variant>
      <vt:variant>
        <vt:lpwstr/>
      </vt:variant>
      <vt:variant>
        <vt:lpwstr>_ENREF_243</vt:lpwstr>
      </vt:variant>
      <vt:variant>
        <vt:i4>7798842</vt:i4>
      </vt:variant>
      <vt:variant>
        <vt:i4>2736</vt:i4>
      </vt:variant>
      <vt:variant>
        <vt:i4>0</vt:i4>
      </vt:variant>
      <vt:variant>
        <vt:i4>5</vt:i4>
      </vt:variant>
      <vt:variant>
        <vt:lpwstr/>
      </vt:variant>
      <vt:variant>
        <vt:lpwstr>_ENREF_214</vt:lpwstr>
      </vt:variant>
      <vt:variant>
        <vt:i4>7405626</vt:i4>
      </vt:variant>
      <vt:variant>
        <vt:i4>2733</vt:i4>
      </vt:variant>
      <vt:variant>
        <vt:i4>0</vt:i4>
      </vt:variant>
      <vt:variant>
        <vt:i4>5</vt:i4>
      </vt:variant>
      <vt:variant>
        <vt:lpwstr/>
      </vt:variant>
      <vt:variant>
        <vt:lpwstr>_ENREF_111</vt:lpwstr>
      </vt:variant>
      <vt:variant>
        <vt:i4>7471167</vt:i4>
      </vt:variant>
      <vt:variant>
        <vt:i4>2730</vt:i4>
      </vt:variant>
      <vt:variant>
        <vt:i4>0</vt:i4>
      </vt:variant>
      <vt:variant>
        <vt:i4>5</vt:i4>
      </vt:variant>
      <vt:variant>
        <vt:lpwstr/>
      </vt:variant>
      <vt:variant>
        <vt:lpwstr>_ENREF_241</vt:lpwstr>
      </vt:variant>
      <vt:variant>
        <vt:i4>7798846</vt:i4>
      </vt:variant>
      <vt:variant>
        <vt:i4>2727</vt:i4>
      </vt:variant>
      <vt:variant>
        <vt:i4>0</vt:i4>
      </vt:variant>
      <vt:variant>
        <vt:i4>5</vt:i4>
      </vt:variant>
      <vt:variant>
        <vt:lpwstr/>
      </vt:variant>
      <vt:variant>
        <vt:lpwstr>_ENREF_254</vt:lpwstr>
      </vt:variant>
      <vt:variant>
        <vt:i4>7405631</vt:i4>
      </vt:variant>
      <vt:variant>
        <vt:i4>2724</vt:i4>
      </vt:variant>
      <vt:variant>
        <vt:i4>0</vt:i4>
      </vt:variant>
      <vt:variant>
        <vt:i4>5</vt:i4>
      </vt:variant>
      <vt:variant>
        <vt:lpwstr/>
      </vt:variant>
      <vt:variant>
        <vt:lpwstr>_ENREF_242</vt:lpwstr>
      </vt:variant>
      <vt:variant>
        <vt:i4>7798841</vt:i4>
      </vt:variant>
      <vt:variant>
        <vt:i4>2721</vt:i4>
      </vt:variant>
      <vt:variant>
        <vt:i4>0</vt:i4>
      </vt:variant>
      <vt:variant>
        <vt:i4>5</vt:i4>
      </vt:variant>
      <vt:variant>
        <vt:lpwstr/>
      </vt:variant>
      <vt:variant>
        <vt:lpwstr>_ENREF_224</vt:lpwstr>
      </vt:variant>
      <vt:variant>
        <vt:i4>4390923</vt:i4>
      </vt:variant>
      <vt:variant>
        <vt:i4>2711</vt:i4>
      </vt:variant>
      <vt:variant>
        <vt:i4>0</vt:i4>
      </vt:variant>
      <vt:variant>
        <vt:i4>5</vt:i4>
      </vt:variant>
      <vt:variant>
        <vt:lpwstr/>
      </vt:variant>
      <vt:variant>
        <vt:lpwstr>_ENREF_21</vt:lpwstr>
      </vt:variant>
      <vt:variant>
        <vt:i4>7602227</vt:i4>
      </vt:variant>
      <vt:variant>
        <vt:i4>2705</vt:i4>
      </vt:variant>
      <vt:variant>
        <vt:i4>0</vt:i4>
      </vt:variant>
      <vt:variant>
        <vt:i4>5</vt:i4>
      </vt:variant>
      <vt:variant>
        <vt:lpwstr/>
      </vt:variant>
      <vt:variant>
        <vt:lpwstr>_ENREF_184</vt:lpwstr>
      </vt:variant>
      <vt:variant>
        <vt:i4>7798843</vt:i4>
      </vt:variant>
      <vt:variant>
        <vt:i4>2701</vt:i4>
      </vt:variant>
      <vt:variant>
        <vt:i4>0</vt:i4>
      </vt:variant>
      <vt:variant>
        <vt:i4>5</vt:i4>
      </vt:variant>
      <vt:variant>
        <vt:lpwstr/>
      </vt:variant>
      <vt:variant>
        <vt:lpwstr>_ENREF_107</vt:lpwstr>
      </vt:variant>
      <vt:variant>
        <vt:i4>7929914</vt:i4>
      </vt:variant>
      <vt:variant>
        <vt:i4>2698</vt:i4>
      </vt:variant>
      <vt:variant>
        <vt:i4>0</vt:i4>
      </vt:variant>
      <vt:variant>
        <vt:i4>5</vt:i4>
      </vt:variant>
      <vt:variant>
        <vt:lpwstr/>
      </vt:variant>
      <vt:variant>
        <vt:lpwstr>_ENREF_119</vt:lpwstr>
      </vt:variant>
      <vt:variant>
        <vt:i4>4259873</vt:i4>
      </vt:variant>
      <vt:variant>
        <vt:i4>2688</vt:i4>
      </vt:variant>
      <vt:variant>
        <vt:i4>0</vt:i4>
      </vt:variant>
      <vt:variant>
        <vt:i4>5</vt:i4>
      </vt:variant>
      <vt:variant>
        <vt:lpwstr>http://en.wikipedia.org/wiki/Isotopic_signature</vt:lpwstr>
      </vt:variant>
      <vt:variant>
        <vt:lpwstr/>
      </vt:variant>
      <vt:variant>
        <vt:i4>4784175</vt:i4>
      </vt:variant>
      <vt:variant>
        <vt:i4>2685</vt:i4>
      </vt:variant>
      <vt:variant>
        <vt:i4>0</vt:i4>
      </vt:variant>
      <vt:variant>
        <vt:i4>5</vt:i4>
      </vt:variant>
      <vt:variant>
        <vt:lpwstr>http://en.wikipedia.org/wiki/Stable_isotope</vt:lpwstr>
      </vt:variant>
      <vt:variant>
        <vt:lpwstr/>
      </vt:variant>
      <vt:variant>
        <vt:i4>7340095</vt:i4>
      </vt:variant>
      <vt:variant>
        <vt:i4>2679</vt:i4>
      </vt:variant>
      <vt:variant>
        <vt:i4>0</vt:i4>
      </vt:variant>
      <vt:variant>
        <vt:i4>5</vt:i4>
      </vt:variant>
      <vt:variant>
        <vt:lpwstr/>
      </vt:variant>
      <vt:variant>
        <vt:lpwstr>_ENREF_140</vt:lpwstr>
      </vt:variant>
      <vt:variant>
        <vt:i4>4587531</vt:i4>
      </vt:variant>
      <vt:variant>
        <vt:i4>2675</vt:i4>
      </vt:variant>
      <vt:variant>
        <vt:i4>0</vt:i4>
      </vt:variant>
      <vt:variant>
        <vt:i4>5</vt:i4>
      </vt:variant>
      <vt:variant>
        <vt:lpwstr/>
      </vt:variant>
      <vt:variant>
        <vt:lpwstr>_ENREF_75</vt:lpwstr>
      </vt:variant>
      <vt:variant>
        <vt:i4>4390923</vt:i4>
      </vt:variant>
      <vt:variant>
        <vt:i4>2672</vt:i4>
      </vt:variant>
      <vt:variant>
        <vt:i4>0</vt:i4>
      </vt:variant>
      <vt:variant>
        <vt:i4>5</vt:i4>
      </vt:variant>
      <vt:variant>
        <vt:lpwstr/>
      </vt:variant>
      <vt:variant>
        <vt:lpwstr>_ENREF_2</vt:lpwstr>
      </vt:variant>
      <vt:variant>
        <vt:i4>4784139</vt:i4>
      </vt:variant>
      <vt:variant>
        <vt:i4>2669</vt:i4>
      </vt:variant>
      <vt:variant>
        <vt:i4>0</vt:i4>
      </vt:variant>
      <vt:variant>
        <vt:i4>5</vt:i4>
      </vt:variant>
      <vt:variant>
        <vt:lpwstr/>
      </vt:variant>
      <vt:variant>
        <vt:lpwstr>_ENREF_85</vt:lpwstr>
      </vt:variant>
      <vt:variant>
        <vt:i4>7667775</vt:i4>
      </vt:variant>
      <vt:variant>
        <vt:i4>2666</vt:i4>
      </vt:variant>
      <vt:variant>
        <vt:i4>0</vt:i4>
      </vt:variant>
      <vt:variant>
        <vt:i4>5</vt:i4>
      </vt:variant>
      <vt:variant>
        <vt:lpwstr/>
      </vt:variant>
      <vt:variant>
        <vt:lpwstr>_ENREF_246</vt:lpwstr>
      </vt:variant>
      <vt:variant>
        <vt:i4>7602239</vt:i4>
      </vt:variant>
      <vt:variant>
        <vt:i4>2663</vt:i4>
      </vt:variant>
      <vt:variant>
        <vt:i4>0</vt:i4>
      </vt:variant>
      <vt:variant>
        <vt:i4>5</vt:i4>
      </vt:variant>
      <vt:variant>
        <vt:lpwstr/>
      </vt:variant>
      <vt:variant>
        <vt:lpwstr>_ENREF_144</vt:lpwstr>
      </vt:variant>
      <vt:variant>
        <vt:i4>7733311</vt:i4>
      </vt:variant>
      <vt:variant>
        <vt:i4>2653</vt:i4>
      </vt:variant>
      <vt:variant>
        <vt:i4>0</vt:i4>
      </vt:variant>
      <vt:variant>
        <vt:i4>5</vt:i4>
      </vt:variant>
      <vt:variant>
        <vt:lpwstr/>
      </vt:variant>
      <vt:variant>
        <vt:lpwstr>_ENREF_245</vt:lpwstr>
      </vt:variant>
      <vt:variant>
        <vt:i4>4587531</vt:i4>
      </vt:variant>
      <vt:variant>
        <vt:i4>2647</vt:i4>
      </vt:variant>
      <vt:variant>
        <vt:i4>0</vt:i4>
      </vt:variant>
      <vt:variant>
        <vt:i4>5</vt:i4>
      </vt:variant>
      <vt:variant>
        <vt:lpwstr/>
      </vt:variant>
      <vt:variant>
        <vt:lpwstr>_ENREF_73</vt:lpwstr>
      </vt:variant>
      <vt:variant>
        <vt:i4>7798841</vt:i4>
      </vt:variant>
      <vt:variant>
        <vt:i4>2641</vt:i4>
      </vt:variant>
      <vt:variant>
        <vt:i4>0</vt:i4>
      </vt:variant>
      <vt:variant>
        <vt:i4>5</vt:i4>
      </vt:variant>
      <vt:variant>
        <vt:lpwstr/>
      </vt:variant>
      <vt:variant>
        <vt:lpwstr>_ENREF_127</vt:lpwstr>
      </vt:variant>
      <vt:variant>
        <vt:i4>7733299</vt:i4>
      </vt:variant>
      <vt:variant>
        <vt:i4>2632</vt:i4>
      </vt:variant>
      <vt:variant>
        <vt:i4>0</vt:i4>
      </vt:variant>
      <vt:variant>
        <vt:i4>5</vt:i4>
      </vt:variant>
      <vt:variant>
        <vt:lpwstr/>
      </vt:variant>
      <vt:variant>
        <vt:lpwstr>_ENREF_186</vt:lpwstr>
      </vt:variant>
      <vt:variant>
        <vt:i4>7733299</vt:i4>
      </vt:variant>
      <vt:variant>
        <vt:i4>2626</vt:i4>
      </vt:variant>
      <vt:variant>
        <vt:i4>0</vt:i4>
      </vt:variant>
      <vt:variant>
        <vt:i4>5</vt:i4>
      </vt:variant>
      <vt:variant>
        <vt:lpwstr/>
      </vt:variant>
      <vt:variant>
        <vt:lpwstr>_ENREF_186</vt:lpwstr>
      </vt:variant>
      <vt:variant>
        <vt:i4>4194315</vt:i4>
      </vt:variant>
      <vt:variant>
        <vt:i4>2620</vt:i4>
      </vt:variant>
      <vt:variant>
        <vt:i4>0</vt:i4>
      </vt:variant>
      <vt:variant>
        <vt:i4>5</vt:i4>
      </vt:variant>
      <vt:variant>
        <vt:lpwstr/>
      </vt:variant>
      <vt:variant>
        <vt:lpwstr>_ENREF_10</vt:lpwstr>
      </vt:variant>
      <vt:variant>
        <vt:i4>7667771</vt:i4>
      </vt:variant>
      <vt:variant>
        <vt:i4>2614</vt:i4>
      </vt:variant>
      <vt:variant>
        <vt:i4>0</vt:i4>
      </vt:variant>
      <vt:variant>
        <vt:i4>5</vt:i4>
      </vt:variant>
      <vt:variant>
        <vt:lpwstr/>
      </vt:variant>
      <vt:variant>
        <vt:lpwstr>_ENREF_105</vt:lpwstr>
      </vt:variant>
      <vt:variant>
        <vt:i4>7340090</vt:i4>
      </vt:variant>
      <vt:variant>
        <vt:i4>2608</vt:i4>
      </vt:variant>
      <vt:variant>
        <vt:i4>0</vt:i4>
      </vt:variant>
      <vt:variant>
        <vt:i4>5</vt:i4>
      </vt:variant>
      <vt:variant>
        <vt:lpwstr/>
      </vt:variant>
      <vt:variant>
        <vt:lpwstr>_ENREF_110</vt:lpwstr>
      </vt:variant>
      <vt:variant>
        <vt:i4>4718603</vt:i4>
      </vt:variant>
      <vt:variant>
        <vt:i4>2602</vt:i4>
      </vt:variant>
      <vt:variant>
        <vt:i4>0</vt:i4>
      </vt:variant>
      <vt:variant>
        <vt:i4>5</vt:i4>
      </vt:variant>
      <vt:variant>
        <vt:lpwstr/>
      </vt:variant>
      <vt:variant>
        <vt:lpwstr>_ENREF_93</vt:lpwstr>
      </vt:variant>
      <vt:variant>
        <vt:i4>4194315</vt:i4>
      </vt:variant>
      <vt:variant>
        <vt:i4>2596</vt:i4>
      </vt:variant>
      <vt:variant>
        <vt:i4>0</vt:i4>
      </vt:variant>
      <vt:variant>
        <vt:i4>5</vt:i4>
      </vt:variant>
      <vt:variant>
        <vt:lpwstr/>
      </vt:variant>
      <vt:variant>
        <vt:lpwstr>_ENREF_10</vt:lpwstr>
      </vt:variant>
      <vt:variant>
        <vt:i4>7667771</vt:i4>
      </vt:variant>
      <vt:variant>
        <vt:i4>2590</vt:i4>
      </vt:variant>
      <vt:variant>
        <vt:i4>0</vt:i4>
      </vt:variant>
      <vt:variant>
        <vt:i4>5</vt:i4>
      </vt:variant>
      <vt:variant>
        <vt:lpwstr/>
      </vt:variant>
      <vt:variant>
        <vt:lpwstr>_ENREF_105</vt:lpwstr>
      </vt:variant>
      <vt:variant>
        <vt:i4>7864379</vt:i4>
      </vt:variant>
      <vt:variant>
        <vt:i4>2584</vt:i4>
      </vt:variant>
      <vt:variant>
        <vt:i4>0</vt:i4>
      </vt:variant>
      <vt:variant>
        <vt:i4>5</vt:i4>
      </vt:variant>
      <vt:variant>
        <vt:lpwstr/>
      </vt:variant>
      <vt:variant>
        <vt:lpwstr>_ENREF_108</vt:lpwstr>
      </vt:variant>
      <vt:variant>
        <vt:i4>4194315</vt:i4>
      </vt:variant>
      <vt:variant>
        <vt:i4>2578</vt:i4>
      </vt:variant>
      <vt:variant>
        <vt:i4>0</vt:i4>
      </vt:variant>
      <vt:variant>
        <vt:i4>5</vt:i4>
      </vt:variant>
      <vt:variant>
        <vt:lpwstr/>
      </vt:variant>
      <vt:variant>
        <vt:lpwstr>_ENREF_10</vt:lpwstr>
      </vt:variant>
      <vt:variant>
        <vt:i4>7995450</vt:i4>
      </vt:variant>
      <vt:variant>
        <vt:i4>2572</vt:i4>
      </vt:variant>
      <vt:variant>
        <vt:i4>0</vt:i4>
      </vt:variant>
      <vt:variant>
        <vt:i4>5</vt:i4>
      </vt:variant>
      <vt:variant>
        <vt:lpwstr/>
      </vt:variant>
      <vt:variant>
        <vt:lpwstr>_ENREF_219</vt:lpwstr>
      </vt:variant>
      <vt:variant>
        <vt:i4>4456459</vt:i4>
      </vt:variant>
      <vt:variant>
        <vt:i4>2566</vt:i4>
      </vt:variant>
      <vt:variant>
        <vt:i4>0</vt:i4>
      </vt:variant>
      <vt:variant>
        <vt:i4>5</vt:i4>
      </vt:variant>
      <vt:variant>
        <vt:lpwstr/>
      </vt:variant>
      <vt:variant>
        <vt:lpwstr>_ENREF_59</vt:lpwstr>
      </vt:variant>
      <vt:variant>
        <vt:i4>4325387</vt:i4>
      </vt:variant>
      <vt:variant>
        <vt:i4>2560</vt:i4>
      </vt:variant>
      <vt:variant>
        <vt:i4>0</vt:i4>
      </vt:variant>
      <vt:variant>
        <vt:i4>5</vt:i4>
      </vt:variant>
      <vt:variant>
        <vt:lpwstr/>
      </vt:variant>
      <vt:variant>
        <vt:lpwstr>_ENREF_34</vt:lpwstr>
      </vt:variant>
      <vt:variant>
        <vt:i4>7340091</vt:i4>
      </vt:variant>
      <vt:variant>
        <vt:i4>2557</vt:i4>
      </vt:variant>
      <vt:variant>
        <vt:i4>0</vt:i4>
      </vt:variant>
      <vt:variant>
        <vt:i4>5</vt:i4>
      </vt:variant>
      <vt:variant>
        <vt:lpwstr/>
      </vt:variant>
      <vt:variant>
        <vt:lpwstr>_ENREF_100</vt:lpwstr>
      </vt:variant>
      <vt:variant>
        <vt:i4>7929914</vt:i4>
      </vt:variant>
      <vt:variant>
        <vt:i4>2553</vt:i4>
      </vt:variant>
      <vt:variant>
        <vt:i4>0</vt:i4>
      </vt:variant>
      <vt:variant>
        <vt:i4>5</vt:i4>
      </vt:variant>
      <vt:variant>
        <vt:lpwstr/>
      </vt:variant>
      <vt:variant>
        <vt:lpwstr>_ENREF_119</vt:lpwstr>
      </vt:variant>
      <vt:variant>
        <vt:i4>4325387</vt:i4>
      </vt:variant>
      <vt:variant>
        <vt:i4>2550</vt:i4>
      </vt:variant>
      <vt:variant>
        <vt:i4>0</vt:i4>
      </vt:variant>
      <vt:variant>
        <vt:i4>5</vt:i4>
      </vt:variant>
      <vt:variant>
        <vt:lpwstr/>
      </vt:variant>
      <vt:variant>
        <vt:lpwstr>_ENREF_3</vt:lpwstr>
      </vt:variant>
      <vt:variant>
        <vt:i4>4718603</vt:i4>
      </vt:variant>
      <vt:variant>
        <vt:i4>2540</vt:i4>
      </vt:variant>
      <vt:variant>
        <vt:i4>0</vt:i4>
      </vt:variant>
      <vt:variant>
        <vt:i4>5</vt:i4>
      </vt:variant>
      <vt:variant>
        <vt:lpwstr/>
      </vt:variant>
      <vt:variant>
        <vt:lpwstr>_ENREF_93</vt:lpwstr>
      </vt:variant>
      <vt:variant>
        <vt:i4>4194315</vt:i4>
      </vt:variant>
      <vt:variant>
        <vt:i4>2534</vt:i4>
      </vt:variant>
      <vt:variant>
        <vt:i4>0</vt:i4>
      </vt:variant>
      <vt:variant>
        <vt:i4>5</vt:i4>
      </vt:variant>
      <vt:variant>
        <vt:lpwstr/>
      </vt:variant>
      <vt:variant>
        <vt:lpwstr>_ENREF_10</vt:lpwstr>
      </vt:variant>
      <vt:variant>
        <vt:i4>4718603</vt:i4>
      </vt:variant>
      <vt:variant>
        <vt:i4>2528</vt:i4>
      </vt:variant>
      <vt:variant>
        <vt:i4>0</vt:i4>
      </vt:variant>
      <vt:variant>
        <vt:i4>5</vt:i4>
      </vt:variant>
      <vt:variant>
        <vt:lpwstr/>
      </vt:variant>
      <vt:variant>
        <vt:lpwstr>_ENREF_93</vt:lpwstr>
      </vt:variant>
      <vt:variant>
        <vt:i4>4718603</vt:i4>
      </vt:variant>
      <vt:variant>
        <vt:i4>2522</vt:i4>
      </vt:variant>
      <vt:variant>
        <vt:i4>0</vt:i4>
      </vt:variant>
      <vt:variant>
        <vt:i4>5</vt:i4>
      </vt:variant>
      <vt:variant>
        <vt:lpwstr/>
      </vt:variant>
      <vt:variant>
        <vt:lpwstr>_ENREF_93</vt:lpwstr>
      </vt:variant>
      <vt:variant>
        <vt:i4>4194315</vt:i4>
      </vt:variant>
      <vt:variant>
        <vt:i4>2516</vt:i4>
      </vt:variant>
      <vt:variant>
        <vt:i4>0</vt:i4>
      </vt:variant>
      <vt:variant>
        <vt:i4>5</vt:i4>
      </vt:variant>
      <vt:variant>
        <vt:lpwstr/>
      </vt:variant>
      <vt:variant>
        <vt:lpwstr>_ENREF_10</vt:lpwstr>
      </vt:variant>
      <vt:variant>
        <vt:i4>7995450</vt:i4>
      </vt:variant>
      <vt:variant>
        <vt:i4>2510</vt:i4>
      </vt:variant>
      <vt:variant>
        <vt:i4>0</vt:i4>
      </vt:variant>
      <vt:variant>
        <vt:i4>5</vt:i4>
      </vt:variant>
      <vt:variant>
        <vt:lpwstr/>
      </vt:variant>
      <vt:variant>
        <vt:lpwstr>_ENREF_219</vt:lpwstr>
      </vt:variant>
      <vt:variant>
        <vt:i4>7602227</vt:i4>
      </vt:variant>
      <vt:variant>
        <vt:i4>2504</vt:i4>
      </vt:variant>
      <vt:variant>
        <vt:i4>0</vt:i4>
      </vt:variant>
      <vt:variant>
        <vt:i4>5</vt:i4>
      </vt:variant>
      <vt:variant>
        <vt:lpwstr/>
      </vt:variant>
      <vt:variant>
        <vt:lpwstr>_ENREF_184</vt:lpwstr>
      </vt:variant>
      <vt:variant>
        <vt:i4>4390923</vt:i4>
      </vt:variant>
      <vt:variant>
        <vt:i4>2498</vt:i4>
      </vt:variant>
      <vt:variant>
        <vt:i4>0</vt:i4>
      </vt:variant>
      <vt:variant>
        <vt:i4>5</vt:i4>
      </vt:variant>
      <vt:variant>
        <vt:lpwstr/>
      </vt:variant>
      <vt:variant>
        <vt:lpwstr>_ENREF_23</vt:lpwstr>
      </vt:variant>
      <vt:variant>
        <vt:i4>7602226</vt:i4>
      </vt:variant>
      <vt:variant>
        <vt:i4>2492</vt:i4>
      </vt:variant>
      <vt:variant>
        <vt:i4>0</vt:i4>
      </vt:variant>
      <vt:variant>
        <vt:i4>5</vt:i4>
      </vt:variant>
      <vt:variant>
        <vt:lpwstr/>
      </vt:variant>
      <vt:variant>
        <vt:lpwstr>_ENREF_194</vt:lpwstr>
      </vt:variant>
      <vt:variant>
        <vt:i4>7602227</vt:i4>
      </vt:variant>
      <vt:variant>
        <vt:i4>2480</vt:i4>
      </vt:variant>
      <vt:variant>
        <vt:i4>0</vt:i4>
      </vt:variant>
      <vt:variant>
        <vt:i4>5</vt:i4>
      </vt:variant>
      <vt:variant>
        <vt:lpwstr/>
      </vt:variant>
      <vt:variant>
        <vt:lpwstr>_ENREF_184</vt:lpwstr>
      </vt:variant>
      <vt:variant>
        <vt:i4>7798840</vt:i4>
      </vt:variant>
      <vt:variant>
        <vt:i4>2471</vt:i4>
      </vt:variant>
      <vt:variant>
        <vt:i4>0</vt:i4>
      </vt:variant>
      <vt:variant>
        <vt:i4>5</vt:i4>
      </vt:variant>
      <vt:variant>
        <vt:lpwstr/>
      </vt:variant>
      <vt:variant>
        <vt:lpwstr>_ENREF_137</vt:lpwstr>
      </vt:variant>
      <vt:variant>
        <vt:i4>4521995</vt:i4>
      </vt:variant>
      <vt:variant>
        <vt:i4>2465</vt:i4>
      </vt:variant>
      <vt:variant>
        <vt:i4>0</vt:i4>
      </vt:variant>
      <vt:variant>
        <vt:i4>5</vt:i4>
      </vt:variant>
      <vt:variant>
        <vt:lpwstr/>
      </vt:variant>
      <vt:variant>
        <vt:lpwstr>_ENREF_41</vt:lpwstr>
      </vt:variant>
      <vt:variant>
        <vt:i4>4194315</vt:i4>
      </vt:variant>
      <vt:variant>
        <vt:i4>2444</vt:i4>
      </vt:variant>
      <vt:variant>
        <vt:i4>0</vt:i4>
      </vt:variant>
      <vt:variant>
        <vt:i4>5</vt:i4>
      </vt:variant>
      <vt:variant>
        <vt:lpwstr/>
      </vt:variant>
      <vt:variant>
        <vt:lpwstr>_ENREF_18</vt:lpwstr>
      </vt:variant>
      <vt:variant>
        <vt:i4>7798835</vt:i4>
      </vt:variant>
      <vt:variant>
        <vt:i4>2438</vt:i4>
      </vt:variant>
      <vt:variant>
        <vt:i4>0</vt:i4>
      </vt:variant>
      <vt:variant>
        <vt:i4>5</vt:i4>
      </vt:variant>
      <vt:variant>
        <vt:lpwstr/>
      </vt:variant>
      <vt:variant>
        <vt:lpwstr>_ENREF_187</vt:lpwstr>
      </vt:variant>
      <vt:variant>
        <vt:i4>4325387</vt:i4>
      </vt:variant>
      <vt:variant>
        <vt:i4>2432</vt:i4>
      </vt:variant>
      <vt:variant>
        <vt:i4>0</vt:i4>
      </vt:variant>
      <vt:variant>
        <vt:i4>5</vt:i4>
      </vt:variant>
      <vt:variant>
        <vt:lpwstr/>
      </vt:variant>
      <vt:variant>
        <vt:lpwstr>_ENREF_36</vt:lpwstr>
      </vt:variant>
      <vt:variant>
        <vt:i4>7471161</vt:i4>
      </vt:variant>
      <vt:variant>
        <vt:i4>2423</vt:i4>
      </vt:variant>
      <vt:variant>
        <vt:i4>0</vt:i4>
      </vt:variant>
      <vt:variant>
        <vt:i4>5</vt:i4>
      </vt:variant>
      <vt:variant>
        <vt:lpwstr/>
      </vt:variant>
      <vt:variant>
        <vt:lpwstr>_ENREF_122</vt:lpwstr>
      </vt:variant>
      <vt:variant>
        <vt:i4>7667770</vt:i4>
      </vt:variant>
      <vt:variant>
        <vt:i4>2417</vt:i4>
      </vt:variant>
      <vt:variant>
        <vt:i4>0</vt:i4>
      </vt:variant>
      <vt:variant>
        <vt:i4>5</vt:i4>
      </vt:variant>
      <vt:variant>
        <vt:lpwstr/>
      </vt:variant>
      <vt:variant>
        <vt:lpwstr>_ENREF_216</vt:lpwstr>
      </vt:variant>
      <vt:variant>
        <vt:i4>4784139</vt:i4>
      </vt:variant>
      <vt:variant>
        <vt:i4>2411</vt:i4>
      </vt:variant>
      <vt:variant>
        <vt:i4>0</vt:i4>
      </vt:variant>
      <vt:variant>
        <vt:i4>5</vt:i4>
      </vt:variant>
      <vt:variant>
        <vt:lpwstr/>
      </vt:variant>
      <vt:variant>
        <vt:lpwstr>_ENREF_80</vt:lpwstr>
      </vt:variant>
      <vt:variant>
        <vt:i4>4521995</vt:i4>
      </vt:variant>
      <vt:variant>
        <vt:i4>2405</vt:i4>
      </vt:variant>
      <vt:variant>
        <vt:i4>0</vt:i4>
      </vt:variant>
      <vt:variant>
        <vt:i4>5</vt:i4>
      </vt:variant>
      <vt:variant>
        <vt:lpwstr/>
      </vt:variant>
      <vt:variant>
        <vt:lpwstr>_ENREF_41</vt:lpwstr>
      </vt:variant>
      <vt:variant>
        <vt:i4>4587531</vt:i4>
      </vt:variant>
      <vt:variant>
        <vt:i4>2399</vt:i4>
      </vt:variant>
      <vt:variant>
        <vt:i4>0</vt:i4>
      </vt:variant>
      <vt:variant>
        <vt:i4>5</vt:i4>
      </vt:variant>
      <vt:variant>
        <vt:lpwstr/>
      </vt:variant>
      <vt:variant>
        <vt:lpwstr>_ENREF_72</vt:lpwstr>
      </vt:variant>
      <vt:variant>
        <vt:i4>7340089</vt:i4>
      </vt:variant>
      <vt:variant>
        <vt:i4>2395</vt:i4>
      </vt:variant>
      <vt:variant>
        <vt:i4>0</vt:i4>
      </vt:variant>
      <vt:variant>
        <vt:i4>5</vt:i4>
      </vt:variant>
      <vt:variant>
        <vt:lpwstr/>
      </vt:variant>
      <vt:variant>
        <vt:lpwstr>_ENREF_120</vt:lpwstr>
      </vt:variant>
      <vt:variant>
        <vt:i4>7405629</vt:i4>
      </vt:variant>
      <vt:variant>
        <vt:i4>2392</vt:i4>
      </vt:variant>
      <vt:variant>
        <vt:i4>0</vt:i4>
      </vt:variant>
      <vt:variant>
        <vt:i4>5</vt:i4>
      </vt:variant>
      <vt:variant>
        <vt:lpwstr/>
      </vt:variant>
      <vt:variant>
        <vt:lpwstr>_ENREF_161</vt:lpwstr>
      </vt:variant>
      <vt:variant>
        <vt:i4>7405629</vt:i4>
      </vt:variant>
      <vt:variant>
        <vt:i4>2384</vt:i4>
      </vt:variant>
      <vt:variant>
        <vt:i4>0</vt:i4>
      </vt:variant>
      <vt:variant>
        <vt:i4>5</vt:i4>
      </vt:variant>
      <vt:variant>
        <vt:lpwstr/>
      </vt:variant>
      <vt:variant>
        <vt:lpwstr>_ENREF_161</vt:lpwstr>
      </vt:variant>
      <vt:variant>
        <vt:i4>7602234</vt:i4>
      </vt:variant>
      <vt:variant>
        <vt:i4>2378</vt:i4>
      </vt:variant>
      <vt:variant>
        <vt:i4>0</vt:i4>
      </vt:variant>
      <vt:variant>
        <vt:i4>5</vt:i4>
      </vt:variant>
      <vt:variant>
        <vt:lpwstr/>
      </vt:variant>
      <vt:variant>
        <vt:lpwstr>_ENREF_114</vt:lpwstr>
      </vt:variant>
      <vt:variant>
        <vt:i4>7536701</vt:i4>
      </vt:variant>
      <vt:variant>
        <vt:i4>2372</vt:i4>
      </vt:variant>
      <vt:variant>
        <vt:i4>0</vt:i4>
      </vt:variant>
      <vt:variant>
        <vt:i4>5</vt:i4>
      </vt:variant>
      <vt:variant>
        <vt:lpwstr/>
      </vt:variant>
      <vt:variant>
        <vt:lpwstr>_ENREF_260</vt:lpwstr>
      </vt:variant>
      <vt:variant>
        <vt:i4>7536703</vt:i4>
      </vt:variant>
      <vt:variant>
        <vt:i4>2366</vt:i4>
      </vt:variant>
      <vt:variant>
        <vt:i4>0</vt:i4>
      </vt:variant>
      <vt:variant>
        <vt:i4>5</vt:i4>
      </vt:variant>
      <vt:variant>
        <vt:lpwstr/>
      </vt:variant>
      <vt:variant>
        <vt:lpwstr>_ENREF_143</vt:lpwstr>
      </vt:variant>
      <vt:variant>
        <vt:i4>7405628</vt:i4>
      </vt:variant>
      <vt:variant>
        <vt:i4>2360</vt:i4>
      </vt:variant>
      <vt:variant>
        <vt:i4>0</vt:i4>
      </vt:variant>
      <vt:variant>
        <vt:i4>5</vt:i4>
      </vt:variant>
      <vt:variant>
        <vt:lpwstr/>
      </vt:variant>
      <vt:variant>
        <vt:lpwstr>_ENREF_171</vt:lpwstr>
      </vt:variant>
      <vt:variant>
        <vt:i4>7602236</vt:i4>
      </vt:variant>
      <vt:variant>
        <vt:i4>2354</vt:i4>
      </vt:variant>
      <vt:variant>
        <vt:i4>0</vt:i4>
      </vt:variant>
      <vt:variant>
        <vt:i4>5</vt:i4>
      </vt:variant>
      <vt:variant>
        <vt:lpwstr/>
      </vt:variant>
      <vt:variant>
        <vt:lpwstr>_ENREF_174</vt:lpwstr>
      </vt:variant>
      <vt:variant>
        <vt:i4>7405631</vt:i4>
      </vt:variant>
      <vt:variant>
        <vt:i4>2333</vt:i4>
      </vt:variant>
      <vt:variant>
        <vt:i4>0</vt:i4>
      </vt:variant>
      <vt:variant>
        <vt:i4>5</vt:i4>
      </vt:variant>
      <vt:variant>
        <vt:lpwstr/>
      </vt:variant>
      <vt:variant>
        <vt:lpwstr>_ENREF_141</vt:lpwstr>
      </vt:variant>
      <vt:variant>
        <vt:i4>4521995</vt:i4>
      </vt:variant>
      <vt:variant>
        <vt:i4>2321</vt:i4>
      </vt:variant>
      <vt:variant>
        <vt:i4>0</vt:i4>
      </vt:variant>
      <vt:variant>
        <vt:i4>5</vt:i4>
      </vt:variant>
      <vt:variant>
        <vt:lpwstr/>
      </vt:variant>
      <vt:variant>
        <vt:lpwstr>_ENREF_4</vt:lpwstr>
      </vt:variant>
      <vt:variant>
        <vt:i4>7536691</vt:i4>
      </vt:variant>
      <vt:variant>
        <vt:i4>2315</vt:i4>
      </vt:variant>
      <vt:variant>
        <vt:i4>0</vt:i4>
      </vt:variant>
      <vt:variant>
        <vt:i4>5</vt:i4>
      </vt:variant>
      <vt:variant>
        <vt:lpwstr/>
      </vt:variant>
      <vt:variant>
        <vt:lpwstr>_ENREF_183</vt:lpwstr>
      </vt:variant>
      <vt:variant>
        <vt:i4>7340094</vt:i4>
      </vt:variant>
      <vt:variant>
        <vt:i4>2309</vt:i4>
      </vt:variant>
      <vt:variant>
        <vt:i4>0</vt:i4>
      </vt:variant>
      <vt:variant>
        <vt:i4>5</vt:i4>
      </vt:variant>
      <vt:variant>
        <vt:lpwstr/>
      </vt:variant>
      <vt:variant>
        <vt:lpwstr>_ENREF_150</vt:lpwstr>
      </vt:variant>
      <vt:variant>
        <vt:i4>7667773</vt:i4>
      </vt:variant>
      <vt:variant>
        <vt:i4>2303</vt:i4>
      </vt:variant>
      <vt:variant>
        <vt:i4>0</vt:i4>
      </vt:variant>
      <vt:variant>
        <vt:i4>5</vt:i4>
      </vt:variant>
      <vt:variant>
        <vt:lpwstr/>
      </vt:variant>
      <vt:variant>
        <vt:lpwstr>_ENREF_165</vt:lpwstr>
      </vt:variant>
      <vt:variant>
        <vt:i4>4521995</vt:i4>
      </vt:variant>
      <vt:variant>
        <vt:i4>2297</vt:i4>
      </vt:variant>
      <vt:variant>
        <vt:i4>0</vt:i4>
      </vt:variant>
      <vt:variant>
        <vt:i4>5</vt:i4>
      </vt:variant>
      <vt:variant>
        <vt:lpwstr/>
      </vt:variant>
      <vt:variant>
        <vt:lpwstr>_ENREF_41</vt:lpwstr>
      </vt:variant>
      <vt:variant>
        <vt:i4>4718603</vt:i4>
      </vt:variant>
      <vt:variant>
        <vt:i4>2291</vt:i4>
      </vt:variant>
      <vt:variant>
        <vt:i4>0</vt:i4>
      </vt:variant>
      <vt:variant>
        <vt:i4>5</vt:i4>
      </vt:variant>
      <vt:variant>
        <vt:lpwstr/>
      </vt:variant>
      <vt:variant>
        <vt:lpwstr>_ENREF_95</vt:lpwstr>
      </vt:variant>
      <vt:variant>
        <vt:i4>4456459</vt:i4>
      </vt:variant>
      <vt:variant>
        <vt:i4>2284</vt:i4>
      </vt:variant>
      <vt:variant>
        <vt:i4>0</vt:i4>
      </vt:variant>
      <vt:variant>
        <vt:i4>5</vt:i4>
      </vt:variant>
      <vt:variant>
        <vt:lpwstr/>
      </vt:variant>
      <vt:variant>
        <vt:lpwstr>_ENREF_56</vt:lpwstr>
      </vt:variant>
      <vt:variant>
        <vt:i4>4456459</vt:i4>
      </vt:variant>
      <vt:variant>
        <vt:i4>2281</vt:i4>
      </vt:variant>
      <vt:variant>
        <vt:i4>0</vt:i4>
      </vt:variant>
      <vt:variant>
        <vt:i4>5</vt:i4>
      </vt:variant>
      <vt:variant>
        <vt:lpwstr/>
      </vt:variant>
      <vt:variant>
        <vt:lpwstr>_ENREF_54</vt:lpwstr>
      </vt:variant>
      <vt:variant>
        <vt:i4>4456459</vt:i4>
      </vt:variant>
      <vt:variant>
        <vt:i4>2278</vt:i4>
      </vt:variant>
      <vt:variant>
        <vt:i4>0</vt:i4>
      </vt:variant>
      <vt:variant>
        <vt:i4>5</vt:i4>
      </vt:variant>
      <vt:variant>
        <vt:lpwstr/>
      </vt:variant>
      <vt:variant>
        <vt:lpwstr>_ENREF_55</vt:lpwstr>
      </vt:variant>
      <vt:variant>
        <vt:i4>4456459</vt:i4>
      </vt:variant>
      <vt:variant>
        <vt:i4>2275</vt:i4>
      </vt:variant>
      <vt:variant>
        <vt:i4>0</vt:i4>
      </vt:variant>
      <vt:variant>
        <vt:i4>5</vt:i4>
      </vt:variant>
      <vt:variant>
        <vt:lpwstr/>
      </vt:variant>
      <vt:variant>
        <vt:lpwstr>_ENREF_53</vt:lpwstr>
      </vt:variant>
      <vt:variant>
        <vt:i4>4390923</vt:i4>
      </vt:variant>
      <vt:variant>
        <vt:i4>2265</vt:i4>
      </vt:variant>
      <vt:variant>
        <vt:i4>0</vt:i4>
      </vt:variant>
      <vt:variant>
        <vt:i4>5</vt:i4>
      </vt:variant>
      <vt:variant>
        <vt:lpwstr/>
      </vt:variant>
      <vt:variant>
        <vt:lpwstr>_ENREF_27</vt:lpwstr>
      </vt:variant>
      <vt:variant>
        <vt:i4>7929918</vt:i4>
      </vt:variant>
      <vt:variant>
        <vt:i4>2261</vt:i4>
      </vt:variant>
      <vt:variant>
        <vt:i4>0</vt:i4>
      </vt:variant>
      <vt:variant>
        <vt:i4>5</vt:i4>
      </vt:variant>
      <vt:variant>
        <vt:lpwstr/>
      </vt:variant>
      <vt:variant>
        <vt:lpwstr>_ENREF_159</vt:lpwstr>
      </vt:variant>
      <vt:variant>
        <vt:i4>7602226</vt:i4>
      </vt:variant>
      <vt:variant>
        <vt:i4>2258</vt:i4>
      </vt:variant>
      <vt:variant>
        <vt:i4>0</vt:i4>
      </vt:variant>
      <vt:variant>
        <vt:i4>5</vt:i4>
      </vt:variant>
      <vt:variant>
        <vt:lpwstr/>
      </vt:variant>
      <vt:variant>
        <vt:lpwstr>_ENREF_194</vt:lpwstr>
      </vt:variant>
      <vt:variant>
        <vt:i4>7405618</vt:i4>
      </vt:variant>
      <vt:variant>
        <vt:i4>2255</vt:i4>
      </vt:variant>
      <vt:variant>
        <vt:i4>0</vt:i4>
      </vt:variant>
      <vt:variant>
        <vt:i4>5</vt:i4>
      </vt:variant>
      <vt:variant>
        <vt:lpwstr/>
      </vt:variant>
      <vt:variant>
        <vt:lpwstr>_ENREF_191</vt:lpwstr>
      </vt:variant>
      <vt:variant>
        <vt:i4>7864382</vt:i4>
      </vt:variant>
      <vt:variant>
        <vt:i4>2252</vt:i4>
      </vt:variant>
      <vt:variant>
        <vt:i4>0</vt:i4>
      </vt:variant>
      <vt:variant>
        <vt:i4>5</vt:i4>
      </vt:variant>
      <vt:variant>
        <vt:lpwstr/>
      </vt:variant>
      <vt:variant>
        <vt:lpwstr>_ENREF_158</vt:lpwstr>
      </vt:variant>
      <vt:variant>
        <vt:i4>7733298</vt:i4>
      </vt:variant>
      <vt:variant>
        <vt:i4>2249</vt:i4>
      </vt:variant>
      <vt:variant>
        <vt:i4>0</vt:i4>
      </vt:variant>
      <vt:variant>
        <vt:i4>5</vt:i4>
      </vt:variant>
      <vt:variant>
        <vt:lpwstr/>
      </vt:variant>
      <vt:variant>
        <vt:lpwstr>_ENREF_196</vt:lpwstr>
      </vt:variant>
      <vt:variant>
        <vt:i4>4325387</vt:i4>
      </vt:variant>
      <vt:variant>
        <vt:i4>2246</vt:i4>
      </vt:variant>
      <vt:variant>
        <vt:i4>0</vt:i4>
      </vt:variant>
      <vt:variant>
        <vt:i4>5</vt:i4>
      </vt:variant>
      <vt:variant>
        <vt:lpwstr/>
      </vt:variant>
      <vt:variant>
        <vt:lpwstr>_ENREF_38</vt:lpwstr>
      </vt:variant>
      <vt:variant>
        <vt:i4>7667762</vt:i4>
      </vt:variant>
      <vt:variant>
        <vt:i4>2243</vt:i4>
      </vt:variant>
      <vt:variant>
        <vt:i4>0</vt:i4>
      </vt:variant>
      <vt:variant>
        <vt:i4>5</vt:i4>
      </vt:variant>
      <vt:variant>
        <vt:lpwstr/>
      </vt:variant>
      <vt:variant>
        <vt:lpwstr>_ENREF_195</vt:lpwstr>
      </vt:variant>
      <vt:variant>
        <vt:i4>4325387</vt:i4>
      </vt:variant>
      <vt:variant>
        <vt:i4>2240</vt:i4>
      </vt:variant>
      <vt:variant>
        <vt:i4>0</vt:i4>
      </vt:variant>
      <vt:variant>
        <vt:i4>5</vt:i4>
      </vt:variant>
      <vt:variant>
        <vt:lpwstr/>
      </vt:variant>
      <vt:variant>
        <vt:lpwstr>_ENREF_37</vt:lpwstr>
      </vt:variant>
      <vt:variant>
        <vt:i4>7602232</vt:i4>
      </vt:variant>
      <vt:variant>
        <vt:i4>2237</vt:i4>
      </vt:variant>
      <vt:variant>
        <vt:i4>0</vt:i4>
      </vt:variant>
      <vt:variant>
        <vt:i4>5</vt:i4>
      </vt:variant>
      <vt:variant>
        <vt:lpwstr/>
      </vt:variant>
      <vt:variant>
        <vt:lpwstr>_ENREF_134</vt:lpwstr>
      </vt:variant>
      <vt:variant>
        <vt:i4>7667769</vt:i4>
      </vt:variant>
      <vt:variant>
        <vt:i4>2234</vt:i4>
      </vt:variant>
      <vt:variant>
        <vt:i4>0</vt:i4>
      </vt:variant>
      <vt:variant>
        <vt:i4>5</vt:i4>
      </vt:variant>
      <vt:variant>
        <vt:lpwstr/>
      </vt:variant>
      <vt:variant>
        <vt:lpwstr>_ENREF_125</vt:lpwstr>
      </vt:variant>
      <vt:variant>
        <vt:i4>7602239</vt:i4>
      </vt:variant>
      <vt:variant>
        <vt:i4>2231</vt:i4>
      </vt:variant>
      <vt:variant>
        <vt:i4>0</vt:i4>
      </vt:variant>
      <vt:variant>
        <vt:i4>5</vt:i4>
      </vt:variant>
      <vt:variant>
        <vt:lpwstr/>
      </vt:variant>
      <vt:variant>
        <vt:lpwstr>_ENREF_247</vt:lpwstr>
      </vt:variant>
      <vt:variant>
        <vt:i4>7536703</vt:i4>
      </vt:variant>
      <vt:variant>
        <vt:i4>2228</vt:i4>
      </vt:variant>
      <vt:variant>
        <vt:i4>0</vt:i4>
      </vt:variant>
      <vt:variant>
        <vt:i4>5</vt:i4>
      </vt:variant>
      <vt:variant>
        <vt:lpwstr/>
      </vt:variant>
      <vt:variant>
        <vt:lpwstr>_ENREF_240</vt:lpwstr>
      </vt:variant>
      <vt:variant>
        <vt:i4>4784139</vt:i4>
      </vt:variant>
      <vt:variant>
        <vt:i4>2225</vt:i4>
      </vt:variant>
      <vt:variant>
        <vt:i4>0</vt:i4>
      </vt:variant>
      <vt:variant>
        <vt:i4>5</vt:i4>
      </vt:variant>
      <vt:variant>
        <vt:lpwstr/>
      </vt:variant>
      <vt:variant>
        <vt:lpwstr>_ENREF_87</vt:lpwstr>
      </vt:variant>
      <vt:variant>
        <vt:i4>7798842</vt:i4>
      </vt:variant>
      <vt:variant>
        <vt:i4>2215</vt:i4>
      </vt:variant>
      <vt:variant>
        <vt:i4>0</vt:i4>
      </vt:variant>
      <vt:variant>
        <vt:i4>5</vt:i4>
      </vt:variant>
      <vt:variant>
        <vt:lpwstr/>
      </vt:variant>
      <vt:variant>
        <vt:lpwstr>_ENREF_117</vt:lpwstr>
      </vt:variant>
      <vt:variant>
        <vt:i4>4521995</vt:i4>
      </vt:variant>
      <vt:variant>
        <vt:i4>2209</vt:i4>
      </vt:variant>
      <vt:variant>
        <vt:i4>0</vt:i4>
      </vt:variant>
      <vt:variant>
        <vt:i4>5</vt:i4>
      </vt:variant>
      <vt:variant>
        <vt:lpwstr/>
      </vt:variant>
      <vt:variant>
        <vt:lpwstr>_ENREF_40</vt:lpwstr>
      </vt:variant>
      <vt:variant>
        <vt:i4>7602234</vt:i4>
      </vt:variant>
      <vt:variant>
        <vt:i4>2203</vt:i4>
      </vt:variant>
      <vt:variant>
        <vt:i4>0</vt:i4>
      </vt:variant>
      <vt:variant>
        <vt:i4>5</vt:i4>
      </vt:variant>
      <vt:variant>
        <vt:lpwstr/>
      </vt:variant>
      <vt:variant>
        <vt:lpwstr>_ENREF_217</vt:lpwstr>
      </vt:variant>
      <vt:variant>
        <vt:i4>7405619</vt:i4>
      </vt:variant>
      <vt:variant>
        <vt:i4>2197</vt:i4>
      </vt:variant>
      <vt:variant>
        <vt:i4>0</vt:i4>
      </vt:variant>
      <vt:variant>
        <vt:i4>5</vt:i4>
      </vt:variant>
      <vt:variant>
        <vt:lpwstr/>
      </vt:variant>
      <vt:variant>
        <vt:lpwstr>_ENREF_181</vt:lpwstr>
      </vt:variant>
      <vt:variant>
        <vt:i4>7667774</vt:i4>
      </vt:variant>
      <vt:variant>
        <vt:i4>2191</vt:i4>
      </vt:variant>
      <vt:variant>
        <vt:i4>0</vt:i4>
      </vt:variant>
      <vt:variant>
        <vt:i4>5</vt:i4>
      </vt:variant>
      <vt:variant>
        <vt:lpwstr/>
      </vt:variant>
      <vt:variant>
        <vt:lpwstr>_ENREF_155</vt:lpwstr>
      </vt:variant>
      <vt:variant>
        <vt:i4>7536702</vt:i4>
      </vt:variant>
      <vt:variant>
        <vt:i4>2185</vt:i4>
      </vt:variant>
      <vt:variant>
        <vt:i4>0</vt:i4>
      </vt:variant>
      <vt:variant>
        <vt:i4>5</vt:i4>
      </vt:variant>
      <vt:variant>
        <vt:lpwstr/>
      </vt:variant>
      <vt:variant>
        <vt:lpwstr>_ENREF_153</vt:lpwstr>
      </vt:variant>
      <vt:variant>
        <vt:i4>7733310</vt:i4>
      </vt:variant>
      <vt:variant>
        <vt:i4>2179</vt:i4>
      </vt:variant>
      <vt:variant>
        <vt:i4>0</vt:i4>
      </vt:variant>
      <vt:variant>
        <vt:i4>5</vt:i4>
      </vt:variant>
      <vt:variant>
        <vt:lpwstr/>
      </vt:variant>
      <vt:variant>
        <vt:lpwstr>_ENREF_156</vt:lpwstr>
      </vt:variant>
      <vt:variant>
        <vt:i4>4784139</vt:i4>
      </vt:variant>
      <vt:variant>
        <vt:i4>2173</vt:i4>
      </vt:variant>
      <vt:variant>
        <vt:i4>0</vt:i4>
      </vt:variant>
      <vt:variant>
        <vt:i4>5</vt:i4>
      </vt:variant>
      <vt:variant>
        <vt:lpwstr/>
      </vt:variant>
      <vt:variant>
        <vt:lpwstr>_ENREF_82</vt:lpwstr>
      </vt:variant>
      <vt:variant>
        <vt:i4>7471154</vt:i4>
      </vt:variant>
      <vt:variant>
        <vt:i4>2167</vt:i4>
      </vt:variant>
      <vt:variant>
        <vt:i4>0</vt:i4>
      </vt:variant>
      <vt:variant>
        <vt:i4>5</vt:i4>
      </vt:variant>
      <vt:variant>
        <vt:lpwstr/>
      </vt:variant>
      <vt:variant>
        <vt:lpwstr>_ENREF_192</vt:lpwstr>
      </vt:variant>
      <vt:variant>
        <vt:i4>7471154</vt:i4>
      </vt:variant>
      <vt:variant>
        <vt:i4>2161</vt:i4>
      </vt:variant>
      <vt:variant>
        <vt:i4>0</vt:i4>
      </vt:variant>
      <vt:variant>
        <vt:i4>5</vt:i4>
      </vt:variant>
      <vt:variant>
        <vt:lpwstr/>
      </vt:variant>
      <vt:variant>
        <vt:lpwstr>_ENREF_192</vt:lpwstr>
      </vt:variant>
      <vt:variant>
        <vt:i4>8060990</vt:i4>
      </vt:variant>
      <vt:variant>
        <vt:i4>2146</vt:i4>
      </vt:variant>
      <vt:variant>
        <vt:i4>0</vt:i4>
      </vt:variant>
      <vt:variant>
        <vt:i4>5</vt:i4>
      </vt:variant>
      <vt:variant>
        <vt:lpwstr/>
      </vt:variant>
      <vt:variant>
        <vt:lpwstr>_ENREF_258</vt:lpwstr>
      </vt:variant>
      <vt:variant>
        <vt:i4>8060990</vt:i4>
      </vt:variant>
      <vt:variant>
        <vt:i4>2142</vt:i4>
      </vt:variant>
      <vt:variant>
        <vt:i4>0</vt:i4>
      </vt:variant>
      <vt:variant>
        <vt:i4>5</vt:i4>
      </vt:variant>
      <vt:variant>
        <vt:lpwstr/>
      </vt:variant>
      <vt:variant>
        <vt:lpwstr>_ENREF_258</vt:lpwstr>
      </vt:variant>
      <vt:variant>
        <vt:i4>7929912</vt:i4>
      </vt:variant>
      <vt:variant>
        <vt:i4>2139</vt:i4>
      </vt:variant>
      <vt:variant>
        <vt:i4>0</vt:i4>
      </vt:variant>
      <vt:variant>
        <vt:i4>5</vt:i4>
      </vt:variant>
      <vt:variant>
        <vt:lpwstr/>
      </vt:variant>
      <vt:variant>
        <vt:lpwstr>_ENREF_139</vt:lpwstr>
      </vt:variant>
      <vt:variant>
        <vt:i4>7929912</vt:i4>
      </vt:variant>
      <vt:variant>
        <vt:i4>2129</vt:i4>
      </vt:variant>
      <vt:variant>
        <vt:i4>0</vt:i4>
      </vt:variant>
      <vt:variant>
        <vt:i4>5</vt:i4>
      </vt:variant>
      <vt:variant>
        <vt:lpwstr/>
      </vt:variant>
      <vt:variant>
        <vt:lpwstr>_ENREF_139</vt:lpwstr>
      </vt:variant>
      <vt:variant>
        <vt:i4>4784139</vt:i4>
      </vt:variant>
      <vt:variant>
        <vt:i4>2123</vt:i4>
      </vt:variant>
      <vt:variant>
        <vt:i4>0</vt:i4>
      </vt:variant>
      <vt:variant>
        <vt:i4>5</vt:i4>
      </vt:variant>
      <vt:variant>
        <vt:lpwstr/>
      </vt:variant>
      <vt:variant>
        <vt:lpwstr>_ENREF_86</vt:lpwstr>
      </vt:variant>
      <vt:variant>
        <vt:i4>4653067</vt:i4>
      </vt:variant>
      <vt:variant>
        <vt:i4>2119</vt:i4>
      </vt:variant>
      <vt:variant>
        <vt:i4>0</vt:i4>
      </vt:variant>
      <vt:variant>
        <vt:i4>5</vt:i4>
      </vt:variant>
      <vt:variant>
        <vt:lpwstr/>
      </vt:variant>
      <vt:variant>
        <vt:lpwstr>_ENREF_61</vt:lpwstr>
      </vt:variant>
      <vt:variant>
        <vt:i4>8060990</vt:i4>
      </vt:variant>
      <vt:variant>
        <vt:i4>2116</vt:i4>
      </vt:variant>
      <vt:variant>
        <vt:i4>0</vt:i4>
      </vt:variant>
      <vt:variant>
        <vt:i4>5</vt:i4>
      </vt:variant>
      <vt:variant>
        <vt:lpwstr/>
      </vt:variant>
      <vt:variant>
        <vt:lpwstr>_ENREF_258</vt:lpwstr>
      </vt:variant>
      <vt:variant>
        <vt:i4>7667769</vt:i4>
      </vt:variant>
      <vt:variant>
        <vt:i4>2102</vt:i4>
      </vt:variant>
      <vt:variant>
        <vt:i4>0</vt:i4>
      </vt:variant>
      <vt:variant>
        <vt:i4>5</vt:i4>
      </vt:variant>
      <vt:variant>
        <vt:lpwstr/>
      </vt:variant>
      <vt:variant>
        <vt:lpwstr>_ENREF_226</vt:lpwstr>
      </vt:variant>
      <vt:variant>
        <vt:i4>4390923</vt:i4>
      </vt:variant>
      <vt:variant>
        <vt:i4>2096</vt:i4>
      </vt:variant>
      <vt:variant>
        <vt:i4>0</vt:i4>
      </vt:variant>
      <vt:variant>
        <vt:i4>5</vt:i4>
      </vt:variant>
      <vt:variant>
        <vt:lpwstr/>
      </vt:variant>
      <vt:variant>
        <vt:lpwstr>_ENREF_25</vt:lpwstr>
      </vt:variant>
      <vt:variant>
        <vt:i4>7471161</vt:i4>
      </vt:variant>
      <vt:variant>
        <vt:i4>2092</vt:i4>
      </vt:variant>
      <vt:variant>
        <vt:i4>0</vt:i4>
      </vt:variant>
      <vt:variant>
        <vt:i4>5</vt:i4>
      </vt:variant>
      <vt:variant>
        <vt:lpwstr/>
      </vt:variant>
      <vt:variant>
        <vt:lpwstr>_ENREF_221</vt:lpwstr>
      </vt:variant>
      <vt:variant>
        <vt:i4>4784139</vt:i4>
      </vt:variant>
      <vt:variant>
        <vt:i4>2089</vt:i4>
      </vt:variant>
      <vt:variant>
        <vt:i4>0</vt:i4>
      </vt:variant>
      <vt:variant>
        <vt:i4>5</vt:i4>
      </vt:variant>
      <vt:variant>
        <vt:lpwstr/>
      </vt:variant>
      <vt:variant>
        <vt:lpwstr>_ENREF_81</vt:lpwstr>
      </vt:variant>
      <vt:variant>
        <vt:i4>7864377</vt:i4>
      </vt:variant>
      <vt:variant>
        <vt:i4>2077</vt:i4>
      </vt:variant>
      <vt:variant>
        <vt:i4>0</vt:i4>
      </vt:variant>
      <vt:variant>
        <vt:i4>5</vt:i4>
      </vt:variant>
      <vt:variant>
        <vt:lpwstr/>
      </vt:variant>
      <vt:variant>
        <vt:lpwstr>_ENREF_128</vt:lpwstr>
      </vt:variant>
      <vt:variant>
        <vt:i4>7995455</vt:i4>
      </vt:variant>
      <vt:variant>
        <vt:i4>2073</vt:i4>
      </vt:variant>
      <vt:variant>
        <vt:i4>0</vt:i4>
      </vt:variant>
      <vt:variant>
        <vt:i4>5</vt:i4>
      </vt:variant>
      <vt:variant>
        <vt:lpwstr/>
      </vt:variant>
      <vt:variant>
        <vt:lpwstr>_ENREF_249</vt:lpwstr>
      </vt:variant>
      <vt:variant>
        <vt:i4>7733307</vt:i4>
      </vt:variant>
      <vt:variant>
        <vt:i4>2070</vt:i4>
      </vt:variant>
      <vt:variant>
        <vt:i4>0</vt:i4>
      </vt:variant>
      <vt:variant>
        <vt:i4>5</vt:i4>
      </vt:variant>
      <vt:variant>
        <vt:lpwstr/>
      </vt:variant>
      <vt:variant>
        <vt:lpwstr>_ENREF_106</vt:lpwstr>
      </vt:variant>
      <vt:variant>
        <vt:i4>8060991</vt:i4>
      </vt:variant>
      <vt:variant>
        <vt:i4>2060</vt:i4>
      </vt:variant>
      <vt:variant>
        <vt:i4>0</vt:i4>
      </vt:variant>
      <vt:variant>
        <vt:i4>5</vt:i4>
      </vt:variant>
      <vt:variant>
        <vt:lpwstr/>
      </vt:variant>
      <vt:variant>
        <vt:lpwstr>_ENREF_248</vt:lpwstr>
      </vt:variant>
      <vt:variant>
        <vt:i4>7995454</vt:i4>
      </vt:variant>
      <vt:variant>
        <vt:i4>2054</vt:i4>
      </vt:variant>
      <vt:variant>
        <vt:i4>0</vt:i4>
      </vt:variant>
      <vt:variant>
        <vt:i4>5</vt:i4>
      </vt:variant>
      <vt:variant>
        <vt:lpwstr/>
      </vt:variant>
      <vt:variant>
        <vt:lpwstr>_ENREF_259</vt:lpwstr>
      </vt:variant>
      <vt:variant>
        <vt:i4>7995455</vt:i4>
      </vt:variant>
      <vt:variant>
        <vt:i4>2050</vt:i4>
      </vt:variant>
      <vt:variant>
        <vt:i4>0</vt:i4>
      </vt:variant>
      <vt:variant>
        <vt:i4>5</vt:i4>
      </vt:variant>
      <vt:variant>
        <vt:lpwstr/>
      </vt:variant>
      <vt:variant>
        <vt:lpwstr>_ENREF_249</vt:lpwstr>
      </vt:variant>
      <vt:variant>
        <vt:i4>7733307</vt:i4>
      </vt:variant>
      <vt:variant>
        <vt:i4>2047</vt:i4>
      </vt:variant>
      <vt:variant>
        <vt:i4>0</vt:i4>
      </vt:variant>
      <vt:variant>
        <vt:i4>5</vt:i4>
      </vt:variant>
      <vt:variant>
        <vt:lpwstr/>
      </vt:variant>
      <vt:variant>
        <vt:lpwstr>_ENREF_106</vt:lpwstr>
      </vt:variant>
      <vt:variant>
        <vt:i4>4587531</vt:i4>
      </vt:variant>
      <vt:variant>
        <vt:i4>2037</vt:i4>
      </vt:variant>
      <vt:variant>
        <vt:i4>0</vt:i4>
      </vt:variant>
      <vt:variant>
        <vt:i4>5</vt:i4>
      </vt:variant>
      <vt:variant>
        <vt:lpwstr/>
      </vt:variant>
      <vt:variant>
        <vt:lpwstr>_ENREF_72</vt:lpwstr>
      </vt:variant>
      <vt:variant>
        <vt:i4>4587531</vt:i4>
      </vt:variant>
      <vt:variant>
        <vt:i4>2033</vt:i4>
      </vt:variant>
      <vt:variant>
        <vt:i4>0</vt:i4>
      </vt:variant>
      <vt:variant>
        <vt:i4>5</vt:i4>
      </vt:variant>
      <vt:variant>
        <vt:lpwstr/>
      </vt:variant>
      <vt:variant>
        <vt:lpwstr>_ENREF_78</vt:lpwstr>
      </vt:variant>
      <vt:variant>
        <vt:i4>4456459</vt:i4>
      </vt:variant>
      <vt:variant>
        <vt:i4>2030</vt:i4>
      </vt:variant>
      <vt:variant>
        <vt:i4>0</vt:i4>
      </vt:variant>
      <vt:variant>
        <vt:i4>5</vt:i4>
      </vt:variant>
      <vt:variant>
        <vt:lpwstr/>
      </vt:variant>
      <vt:variant>
        <vt:lpwstr>_ENREF_52</vt:lpwstr>
      </vt:variant>
      <vt:variant>
        <vt:i4>4521995</vt:i4>
      </vt:variant>
      <vt:variant>
        <vt:i4>2020</vt:i4>
      </vt:variant>
      <vt:variant>
        <vt:i4>0</vt:i4>
      </vt:variant>
      <vt:variant>
        <vt:i4>5</vt:i4>
      </vt:variant>
      <vt:variant>
        <vt:lpwstr/>
      </vt:variant>
      <vt:variant>
        <vt:lpwstr>_ENREF_41</vt:lpwstr>
      </vt:variant>
      <vt:variant>
        <vt:i4>7602237</vt:i4>
      </vt:variant>
      <vt:variant>
        <vt:i4>2016</vt:i4>
      </vt:variant>
      <vt:variant>
        <vt:i4>0</vt:i4>
      </vt:variant>
      <vt:variant>
        <vt:i4>5</vt:i4>
      </vt:variant>
      <vt:variant>
        <vt:lpwstr/>
      </vt:variant>
      <vt:variant>
        <vt:lpwstr>_ENREF_164</vt:lpwstr>
      </vt:variant>
      <vt:variant>
        <vt:i4>4718603</vt:i4>
      </vt:variant>
      <vt:variant>
        <vt:i4>2013</vt:i4>
      </vt:variant>
      <vt:variant>
        <vt:i4>0</vt:i4>
      </vt:variant>
      <vt:variant>
        <vt:i4>5</vt:i4>
      </vt:variant>
      <vt:variant>
        <vt:lpwstr/>
      </vt:variant>
      <vt:variant>
        <vt:lpwstr>_ENREF_9</vt:lpwstr>
      </vt:variant>
      <vt:variant>
        <vt:i4>8060986</vt:i4>
      </vt:variant>
      <vt:variant>
        <vt:i4>2010</vt:i4>
      </vt:variant>
      <vt:variant>
        <vt:i4>0</vt:i4>
      </vt:variant>
      <vt:variant>
        <vt:i4>5</vt:i4>
      </vt:variant>
      <vt:variant>
        <vt:lpwstr/>
      </vt:variant>
      <vt:variant>
        <vt:lpwstr>_ENREF_218</vt:lpwstr>
      </vt:variant>
      <vt:variant>
        <vt:i4>4587531</vt:i4>
      </vt:variant>
      <vt:variant>
        <vt:i4>2000</vt:i4>
      </vt:variant>
      <vt:variant>
        <vt:i4>0</vt:i4>
      </vt:variant>
      <vt:variant>
        <vt:i4>5</vt:i4>
      </vt:variant>
      <vt:variant>
        <vt:lpwstr/>
      </vt:variant>
      <vt:variant>
        <vt:lpwstr>_ENREF_78</vt:lpwstr>
      </vt:variant>
      <vt:variant>
        <vt:i4>4325387</vt:i4>
      </vt:variant>
      <vt:variant>
        <vt:i4>1993</vt:i4>
      </vt:variant>
      <vt:variant>
        <vt:i4>0</vt:i4>
      </vt:variant>
      <vt:variant>
        <vt:i4>5</vt:i4>
      </vt:variant>
      <vt:variant>
        <vt:lpwstr/>
      </vt:variant>
      <vt:variant>
        <vt:lpwstr>_ENREF_38</vt:lpwstr>
      </vt:variant>
      <vt:variant>
        <vt:i4>4194315</vt:i4>
      </vt:variant>
      <vt:variant>
        <vt:i4>1990</vt:i4>
      </vt:variant>
      <vt:variant>
        <vt:i4>0</vt:i4>
      </vt:variant>
      <vt:variant>
        <vt:i4>5</vt:i4>
      </vt:variant>
      <vt:variant>
        <vt:lpwstr/>
      </vt:variant>
      <vt:variant>
        <vt:lpwstr>_ENREF_18</vt:lpwstr>
      </vt:variant>
      <vt:variant>
        <vt:i4>7536702</vt:i4>
      </vt:variant>
      <vt:variant>
        <vt:i4>1982</vt:i4>
      </vt:variant>
      <vt:variant>
        <vt:i4>0</vt:i4>
      </vt:variant>
      <vt:variant>
        <vt:i4>5</vt:i4>
      </vt:variant>
      <vt:variant>
        <vt:lpwstr/>
      </vt:variant>
      <vt:variant>
        <vt:lpwstr>_ENREF_250</vt:lpwstr>
      </vt:variant>
      <vt:variant>
        <vt:i4>4194315</vt:i4>
      </vt:variant>
      <vt:variant>
        <vt:i4>1979</vt:i4>
      </vt:variant>
      <vt:variant>
        <vt:i4>0</vt:i4>
      </vt:variant>
      <vt:variant>
        <vt:i4>5</vt:i4>
      </vt:variant>
      <vt:variant>
        <vt:lpwstr/>
      </vt:variant>
      <vt:variant>
        <vt:lpwstr>_ENREF_16</vt:lpwstr>
      </vt:variant>
      <vt:variant>
        <vt:i4>7536702</vt:i4>
      </vt:variant>
      <vt:variant>
        <vt:i4>1975</vt:i4>
      </vt:variant>
      <vt:variant>
        <vt:i4>0</vt:i4>
      </vt:variant>
      <vt:variant>
        <vt:i4>5</vt:i4>
      </vt:variant>
      <vt:variant>
        <vt:lpwstr/>
      </vt:variant>
      <vt:variant>
        <vt:lpwstr>_ENREF_250</vt:lpwstr>
      </vt:variant>
      <vt:variant>
        <vt:i4>4194315</vt:i4>
      </vt:variant>
      <vt:variant>
        <vt:i4>1972</vt:i4>
      </vt:variant>
      <vt:variant>
        <vt:i4>0</vt:i4>
      </vt:variant>
      <vt:variant>
        <vt:i4>5</vt:i4>
      </vt:variant>
      <vt:variant>
        <vt:lpwstr/>
      </vt:variant>
      <vt:variant>
        <vt:lpwstr>_ENREF_17</vt:lpwstr>
      </vt:variant>
      <vt:variant>
        <vt:i4>7536699</vt:i4>
      </vt:variant>
      <vt:variant>
        <vt:i4>1969</vt:i4>
      </vt:variant>
      <vt:variant>
        <vt:i4>0</vt:i4>
      </vt:variant>
      <vt:variant>
        <vt:i4>5</vt:i4>
      </vt:variant>
      <vt:variant>
        <vt:lpwstr/>
      </vt:variant>
      <vt:variant>
        <vt:lpwstr>_ENREF_103</vt:lpwstr>
      </vt:variant>
      <vt:variant>
        <vt:i4>7536690</vt:i4>
      </vt:variant>
      <vt:variant>
        <vt:i4>1959</vt:i4>
      </vt:variant>
      <vt:variant>
        <vt:i4>0</vt:i4>
      </vt:variant>
      <vt:variant>
        <vt:i4>5</vt:i4>
      </vt:variant>
      <vt:variant>
        <vt:lpwstr/>
      </vt:variant>
      <vt:variant>
        <vt:lpwstr>_ENREF_193</vt:lpwstr>
      </vt:variant>
      <vt:variant>
        <vt:i4>1114172</vt:i4>
      </vt:variant>
      <vt:variant>
        <vt:i4>1952</vt:i4>
      </vt:variant>
      <vt:variant>
        <vt:i4>0</vt:i4>
      </vt:variant>
      <vt:variant>
        <vt:i4>5</vt:i4>
      </vt:variant>
      <vt:variant>
        <vt:lpwstr/>
      </vt:variant>
      <vt:variant>
        <vt:lpwstr>_Toc431494054</vt:lpwstr>
      </vt:variant>
      <vt:variant>
        <vt:i4>1114172</vt:i4>
      </vt:variant>
      <vt:variant>
        <vt:i4>1946</vt:i4>
      </vt:variant>
      <vt:variant>
        <vt:i4>0</vt:i4>
      </vt:variant>
      <vt:variant>
        <vt:i4>5</vt:i4>
      </vt:variant>
      <vt:variant>
        <vt:lpwstr/>
      </vt:variant>
      <vt:variant>
        <vt:lpwstr>_Toc431494053</vt:lpwstr>
      </vt:variant>
      <vt:variant>
        <vt:i4>1114172</vt:i4>
      </vt:variant>
      <vt:variant>
        <vt:i4>1940</vt:i4>
      </vt:variant>
      <vt:variant>
        <vt:i4>0</vt:i4>
      </vt:variant>
      <vt:variant>
        <vt:i4>5</vt:i4>
      </vt:variant>
      <vt:variant>
        <vt:lpwstr/>
      </vt:variant>
      <vt:variant>
        <vt:lpwstr>_Toc431494052</vt:lpwstr>
      </vt:variant>
      <vt:variant>
        <vt:i4>1114172</vt:i4>
      </vt:variant>
      <vt:variant>
        <vt:i4>1934</vt:i4>
      </vt:variant>
      <vt:variant>
        <vt:i4>0</vt:i4>
      </vt:variant>
      <vt:variant>
        <vt:i4>5</vt:i4>
      </vt:variant>
      <vt:variant>
        <vt:lpwstr/>
      </vt:variant>
      <vt:variant>
        <vt:lpwstr>_Toc431494051</vt:lpwstr>
      </vt:variant>
      <vt:variant>
        <vt:i4>1114172</vt:i4>
      </vt:variant>
      <vt:variant>
        <vt:i4>1928</vt:i4>
      </vt:variant>
      <vt:variant>
        <vt:i4>0</vt:i4>
      </vt:variant>
      <vt:variant>
        <vt:i4>5</vt:i4>
      </vt:variant>
      <vt:variant>
        <vt:lpwstr/>
      </vt:variant>
      <vt:variant>
        <vt:lpwstr>_Toc431494050</vt:lpwstr>
      </vt:variant>
      <vt:variant>
        <vt:i4>1048636</vt:i4>
      </vt:variant>
      <vt:variant>
        <vt:i4>1922</vt:i4>
      </vt:variant>
      <vt:variant>
        <vt:i4>0</vt:i4>
      </vt:variant>
      <vt:variant>
        <vt:i4>5</vt:i4>
      </vt:variant>
      <vt:variant>
        <vt:lpwstr/>
      </vt:variant>
      <vt:variant>
        <vt:lpwstr>_Toc431494049</vt:lpwstr>
      </vt:variant>
      <vt:variant>
        <vt:i4>1048636</vt:i4>
      </vt:variant>
      <vt:variant>
        <vt:i4>1916</vt:i4>
      </vt:variant>
      <vt:variant>
        <vt:i4>0</vt:i4>
      </vt:variant>
      <vt:variant>
        <vt:i4>5</vt:i4>
      </vt:variant>
      <vt:variant>
        <vt:lpwstr/>
      </vt:variant>
      <vt:variant>
        <vt:lpwstr>_Toc431494048</vt:lpwstr>
      </vt:variant>
      <vt:variant>
        <vt:i4>1048636</vt:i4>
      </vt:variant>
      <vt:variant>
        <vt:i4>1910</vt:i4>
      </vt:variant>
      <vt:variant>
        <vt:i4>0</vt:i4>
      </vt:variant>
      <vt:variant>
        <vt:i4>5</vt:i4>
      </vt:variant>
      <vt:variant>
        <vt:lpwstr/>
      </vt:variant>
      <vt:variant>
        <vt:lpwstr>_Toc431494047</vt:lpwstr>
      </vt:variant>
      <vt:variant>
        <vt:i4>1048636</vt:i4>
      </vt:variant>
      <vt:variant>
        <vt:i4>1904</vt:i4>
      </vt:variant>
      <vt:variant>
        <vt:i4>0</vt:i4>
      </vt:variant>
      <vt:variant>
        <vt:i4>5</vt:i4>
      </vt:variant>
      <vt:variant>
        <vt:lpwstr/>
      </vt:variant>
      <vt:variant>
        <vt:lpwstr>_Toc431494046</vt:lpwstr>
      </vt:variant>
      <vt:variant>
        <vt:i4>1048636</vt:i4>
      </vt:variant>
      <vt:variant>
        <vt:i4>1898</vt:i4>
      </vt:variant>
      <vt:variant>
        <vt:i4>0</vt:i4>
      </vt:variant>
      <vt:variant>
        <vt:i4>5</vt:i4>
      </vt:variant>
      <vt:variant>
        <vt:lpwstr/>
      </vt:variant>
      <vt:variant>
        <vt:lpwstr>_Toc431494045</vt:lpwstr>
      </vt:variant>
      <vt:variant>
        <vt:i4>1048636</vt:i4>
      </vt:variant>
      <vt:variant>
        <vt:i4>1892</vt:i4>
      </vt:variant>
      <vt:variant>
        <vt:i4>0</vt:i4>
      </vt:variant>
      <vt:variant>
        <vt:i4>5</vt:i4>
      </vt:variant>
      <vt:variant>
        <vt:lpwstr/>
      </vt:variant>
      <vt:variant>
        <vt:lpwstr>_Toc431494044</vt:lpwstr>
      </vt:variant>
      <vt:variant>
        <vt:i4>1048636</vt:i4>
      </vt:variant>
      <vt:variant>
        <vt:i4>1886</vt:i4>
      </vt:variant>
      <vt:variant>
        <vt:i4>0</vt:i4>
      </vt:variant>
      <vt:variant>
        <vt:i4>5</vt:i4>
      </vt:variant>
      <vt:variant>
        <vt:lpwstr/>
      </vt:variant>
      <vt:variant>
        <vt:lpwstr>_Toc431494043</vt:lpwstr>
      </vt:variant>
      <vt:variant>
        <vt:i4>1048636</vt:i4>
      </vt:variant>
      <vt:variant>
        <vt:i4>1880</vt:i4>
      </vt:variant>
      <vt:variant>
        <vt:i4>0</vt:i4>
      </vt:variant>
      <vt:variant>
        <vt:i4>5</vt:i4>
      </vt:variant>
      <vt:variant>
        <vt:lpwstr/>
      </vt:variant>
      <vt:variant>
        <vt:lpwstr>_Toc431494042</vt:lpwstr>
      </vt:variant>
      <vt:variant>
        <vt:i4>1048636</vt:i4>
      </vt:variant>
      <vt:variant>
        <vt:i4>1874</vt:i4>
      </vt:variant>
      <vt:variant>
        <vt:i4>0</vt:i4>
      </vt:variant>
      <vt:variant>
        <vt:i4>5</vt:i4>
      </vt:variant>
      <vt:variant>
        <vt:lpwstr/>
      </vt:variant>
      <vt:variant>
        <vt:lpwstr>_Toc431494041</vt:lpwstr>
      </vt:variant>
      <vt:variant>
        <vt:i4>1048636</vt:i4>
      </vt:variant>
      <vt:variant>
        <vt:i4>1868</vt:i4>
      </vt:variant>
      <vt:variant>
        <vt:i4>0</vt:i4>
      </vt:variant>
      <vt:variant>
        <vt:i4>5</vt:i4>
      </vt:variant>
      <vt:variant>
        <vt:lpwstr/>
      </vt:variant>
      <vt:variant>
        <vt:lpwstr>_Toc431494040</vt:lpwstr>
      </vt:variant>
      <vt:variant>
        <vt:i4>1507388</vt:i4>
      </vt:variant>
      <vt:variant>
        <vt:i4>1862</vt:i4>
      </vt:variant>
      <vt:variant>
        <vt:i4>0</vt:i4>
      </vt:variant>
      <vt:variant>
        <vt:i4>5</vt:i4>
      </vt:variant>
      <vt:variant>
        <vt:lpwstr/>
      </vt:variant>
      <vt:variant>
        <vt:lpwstr>_Toc431494039</vt:lpwstr>
      </vt:variant>
      <vt:variant>
        <vt:i4>1507388</vt:i4>
      </vt:variant>
      <vt:variant>
        <vt:i4>1856</vt:i4>
      </vt:variant>
      <vt:variant>
        <vt:i4>0</vt:i4>
      </vt:variant>
      <vt:variant>
        <vt:i4>5</vt:i4>
      </vt:variant>
      <vt:variant>
        <vt:lpwstr/>
      </vt:variant>
      <vt:variant>
        <vt:lpwstr>_Toc431494038</vt:lpwstr>
      </vt:variant>
      <vt:variant>
        <vt:i4>1507388</vt:i4>
      </vt:variant>
      <vt:variant>
        <vt:i4>1850</vt:i4>
      </vt:variant>
      <vt:variant>
        <vt:i4>0</vt:i4>
      </vt:variant>
      <vt:variant>
        <vt:i4>5</vt:i4>
      </vt:variant>
      <vt:variant>
        <vt:lpwstr/>
      </vt:variant>
      <vt:variant>
        <vt:lpwstr>_Toc431494037</vt:lpwstr>
      </vt:variant>
      <vt:variant>
        <vt:i4>1507388</vt:i4>
      </vt:variant>
      <vt:variant>
        <vt:i4>1844</vt:i4>
      </vt:variant>
      <vt:variant>
        <vt:i4>0</vt:i4>
      </vt:variant>
      <vt:variant>
        <vt:i4>5</vt:i4>
      </vt:variant>
      <vt:variant>
        <vt:lpwstr/>
      </vt:variant>
      <vt:variant>
        <vt:lpwstr>_Toc431494036</vt:lpwstr>
      </vt:variant>
      <vt:variant>
        <vt:i4>1507388</vt:i4>
      </vt:variant>
      <vt:variant>
        <vt:i4>1838</vt:i4>
      </vt:variant>
      <vt:variant>
        <vt:i4>0</vt:i4>
      </vt:variant>
      <vt:variant>
        <vt:i4>5</vt:i4>
      </vt:variant>
      <vt:variant>
        <vt:lpwstr/>
      </vt:variant>
      <vt:variant>
        <vt:lpwstr>_Toc431494035</vt:lpwstr>
      </vt:variant>
      <vt:variant>
        <vt:i4>1507388</vt:i4>
      </vt:variant>
      <vt:variant>
        <vt:i4>1832</vt:i4>
      </vt:variant>
      <vt:variant>
        <vt:i4>0</vt:i4>
      </vt:variant>
      <vt:variant>
        <vt:i4>5</vt:i4>
      </vt:variant>
      <vt:variant>
        <vt:lpwstr/>
      </vt:variant>
      <vt:variant>
        <vt:lpwstr>_Toc431494034</vt:lpwstr>
      </vt:variant>
      <vt:variant>
        <vt:i4>1507388</vt:i4>
      </vt:variant>
      <vt:variant>
        <vt:i4>1826</vt:i4>
      </vt:variant>
      <vt:variant>
        <vt:i4>0</vt:i4>
      </vt:variant>
      <vt:variant>
        <vt:i4>5</vt:i4>
      </vt:variant>
      <vt:variant>
        <vt:lpwstr/>
      </vt:variant>
      <vt:variant>
        <vt:lpwstr>_Toc431494033</vt:lpwstr>
      </vt:variant>
      <vt:variant>
        <vt:i4>1507388</vt:i4>
      </vt:variant>
      <vt:variant>
        <vt:i4>1820</vt:i4>
      </vt:variant>
      <vt:variant>
        <vt:i4>0</vt:i4>
      </vt:variant>
      <vt:variant>
        <vt:i4>5</vt:i4>
      </vt:variant>
      <vt:variant>
        <vt:lpwstr/>
      </vt:variant>
      <vt:variant>
        <vt:lpwstr>_Toc431494032</vt:lpwstr>
      </vt:variant>
      <vt:variant>
        <vt:i4>1507388</vt:i4>
      </vt:variant>
      <vt:variant>
        <vt:i4>1814</vt:i4>
      </vt:variant>
      <vt:variant>
        <vt:i4>0</vt:i4>
      </vt:variant>
      <vt:variant>
        <vt:i4>5</vt:i4>
      </vt:variant>
      <vt:variant>
        <vt:lpwstr/>
      </vt:variant>
      <vt:variant>
        <vt:lpwstr>_Toc431494031</vt:lpwstr>
      </vt:variant>
      <vt:variant>
        <vt:i4>1507388</vt:i4>
      </vt:variant>
      <vt:variant>
        <vt:i4>1808</vt:i4>
      </vt:variant>
      <vt:variant>
        <vt:i4>0</vt:i4>
      </vt:variant>
      <vt:variant>
        <vt:i4>5</vt:i4>
      </vt:variant>
      <vt:variant>
        <vt:lpwstr/>
      </vt:variant>
      <vt:variant>
        <vt:lpwstr>_Toc431494030</vt:lpwstr>
      </vt:variant>
      <vt:variant>
        <vt:i4>1441852</vt:i4>
      </vt:variant>
      <vt:variant>
        <vt:i4>1802</vt:i4>
      </vt:variant>
      <vt:variant>
        <vt:i4>0</vt:i4>
      </vt:variant>
      <vt:variant>
        <vt:i4>5</vt:i4>
      </vt:variant>
      <vt:variant>
        <vt:lpwstr/>
      </vt:variant>
      <vt:variant>
        <vt:lpwstr>_Toc431494029</vt:lpwstr>
      </vt:variant>
      <vt:variant>
        <vt:i4>1441852</vt:i4>
      </vt:variant>
      <vt:variant>
        <vt:i4>1796</vt:i4>
      </vt:variant>
      <vt:variant>
        <vt:i4>0</vt:i4>
      </vt:variant>
      <vt:variant>
        <vt:i4>5</vt:i4>
      </vt:variant>
      <vt:variant>
        <vt:lpwstr/>
      </vt:variant>
      <vt:variant>
        <vt:lpwstr>_Toc431494028</vt:lpwstr>
      </vt:variant>
      <vt:variant>
        <vt:i4>1441852</vt:i4>
      </vt:variant>
      <vt:variant>
        <vt:i4>1790</vt:i4>
      </vt:variant>
      <vt:variant>
        <vt:i4>0</vt:i4>
      </vt:variant>
      <vt:variant>
        <vt:i4>5</vt:i4>
      </vt:variant>
      <vt:variant>
        <vt:lpwstr/>
      </vt:variant>
      <vt:variant>
        <vt:lpwstr>_Toc431494027</vt:lpwstr>
      </vt:variant>
      <vt:variant>
        <vt:i4>1441852</vt:i4>
      </vt:variant>
      <vt:variant>
        <vt:i4>1784</vt:i4>
      </vt:variant>
      <vt:variant>
        <vt:i4>0</vt:i4>
      </vt:variant>
      <vt:variant>
        <vt:i4>5</vt:i4>
      </vt:variant>
      <vt:variant>
        <vt:lpwstr/>
      </vt:variant>
      <vt:variant>
        <vt:lpwstr>_Toc431494026</vt:lpwstr>
      </vt:variant>
      <vt:variant>
        <vt:i4>1441852</vt:i4>
      </vt:variant>
      <vt:variant>
        <vt:i4>1778</vt:i4>
      </vt:variant>
      <vt:variant>
        <vt:i4>0</vt:i4>
      </vt:variant>
      <vt:variant>
        <vt:i4>5</vt:i4>
      </vt:variant>
      <vt:variant>
        <vt:lpwstr/>
      </vt:variant>
      <vt:variant>
        <vt:lpwstr>_Toc431494025</vt:lpwstr>
      </vt:variant>
      <vt:variant>
        <vt:i4>1441852</vt:i4>
      </vt:variant>
      <vt:variant>
        <vt:i4>1772</vt:i4>
      </vt:variant>
      <vt:variant>
        <vt:i4>0</vt:i4>
      </vt:variant>
      <vt:variant>
        <vt:i4>5</vt:i4>
      </vt:variant>
      <vt:variant>
        <vt:lpwstr/>
      </vt:variant>
      <vt:variant>
        <vt:lpwstr>_Toc431494024</vt:lpwstr>
      </vt:variant>
      <vt:variant>
        <vt:i4>1441852</vt:i4>
      </vt:variant>
      <vt:variant>
        <vt:i4>1766</vt:i4>
      </vt:variant>
      <vt:variant>
        <vt:i4>0</vt:i4>
      </vt:variant>
      <vt:variant>
        <vt:i4>5</vt:i4>
      </vt:variant>
      <vt:variant>
        <vt:lpwstr/>
      </vt:variant>
      <vt:variant>
        <vt:lpwstr>_Toc431494023</vt:lpwstr>
      </vt:variant>
      <vt:variant>
        <vt:i4>1441852</vt:i4>
      </vt:variant>
      <vt:variant>
        <vt:i4>1760</vt:i4>
      </vt:variant>
      <vt:variant>
        <vt:i4>0</vt:i4>
      </vt:variant>
      <vt:variant>
        <vt:i4>5</vt:i4>
      </vt:variant>
      <vt:variant>
        <vt:lpwstr/>
      </vt:variant>
      <vt:variant>
        <vt:lpwstr>_Toc431494022</vt:lpwstr>
      </vt:variant>
      <vt:variant>
        <vt:i4>1441852</vt:i4>
      </vt:variant>
      <vt:variant>
        <vt:i4>1754</vt:i4>
      </vt:variant>
      <vt:variant>
        <vt:i4>0</vt:i4>
      </vt:variant>
      <vt:variant>
        <vt:i4>5</vt:i4>
      </vt:variant>
      <vt:variant>
        <vt:lpwstr/>
      </vt:variant>
      <vt:variant>
        <vt:lpwstr>_Toc431494021</vt:lpwstr>
      </vt:variant>
      <vt:variant>
        <vt:i4>1441852</vt:i4>
      </vt:variant>
      <vt:variant>
        <vt:i4>1748</vt:i4>
      </vt:variant>
      <vt:variant>
        <vt:i4>0</vt:i4>
      </vt:variant>
      <vt:variant>
        <vt:i4>5</vt:i4>
      </vt:variant>
      <vt:variant>
        <vt:lpwstr/>
      </vt:variant>
      <vt:variant>
        <vt:lpwstr>_Toc431494020</vt:lpwstr>
      </vt:variant>
      <vt:variant>
        <vt:i4>1376316</vt:i4>
      </vt:variant>
      <vt:variant>
        <vt:i4>1742</vt:i4>
      </vt:variant>
      <vt:variant>
        <vt:i4>0</vt:i4>
      </vt:variant>
      <vt:variant>
        <vt:i4>5</vt:i4>
      </vt:variant>
      <vt:variant>
        <vt:lpwstr/>
      </vt:variant>
      <vt:variant>
        <vt:lpwstr>_Toc431494019</vt:lpwstr>
      </vt:variant>
      <vt:variant>
        <vt:i4>1376316</vt:i4>
      </vt:variant>
      <vt:variant>
        <vt:i4>1736</vt:i4>
      </vt:variant>
      <vt:variant>
        <vt:i4>0</vt:i4>
      </vt:variant>
      <vt:variant>
        <vt:i4>5</vt:i4>
      </vt:variant>
      <vt:variant>
        <vt:lpwstr/>
      </vt:variant>
      <vt:variant>
        <vt:lpwstr>_Toc431494018</vt:lpwstr>
      </vt:variant>
      <vt:variant>
        <vt:i4>1376316</vt:i4>
      </vt:variant>
      <vt:variant>
        <vt:i4>1730</vt:i4>
      </vt:variant>
      <vt:variant>
        <vt:i4>0</vt:i4>
      </vt:variant>
      <vt:variant>
        <vt:i4>5</vt:i4>
      </vt:variant>
      <vt:variant>
        <vt:lpwstr/>
      </vt:variant>
      <vt:variant>
        <vt:lpwstr>_Toc431494017</vt:lpwstr>
      </vt:variant>
      <vt:variant>
        <vt:i4>1376316</vt:i4>
      </vt:variant>
      <vt:variant>
        <vt:i4>1724</vt:i4>
      </vt:variant>
      <vt:variant>
        <vt:i4>0</vt:i4>
      </vt:variant>
      <vt:variant>
        <vt:i4>5</vt:i4>
      </vt:variant>
      <vt:variant>
        <vt:lpwstr/>
      </vt:variant>
      <vt:variant>
        <vt:lpwstr>_Toc431494016</vt:lpwstr>
      </vt:variant>
      <vt:variant>
        <vt:i4>1376316</vt:i4>
      </vt:variant>
      <vt:variant>
        <vt:i4>1718</vt:i4>
      </vt:variant>
      <vt:variant>
        <vt:i4>0</vt:i4>
      </vt:variant>
      <vt:variant>
        <vt:i4>5</vt:i4>
      </vt:variant>
      <vt:variant>
        <vt:lpwstr/>
      </vt:variant>
      <vt:variant>
        <vt:lpwstr>_Toc431494015</vt:lpwstr>
      </vt:variant>
      <vt:variant>
        <vt:i4>1376316</vt:i4>
      </vt:variant>
      <vt:variant>
        <vt:i4>1712</vt:i4>
      </vt:variant>
      <vt:variant>
        <vt:i4>0</vt:i4>
      </vt:variant>
      <vt:variant>
        <vt:i4>5</vt:i4>
      </vt:variant>
      <vt:variant>
        <vt:lpwstr/>
      </vt:variant>
      <vt:variant>
        <vt:lpwstr>_Toc431494014</vt:lpwstr>
      </vt:variant>
      <vt:variant>
        <vt:i4>1376316</vt:i4>
      </vt:variant>
      <vt:variant>
        <vt:i4>1703</vt:i4>
      </vt:variant>
      <vt:variant>
        <vt:i4>0</vt:i4>
      </vt:variant>
      <vt:variant>
        <vt:i4>5</vt:i4>
      </vt:variant>
      <vt:variant>
        <vt:lpwstr/>
      </vt:variant>
      <vt:variant>
        <vt:lpwstr>_Toc431494013</vt:lpwstr>
      </vt:variant>
      <vt:variant>
        <vt:i4>1376316</vt:i4>
      </vt:variant>
      <vt:variant>
        <vt:i4>1697</vt:i4>
      </vt:variant>
      <vt:variant>
        <vt:i4>0</vt:i4>
      </vt:variant>
      <vt:variant>
        <vt:i4>5</vt:i4>
      </vt:variant>
      <vt:variant>
        <vt:lpwstr/>
      </vt:variant>
      <vt:variant>
        <vt:lpwstr>_Toc431494012</vt:lpwstr>
      </vt:variant>
      <vt:variant>
        <vt:i4>1376316</vt:i4>
      </vt:variant>
      <vt:variant>
        <vt:i4>1691</vt:i4>
      </vt:variant>
      <vt:variant>
        <vt:i4>0</vt:i4>
      </vt:variant>
      <vt:variant>
        <vt:i4>5</vt:i4>
      </vt:variant>
      <vt:variant>
        <vt:lpwstr/>
      </vt:variant>
      <vt:variant>
        <vt:lpwstr>_Toc431494011</vt:lpwstr>
      </vt:variant>
      <vt:variant>
        <vt:i4>1376316</vt:i4>
      </vt:variant>
      <vt:variant>
        <vt:i4>1685</vt:i4>
      </vt:variant>
      <vt:variant>
        <vt:i4>0</vt:i4>
      </vt:variant>
      <vt:variant>
        <vt:i4>5</vt:i4>
      </vt:variant>
      <vt:variant>
        <vt:lpwstr/>
      </vt:variant>
      <vt:variant>
        <vt:lpwstr>_Toc431494010</vt:lpwstr>
      </vt:variant>
      <vt:variant>
        <vt:i4>1310780</vt:i4>
      </vt:variant>
      <vt:variant>
        <vt:i4>1679</vt:i4>
      </vt:variant>
      <vt:variant>
        <vt:i4>0</vt:i4>
      </vt:variant>
      <vt:variant>
        <vt:i4>5</vt:i4>
      </vt:variant>
      <vt:variant>
        <vt:lpwstr/>
      </vt:variant>
      <vt:variant>
        <vt:lpwstr>_Toc431494009</vt:lpwstr>
      </vt:variant>
      <vt:variant>
        <vt:i4>1310780</vt:i4>
      </vt:variant>
      <vt:variant>
        <vt:i4>1673</vt:i4>
      </vt:variant>
      <vt:variant>
        <vt:i4>0</vt:i4>
      </vt:variant>
      <vt:variant>
        <vt:i4>5</vt:i4>
      </vt:variant>
      <vt:variant>
        <vt:lpwstr/>
      </vt:variant>
      <vt:variant>
        <vt:lpwstr>_Toc431494008</vt:lpwstr>
      </vt:variant>
      <vt:variant>
        <vt:i4>1310780</vt:i4>
      </vt:variant>
      <vt:variant>
        <vt:i4>1667</vt:i4>
      </vt:variant>
      <vt:variant>
        <vt:i4>0</vt:i4>
      </vt:variant>
      <vt:variant>
        <vt:i4>5</vt:i4>
      </vt:variant>
      <vt:variant>
        <vt:lpwstr/>
      </vt:variant>
      <vt:variant>
        <vt:lpwstr>_Toc431494007</vt:lpwstr>
      </vt:variant>
      <vt:variant>
        <vt:i4>1310780</vt:i4>
      </vt:variant>
      <vt:variant>
        <vt:i4>1661</vt:i4>
      </vt:variant>
      <vt:variant>
        <vt:i4>0</vt:i4>
      </vt:variant>
      <vt:variant>
        <vt:i4>5</vt:i4>
      </vt:variant>
      <vt:variant>
        <vt:lpwstr/>
      </vt:variant>
      <vt:variant>
        <vt:lpwstr>_Toc431494006</vt:lpwstr>
      </vt:variant>
      <vt:variant>
        <vt:i4>1310780</vt:i4>
      </vt:variant>
      <vt:variant>
        <vt:i4>1655</vt:i4>
      </vt:variant>
      <vt:variant>
        <vt:i4>0</vt:i4>
      </vt:variant>
      <vt:variant>
        <vt:i4>5</vt:i4>
      </vt:variant>
      <vt:variant>
        <vt:lpwstr/>
      </vt:variant>
      <vt:variant>
        <vt:lpwstr>_Toc431494005</vt:lpwstr>
      </vt:variant>
      <vt:variant>
        <vt:i4>1310780</vt:i4>
      </vt:variant>
      <vt:variant>
        <vt:i4>1649</vt:i4>
      </vt:variant>
      <vt:variant>
        <vt:i4>0</vt:i4>
      </vt:variant>
      <vt:variant>
        <vt:i4>5</vt:i4>
      </vt:variant>
      <vt:variant>
        <vt:lpwstr/>
      </vt:variant>
      <vt:variant>
        <vt:lpwstr>_Toc431494004</vt:lpwstr>
      </vt:variant>
      <vt:variant>
        <vt:i4>1310780</vt:i4>
      </vt:variant>
      <vt:variant>
        <vt:i4>1643</vt:i4>
      </vt:variant>
      <vt:variant>
        <vt:i4>0</vt:i4>
      </vt:variant>
      <vt:variant>
        <vt:i4>5</vt:i4>
      </vt:variant>
      <vt:variant>
        <vt:lpwstr/>
      </vt:variant>
      <vt:variant>
        <vt:lpwstr>_Toc431494003</vt:lpwstr>
      </vt:variant>
      <vt:variant>
        <vt:i4>1310780</vt:i4>
      </vt:variant>
      <vt:variant>
        <vt:i4>1637</vt:i4>
      </vt:variant>
      <vt:variant>
        <vt:i4>0</vt:i4>
      </vt:variant>
      <vt:variant>
        <vt:i4>5</vt:i4>
      </vt:variant>
      <vt:variant>
        <vt:lpwstr/>
      </vt:variant>
      <vt:variant>
        <vt:lpwstr>_Toc431494002</vt:lpwstr>
      </vt:variant>
      <vt:variant>
        <vt:i4>1310780</vt:i4>
      </vt:variant>
      <vt:variant>
        <vt:i4>1631</vt:i4>
      </vt:variant>
      <vt:variant>
        <vt:i4>0</vt:i4>
      </vt:variant>
      <vt:variant>
        <vt:i4>5</vt:i4>
      </vt:variant>
      <vt:variant>
        <vt:lpwstr/>
      </vt:variant>
      <vt:variant>
        <vt:lpwstr>_Toc431494001</vt:lpwstr>
      </vt:variant>
      <vt:variant>
        <vt:i4>1310780</vt:i4>
      </vt:variant>
      <vt:variant>
        <vt:i4>1625</vt:i4>
      </vt:variant>
      <vt:variant>
        <vt:i4>0</vt:i4>
      </vt:variant>
      <vt:variant>
        <vt:i4>5</vt:i4>
      </vt:variant>
      <vt:variant>
        <vt:lpwstr/>
      </vt:variant>
      <vt:variant>
        <vt:lpwstr>_Toc431494000</vt:lpwstr>
      </vt:variant>
      <vt:variant>
        <vt:i4>1703989</vt:i4>
      </vt:variant>
      <vt:variant>
        <vt:i4>1619</vt:i4>
      </vt:variant>
      <vt:variant>
        <vt:i4>0</vt:i4>
      </vt:variant>
      <vt:variant>
        <vt:i4>5</vt:i4>
      </vt:variant>
      <vt:variant>
        <vt:lpwstr/>
      </vt:variant>
      <vt:variant>
        <vt:lpwstr>_Toc431493999</vt:lpwstr>
      </vt:variant>
      <vt:variant>
        <vt:i4>1703989</vt:i4>
      </vt:variant>
      <vt:variant>
        <vt:i4>1613</vt:i4>
      </vt:variant>
      <vt:variant>
        <vt:i4>0</vt:i4>
      </vt:variant>
      <vt:variant>
        <vt:i4>5</vt:i4>
      </vt:variant>
      <vt:variant>
        <vt:lpwstr/>
      </vt:variant>
      <vt:variant>
        <vt:lpwstr>_Toc431493998</vt:lpwstr>
      </vt:variant>
      <vt:variant>
        <vt:i4>1703989</vt:i4>
      </vt:variant>
      <vt:variant>
        <vt:i4>1607</vt:i4>
      </vt:variant>
      <vt:variant>
        <vt:i4>0</vt:i4>
      </vt:variant>
      <vt:variant>
        <vt:i4>5</vt:i4>
      </vt:variant>
      <vt:variant>
        <vt:lpwstr/>
      </vt:variant>
      <vt:variant>
        <vt:lpwstr>_Toc431493997</vt:lpwstr>
      </vt:variant>
      <vt:variant>
        <vt:i4>1703989</vt:i4>
      </vt:variant>
      <vt:variant>
        <vt:i4>1601</vt:i4>
      </vt:variant>
      <vt:variant>
        <vt:i4>0</vt:i4>
      </vt:variant>
      <vt:variant>
        <vt:i4>5</vt:i4>
      </vt:variant>
      <vt:variant>
        <vt:lpwstr/>
      </vt:variant>
      <vt:variant>
        <vt:lpwstr>_Toc431493996</vt:lpwstr>
      </vt:variant>
      <vt:variant>
        <vt:i4>1703989</vt:i4>
      </vt:variant>
      <vt:variant>
        <vt:i4>1595</vt:i4>
      </vt:variant>
      <vt:variant>
        <vt:i4>0</vt:i4>
      </vt:variant>
      <vt:variant>
        <vt:i4>5</vt:i4>
      </vt:variant>
      <vt:variant>
        <vt:lpwstr/>
      </vt:variant>
      <vt:variant>
        <vt:lpwstr>_Toc431493995</vt:lpwstr>
      </vt:variant>
      <vt:variant>
        <vt:i4>1703989</vt:i4>
      </vt:variant>
      <vt:variant>
        <vt:i4>1589</vt:i4>
      </vt:variant>
      <vt:variant>
        <vt:i4>0</vt:i4>
      </vt:variant>
      <vt:variant>
        <vt:i4>5</vt:i4>
      </vt:variant>
      <vt:variant>
        <vt:lpwstr/>
      </vt:variant>
      <vt:variant>
        <vt:lpwstr>_Toc431493994</vt:lpwstr>
      </vt:variant>
      <vt:variant>
        <vt:i4>1703989</vt:i4>
      </vt:variant>
      <vt:variant>
        <vt:i4>1583</vt:i4>
      </vt:variant>
      <vt:variant>
        <vt:i4>0</vt:i4>
      </vt:variant>
      <vt:variant>
        <vt:i4>5</vt:i4>
      </vt:variant>
      <vt:variant>
        <vt:lpwstr/>
      </vt:variant>
      <vt:variant>
        <vt:lpwstr>_Toc431493993</vt:lpwstr>
      </vt:variant>
      <vt:variant>
        <vt:i4>1703989</vt:i4>
      </vt:variant>
      <vt:variant>
        <vt:i4>1577</vt:i4>
      </vt:variant>
      <vt:variant>
        <vt:i4>0</vt:i4>
      </vt:variant>
      <vt:variant>
        <vt:i4>5</vt:i4>
      </vt:variant>
      <vt:variant>
        <vt:lpwstr/>
      </vt:variant>
      <vt:variant>
        <vt:lpwstr>_Toc431493992</vt:lpwstr>
      </vt:variant>
      <vt:variant>
        <vt:i4>1703989</vt:i4>
      </vt:variant>
      <vt:variant>
        <vt:i4>1571</vt:i4>
      </vt:variant>
      <vt:variant>
        <vt:i4>0</vt:i4>
      </vt:variant>
      <vt:variant>
        <vt:i4>5</vt:i4>
      </vt:variant>
      <vt:variant>
        <vt:lpwstr/>
      </vt:variant>
      <vt:variant>
        <vt:lpwstr>_Toc431493991</vt:lpwstr>
      </vt:variant>
      <vt:variant>
        <vt:i4>1703989</vt:i4>
      </vt:variant>
      <vt:variant>
        <vt:i4>1565</vt:i4>
      </vt:variant>
      <vt:variant>
        <vt:i4>0</vt:i4>
      </vt:variant>
      <vt:variant>
        <vt:i4>5</vt:i4>
      </vt:variant>
      <vt:variant>
        <vt:lpwstr/>
      </vt:variant>
      <vt:variant>
        <vt:lpwstr>_Toc431493990</vt:lpwstr>
      </vt:variant>
      <vt:variant>
        <vt:i4>1769525</vt:i4>
      </vt:variant>
      <vt:variant>
        <vt:i4>1559</vt:i4>
      </vt:variant>
      <vt:variant>
        <vt:i4>0</vt:i4>
      </vt:variant>
      <vt:variant>
        <vt:i4>5</vt:i4>
      </vt:variant>
      <vt:variant>
        <vt:lpwstr/>
      </vt:variant>
      <vt:variant>
        <vt:lpwstr>_Toc431493989</vt:lpwstr>
      </vt:variant>
      <vt:variant>
        <vt:i4>1769525</vt:i4>
      </vt:variant>
      <vt:variant>
        <vt:i4>1553</vt:i4>
      </vt:variant>
      <vt:variant>
        <vt:i4>0</vt:i4>
      </vt:variant>
      <vt:variant>
        <vt:i4>5</vt:i4>
      </vt:variant>
      <vt:variant>
        <vt:lpwstr/>
      </vt:variant>
      <vt:variant>
        <vt:lpwstr>_Toc431493988</vt:lpwstr>
      </vt:variant>
      <vt:variant>
        <vt:i4>1769525</vt:i4>
      </vt:variant>
      <vt:variant>
        <vt:i4>1547</vt:i4>
      </vt:variant>
      <vt:variant>
        <vt:i4>0</vt:i4>
      </vt:variant>
      <vt:variant>
        <vt:i4>5</vt:i4>
      </vt:variant>
      <vt:variant>
        <vt:lpwstr/>
      </vt:variant>
      <vt:variant>
        <vt:lpwstr>_Toc431493987</vt:lpwstr>
      </vt:variant>
      <vt:variant>
        <vt:i4>1769525</vt:i4>
      </vt:variant>
      <vt:variant>
        <vt:i4>1541</vt:i4>
      </vt:variant>
      <vt:variant>
        <vt:i4>0</vt:i4>
      </vt:variant>
      <vt:variant>
        <vt:i4>5</vt:i4>
      </vt:variant>
      <vt:variant>
        <vt:lpwstr/>
      </vt:variant>
      <vt:variant>
        <vt:lpwstr>_Toc431493986</vt:lpwstr>
      </vt:variant>
      <vt:variant>
        <vt:i4>1769525</vt:i4>
      </vt:variant>
      <vt:variant>
        <vt:i4>1535</vt:i4>
      </vt:variant>
      <vt:variant>
        <vt:i4>0</vt:i4>
      </vt:variant>
      <vt:variant>
        <vt:i4>5</vt:i4>
      </vt:variant>
      <vt:variant>
        <vt:lpwstr/>
      </vt:variant>
      <vt:variant>
        <vt:lpwstr>_Toc431493985</vt:lpwstr>
      </vt:variant>
      <vt:variant>
        <vt:i4>1769525</vt:i4>
      </vt:variant>
      <vt:variant>
        <vt:i4>1529</vt:i4>
      </vt:variant>
      <vt:variant>
        <vt:i4>0</vt:i4>
      </vt:variant>
      <vt:variant>
        <vt:i4>5</vt:i4>
      </vt:variant>
      <vt:variant>
        <vt:lpwstr/>
      </vt:variant>
      <vt:variant>
        <vt:lpwstr>_Toc431493984</vt:lpwstr>
      </vt:variant>
      <vt:variant>
        <vt:i4>1769525</vt:i4>
      </vt:variant>
      <vt:variant>
        <vt:i4>1523</vt:i4>
      </vt:variant>
      <vt:variant>
        <vt:i4>0</vt:i4>
      </vt:variant>
      <vt:variant>
        <vt:i4>5</vt:i4>
      </vt:variant>
      <vt:variant>
        <vt:lpwstr/>
      </vt:variant>
      <vt:variant>
        <vt:lpwstr>_Toc431493983</vt:lpwstr>
      </vt:variant>
      <vt:variant>
        <vt:i4>1769525</vt:i4>
      </vt:variant>
      <vt:variant>
        <vt:i4>1517</vt:i4>
      </vt:variant>
      <vt:variant>
        <vt:i4>0</vt:i4>
      </vt:variant>
      <vt:variant>
        <vt:i4>5</vt:i4>
      </vt:variant>
      <vt:variant>
        <vt:lpwstr/>
      </vt:variant>
      <vt:variant>
        <vt:lpwstr>_Toc431493982</vt:lpwstr>
      </vt:variant>
      <vt:variant>
        <vt:i4>1769525</vt:i4>
      </vt:variant>
      <vt:variant>
        <vt:i4>1511</vt:i4>
      </vt:variant>
      <vt:variant>
        <vt:i4>0</vt:i4>
      </vt:variant>
      <vt:variant>
        <vt:i4>5</vt:i4>
      </vt:variant>
      <vt:variant>
        <vt:lpwstr/>
      </vt:variant>
      <vt:variant>
        <vt:lpwstr>_Toc431493981</vt:lpwstr>
      </vt:variant>
      <vt:variant>
        <vt:i4>1769525</vt:i4>
      </vt:variant>
      <vt:variant>
        <vt:i4>1505</vt:i4>
      </vt:variant>
      <vt:variant>
        <vt:i4>0</vt:i4>
      </vt:variant>
      <vt:variant>
        <vt:i4>5</vt:i4>
      </vt:variant>
      <vt:variant>
        <vt:lpwstr/>
      </vt:variant>
      <vt:variant>
        <vt:lpwstr>_Toc431493980</vt:lpwstr>
      </vt:variant>
      <vt:variant>
        <vt:i4>1310773</vt:i4>
      </vt:variant>
      <vt:variant>
        <vt:i4>1499</vt:i4>
      </vt:variant>
      <vt:variant>
        <vt:i4>0</vt:i4>
      </vt:variant>
      <vt:variant>
        <vt:i4>5</vt:i4>
      </vt:variant>
      <vt:variant>
        <vt:lpwstr/>
      </vt:variant>
      <vt:variant>
        <vt:lpwstr>_Toc431493979</vt:lpwstr>
      </vt:variant>
      <vt:variant>
        <vt:i4>1310773</vt:i4>
      </vt:variant>
      <vt:variant>
        <vt:i4>1493</vt:i4>
      </vt:variant>
      <vt:variant>
        <vt:i4>0</vt:i4>
      </vt:variant>
      <vt:variant>
        <vt:i4>5</vt:i4>
      </vt:variant>
      <vt:variant>
        <vt:lpwstr/>
      </vt:variant>
      <vt:variant>
        <vt:lpwstr>_Toc431493978</vt:lpwstr>
      </vt:variant>
      <vt:variant>
        <vt:i4>1310773</vt:i4>
      </vt:variant>
      <vt:variant>
        <vt:i4>1487</vt:i4>
      </vt:variant>
      <vt:variant>
        <vt:i4>0</vt:i4>
      </vt:variant>
      <vt:variant>
        <vt:i4>5</vt:i4>
      </vt:variant>
      <vt:variant>
        <vt:lpwstr/>
      </vt:variant>
      <vt:variant>
        <vt:lpwstr>_Toc431493977</vt:lpwstr>
      </vt:variant>
      <vt:variant>
        <vt:i4>1310773</vt:i4>
      </vt:variant>
      <vt:variant>
        <vt:i4>1481</vt:i4>
      </vt:variant>
      <vt:variant>
        <vt:i4>0</vt:i4>
      </vt:variant>
      <vt:variant>
        <vt:i4>5</vt:i4>
      </vt:variant>
      <vt:variant>
        <vt:lpwstr/>
      </vt:variant>
      <vt:variant>
        <vt:lpwstr>_Toc431493976</vt:lpwstr>
      </vt:variant>
      <vt:variant>
        <vt:i4>1310773</vt:i4>
      </vt:variant>
      <vt:variant>
        <vt:i4>1475</vt:i4>
      </vt:variant>
      <vt:variant>
        <vt:i4>0</vt:i4>
      </vt:variant>
      <vt:variant>
        <vt:i4>5</vt:i4>
      </vt:variant>
      <vt:variant>
        <vt:lpwstr/>
      </vt:variant>
      <vt:variant>
        <vt:lpwstr>_Toc431493975</vt:lpwstr>
      </vt:variant>
      <vt:variant>
        <vt:i4>1310773</vt:i4>
      </vt:variant>
      <vt:variant>
        <vt:i4>1469</vt:i4>
      </vt:variant>
      <vt:variant>
        <vt:i4>0</vt:i4>
      </vt:variant>
      <vt:variant>
        <vt:i4>5</vt:i4>
      </vt:variant>
      <vt:variant>
        <vt:lpwstr/>
      </vt:variant>
      <vt:variant>
        <vt:lpwstr>_Toc431493974</vt:lpwstr>
      </vt:variant>
      <vt:variant>
        <vt:i4>1310773</vt:i4>
      </vt:variant>
      <vt:variant>
        <vt:i4>1463</vt:i4>
      </vt:variant>
      <vt:variant>
        <vt:i4>0</vt:i4>
      </vt:variant>
      <vt:variant>
        <vt:i4>5</vt:i4>
      </vt:variant>
      <vt:variant>
        <vt:lpwstr/>
      </vt:variant>
      <vt:variant>
        <vt:lpwstr>_Toc431493973</vt:lpwstr>
      </vt:variant>
      <vt:variant>
        <vt:i4>1310773</vt:i4>
      </vt:variant>
      <vt:variant>
        <vt:i4>1457</vt:i4>
      </vt:variant>
      <vt:variant>
        <vt:i4>0</vt:i4>
      </vt:variant>
      <vt:variant>
        <vt:i4>5</vt:i4>
      </vt:variant>
      <vt:variant>
        <vt:lpwstr/>
      </vt:variant>
      <vt:variant>
        <vt:lpwstr>_Toc431493972</vt:lpwstr>
      </vt:variant>
      <vt:variant>
        <vt:i4>1310773</vt:i4>
      </vt:variant>
      <vt:variant>
        <vt:i4>1451</vt:i4>
      </vt:variant>
      <vt:variant>
        <vt:i4>0</vt:i4>
      </vt:variant>
      <vt:variant>
        <vt:i4>5</vt:i4>
      </vt:variant>
      <vt:variant>
        <vt:lpwstr/>
      </vt:variant>
      <vt:variant>
        <vt:lpwstr>_Toc431493971</vt:lpwstr>
      </vt:variant>
      <vt:variant>
        <vt:i4>1310773</vt:i4>
      </vt:variant>
      <vt:variant>
        <vt:i4>1445</vt:i4>
      </vt:variant>
      <vt:variant>
        <vt:i4>0</vt:i4>
      </vt:variant>
      <vt:variant>
        <vt:i4>5</vt:i4>
      </vt:variant>
      <vt:variant>
        <vt:lpwstr/>
      </vt:variant>
      <vt:variant>
        <vt:lpwstr>_Toc431493970</vt:lpwstr>
      </vt:variant>
      <vt:variant>
        <vt:i4>1376309</vt:i4>
      </vt:variant>
      <vt:variant>
        <vt:i4>1439</vt:i4>
      </vt:variant>
      <vt:variant>
        <vt:i4>0</vt:i4>
      </vt:variant>
      <vt:variant>
        <vt:i4>5</vt:i4>
      </vt:variant>
      <vt:variant>
        <vt:lpwstr/>
      </vt:variant>
      <vt:variant>
        <vt:lpwstr>_Toc431493969</vt:lpwstr>
      </vt:variant>
      <vt:variant>
        <vt:i4>1376309</vt:i4>
      </vt:variant>
      <vt:variant>
        <vt:i4>1433</vt:i4>
      </vt:variant>
      <vt:variant>
        <vt:i4>0</vt:i4>
      </vt:variant>
      <vt:variant>
        <vt:i4>5</vt:i4>
      </vt:variant>
      <vt:variant>
        <vt:lpwstr/>
      </vt:variant>
      <vt:variant>
        <vt:lpwstr>_Toc431493968</vt:lpwstr>
      </vt:variant>
      <vt:variant>
        <vt:i4>1376309</vt:i4>
      </vt:variant>
      <vt:variant>
        <vt:i4>1427</vt:i4>
      </vt:variant>
      <vt:variant>
        <vt:i4>0</vt:i4>
      </vt:variant>
      <vt:variant>
        <vt:i4>5</vt:i4>
      </vt:variant>
      <vt:variant>
        <vt:lpwstr/>
      </vt:variant>
      <vt:variant>
        <vt:lpwstr>_Toc431493967</vt:lpwstr>
      </vt:variant>
      <vt:variant>
        <vt:i4>1376309</vt:i4>
      </vt:variant>
      <vt:variant>
        <vt:i4>1421</vt:i4>
      </vt:variant>
      <vt:variant>
        <vt:i4>0</vt:i4>
      </vt:variant>
      <vt:variant>
        <vt:i4>5</vt:i4>
      </vt:variant>
      <vt:variant>
        <vt:lpwstr/>
      </vt:variant>
      <vt:variant>
        <vt:lpwstr>_Toc431493966</vt:lpwstr>
      </vt:variant>
      <vt:variant>
        <vt:i4>1376309</vt:i4>
      </vt:variant>
      <vt:variant>
        <vt:i4>1415</vt:i4>
      </vt:variant>
      <vt:variant>
        <vt:i4>0</vt:i4>
      </vt:variant>
      <vt:variant>
        <vt:i4>5</vt:i4>
      </vt:variant>
      <vt:variant>
        <vt:lpwstr/>
      </vt:variant>
      <vt:variant>
        <vt:lpwstr>_Toc431493965</vt:lpwstr>
      </vt:variant>
      <vt:variant>
        <vt:i4>1376309</vt:i4>
      </vt:variant>
      <vt:variant>
        <vt:i4>1409</vt:i4>
      </vt:variant>
      <vt:variant>
        <vt:i4>0</vt:i4>
      </vt:variant>
      <vt:variant>
        <vt:i4>5</vt:i4>
      </vt:variant>
      <vt:variant>
        <vt:lpwstr/>
      </vt:variant>
      <vt:variant>
        <vt:lpwstr>_Toc431493964</vt:lpwstr>
      </vt:variant>
      <vt:variant>
        <vt:i4>1376309</vt:i4>
      </vt:variant>
      <vt:variant>
        <vt:i4>1403</vt:i4>
      </vt:variant>
      <vt:variant>
        <vt:i4>0</vt:i4>
      </vt:variant>
      <vt:variant>
        <vt:i4>5</vt:i4>
      </vt:variant>
      <vt:variant>
        <vt:lpwstr/>
      </vt:variant>
      <vt:variant>
        <vt:lpwstr>_Toc431493963</vt:lpwstr>
      </vt:variant>
      <vt:variant>
        <vt:i4>1376309</vt:i4>
      </vt:variant>
      <vt:variant>
        <vt:i4>1397</vt:i4>
      </vt:variant>
      <vt:variant>
        <vt:i4>0</vt:i4>
      </vt:variant>
      <vt:variant>
        <vt:i4>5</vt:i4>
      </vt:variant>
      <vt:variant>
        <vt:lpwstr/>
      </vt:variant>
      <vt:variant>
        <vt:lpwstr>_Toc431493962</vt:lpwstr>
      </vt:variant>
      <vt:variant>
        <vt:i4>1376309</vt:i4>
      </vt:variant>
      <vt:variant>
        <vt:i4>1391</vt:i4>
      </vt:variant>
      <vt:variant>
        <vt:i4>0</vt:i4>
      </vt:variant>
      <vt:variant>
        <vt:i4>5</vt:i4>
      </vt:variant>
      <vt:variant>
        <vt:lpwstr/>
      </vt:variant>
      <vt:variant>
        <vt:lpwstr>_Toc431493961</vt:lpwstr>
      </vt:variant>
      <vt:variant>
        <vt:i4>1376309</vt:i4>
      </vt:variant>
      <vt:variant>
        <vt:i4>1385</vt:i4>
      </vt:variant>
      <vt:variant>
        <vt:i4>0</vt:i4>
      </vt:variant>
      <vt:variant>
        <vt:i4>5</vt:i4>
      </vt:variant>
      <vt:variant>
        <vt:lpwstr/>
      </vt:variant>
      <vt:variant>
        <vt:lpwstr>_Toc431493960</vt:lpwstr>
      </vt:variant>
      <vt:variant>
        <vt:i4>1441845</vt:i4>
      </vt:variant>
      <vt:variant>
        <vt:i4>1379</vt:i4>
      </vt:variant>
      <vt:variant>
        <vt:i4>0</vt:i4>
      </vt:variant>
      <vt:variant>
        <vt:i4>5</vt:i4>
      </vt:variant>
      <vt:variant>
        <vt:lpwstr/>
      </vt:variant>
      <vt:variant>
        <vt:lpwstr>_Toc431493959</vt:lpwstr>
      </vt:variant>
      <vt:variant>
        <vt:i4>1441845</vt:i4>
      </vt:variant>
      <vt:variant>
        <vt:i4>1373</vt:i4>
      </vt:variant>
      <vt:variant>
        <vt:i4>0</vt:i4>
      </vt:variant>
      <vt:variant>
        <vt:i4>5</vt:i4>
      </vt:variant>
      <vt:variant>
        <vt:lpwstr/>
      </vt:variant>
      <vt:variant>
        <vt:lpwstr>_Toc431493958</vt:lpwstr>
      </vt:variant>
      <vt:variant>
        <vt:i4>1441845</vt:i4>
      </vt:variant>
      <vt:variant>
        <vt:i4>1367</vt:i4>
      </vt:variant>
      <vt:variant>
        <vt:i4>0</vt:i4>
      </vt:variant>
      <vt:variant>
        <vt:i4>5</vt:i4>
      </vt:variant>
      <vt:variant>
        <vt:lpwstr/>
      </vt:variant>
      <vt:variant>
        <vt:lpwstr>_Toc431493957</vt:lpwstr>
      </vt:variant>
      <vt:variant>
        <vt:i4>1441845</vt:i4>
      </vt:variant>
      <vt:variant>
        <vt:i4>1361</vt:i4>
      </vt:variant>
      <vt:variant>
        <vt:i4>0</vt:i4>
      </vt:variant>
      <vt:variant>
        <vt:i4>5</vt:i4>
      </vt:variant>
      <vt:variant>
        <vt:lpwstr/>
      </vt:variant>
      <vt:variant>
        <vt:lpwstr>_Toc431493956</vt:lpwstr>
      </vt:variant>
      <vt:variant>
        <vt:i4>1441845</vt:i4>
      </vt:variant>
      <vt:variant>
        <vt:i4>1355</vt:i4>
      </vt:variant>
      <vt:variant>
        <vt:i4>0</vt:i4>
      </vt:variant>
      <vt:variant>
        <vt:i4>5</vt:i4>
      </vt:variant>
      <vt:variant>
        <vt:lpwstr/>
      </vt:variant>
      <vt:variant>
        <vt:lpwstr>_Toc431493955</vt:lpwstr>
      </vt:variant>
      <vt:variant>
        <vt:i4>1441845</vt:i4>
      </vt:variant>
      <vt:variant>
        <vt:i4>1349</vt:i4>
      </vt:variant>
      <vt:variant>
        <vt:i4>0</vt:i4>
      </vt:variant>
      <vt:variant>
        <vt:i4>5</vt:i4>
      </vt:variant>
      <vt:variant>
        <vt:lpwstr/>
      </vt:variant>
      <vt:variant>
        <vt:lpwstr>_Toc431493954</vt:lpwstr>
      </vt:variant>
      <vt:variant>
        <vt:i4>1441845</vt:i4>
      </vt:variant>
      <vt:variant>
        <vt:i4>1343</vt:i4>
      </vt:variant>
      <vt:variant>
        <vt:i4>0</vt:i4>
      </vt:variant>
      <vt:variant>
        <vt:i4>5</vt:i4>
      </vt:variant>
      <vt:variant>
        <vt:lpwstr/>
      </vt:variant>
      <vt:variant>
        <vt:lpwstr>_Toc431493953</vt:lpwstr>
      </vt:variant>
      <vt:variant>
        <vt:i4>1441845</vt:i4>
      </vt:variant>
      <vt:variant>
        <vt:i4>1337</vt:i4>
      </vt:variant>
      <vt:variant>
        <vt:i4>0</vt:i4>
      </vt:variant>
      <vt:variant>
        <vt:i4>5</vt:i4>
      </vt:variant>
      <vt:variant>
        <vt:lpwstr/>
      </vt:variant>
      <vt:variant>
        <vt:lpwstr>_Toc431493952</vt:lpwstr>
      </vt:variant>
      <vt:variant>
        <vt:i4>1441845</vt:i4>
      </vt:variant>
      <vt:variant>
        <vt:i4>1331</vt:i4>
      </vt:variant>
      <vt:variant>
        <vt:i4>0</vt:i4>
      </vt:variant>
      <vt:variant>
        <vt:i4>5</vt:i4>
      </vt:variant>
      <vt:variant>
        <vt:lpwstr/>
      </vt:variant>
      <vt:variant>
        <vt:lpwstr>_Toc431493951</vt:lpwstr>
      </vt:variant>
      <vt:variant>
        <vt:i4>1441845</vt:i4>
      </vt:variant>
      <vt:variant>
        <vt:i4>1325</vt:i4>
      </vt:variant>
      <vt:variant>
        <vt:i4>0</vt:i4>
      </vt:variant>
      <vt:variant>
        <vt:i4>5</vt:i4>
      </vt:variant>
      <vt:variant>
        <vt:lpwstr/>
      </vt:variant>
      <vt:variant>
        <vt:lpwstr>_Toc431493950</vt:lpwstr>
      </vt:variant>
      <vt:variant>
        <vt:i4>1507381</vt:i4>
      </vt:variant>
      <vt:variant>
        <vt:i4>1319</vt:i4>
      </vt:variant>
      <vt:variant>
        <vt:i4>0</vt:i4>
      </vt:variant>
      <vt:variant>
        <vt:i4>5</vt:i4>
      </vt:variant>
      <vt:variant>
        <vt:lpwstr/>
      </vt:variant>
      <vt:variant>
        <vt:lpwstr>_Toc431493949</vt:lpwstr>
      </vt:variant>
      <vt:variant>
        <vt:i4>1507381</vt:i4>
      </vt:variant>
      <vt:variant>
        <vt:i4>1313</vt:i4>
      </vt:variant>
      <vt:variant>
        <vt:i4>0</vt:i4>
      </vt:variant>
      <vt:variant>
        <vt:i4>5</vt:i4>
      </vt:variant>
      <vt:variant>
        <vt:lpwstr/>
      </vt:variant>
      <vt:variant>
        <vt:lpwstr>_Toc431493948</vt:lpwstr>
      </vt:variant>
      <vt:variant>
        <vt:i4>1507381</vt:i4>
      </vt:variant>
      <vt:variant>
        <vt:i4>1307</vt:i4>
      </vt:variant>
      <vt:variant>
        <vt:i4>0</vt:i4>
      </vt:variant>
      <vt:variant>
        <vt:i4>5</vt:i4>
      </vt:variant>
      <vt:variant>
        <vt:lpwstr/>
      </vt:variant>
      <vt:variant>
        <vt:lpwstr>_Toc431493947</vt:lpwstr>
      </vt:variant>
      <vt:variant>
        <vt:i4>1507381</vt:i4>
      </vt:variant>
      <vt:variant>
        <vt:i4>1301</vt:i4>
      </vt:variant>
      <vt:variant>
        <vt:i4>0</vt:i4>
      </vt:variant>
      <vt:variant>
        <vt:i4>5</vt:i4>
      </vt:variant>
      <vt:variant>
        <vt:lpwstr/>
      </vt:variant>
      <vt:variant>
        <vt:lpwstr>_Toc431493946</vt:lpwstr>
      </vt:variant>
      <vt:variant>
        <vt:i4>1507381</vt:i4>
      </vt:variant>
      <vt:variant>
        <vt:i4>1295</vt:i4>
      </vt:variant>
      <vt:variant>
        <vt:i4>0</vt:i4>
      </vt:variant>
      <vt:variant>
        <vt:i4>5</vt:i4>
      </vt:variant>
      <vt:variant>
        <vt:lpwstr/>
      </vt:variant>
      <vt:variant>
        <vt:lpwstr>_Toc431493945</vt:lpwstr>
      </vt:variant>
      <vt:variant>
        <vt:i4>1507381</vt:i4>
      </vt:variant>
      <vt:variant>
        <vt:i4>1289</vt:i4>
      </vt:variant>
      <vt:variant>
        <vt:i4>0</vt:i4>
      </vt:variant>
      <vt:variant>
        <vt:i4>5</vt:i4>
      </vt:variant>
      <vt:variant>
        <vt:lpwstr/>
      </vt:variant>
      <vt:variant>
        <vt:lpwstr>_Toc431493944</vt:lpwstr>
      </vt:variant>
      <vt:variant>
        <vt:i4>1507381</vt:i4>
      </vt:variant>
      <vt:variant>
        <vt:i4>1283</vt:i4>
      </vt:variant>
      <vt:variant>
        <vt:i4>0</vt:i4>
      </vt:variant>
      <vt:variant>
        <vt:i4>5</vt:i4>
      </vt:variant>
      <vt:variant>
        <vt:lpwstr/>
      </vt:variant>
      <vt:variant>
        <vt:lpwstr>_Toc431493943</vt:lpwstr>
      </vt:variant>
      <vt:variant>
        <vt:i4>1507381</vt:i4>
      </vt:variant>
      <vt:variant>
        <vt:i4>1277</vt:i4>
      </vt:variant>
      <vt:variant>
        <vt:i4>0</vt:i4>
      </vt:variant>
      <vt:variant>
        <vt:i4>5</vt:i4>
      </vt:variant>
      <vt:variant>
        <vt:lpwstr/>
      </vt:variant>
      <vt:variant>
        <vt:lpwstr>_Toc431493942</vt:lpwstr>
      </vt:variant>
      <vt:variant>
        <vt:i4>1507381</vt:i4>
      </vt:variant>
      <vt:variant>
        <vt:i4>1271</vt:i4>
      </vt:variant>
      <vt:variant>
        <vt:i4>0</vt:i4>
      </vt:variant>
      <vt:variant>
        <vt:i4>5</vt:i4>
      </vt:variant>
      <vt:variant>
        <vt:lpwstr/>
      </vt:variant>
      <vt:variant>
        <vt:lpwstr>_Toc431493941</vt:lpwstr>
      </vt:variant>
      <vt:variant>
        <vt:i4>1507381</vt:i4>
      </vt:variant>
      <vt:variant>
        <vt:i4>1265</vt:i4>
      </vt:variant>
      <vt:variant>
        <vt:i4>0</vt:i4>
      </vt:variant>
      <vt:variant>
        <vt:i4>5</vt:i4>
      </vt:variant>
      <vt:variant>
        <vt:lpwstr/>
      </vt:variant>
      <vt:variant>
        <vt:lpwstr>_Toc431493940</vt:lpwstr>
      </vt:variant>
      <vt:variant>
        <vt:i4>1048629</vt:i4>
      </vt:variant>
      <vt:variant>
        <vt:i4>1259</vt:i4>
      </vt:variant>
      <vt:variant>
        <vt:i4>0</vt:i4>
      </vt:variant>
      <vt:variant>
        <vt:i4>5</vt:i4>
      </vt:variant>
      <vt:variant>
        <vt:lpwstr/>
      </vt:variant>
      <vt:variant>
        <vt:lpwstr>_Toc431493939</vt:lpwstr>
      </vt:variant>
      <vt:variant>
        <vt:i4>1048629</vt:i4>
      </vt:variant>
      <vt:variant>
        <vt:i4>1253</vt:i4>
      </vt:variant>
      <vt:variant>
        <vt:i4>0</vt:i4>
      </vt:variant>
      <vt:variant>
        <vt:i4>5</vt:i4>
      </vt:variant>
      <vt:variant>
        <vt:lpwstr/>
      </vt:variant>
      <vt:variant>
        <vt:lpwstr>_Toc431493938</vt:lpwstr>
      </vt:variant>
      <vt:variant>
        <vt:i4>1048629</vt:i4>
      </vt:variant>
      <vt:variant>
        <vt:i4>1247</vt:i4>
      </vt:variant>
      <vt:variant>
        <vt:i4>0</vt:i4>
      </vt:variant>
      <vt:variant>
        <vt:i4>5</vt:i4>
      </vt:variant>
      <vt:variant>
        <vt:lpwstr/>
      </vt:variant>
      <vt:variant>
        <vt:lpwstr>_Toc431493937</vt:lpwstr>
      </vt:variant>
      <vt:variant>
        <vt:i4>1048629</vt:i4>
      </vt:variant>
      <vt:variant>
        <vt:i4>1241</vt:i4>
      </vt:variant>
      <vt:variant>
        <vt:i4>0</vt:i4>
      </vt:variant>
      <vt:variant>
        <vt:i4>5</vt:i4>
      </vt:variant>
      <vt:variant>
        <vt:lpwstr/>
      </vt:variant>
      <vt:variant>
        <vt:lpwstr>_Toc431493936</vt:lpwstr>
      </vt:variant>
      <vt:variant>
        <vt:i4>1048629</vt:i4>
      </vt:variant>
      <vt:variant>
        <vt:i4>1235</vt:i4>
      </vt:variant>
      <vt:variant>
        <vt:i4>0</vt:i4>
      </vt:variant>
      <vt:variant>
        <vt:i4>5</vt:i4>
      </vt:variant>
      <vt:variant>
        <vt:lpwstr/>
      </vt:variant>
      <vt:variant>
        <vt:lpwstr>_Toc431493935</vt:lpwstr>
      </vt:variant>
      <vt:variant>
        <vt:i4>1048629</vt:i4>
      </vt:variant>
      <vt:variant>
        <vt:i4>1229</vt:i4>
      </vt:variant>
      <vt:variant>
        <vt:i4>0</vt:i4>
      </vt:variant>
      <vt:variant>
        <vt:i4>5</vt:i4>
      </vt:variant>
      <vt:variant>
        <vt:lpwstr/>
      </vt:variant>
      <vt:variant>
        <vt:lpwstr>_Toc431493934</vt:lpwstr>
      </vt:variant>
      <vt:variant>
        <vt:i4>1048629</vt:i4>
      </vt:variant>
      <vt:variant>
        <vt:i4>1223</vt:i4>
      </vt:variant>
      <vt:variant>
        <vt:i4>0</vt:i4>
      </vt:variant>
      <vt:variant>
        <vt:i4>5</vt:i4>
      </vt:variant>
      <vt:variant>
        <vt:lpwstr/>
      </vt:variant>
      <vt:variant>
        <vt:lpwstr>_Toc431493933</vt:lpwstr>
      </vt:variant>
      <vt:variant>
        <vt:i4>1048629</vt:i4>
      </vt:variant>
      <vt:variant>
        <vt:i4>1217</vt:i4>
      </vt:variant>
      <vt:variant>
        <vt:i4>0</vt:i4>
      </vt:variant>
      <vt:variant>
        <vt:i4>5</vt:i4>
      </vt:variant>
      <vt:variant>
        <vt:lpwstr/>
      </vt:variant>
      <vt:variant>
        <vt:lpwstr>_Toc431493932</vt:lpwstr>
      </vt:variant>
      <vt:variant>
        <vt:i4>1048629</vt:i4>
      </vt:variant>
      <vt:variant>
        <vt:i4>1211</vt:i4>
      </vt:variant>
      <vt:variant>
        <vt:i4>0</vt:i4>
      </vt:variant>
      <vt:variant>
        <vt:i4>5</vt:i4>
      </vt:variant>
      <vt:variant>
        <vt:lpwstr/>
      </vt:variant>
      <vt:variant>
        <vt:lpwstr>_Toc431493931</vt:lpwstr>
      </vt:variant>
      <vt:variant>
        <vt:i4>1048629</vt:i4>
      </vt:variant>
      <vt:variant>
        <vt:i4>1205</vt:i4>
      </vt:variant>
      <vt:variant>
        <vt:i4>0</vt:i4>
      </vt:variant>
      <vt:variant>
        <vt:i4>5</vt:i4>
      </vt:variant>
      <vt:variant>
        <vt:lpwstr/>
      </vt:variant>
      <vt:variant>
        <vt:lpwstr>_Toc431493930</vt:lpwstr>
      </vt:variant>
      <vt:variant>
        <vt:i4>1114165</vt:i4>
      </vt:variant>
      <vt:variant>
        <vt:i4>1199</vt:i4>
      </vt:variant>
      <vt:variant>
        <vt:i4>0</vt:i4>
      </vt:variant>
      <vt:variant>
        <vt:i4>5</vt:i4>
      </vt:variant>
      <vt:variant>
        <vt:lpwstr/>
      </vt:variant>
      <vt:variant>
        <vt:lpwstr>_Toc431493929</vt:lpwstr>
      </vt:variant>
      <vt:variant>
        <vt:i4>1114165</vt:i4>
      </vt:variant>
      <vt:variant>
        <vt:i4>1193</vt:i4>
      </vt:variant>
      <vt:variant>
        <vt:i4>0</vt:i4>
      </vt:variant>
      <vt:variant>
        <vt:i4>5</vt:i4>
      </vt:variant>
      <vt:variant>
        <vt:lpwstr/>
      </vt:variant>
      <vt:variant>
        <vt:lpwstr>_Toc431493928</vt:lpwstr>
      </vt:variant>
      <vt:variant>
        <vt:i4>1114165</vt:i4>
      </vt:variant>
      <vt:variant>
        <vt:i4>1187</vt:i4>
      </vt:variant>
      <vt:variant>
        <vt:i4>0</vt:i4>
      </vt:variant>
      <vt:variant>
        <vt:i4>5</vt:i4>
      </vt:variant>
      <vt:variant>
        <vt:lpwstr/>
      </vt:variant>
      <vt:variant>
        <vt:lpwstr>_Toc431493927</vt:lpwstr>
      </vt:variant>
      <vt:variant>
        <vt:i4>1114165</vt:i4>
      </vt:variant>
      <vt:variant>
        <vt:i4>1181</vt:i4>
      </vt:variant>
      <vt:variant>
        <vt:i4>0</vt:i4>
      </vt:variant>
      <vt:variant>
        <vt:i4>5</vt:i4>
      </vt:variant>
      <vt:variant>
        <vt:lpwstr/>
      </vt:variant>
      <vt:variant>
        <vt:lpwstr>_Toc431493926</vt:lpwstr>
      </vt:variant>
      <vt:variant>
        <vt:i4>1114165</vt:i4>
      </vt:variant>
      <vt:variant>
        <vt:i4>1175</vt:i4>
      </vt:variant>
      <vt:variant>
        <vt:i4>0</vt:i4>
      </vt:variant>
      <vt:variant>
        <vt:i4>5</vt:i4>
      </vt:variant>
      <vt:variant>
        <vt:lpwstr/>
      </vt:variant>
      <vt:variant>
        <vt:lpwstr>_Toc431493925</vt:lpwstr>
      </vt:variant>
      <vt:variant>
        <vt:i4>1114165</vt:i4>
      </vt:variant>
      <vt:variant>
        <vt:i4>1169</vt:i4>
      </vt:variant>
      <vt:variant>
        <vt:i4>0</vt:i4>
      </vt:variant>
      <vt:variant>
        <vt:i4>5</vt:i4>
      </vt:variant>
      <vt:variant>
        <vt:lpwstr/>
      </vt:variant>
      <vt:variant>
        <vt:lpwstr>_Toc431493924</vt:lpwstr>
      </vt:variant>
      <vt:variant>
        <vt:i4>1114165</vt:i4>
      </vt:variant>
      <vt:variant>
        <vt:i4>1163</vt:i4>
      </vt:variant>
      <vt:variant>
        <vt:i4>0</vt:i4>
      </vt:variant>
      <vt:variant>
        <vt:i4>5</vt:i4>
      </vt:variant>
      <vt:variant>
        <vt:lpwstr/>
      </vt:variant>
      <vt:variant>
        <vt:lpwstr>_Toc431493923</vt:lpwstr>
      </vt:variant>
      <vt:variant>
        <vt:i4>1114165</vt:i4>
      </vt:variant>
      <vt:variant>
        <vt:i4>1157</vt:i4>
      </vt:variant>
      <vt:variant>
        <vt:i4>0</vt:i4>
      </vt:variant>
      <vt:variant>
        <vt:i4>5</vt:i4>
      </vt:variant>
      <vt:variant>
        <vt:lpwstr/>
      </vt:variant>
      <vt:variant>
        <vt:lpwstr>_Toc431493922</vt:lpwstr>
      </vt:variant>
      <vt:variant>
        <vt:i4>1114165</vt:i4>
      </vt:variant>
      <vt:variant>
        <vt:i4>1151</vt:i4>
      </vt:variant>
      <vt:variant>
        <vt:i4>0</vt:i4>
      </vt:variant>
      <vt:variant>
        <vt:i4>5</vt:i4>
      </vt:variant>
      <vt:variant>
        <vt:lpwstr/>
      </vt:variant>
      <vt:variant>
        <vt:lpwstr>_Toc431493921</vt:lpwstr>
      </vt:variant>
      <vt:variant>
        <vt:i4>1114165</vt:i4>
      </vt:variant>
      <vt:variant>
        <vt:i4>1145</vt:i4>
      </vt:variant>
      <vt:variant>
        <vt:i4>0</vt:i4>
      </vt:variant>
      <vt:variant>
        <vt:i4>5</vt:i4>
      </vt:variant>
      <vt:variant>
        <vt:lpwstr/>
      </vt:variant>
      <vt:variant>
        <vt:lpwstr>_Toc431493920</vt:lpwstr>
      </vt:variant>
      <vt:variant>
        <vt:i4>1179701</vt:i4>
      </vt:variant>
      <vt:variant>
        <vt:i4>1139</vt:i4>
      </vt:variant>
      <vt:variant>
        <vt:i4>0</vt:i4>
      </vt:variant>
      <vt:variant>
        <vt:i4>5</vt:i4>
      </vt:variant>
      <vt:variant>
        <vt:lpwstr/>
      </vt:variant>
      <vt:variant>
        <vt:lpwstr>_Toc431493919</vt:lpwstr>
      </vt:variant>
      <vt:variant>
        <vt:i4>1179701</vt:i4>
      </vt:variant>
      <vt:variant>
        <vt:i4>1133</vt:i4>
      </vt:variant>
      <vt:variant>
        <vt:i4>0</vt:i4>
      </vt:variant>
      <vt:variant>
        <vt:i4>5</vt:i4>
      </vt:variant>
      <vt:variant>
        <vt:lpwstr/>
      </vt:variant>
      <vt:variant>
        <vt:lpwstr>_Toc431493918</vt:lpwstr>
      </vt:variant>
      <vt:variant>
        <vt:i4>1179701</vt:i4>
      </vt:variant>
      <vt:variant>
        <vt:i4>1127</vt:i4>
      </vt:variant>
      <vt:variant>
        <vt:i4>0</vt:i4>
      </vt:variant>
      <vt:variant>
        <vt:i4>5</vt:i4>
      </vt:variant>
      <vt:variant>
        <vt:lpwstr/>
      </vt:variant>
      <vt:variant>
        <vt:lpwstr>_Toc431493917</vt:lpwstr>
      </vt:variant>
      <vt:variant>
        <vt:i4>1179701</vt:i4>
      </vt:variant>
      <vt:variant>
        <vt:i4>1121</vt:i4>
      </vt:variant>
      <vt:variant>
        <vt:i4>0</vt:i4>
      </vt:variant>
      <vt:variant>
        <vt:i4>5</vt:i4>
      </vt:variant>
      <vt:variant>
        <vt:lpwstr/>
      </vt:variant>
      <vt:variant>
        <vt:lpwstr>_Toc431493916</vt:lpwstr>
      </vt:variant>
      <vt:variant>
        <vt:i4>1179701</vt:i4>
      </vt:variant>
      <vt:variant>
        <vt:i4>1115</vt:i4>
      </vt:variant>
      <vt:variant>
        <vt:i4>0</vt:i4>
      </vt:variant>
      <vt:variant>
        <vt:i4>5</vt:i4>
      </vt:variant>
      <vt:variant>
        <vt:lpwstr/>
      </vt:variant>
      <vt:variant>
        <vt:lpwstr>_Toc431493915</vt:lpwstr>
      </vt:variant>
      <vt:variant>
        <vt:i4>1179701</vt:i4>
      </vt:variant>
      <vt:variant>
        <vt:i4>1109</vt:i4>
      </vt:variant>
      <vt:variant>
        <vt:i4>0</vt:i4>
      </vt:variant>
      <vt:variant>
        <vt:i4>5</vt:i4>
      </vt:variant>
      <vt:variant>
        <vt:lpwstr/>
      </vt:variant>
      <vt:variant>
        <vt:lpwstr>_Toc431493914</vt:lpwstr>
      </vt:variant>
      <vt:variant>
        <vt:i4>1179701</vt:i4>
      </vt:variant>
      <vt:variant>
        <vt:i4>1103</vt:i4>
      </vt:variant>
      <vt:variant>
        <vt:i4>0</vt:i4>
      </vt:variant>
      <vt:variant>
        <vt:i4>5</vt:i4>
      </vt:variant>
      <vt:variant>
        <vt:lpwstr/>
      </vt:variant>
      <vt:variant>
        <vt:lpwstr>_Toc431493913</vt:lpwstr>
      </vt:variant>
      <vt:variant>
        <vt:i4>1179701</vt:i4>
      </vt:variant>
      <vt:variant>
        <vt:i4>1097</vt:i4>
      </vt:variant>
      <vt:variant>
        <vt:i4>0</vt:i4>
      </vt:variant>
      <vt:variant>
        <vt:i4>5</vt:i4>
      </vt:variant>
      <vt:variant>
        <vt:lpwstr/>
      </vt:variant>
      <vt:variant>
        <vt:lpwstr>_Toc431493912</vt:lpwstr>
      </vt:variant>
      <vt:variant>
        <vt:i4>1179701</vt:i4>
      </vt:variant>
      <vt:variant>
        <vt:i4>1091</vt:i4>
      </vt:variant>
      <vt:variant>
        <vt:i4>0</vt:i4>
      </vt:variant>
      <vt:variant>
        <vt:i4>5</vt:i4>
      </vt:variant>
      <vt:variant>
        <vt:lpwstr/>
      </vt:variant>
      <vt:variant>
        <vt:lpwstr>_Toc431493911</vt:lpwstr>
      </vt:variant>
      <vt:variant>
        <vt:i4>1179701</vt:i4>
      </vt:variant>
      <vt:variant>
        <vt:i4>1085</vt:i4>
      </vt:variant>
      <vt:variant>
        <vt:i4>0</vt:i4>
      </vt:variant>
      <vt:variant>
        <vt:i4>5</vt:i4>
      </vt:variant>
      <vt:variant>
        <vt:lpwstr/>
      </vt:variant>
      <vt:variant>
        <vt:lpwstr>_Toc431493910</vt:lpwstr>
      </vt:variant>
      <vt:variant>
        <vt:i4>1245237</vt:i4>
      </vt:variant>
      <vt:variant>
        <vt:i4>1079</vt:i4>
      </vt:variant>
      <vt:variant>
        <vt:i4>0</vt:i4>
      </vt:variant>
      <vt:variant>
        <vt:i4>5</vt:i4>
      </vt:variant>
      <vt:variant>
        <vt:lpwstr/>
      </vt:variant>
      <vt:variant>
        <vt:lpwstr>_Toc431493909</vt:lpwstr>
      </vt:variant>
      <vt:variant>
        <vt:i4>1245237</vt:i4>
      </vt:variant>
      <vt:variant>
        <vt:i4>1073</vt:i4>
      </vt:variant>
      <vt:variant>
        <vt:i4>0</vt:i4>
      </vt:variant>
      <vt:variant>
        <vt:i4>5</vt:i4>
      </vt:variant>
      <vt:variant>
        <vt:lpwstr/>
      </vt:variant>
      <vt:variant>
        <vt:lpwstr>_Toc431493908</vt:lpwstr>
      </vt:variant>
      <vt:variant>
        <vt:i4>1245237</vt:i4>
      </vt:variant>
      <vt:variant>
        <vt:i4>1067</vt:i4>
      </vt:variant>
      <vt:variant>
        <vt:i4>0</vt:i4>
      </vt:variant>
      <vt:variant>
        <vt:i4>5</vt:i4>
      </vt:variant>
      <vt:variant>
        <vt:lpwstr/>
      </vt:variant>
      <vt:variant>
        <vt:lpwstr>_Toc431493907</vt:lpwstr>
      </vt:variant>
      <vt:variant>
        <vt:i4>1245237</vt:i4>
      </vt:variant>
      <vt:variant>
        <vt:i4>1061</vt:i4>
      </vt:variant>
      <vt:variant>
        <vt:i4>0</vt:i4>
      </vt:variant>
      <vt:variant>
        <vt:i4>5</vt:i4>
      </vt:variant>
      <vt:variant>
        <vt:lpwstr/>
      </vt:variant>
      <vt:variant>
        <vt:lpwstr>_Toc431493906</vt:lpwstr>
      </vt:variant>
      <vt:variant>
        <vt:i4>1245237</vt:i4>
      </vt:variant>
      <vt:variant>
        <vt:i4>1055</vt:i4>
      </vt:variant>
      <vt:variant>
        <vt:i4>0</vt:i4>
      </vt:variant>
      <vt:variant>
        <vt:i4>5</vt:i4>
      </vt:variant>
      <vt:variant>
        <vt:lpwstr/>
      </vt:variant>
      <vt:variant>
        <vt:lpwstr>_Toc431493905</vt:lpwstr>
      </vt:variant>
      <vt:variant>
        <vt:i4>1245237</vt:i4>
      </vt:variant>
      <vt:variant>
        <vt:i4>1049</vt:i4>
      </vt:variant>
      <vt:variant>
        <vt:i4>0</vt:i4>
      </vt:variant>
      <vt:variant>
        <vt:i4>5</vt:i4>
      </vt:variant>
      <vt:variant>
        <vt:lpwstr/>
      </vt:variant>
      <vt:variant>
        <vt:lpwstr>_Toc431493904</vt:lpwstr>
      </vt:variant>
      <vt:variant>
        <vt:i4>1245237</vt:i4>
      </vt:variant>
      <vt:variant>
        <vt:i4>1043</vt:i4>
      </vt:variant>
      <vt:variant>
        <vt:i4>0</vt:i4>
      </vt:variant>
      <vt:variant>
        <vt:i4>5</vt:i4>
      </vt:variant>
      <vt:variant>
        <vt:lpwstr/>
      </vt:variant>
      <vt:variant>
        <vt:lpwstr>_Toc431493903</vt:lpwstr>
      </vt:variant>
      <vt:variant>
        <vt:i4>1245237</vt:i4>
      </vt:variant>
      <vt:variant>
        <vt:i4>1037</vt:i4>
      </vt:variant>
      <vt:variant>
        <vt:i4>0</vt:i4>
      </vt:variant>
      <vt:variant>
        <vt:i4>5</vt:i4>
      </vt:variant>
      <vt:variant>
        <vt:lpwstr/>
      </vt:variant>
      <vt:variant>
        <vt:lpwstr>_Toc431493902</vt:lpwstr>
      </vt:variant>
      <vt:variant>
        <vt:i4>1245237</vt:i4>
      </vt:variant>
      <vt:variant>
        <vt:i4>1031</vt:i4>
      </vt:variant>
      <vt:variant>
        <vt:i4>0</vt:i4>
      </vt:variant>
      <vt:variant>
        <vt:i4>5</vt:i4>
      </vt:variant>
      <vt:variant>
        <vt:lpwstr/>
      </vt:variant>
      <vt:variant>
        <vt:lpwstr>_Toc431493901</vt:lpwstr>
      </vt:variant>
      <vt:variant>
        <vt:i4>1245237</vt:i4>
      </vt:variant>
      <vt:variant>
        <vt:i4>1025</vt:i4>
      </vt:variant>
      <vt:variant>
        <vt:i4>0</vt:i4>
      </vt:variant>
      <vt:variant>
        <vt:i4>5</vt:i4>
      </vt:variant>
      <vt:variant>
        <vt:lpwstr/>
      </vt:variant>
      <vt:variant>
        <vt:lpwstr>_Toc431493900</vt:lpwstr>
      </vt:variant>
      <vt:variant>
        <vt:i4>1703988</vt:i4>
      </vt:variant>
      <vt:variant>
        <vt:i4>1019</vt:i4>
      </vt:variant>
      <vt:variant>
        <vt:i4>0</vt:i4>
      </vt:variant>
      <vt:variant>
        <vt:i4>5</vt:i4>
      </vt:variant>
      <vt:variant>
        <vt:lpwstr/>
      </vt:variant>
      <vt:variant>
        <vt:lpwstr>_Toc431493899</vt:lpwstr>
      </vt:variant>
      <vt:variant>
        <vt:i4>1703988</vt:i4>
      </vt:variant>
      <vt:variant>
        <vt:i4>1013</vt:i4>
      </vt:variant>
      <vt:variant>
        <vt:i4>0</vt:i4>
      </vt:variant>
      <vt:variant>
        <vt:i4>5</vt:i4>
      </vt:variant>
      <vt:variant>
        <vt:lpwstr/>
      </vt:variant>
      <vt:variant>
        <vt:lpwstr>_Toc431493898</vt:lpwstr>
      </vt:variant>
      <vt:variant>
        <vt:i4>1703988</vt:i4>
      </vt:variant>
      <vt:variant>
        <vt:i4>1007</vt:i4>
      </vt:variant>
      <vt:variant>
        <vt:i4>0</vt:i4>
      </vt:variant>
      <vt:variant>
        <vt:i4>5</vt:i4>
      </vt:variant>
      <vt:variant>
        <vt:lpwstr/>
      </vt:variant>
      <vt:variant>
        <vt:lpwstr>_Toc431493897</vt:lpwstr>
      </vt:variant>
      <vt:variant>
        <vt:i4>1703988</vt:i4>
      </vt:variant>
      <vt:variant>
        <vt:i4>1001</vt:i4>
      </vt:variant>
      <vt:variant>
        <vt:i4>0</vt:i4>
      </vt:variant>
      <vt:variant>
        <vt:i4>5</vt:i4>
      </vt:variant>
      <vt:variant>
        <vt:lpwstr/>
      </vt:variant>
      <vt:variant>
        <vt:lpwstr>_Toc431493896</vt:lpwstr>
      </vt:variant>
      <vt:variant>
        <vt:i4>1703988</vt:i4>
      </vt:variant>
      <vt:variant>
        <vt:i4>995</vt:i4>
      </vt:variant>
      <vt:variant>
        <vt:i4>0</vt:i4>
      </vt:variant>
      <vt:variant>
        <vt:i4>5</vt:i4>
      </vt:variant>
      <vt:variant>
        <vt:lpwstr/>
      </vt:variant>
      <vt:variant>
        <vt:lpwstr>_Toc431493895</vt:lpwstr>
      </vt:variant>
      <vt:variant>
        <vt:i4>1703988</vt:i4>
      </vt:variant>
      <vt:variant>
        <vt:i4>989</vt:i4>
      </vt:variant>
      <vt:variant>
        <vt:i4>0</vt:i4>
      </vt:variant>
      <vt:variant>
        <vt:i4>5</vt:i4>
      </vt:variant>
      <vt:variant>
        <vt:lpwstr/>
      </vt:variant>
      <vt:variant>
        <vt:lpwstr>_Toc431493894</vt:lpwstr>
      </vt:variant>
      <vt:variant>
        <vt:i4>1703988</vt:i4>
      </vt:variant>
      <vt:variant>
        <vt:i4>983</vt:i4>
      </vt:variant>
      <vt:variant>
        <vt:i4>0</vt:i4>
      </vt:variant>
      <vt:variant>
        <vt:i4>5</vt:i4>
      </vt:variant>
      <vt:variant>
        <vt:lpwstr/>
      </vt:variant>
      <vt:variant>
        <vt:lpwstr>_Toc431493893</vt:lpwstr>
      </vt:variant>
      <vt:variant>
        <vt:i4>1703988</vt:i4>
      </vt:variant>
      <vt:variant>
        <vt:i4>977</vt:i4>
      </vt:variant>
      <vt:variant>
        <vt:i4>0</vt:i4>
      </vt:variant>
      <vt:variant>
        <vt:i4>5</vt:i4>
      </vt:variant>
      <vt:variant>
        <vt:lpwstr/>
      </vt:variant>
      <vt:variant>
        <vt:lpwstr>_Toc431493892</vt:lpwstr>
      </vt:variant>
      <vt:variant>
        <vt:i4>1703988</vt:i4>
      </vt:variant>
      <vt:variant>
        <vt:i4>971</vt:i4>
      </vt:variant>
      <vt:variant>
        <vt:i4>0</vt:i4>
      </vt:variant>
      <vt:variant>
        <vt:i4>5</vt:i4>
      </vt:variant>
      <vt:variant>
        <vt:lpwstr/>
      </vt:variant>
      <vt:variant>
        <vt:lpwstr>_Toc431493891</vt:lpwstr>
      </vt:variant>
      <vt:variant>
        <vt:i4>1703988</vt:i4>
      </vt:variant>
      <vt:variant>
        <vt:i4>965</vt:i4>
      </vt:variant>
      <vt:variant>
        <vt:i4>0</vt:i4>
      </vt:variant>
      <vt:variant>
        <vt:i4>5</vt:i4>
      </vt:variant>
      <vt:variant>
        <vt:lpwstr/>
      </vt:variant>
      <vt:variant>
        <vt:lpwstr>_Toc431493890</vt:lpwstr>
      </vt:variant>
      <vt:variant>
        <vt:i4>1769524</vt:i4>
      </vt:variant>
      <vt:variant>
        <vt:i4>959</vt:i4>
      </vt:variant>
      <vt:variant>
        <vt:i4>0</vt:i4>
      </vt:variant>
      <vt:variant>
        <vt:i4>5</vt:i4>
      </vt:variant>
      <vt:variant>
        <vt:lpwstr/>
      </vt:variant>
      <vt:variant>
        <vt:lpwstr>_Toc431493889</vt:lpwstr>
      </vt:variant>
      <vt:variant>
        <vt:i4>1769524</vt:i4>
      </vt:variant>
      <vt:variant>
        <vt:i4>953</vt:i4>
      </vt:variant>
      <vt:variant>
        <vt:i4>0</vt:i4>
      </vt:variant>
      <vt:variant>
        <vt:i4>5</vt:i4>
      </vt:variant>
      <vt:variant>
        <vt:lpwstr/>
      </vt:variant>
      <vt:variant>
        <vt:lpwstr>_Toc431493888</vt:lpwstr>
      </vt:variant>
      <vt:variant>
        <vt:i4>1769524</vt:i4>
      </vt:variant>
      <vt:variant>
        <vt:i4>947</vt:i4>
      </vt:variant>
      <vt:variant>
        <vt:i4>0</vt:i4>
      </vt:variant>
      <vt:variant>
        <vt:i4>5</vt:i4>
      </vt:variant>
      <vt:variant>
        <vt:lpwstr/>
      </vt:variant>
      <vt:variant>
        <vt:lpwstr>_Toc431493887</vt:lpwstr>
      </vt:variant>
      <vt:variant>
        <vt:i4>1769524</vt:i4>
      </vt:variant>
      <vt:variant>
        <vt:i4>941</vt:i4>
      </vt:variant>
      <vt:variant>
        <vt:i4>0</vt:i4>
      </vt:variant>
      <vt:variant>
        <vt:i4>5</vt:i4>
      </vt:variant>
      <vt:variant>
        <vt:lpwstr/>
      </vt:variant>
      <vt:variant>
        <vt:lpwstr>_Toc431493886</vt:lpwstr>
      </vt:variant>
      <vt:variant>
        <vt:i4>1769524</vt:i4>
      </vt:variant>
      <vt:variant>
        <vt:i4>935</vt:i4>
      </vt:variant>
      <vt:variant>
        <vt:i4>0</vt:i4>
      </vt:variant>
      <vt:variant>
        <vt:i4>5</vt:i4>
      </vt:variant>
      <vt:variant>
        <vt:lpwstr/>
      </vt:variant>
      <vt:variant>
        <vt:lpwstr>_Toc431493885</vt:lpwstr>
      </vt:variant>
      <vt:variant>
        <vt:i4>1769524</vt:i4>
      </vt:variant>
      <vt:variant>
        <vt:i4>929</vt:i4>
      </vt:variant>
      <vt:variant>
        <vt:i4>0</vt:i4>
      </vt:variant>
      <vt:variant>
        <vt:i4>5</vt:i4>
      </vt:variant>
      <vt:variant>
        <vt:lpwstr/>
      </vt:variant>
      <vt:variant>
        <vt:lpwstr>_Toc431493884</vt:lpwstr>
      </vt:variant>
      <vt:variant>
        <vt:i4>1769524</vt:i4>
      </vt:variant>
      <vt:variant>
        <vt:i4>923</vt:i4>
      </vt:variant>
      <vt:variant>
        <vt:i4>0</vt:i4>
      </vt:variant>
      <vt:variant>
        <vt:i4>5</vt:i4>
      </vt:variant>
      <vt:variant>
        <vt:lpwstr/>
      </vt:variant>
      <vt:variant>
        <vt:lpwstr>_Toc431493883</vt:lpwstr>
      </vt:variant>
      <vt:variant>
        <vt:i4>1769524</vt:i4>
      </vt:variant>
      <vt:variant>
        <vt:i4>917</vt:i4>
      </vt:variant>
      <vt:variant>
        <vt:i4>0</vt:i4>
      </vt:variant>
      <vt:variant>
        <vt:i4>5</vt:i4>
      </vt:variant>
      <vt:variant>
        <vt:lpwstr/>
      </vt:variant>
      <vt:variant>
        <vt:lpwstr>_Toc431493882</vt:lpwstr>
      </vt:variant>
      <vt:variant>
        <vt:i4>1769524</vt:i4>
      </vt:variant>
      <vt:variant>
        <vt:i4>911</vt:i4>
      </vt:variant>
      <vt:variant>
        <vt:i4>0</vt:i4>
      </vt:variant>
      <vt:variant>
        <vt:i4>5</vt:i4>
      </vt:variant>
      <vt:variant>
        <vt:lpwstr/>
      </vt:variant>
      <vt:variant>
        <vt:lpwstr>_Toc431493881</vt:lpwstr>
      </vt:variant>
      <vt:variant>
        <vt:i4>1769524</vt:i4>
      </vt:variant>
      <vt:variant>
        <vt:i4>905</vt:i4>
      </vt:variant>
      <vt:variant>
        <vt:i4>0</vt:i4>
      </vt:variant>
      <vt:variant>
        <vt:i4>5</vt:i4>
      </vt:variant>
      <vt:variant>
        <vt:lpwstr/>
      </vt:variant>
      <vt:variant>
        <vt:lpwstr>_Toc431493880</vt:lpwstr>
      </vt:variant>
      <vt:variant>
        <vt:i4>1310772</vt:i4>
      </vt:variant>
      <vt:variant>
        <vt:i4>899</vt:i4>
      </vt:variant>
      <vt:variant>
        <vt:i4>0</vt:i4>
      </vt:variant>
      <vt:variant>
        <vt:i4>5</vt:i4>
      </vt:variant>
      <vt:variant>
        <vt:lpwstr/>
      </vt:variant>
      <vt:variant>
        <vt:lpwstr>_Toc431493879</vt:lpwstr>
      </vt:variant>
      <vt:variant>
        <vt:i4>1310772</vt:i4>
      </vt:variant>
      <vt:variant>
        <vt:i4>893</vt:i4>
      </vt:variant>
      <vt:variant>
        <vt:i4>0</vt:i4>
      </vt:variant>
      <vt:variant>
        <vt:i4>5</vt:i4>
      </vt:variant>
      <vt:variant>
        <vt:lpwstr/>
      </vt:variant>
      <vt:variant>
        <vt:lpwstr>_Toc431493878</vt:lpwstr>
      </vt:variant>
      <vt:variant>
        <vt:i4>1310772</vt:i4>
      </vt:variant>
      <vt:variant>
        <vt:i4>887</vt:i4>
      </vt:variant>
      <vt:variant>
        <vt:i4>0</vt:i4>
      </vt:variant>
      <vt:variant>
        <vt:i4>5</vt:i4>
      </vt:variant>
      <vt:variant>
        <vt:lpwstr/>
      </vt:variant>
      <vt:variant>
        <vt:lpwstr>_Toc431493877</vt:lpwstr>
      </vt:variant>
      <vt:variant>
        <vt:i4>1310772</vt:i4>
      </vt:variant>
      <vt:variant>
        <vt:i4>881</vt:i4>
      </vt:variant>
      <vt:variant>
        <vt:i4>0</vt:i4>
      </vt:variant>
      <vt:variant>
        <vt:i4>5</vt:i4>
      </vt:variant>
      <vt:variant>
        <vt:lpwstr/>
      </vt:variant>
      <vt:variant>
        <vt:lpwstr>_Toc431493876</vt:lpwstr>
      </vt:variant>
      <vt:variant>
        <vt:i4>1310772</vt:i4>
      </vt:variant>
      <vt:variant>
        <vt:i4>875</vt:i4>
      </vt:variant>
      <vt:variant>
        <vt:i4>0</vt:i4>
      </vt:variant>
      <vt:variant>
        <vt:i4>5</vt:i4>
      </vt:variant>
      <vt:variant>
        <vt:lpwstr/>
      </vt:variant>
      <vt:variant>
        <vt:lpwstr>_Toc431493875</vt:lpwstr>
      </vt:variant>
      <vt:variant>
        <vt:i4>1310772</vt:i4>
      </vt:variant>
      <vt:variant>
        <vt:i4>869</vt:i4>
      </vt:variant>
      <vt:variant>
        <vt:i4>0</vt:i4>
      </vt:variant>
      <vt:variant>
        <vt:i4>5</vt:i4>
      </vt:variant>
      <vt:variant>
        <vt:lpwstr/>
      </vt:variant>
      <vt:variant>
        <vt:lpwstr>_Toc431493874</vt:lpwstr>
      </vt:variant>
      <vt:variant>
        <vt:i4>1310772</vt:i4>
      </vt:variant>
      <vt:variant>
        <vt:i4>863</vt:i4>
      </vt:variant>
      <vt:variant>
        <vt:i4>0</vt:i4>
      </vt:variant>
      <vt:variant>
        <vt:i4>5</vt:i4>
      </vt:variant>
      <vt:variant>
        <vt:lpwstr/>
      </vt:variant>
      <vt:variant>
        <vt:lpwstr>_Toc431493873</vt:lpwstr>
      </vt:variant>
      <vt:variant>
        <vt:i4>1310772</vt:i4>
      </vt:variant>
      <vt:variant>
        <vt:i4>857</vt:i4>
      </vt:variant>
      <vt:variant>
        <vt:i4>0</vt:i4>
      </vt:variant>
      <vt:variant>
        <vt:i4>5</vt:i4>
      </vt:variant>
      <vt:variant>
        <vt:lpwstr/>
      </vt:variant>
      <vt:variant>
        <vt:lpwstr>_Toc431493872</vt:lpwstr>
      </vt:variant>
      <vt:variant>
        <vt:i4>1310772</vt:i4>
      </vt:variant>
      <vt:variant>
        <vt:i4>851</vt:i4>
      </vt:variant>
      <vt:variant>
        <vt:i4>0</vt:i4>
      </vt:variant>
      <vt:variant>
        <vt:i4>5</vt:i4>
      </vt:variant>
      <vt:variant>
        <vt:lpwstr/>
      </vt:variant>
      <vt:variant>
        <vt:lpwstr>_Toc431493871</vt:lpwstr>
      </vt:variant>
      <vt:variant>
        <vt:i4>1310772</vt:i4>
      </vt:variant>
      <vt:variant>
        <vt:i4>845</vt:i4>
      </vt:variant>
      <vt:variant>
        <vt:i4>0</vt:i4>
      </vt:variant>
      <vt:variant>
        <vt:i4>5</vt:i4>
      </vt:variant>
      <vt:variant>
        <vt:lpwstr/>
      </vt:variant>
      <vt:variant>
        <vt:lpwstr>_Toc431493870</vt:lpwstr>
      </vt:variant>
      <vt:variant>
        <vt:i4>1376308</vt:i4>
      </vt:variant>
      <vt:variant>
        <vt:i4>839</vt:i4>
      </vt:variant>
      <vt:variant>
        <vt:i4>0</vt:i4>
      </vt:variant>
      <vt:variant>
        <vt:i4>5</vt:i4>
      </vt:variant>
      <vt:variant>
        <vt:lpwstr/>
      </vt:variant>
      <vt:variant>
        <vt:lpwstr>_Toc431493869</vt:lpwstr>
      </vt:variant>
      <vt:variant>
        <vt:i4>1376308</vt:i4>
      </vt:variant>
      <vt:variant>
        <vt:i4>833</vt:i4>
      </vt:variant>
      <vt:variant>
        <vt:i4>0</vt:i4>
      </vt:variant>
      <vt:variant>
        <vt:i4>5</vt:i4>
      </vt:variant>
      <vt:variant>
        <vt:lpwstr/>
      </vt:variant>
      <vt:variant>
        <vt:lpwstr>_Toc431493868</vt:lpwstr>
      </vt:variant>
      <vt:variant>
        <vt:i4>1376308</vt:i4>
      </vt:variant>
      <vt:variant>
        <vt:i4>827</vt:i4>
      </vt:variant>
      <vt:variant>
        <vt:i4>0</vt:i4>
      </vt:variant>
      <vt:variant>
        <vt:i4>5</vt:i4>
      </vt:variant>
      <vt:variant>
        <vt:lpwstr/>
      </vt:variant>
      <vt:variant>
        <vt:lpwstr>_Toc431493867</vt:lpwstr>
      </vt:variant>
      <vt:variant>
        <vt:i4>1376308</vt:i4>
      </vt:variant>
      <vt:variant>
        <vt:i4>821</vt:i4>
      </vt:variant>
      <vt:variant>
        <vt:i4>0</vt:i4>
      </vt:variant>
      <vt:variant>
        <vt:i4>5</vt:i4>
      </vt:variant>
      <vt:variant>
        <vt:lpwstr/>
      </vt:variant>
      <vt:variant>
        <vt:lpwstr>_Toc431493866</vt:lpwstr>
      </vt:variant>
      <vt:variant>
        <vt:i4>1376308</vt:i4>
      </vt:variant>
      <vt:variant>
        <vt:i4>815</vt:i4>
      </vt:variant>
      <vt:variant>
        <vt:i4>0</vt:i4>
      </vt:variant>
      <vt:variant>
        <vt:i4>5</vt:i4>
      </vt:variant>
      <vt:variant>
        <vt:lpwstr/>
      </vt:variant>
      <vt:variant>
        <vt:lpwstr>_Toc431493865</vt:lpwstr>
      </vt:variant>
      <vt:variant>
        <vt:i4>1376308</vt:i4>
      </vt:variant>
      <vt:variant>
        <vt:i4>809</vt:i4>
      </vt:variant>
      <vt:variant>
        <vt:i4>0</vt:i4>
      </vt:variant>
      <vt:variant>
        <vt:i4>5</vt:i4>
      </vt:variant>
      <vt:variant>
        <vt:lpwstr/>
      </vt:variant>
      <vt:variant>
        <vt:lpwstr>_Toc431493864</vt:lpwstr>
      </vt:variant>
      <vt:variant>
        <vt:i4>1376308</vt:i4>
      </vt:variant>
      <vt:variant>
        <vt:i4>803</vt:i4>
      </vt:variant>
      <vt:variant>
        <vt:i4>0</vt:i4>
      </vt:variant>
      <vt:variant>
        <vt:i4>5</vt:i4>
      </vt:variant>
      <vt:variant>
        <vt:lpwstr/>
      </vt:variant>
      <vt:variant>
        <vt:lpwstr>_Toc431493863</vt:lpwstr>
      </vt:variant>
      <vt:variant>
        <vt:i4>1376308</vt:i4>
      </vt:variant>
      <vt:variant>
        <vt:i4>797</vt:i4>
      </vt:variant>
      <vt:variant>
        <vt:i4>0</vt:i4>
      </vt:variant>
      <vt:variant>
        <vt:i4>5</vt:i4>
      </vt:variant>
      <vt:variant>
        <vt:lpwstr/>
      </vt:variant>
      <vt:variant>
        <vt:lpwstr>_Toc431493862</vt:lpwstr>
      </vt:variant>
      <vt:variant>
        <vt:i4>1376308</vt:i4>
      </vt:variant>
      <vt:variant>
        <vt:i4>791</vt:i4>
      </vt:variant>
      <vt:variant>
        <vt:i4>0</vt:i4>
      </vt:variant>
      <vt:variant>
        <vt:i4>5</vt:i4>
      </vt:variant>
      <vt:variant>
        <vt:lpwstr/>
      </vt:variant>
      <vt:variant>
        <vt:lpwstr>_Toc431493861</vt:lpwstr>
      </vt:variant>
      <vt:variant>
        <vt:i4>1376308</vt:i4>
      </vt:variant>
      <vt:variant>
        <vt:i4>785</vt:i4>
      </vt:variant>
      <vt:variant>
        <vt:i4>0</vt:i4>
      </vt:variant>
      <vt:variant>
        <vt:i4>5</vt:i4>
      </vt:variant>
      <vt:variant>
        <vt:lpwstr/>
      </vt:variant>
      <vt:variant>
        <vt:lpwstr>_Toc431493860</vt:lpwstr>
      </vt:variant>
      <vt:variant>
        <vt:i4>1441844</vt:i4>
      </vt:variant>
      <vt:variant>
        <vt:i4>779</vt:i4>
      </vt:variant>
      <vt:variant>
        <vt:i4>0</vt:i4>
      </vt:variant>
      <vt:variant>
        <vt:i4>5</vt:i4>
      </vt:variant>
      <vt:variant>
        <vt:lpwstr/>
      </vt:variant>
      <vt:variant>
        <vt:lpwstr>_Toc431493859</vt:lpwstr>
      </vt:variant>
      <vt:variant>
        <vt:i4>1441844</vt:i4>
      </vt:variant>
      <vt:variant>
        <vt:i4>773</vt:i4>
      </vt:variant>
      <vt:variant>
        <vt:i4>0</vt:i4>
      </vt:variant>
      <vt:variant>
        <vt:i4>5</vt:i4>
      </vt:variant>
      <vt:variant>
        <vt:lpwstr/>
      </vt:variant>
      <vt:variant>
        <vt:lpwstr>_Toc431493858</vt:lpwstr>
      </vt:variant>
      <vt:variant>
        <vt:i4>1441844</vt:i4>
      </vt:variant>
      <vt:variant>
        <vt:i4>767</vt:i4>
      </vt:variant>
      <vt:variant>
        <vt:i4>0</vt:i4>
      </vt:variant>
      <vt:variant>
        <vt:i4>5</vt:i4>
      </vt:variant>
      <vt:variant>
        <vt:lpwstr/>
      </vt:variant>
      <vt:variant>
        <vt:lpwstr>_Toc431493857</vt:lpwstr>
      </vt:variant>
      <vt:variant>
        <vt:i4>1441844</vt:i4>
      </vt:variant>
      <vt:variant>
        <vt:i4>761</vt:i4>
      </vt:variant>
      <vt:variant>
        <vt:i4>0</vt:i4>
      </vt:variant>
      <vt:variant>
        <vt:i4>5</vt:i4>
      </vt:variant>
      <vt:variant>
        <vt:lpwstr/>
      </vt:variant>
      <vt:variant>
        <vt:lpwstr>_Toc431493856</vt:lpwstr>
      </vt:variant>
      <vt:variant>
        <vt:i4>1441844</vt:i4>
      </vt:variant>
      <vt:variant>
        <vt:i4>755</vt:i4>
      </vt:variant>
      <vt:variant>
        <vt:i4>0</vt:i4>
      </vt:variant>
      <vt:variant>
        <vt:i4>5</vt:i4>
      </vt:variant>
      <vt:variant>
        <vt:lpwstr/>
      </vt:variant>
      <vt:variant>
        <vt:lpwstr>_Toc431493855</vt:lpwstr>
      </vt:variant>
      <vt:variant>
        <vt:i4>1441844</vt:i4>
      </vt:variant>
      <vt:variant>
        <vt:i4>749</vt:i4>
      </vt:variant>
      <vt:variant>
        <vt:i4>0</vt:i4>
      </vt:variant>
      <vt:variant>
        <vt:i4>5</vt:i4>
      </vt:variant>
      <vt:variant>
        <vt:lpwstr/>
      </vt:variant>
      <vt:variant>
        <vt:lpwstr>_Toc431493854</vt:lpwstr>
      </vt:variant>
      <vt:variant>
        <vt:i4>1441844</vt:i4>
      </vt:variant>
      <vt:variant>
        <vt:i4>743</vt:i4>
      </vt:variant>
      <vt:variant>
        <vt:i4>0</vt:i4>
      </vt:variant>
      <vt:variant>
        <vt:i4>5</vt:i4>
      </vt:variant>
      <vt:variant>
        <vt:lpwstr/>
      </vt:variant>
      <vt:variant>
        <vt:lpwstr>_Toc431493853</vt:lpwstr>
      </vt:variant>
      <vt:variant>
        <vt:i4>1441844</vt:i4>
      </vt:variant>
      <vt:variant>
        <vt:i4>737</vt:i4>
      </vt:variant>
      <vt:variant>
        <vt:i4>0</vt:i4>
      </vt:variant>
      <vt:variant>
        <vt:i4>5</vt:i4>
      </vt:variant>
      <vt:variant>
        <vt:lpwstr/>
      </vt:variant>
      <vt:variant>
        <vt:lpwstr>_Toc431493852</vt:lpwstr>
      </vt:variant>
      <vt:variant>
        <vt:i4>1441844</vt:i4>
      </vt:variant>
      <vt:variant>
        <vt:i4>731</vt:i4>
      </vt:variant>
      <vt:variant>
        <vt:i4>0</vt:i4>
      </vt:variant>
      <vt:variant>
        <vt:i4>5</vt:i4>
      </vt:variant>
      <vt:variant>
        <vt:lpwstr/>
      </vt:variant>
      <vt:variant>
        <vt:lpwstr>_Toc431493851</vt:lpwstr>
      </vt:variant>
      <vt:variant>
        <vt:i4>1441844</vt:i4>
      </vt:variant>
      <vt:variant>
        <vt:i4>725</vt:i4>
      </vt:variant>
      <vt:variant>
        <vt:i4>0</vt:i4>
      </vt:variant>
      <vt:variant>
        <vt:i4>5</vt:i4>
      </vt:variant>
      <vt:variant>
        <vt:lpwstr/>
      </vt:variant>
      <vt:variant>
        <vt:lpwstr>_Toc431493850</vt:lpwstr>
      </vt:variant>
      <vt:variant>
        <vt:i4>1507380</vt:i4>
      </vt:variant>
      <vt:variant>
        <vt:i4>719</vt:i4>
      </vt:variant>
      <vt:variant>
        <vt:i4>0</vt:i4>
      </vt:variant>
      <vt:variant>
        <vt:i4>5</vt:i4>
      </vt:variant>
      <vt:variant>
        <vt:lpwstr/>
      </vt:variant>
      <vt:variant>
        <vt:lpwstr>_Toc431493849</vt:lpwstr>
      </vt:variant>
      <vt:variant>
        <vt:i4>1507380</vt:i4>
      </vt:variant>
      <vt:variant>
        <vt:i4>713</vt:i4>
      </vt:variant>
      <vt:variant>
        <vt:i4>0</vt:i4>
      </vt:variant>
      <vt:variant>
        <vt:i4>5</vt:i4>
      </vt:variant>
      <vt:variant>
        <vt:lpwstr/>
      </vt:variant>
      <vt:variant>
        <vt:lpwstr>_Toc431493848</vt:lpwstr>
      </vt:variant>
      <vt:variant>
        <vt:i4>1507380</vt:i4>
      </vt:variant>
      <vt:variant>
        <vt:i4>707</vt:i4>
      </vt:variant>
      <vt:variant>
        <vt:i4>0</vt:i4>
      </vt:variant>
      <vt:variant>
        <vt:i4>5</vt:i4>
      </vt:variant>
      <vt:variant>
        <vt:lpwstr/>
      </vt:variant>
      <vt:variant>
        <vt:lpwstr>_Toc431493847</vt:lpwstr>
      </vt:variant>
      <vt:variant>
        <vt:i4>1507380</vt:i4>
      </vt:variant>
      <vt:variant>
        <vt:i4>701</vt:i4>
      </vt:variant>
      <vt:variant>
        <vt:i4>0</vt:i4>
      </vt:variant>
      <vt:variant>
        <vt:i4>5</vt:i4>
      </vt:variant>
      <vt:variant>
        <vt:lpwstr/>
      </vt:variant>
      <vt:variant>
        <vt:lpwstr>_Toc431493846</vt:lpwstr>
      </vt:variant>
      <vt:variant>
        <vt:i4>1507380</vt:i4>
      </vt:variant>
      <vt:variant>
        <vt:i4>695</vt:i4>
      </vt:variant>
      <vt:variant>
        <vt:i4>0</vt:i4>
      </vt:variant>
      <vt:variant>
        <vt:i4>5</vt:i4>
      </vt:variant>
      <vt:variant>
        <vt:lpwstr/>
      </vt:variant>
      <vt:variant>
        <vt:lpwstr>_Toc431493845</vt:lpwstr>
      </vt:variant>
      <vt:variant>
        <vt:i4>1507380</vt:i4>
      </vt:variant>
      <vt:variant>
        <vt:i4>689</vt:i4>
      </vt:variant>
      <vt:variant>
        <vt:i4>0</vt:i4>
      </vt:variant>
      <vt:variant>
        <vt:i4>5</vt:i4>
      </vt:variant>
      <vt:variant>
        <vt:lpwstr/>
      </vt:variant>
      <vt:variant>
        <vt:lpwstr>_Toc431493844</vt:lpwstr>
      </vt:variant>
      <vt:variant>
        <vt:i4>1507380</vt:i4>
      </vt:variant>
      <vt:variant>
        <vt:i4>683</vt:i4>
      </vt:variant>
      <vt:variant>
        <vt:i4>0</vt:i4>
      </vt:variant>
      <vt:variant>
        <vt:i4>5</vt:i4>
      </vt:variant>
      <vt:variant>
        <vt:lpwstr/>
      </vt:variant>
      <vt:variant>
        <vt:lpwstr>_Toc431493843</vt:lpwstr>
      </vt:variant>
      <vt:variant>
        <vt:i4>1507380</vt:i4>
      </vt:variant>
      <vt:variant>
        <vt:i4>677</vt:i4>
      </vt:variant>
      <vt:variant>
        <vt:i4>0</vt:i4>
      </vt:variant>
      <vt:variant>
        <vt:i4>5</vt:i4>
      </vt:variant>
      <vt:variant>
        <vt:lpwstr/>
      </vt:variant>
      <vt:variant>
        <vt:lpwstr>_Toc431493842</vt:lpwstr>
      </vt:variant>
      <vt:variant>
        <vt:i4>1507380</vt:i4>
      </vt:variant>
      <vt:variant>
        <vt:i4>671</vt:i4>
      </vt:variant>
      <vt:variant>
        <vt:i4>0</vt:i4>
      </vt:variant>
      <vt:variant>
        <vt:i4>5</vt:i4>
      </vt:variant>
      <vt:variant>
        <vt:lpwstr/>
      </vt:variant>
      <vt:variant>
        <vt:lpwstr>_Toc431493841</vt:lpwstr>
      </vt:variant>
      <vt:variant>
        <vt:i4>1507380</vt:i4>
      </vt:variant>
      <vt:variant>
        <vt:i4>665</vt:i4>
      </vt:variant>
      <vt:variant>
        <vt:i4>0</vt:i4>
      </vt:variant>
      <vt:variant>
        <vt:i4>5</vt:i4>
      </vt:variant>
      <vt:variant>
        <vt:lpwstr/>
      </vt:variant>
      <vt:variant>
        <vt:lpwstr>_Toc431493840</vt:lpwstr>
      </vt:variant>
      <vt:variant>
        <vt:i4>1048628</vt:i4>
      </vt:variant>
      <vt:variant>
        <vt:i4>659</vt:i4>
      </vt:variant>
      <vt:variant>
        <vt:i4>0</vt:i4>
      </vt:variant>
      <vt:variant>
        <vt:i4>5</vt:i4>
      </vt:variant>
      <vt:variant>
        <vt:lpwstr/>
      </vt:variant>
      <vt:variant>
        <vt:lpwstr>_Toc431493839</vt:lpwstr>
      </vt:variant>
      <vt:variant>
        <vt:i4>1048628</vt:i4>
      </vt:variant>
      <vt:variant>
        <vt:i4>653</vt:i4>
      </vt:variant>
      <vt:variant>
        <vt:i4>0</vt:i4>
      </vt:variant>
      <vt:variant>
        <vt:i4>5</vt:i4>
      </vt:variant>
      <vt:variant>
        <vt:lpwstr/>
      </vt:variant>
      <vt:variant>
        <vt:lpwstr>_Toc431493838</vt:lpwstr>
      </vt:variant>
      <vt:variant>
        <vt:i4>1048628</vt:i4>
      </vt:variant>
      <vt:variant>
        <vt:i4>647</vt:i4>
      </vt:variant>
      <vt:variant>
        <vt:i4>0</vt:i4>
      </vt:variant>
      <vt:variant>
        <vt:i4>5</vt:i4>
      </vt:variant>
      <vt:variant>
        <vt:lpwstr/>
      </vt:variant>
      <vt:variant>
        <vt:lpwstr>_Toc431493837</vt:lpwstr>
      </vt:variant>
      <vt:variant>
        <vt:i4>1048628</vt:i4>
      </vt:variant>
      <vt:variant>
        <vt:i4>641</vt:i4>
      </vt:variant>
      <vt:variant>
        <vt:i4>0</vt:i4>
      </vt:variant>
      <vt:variant>
        <vt:i4>5</vt:i4>
      </vt:variant>
      <vt:variant>
        <vt:lpwstr/>
      </vt:variant>
      <vt:variant>
        <vt:lpwstr>_Toc431493836</vt:lpwstr>
      </vt:variant>
      <vt:variant>
        <vt:i4>1048628</vt:i4>
      </vt:variant>
      <vt:variant>
        <vt:i4>635</vt:i4>
      </vt:variant>
      <vt:variant>
        <vt:i4>0</vt:i4>
      </vt:variant>
      <vt:variant>
        <vt:i4>5</vt:i4>
      </vt:variant>
      <vt:variant>
        <vt:lpwstr/>
      </vt:variant>
      <vt:variant>
        <vt:lpwstr>_Toc431493835</vt:lpwstr>
      </vt:variant>
      <vt:variant>
        <vt:i4>1048628</vt:i4>
      </vt:variant>
      <vt:variant>
        <vt:i4>629</vt:i4>
      </vt:variant>
      <vt:variant>
        <vt:i4>0</vt:i4>
      </vt:variant>
      <vt:variant>
        <vt:i4>5</vt:i4>
      </vt:variant>
      <vt:variant>
        <vt:lpwstr/>
      </vt:variant>
      <vt:variant>
        <vt:lpwstr>_Toc431493834</vt:lpwstr>
      </vt:variant>
      <vt:variant>
        <vt:i4>1048628</vt:i4>
      </vt:variant>
      <vt:variant>
        <vt:i4>623</vt:i4>
      </vt:variant>
      <vt:variant>
        <vt:i4>0</vt:i4>
      </vt:variant>
      <vt:variant>
        <vt:i4>5</vt:i4>
      </vt:variant>
      <vt:variant>
        <vt:lpwstr/>
      </vt:variant>
      <vt:variant>
        <vt:lpwstr>_Toc431493833</vt:lpwstr>
      </vt:variant>
      <vt:variant>
        <vt:i4>1048628</vt:i4>
      </vt:variant>
      <vt:variant>
        <vt:i4>617</vt:i4>
      </vt:variant>
      <vt:variant>
        <vt:i4>0</vt:i4>
      </vt:variant>
      <vt:variant>
        <vt:i4>5</vt:i4>
      </vt:variant>
      <vt:variant>
        <vt:lpwstr/>
      </vt:variant>
      <vt:variant>
        <vt:lpwstr>_Toc431493832</vt:lpwstr>
      </vt:variant>
      <vt:variant>
        <vt:i4>1048628</vt:i4>
      </vt:variant>
      <vt:variant>
        <vt:i4>611</vt:i4>
      </vt:variant>
      <vt:variant>
        <vt:i4>0</vt:i4>
      </vt:variant>
      <vt:variant>
        <vt:i4>5</vt:i4>
      </vt:variant>
      <vt:variant>
        <vt:lpwstr/>
      </vt:variant>
      <vt:variant>
        <vt:lpwstr>_Toc431493831</vt:lpwstr>
      </vt:variant>
      <vt:variant>
        <vt:i4>1048628</vt:i4>
      </vt:variant>
      <vt:variant>
        <vt:i4>605</vt:i4>
      </vt:variant>
      <vt:variant>
        <vt:i4>0</vt:i4>
      </vt:variant>
      <vt:variant>
        <vt:i4>5</vt:i4>
      </vt:variant>
      <vt:variant>
        <vt:lpwstr/>
      </vt:variant>
      <vt:variant>
        <vt:lpwstr>_Toc431493830</vt:lpwstr>
      </vt:variant>
      <vt:variant>
        <vt:i4>1114164</vt:i4>
      </vt:variant>
      <vt:variant>
        <vt:i4>599</vt:i4>
      </vt:variant>
      <vt:variant>
        <vt:i4>0</vt:i4>
      </vt:variant>
      <vt:variant>
        <vt:i4>5</vt:i4>
      </vt:variant>
      <vt:variant>
        <vt:lpwstr/>
      </vt:variant>
      <vt:variant>
        <vt:lpwstr>_Toc431493829</vt:lpwstr>
      </vt:variant>
      <vt:variant>
        <vt:i4>1114164</vt:i4>
      </vt:variant>
      <vt:variant>
        <vt:i4>593</vt:i4>
      </vt:variant>
      <vt:variant>
        <vt:i4>0</vt:i4>
      </vt:variant>
      <vt:variant>
        <vt:i4>5</vt:i4>
      </vt:variant>
      <vt:variant>
        <vt:lpwstr/>
      </vt:variant>
      <vt:variant>
        <vt:lpwstr>_Toc431493828</vt:lpwstr>
      </vt:variant>
      <vt:variant>
        <vt:i4>1114164</vt:i4>
      </vt:variant>
      <vt:variant>
        <vt:i4>587</vt:i4>
      </vt:variant>
      <vt:variant>
        <vt:i4>0</vt:i4>
      </vt:variant>
      <vt:variant>
        <vt:i4>5</vt:i4>
      </vt:variant>
      <vt:variant>
        <vt:lpwstr/>
      </vt:variant>
      <vt:variant>
        <vt:lpwstr>_Toc431493827</vt:lpwstr>
      </vt:variant>
      <vt:variant>
        <vt:i4>1114164</vt:i4>
      </vt:variant>
      <vt:variant>
        <vt:i4>581</vt:i4>
      </vt:variant>
      <vt:variant>
        <vt:i4>0</vt:i4>
      </vt:variant>
      <vt:variant>
        <vt:i4>5</vt:i4>
      </vt:variant>
      <vt:variant>
        <vt:lpwstr/>
      </vt:variant>
      <vt:variant>
        <vt:lpwstr>_Toc431493826</vt:lpwstr>
      </vt:variant>
      <vt:variant>
        <vt:i4>1114164</vt:i4>
      </vt:variant>
      <vt:variant>
        <vt:i4>575</vt:i4>
      </vt:variant>
      <vt:variant>
        <vt:i4>0</vt:i4>
      </vt:variant>
      <vt:variant>
        <vt:i4>5</vt:i4>
      </vt:variant>
      <vt:variant>
        <vt:lpwstr/>
      </vt:variant>
      <vt:variant>
        <vt:lpwstr>_Toc431493825</vt:lpwstr>
      </vt:variant>
      <vt:variant>
        <vt:i4>1114164</vt:i4>
      </vt:variant>
      <vt:variant>
        <vt:i4>569</vt:i4>
      </vt:variant>
      <vt:variant>
        <vt:i4>0</vt:i4>
      </vt:variant>
      <vt:variant>
        <vt:i4>5</vt:i4>
      </vt:variant>
      <vt:variant>
        <vt:lpwstr/>
      </vt:variant>
      <vt:variant>
        <vt:lpwstr>_Toc431493824</vt:lpwstr>
      </vt:variant>
      <vt:variant>
        <vt:i4>1114164</vt:i4>
      </vt:variant>
      <vt:variant>
        <vt:i4>563</vt:i4>
      </vt:variant>
      <vt:variant>
        <vt:i4>0</vt:i4>
      </vt:variant>
      <vt:variant>
        <vt:i4>5</vt:i4>
      </vt:variant>
      <vt:variant>
        <vt:lpwstr/>
      </vt:variant>
      <vt:variant>
        <vt:lpwstr>_Toc431493823</vt:lpwstr>
      </vt:variant>
      <vt:variant>
        <vt:i4>1114164</vt:i4>
      </vt:variant>
      <vt:variant>
        <vt:i4>557</vt:i4>
      </vt:variant>
      <vt:variant>
        <vt:i4>0</vt:i4>
      </vt:variant>
      <vt:variant>
        <vt:i4>5</vt:i4>
      </vt:variant>
      <vt:variant>
        <vt:lpwstr/>
      </vt:variant>
      <vt:variant>
        <vt:lpwstr>_Toc431493822</vt:lpwstr>
      </vt:variant>
      <vt:variant>
        <vt:i4>1114164</vt:i4>
      </vt:variant>
      <vt:variant>
        <vt:i4>551</vt:i4>
      </vt:variant>
      <vt:variant>
        <vt:i4>0</vt:i4>
      </vt:variant>
      <vt:variant>
        <vt:i4>5</vt:i4>
      </vt:variant>
      <vt:variant>
        <vt:lpwstr/>
      </vt:variant>
      <vt:variant>
        <vt:lpwstr>_Toc431493821</vt:lpwstr>
      </vt:variant>
      <vt:variant>
        <vt:i4>1114164</vt:i4>
      </vt:variant>
      <vt:variant>
        <vt:i4>545</vt:i4>
      </vt:variant>
      <vt:variant>
        <vt:i4>0</vt:i4>
      </vt:variant>
      <vt:variant>
        <vt:i4>5</vt:i4>
      </vt:variant>
      <vt:variant>
        <vt:lpwstr/>
      </vt:variant>
      <vt:variant>
        <vt:lpwstr>_Toc431493820</vt:lpwstr>
      </vt:variant>
      <vt:variant>
        <vt:i4>1179700</vt:i4>
      </vt:variant>
      <vt:variant>
        <vt:i4>539</vt:i4>
      </vt:variant>
      <vt:variant>
        <vt:i4>0</vt:i4>
      </vt:variant>
      <vt:variant>
        <vt:i4>5</vt:i4>
      </vt:variant>
      <vt:variant>
        <vt:lpwstr/>
      </vt:variant>
      <vt:variant>
        <vt:lpwstr>_Toc431493819</vt:lpwstr>
      </vt:variant>
      <vt:variant>
        <vt:i4>1179700</vt:i4>
      </vt:variant>
      <vt:variant>
        <vt:i4>533</vt:i4>
      </vt:variant>
      <vt:variant>
        <vt:i4>0</vt:i4>
      </vt:variant>
      <vt:variant>
        <vt:i4>5</vt:i4>
      </vt:variant>
      <vt:variant>
        <vt:lpwstr/>
      </vt:variant>
      <vt:variant>
        <vt:lpwstr>_Toc431493818</vt:lpwstr>
      </vt:variant>
      <vt:variant>
        <vt:i4>1179700</vt:i4>
      </vt:variant>
      <vt:variant>
        <vt:i4>527</vt:i4>
      </vt:variant>
      <vt:variant>
        <vt:i4>0</vt:i4>
      </vt:variant>
      <vt:variant>
        <vt:i4>5</vt:i4>
      </vt:variant>
      <vt:variant>
        <vt:lpwstr/>
      </vt:variant>
      <vt:variant>
        <vt:lpwstr>_Toc431493817</vt:lpwstr>
      </vt:variant>
      <vt:variant>
        <vt:i4>1179700</vt:i4>
      </vt:variant>
      <vt:variant>
        <vt:i4>521</vt:i4>
      </vt:variant>
      <vt:variant>
        <vt:i4>0</vt:i4>
      </vt:variant>
      <vt:variant>
        <vt:i4>5</vt:i4>
      </vt:variant>
      <vt:variant>
        <vt:lpwstr/>
      </vt:variant>
      <vt:variant>
        <vt:lpwstr>_Toc431493816</vt:lpwstr>
      </vt:variant>
      <vt:variant>
        <vt:i4>1179700</vt:i4>
      </vt:variant>
      <vt:variant>
        <vt:i4>515</vt:i4>
      </vt:variant>
      <vt:variant>
        <vt:i4>0</vt:i4>
      </vt:variant>
      <vt:variant>
        <vt:i4>5</vt:i4>
      </vt:variant>
      <vt:variant>
        <vt:lpwstr/>
      </vt:variant>
      <vt:variant>
        <vt:lpwstr>_Toc431493815</vt:lpwstr>
      </vt:variant>
      <vt:variant>
        <vt:i4>1179700</vt:i4>
      </vt:variant>
      <vt:variant>
        <vt:i4>509</vt:i4>
      </vt:variant>
      <vt:variant>
        <vt:i4>0</vt:i4>
      </vt:variant>
      <vt:variant>
        <vt:i4>5</vt:i4>
      </vt:variant>
      <vt:variant>
        <vt:lpwstr/>
      </vt:variant>
      <vt:variant>
        <vt:lpwstr>_Toc431493814</vt:lpwstr>
      </vt:variant>
      <vt:variant>
        <vt:i4>1179700</vt:i4>
      </vt:variant>
      <vt:variant>
        <vt:i4>503</vt:i4>
      </vt:variant>
      <vt:variant>
        <vt:i4>0</vt:i4>
      </vt:variant>
      <vt:variant>
        <vt:i4>5</vt:i4>
      </vt:variant>
      <vt:variant>
        <vt:lpwstr/>
      </vt:variant>
      <vt:variant>
        <vt:lpwstr>_Toc431493813</vt:lpwstr>
      </vt:variant>
      <vt:variant>
        <vt:i4>1179700</vt:i4>
      </vt:variant>
      <vt:variant>
        <vt:i4>497</vt:i4>
      </vt:variant>
      <vt:variant>
        <vt:i4>0</vt:i4>
      </vt:variant>
      <vt:variant>
        <vt:i4>5</vt:i4>
      </vt:variant>
      <vt:variant>
        <vt:lpwstr/>
      </vt:variant>
      <vt:variant>
        <vt:lpwstr>_Toc431493812</vt:lpwstr>
      </vt:variant>
      <vt:variant>
        <vt:i4>1179700</vt:i4>
      </vt:variant>
      <vt:variant>
        <vt:i4>491</vt:i4>
      </vt:variant>
      <vt:variant>
        <vt:i4>0</vt:i4>
      </vt:variant>
      <vt:variant>
        <vt:i4>5</vt:i4>
      </vt:variant>
      <vt:variant>
        <vt:lpwstr/>
      </vt:variant>
      <vt:variant>
        <vt:lpwstr>_Toc431493811</vt:lpwstr>
      </vt:variant>
      <vt:variant>
        <vt:i4>1179700</vt:i4>
      </vt:variant>
      <vt:variant>
        <vt:i4>485</vt:i4>
      </vt:variant>
      <vt:variant>
        <vt:i4>0</vt:i4>
      </vt:variant>
      <vt:variant>
        <vt:i4>5</vt:i4>
      </vt:variant>
      <vt:variant>
        <vt:lpwstr/>
      </vt:variant>
      <vt:variant>
        <vt:lpwstr>_Toc431493810</vt:lpwstr>
      </vt:variant>
      <vt:variant>
        <vt:i4>1245236</vt:i4>
      </vt:variant>
      <vt:variant>
        <vt:i4>479</vt:i4>
      </vt:variant>
      <vt:variant>
        <vt:i4>0</vt:i4>
      </vt:variant>
      <vt:variant>
        <vt:i4>5</vt:i4>
      </vt:variant>
      <vt:variant>
        <vt:lpwstr/>
      </vt:variant>
      <vt:variant>
        <vt:lpwstr>_Toc431493809</vt:lpwstr>
      </vt:variant>
      <vt:variant>
        <vt:i4>1245236</vt:i4>
      </vt:variant>
      <vt:variant>
        <vt:i4>473</vt:i4>
      </vt:variant>
      <vt:variant>
        <vt:i4>0</vt:i4>
      </vt:variant>
      <vt:variant>
        <vt:i4>5</vt:i4>
      </vt:variant>
      <vt:variant>
        <vt:lpwstr/>
      </vt:variant>
      <vt:variant>
        <vt:lpwstr>_Toc431493808</vt:lpwstr>
      </vt:variant>
      <vt:variant>
        <vt:i4>1245236</vt:i4>
      </vt:variant>
      <vt:variant>
        <vt:i4>467</vt:i4>
      </vt:variant>
      <vt:variant>
        <vt:i4>0</vt:i4>
      </vt:variant>
      <vt:variant>
        <vt:i4>5</vt:i4>
      </vt:variant>
      <vt:variant>
        <vt:lpwstr/>
      </vt:variant>
      <vt:variant>
        <vt:lpwstr>_Toc431493807</vt:lpwstr>
      </vt:variant>
      <vt:variant>
        <vt:i4>1245236</vt:i4>
      </vt:variant>
      <vt:variant>
        <vt:i4>461</vt:i4>
      </vt:variant>
      <vt:variant>
        <vt:i4>0</vt:i4>
      </vt:variant>
      <vt:variant>
        <vt:i4>5</vt:i4>
      </vt:variant>
      <vt:variant>
        <vt:lpwstr/>
      </vt:variant>
      <vt:variant>
        <vt:lpwstr>_Toc431493806</vt:lpwstr>
      </vt:variant>
      <vt:variant>
        <vt:i4>1245236</vt:i4>
      </vt:variant>
      <vt:variant>
        <vt:i4>455</vt:i4>
      </vt:variant>
      <vt:variant>
        <vt:i4>0</vt:i4>
      </vt:variant>
      <vt:variant>
        <vt:i4>5</vt:i4>
      </vt:variant>
      <vt:variant>
        <vt:lpwstr/>
      </vt:variant>
      <vt:variant>
        <vt:lpwstr>_Toc431493805</vt:lpwstr>
      </vt:variant>
      <vt:variant>
        <vt:i4>1245236</vt:i4>
      </vt:variant>
      <vt:variant>
        <vt:i4>449</vt:i4>
      </vt:variant>
      <vt:variant>
        <vt:i4>0</vt:i4>
      </vt:variant>
      <vt:variant>
        <vt:i4>5</vt:i4>
      </vt:variant>
      <vt:variant>
        <vt:lpwstr/>
      </vt:variant>
      <vt:variant>
        <vt:lpwstr>_Toc431493804</vt:lpwstr>
      </vt:variant>
      <vt:variant>
        <vt:i4>1245236</vt:i4>
      </vt:variant>
      <vt:variant>
        <vt:i4>443</vt:i4>
      </vt:variant>
      <vt:variant>
        <vt:i4>0</vt:i4>
      </vt:variant>
      <vt:variant>
        <vt:i4>5</vt:i4>
      </vt:variant>
      <vt:variant>
        <vt:lpwstr/>
      </vt:variant>
      <vt:variant>
        <vt:lpwstr>_Toc431493803</vt:lpwstr>
      </vt:variant>
      <vt:variant>
        <vt:i4>1245236</vt:i4>
      </vt:variant>
      <vt:variant>
        <vt:i4>437</vt:i4>
      </vt:variant>
      <vt:variant>
        <vt:i4>0</vt:i4>
      </vt:variant>
      <vt:variant>
        <vt:i4>5</vt:i4>
      </vt:variant>
      <vt:variant>
        <vt:lpwstr/>
      </vt:variant>
      <vt:variant>
        <vt:lpwstr>_Toc431493802</vt:lpwstr>
      </vt:variant>
      <vt:variant>
        <vt:i4>1245236</vt:i4>
      </vt:variant>
      <vt:variant>
        <vt:i4>431</vt:i4>
      </vt:variant>
      <vt:variant>
        <vt:i4>0</vt:i4>
      </vt:variant>
      <vt:variant>
        <vt:i4>5</vt:i4>
      </vt:variant>
      <vt:variant>
        <vt:lpwstr/>
      </vt:variant>
      <vt:variant>
        <vt:lpwstr>_Toc431493801</vt:lpwstr>
      </vt:variant>
      <vt:variant>
        <vt:i4>1245236</vt:i4>
      </vt:variant>
      <vt:variant>
        <vt:i4>425</vt:i4>
      </vt:variant>
      <vt:variant>
        <vt:i4>0</vt:i4>
      </vt:variant>
      <vt:variant>
        <vt:i4>5</vt:i4>
      </vt:variant>
      <vt:variant>
        <vt:lpwstr/>
      </vt:variant>
      <vt:variant>
        <vt:lpwstr>_Toc431493800</vt:lpwstr>
      </vt:variant>
      <vt:variant>
        <vt:i4>1703995</vt:i4>
      </vt:variant>
      <vt:variant>
        <vt:i4>419</vt:i4>
      </vt:variant>
      <vt:variant>
        <vt:i4>0</vt:i4>
      </vt:variant>
      <vt:variant>
        <vt:i4>5</vt:i4>
      </vt:variant>
      <vt:variant>
        <vt:lpwstr/>
      </vt:variant>
      <vt:variant>
        <vt:lpwstr>_Toc431493799</vt:lpwstr>
      </vt:variant>
      <vt:variant>
        <vt:i4>1703995</vt:i4>
      </vt:variant>
      <vt:variant>
        <vt:i4>413</vt:i4>
      </vt:variant>
      <vt:variant>
        <vt:i4>0</vt:i4>
      </vt:variant>
      <vt:variant>
        <vt:i4>5</vt:i4>
      </vt:variant>
      <vt:variant>
        <vt:lpwstr/>
      </vt:variant>
      <vt:variant>
        <vt:lpwstr>_Toc431493798</vt:lpwstr>
      </vt:variant>
      <vt:variant>
        <vt:i4>1703995</vt:i4>
      </vt:variant>
      <vt:variant>
        <vt:i4>407</vt:i4>
      </vt:variant>
      <vt:variant>
        <vt:i4>0</vt:i4>
      </vt:variant>
      <vt:variant>
        <vt:i4>5</vt:i4>
      </vt:variant>
      <vt:variant>
        <vt:lpwstr/>
      </vt:variant>
      <vt:variant>
        <vt:lpwstr>_Toc431493797</vt:lpwstr>
      </vt:variant>
      <vt:variant>
        <vt:i4>1703995</vt:i4>
      </vt:variant>
      <vt:variant>
        <vt:i4>401</vt:i4>
      </vt:variant>
      <vt:variant>
        <vt:i4>0</vt:i4>
      </vt:variant>
      <vt:variant>
        <vt:i4>5</vt:i4>
      </vt:variant>
      <vt:variant>
        <vt:lpwstr/>
      </vt:variant>
      <vt:variant>
        <vt:lpwstr>_Toc431493796</vt:lpwstr>
      </vt:variant>
      <vt:variant>
        <vt:i4>1703995</vt:i4>
      </vt:variant>
      <vt:variant>
        <vt:i4>395</vt:i4>
      </vt:variant>
      <vt:variant>
        <vt:i4>0</vt:i4>
      </vt:variant>
      <vt:variant>
        <vt:i4>5</vt:i4>
      </vt:variant>
      <vt:variant>
        <vt:lpwstr/>
      </vt:variant>
      <vt:variant>
        <vt:lpwstr>_Toc431493795</vt:lpwstr>
      </vt:variant>
      <vt:variant>
        <vt:i4>1703995</vt:i4>
      </vt:variant>
      <vt:variant>
        <vt:i4>389</vt:i4>
      </vt:variant>
      <vt:variant>
        <vt:i4>0</vt:i4>
      </vt:variant>
      <vt:variant>
        <vt:i4>5</vt:i4>
      </vt:variant>
      <vt:variant>
        <vt:lpwstr/>
      </vt:variant>
      <vt:variant>
        <vt:lpwstr>_Toc431493794</vt:lpwstr>
      </vt:variant>
      <vt:variant>
        <vt:i4>1703995</vt:i4>
      </vt:variant>
      <vt:variant>
        <vt:i4>383</vt:i4>
      </vt:variant>
      <vt:variant>
        <vt:i4>0</vt:i4>
      </vt:variant>
      <vt:variant>
        <vt:i4>5</vt:i4>
      </vt:variant>
      <vt:variant>
        <vt:lpwstr/>
      </vt:variant>
      <vt:variant>
        <vt:lpwstr>_Toc431493793</vt:lpwstr>
      </vt:variant>
      <vt:variant>
        <vt:i4>1703995</vt:i4>
      </vt:variant>
      <vt:variant>
        <vt:i4>374</vt:i4>
      </vt:variant>
      <vt:variant>
        <vt:i4>0</vt:i4>
      </vt:variant>
      <vt:variant>
        <vt:i4>5</vt:i4>
      </vt:variant>
      <vt:variant>
        <vt:lpwstr/>
      </vt:variant>
      <vt:variant>
        <vt:lpwstr>_Toc431493792</vt:lpwstr>
      </vt:variant>
      <vt:variant>
        <vt:i4>1703995</vt:i4>
      </vt:variant>
      <vt:variant>
        <vt:i4>368</vt:i4>
      </vt:variant>
      <vt:variant>
        <vt:i4>0</vt:i4>
      </vt:variant>
      <vt:variant>
        <vt:i4>5</vt:i4>
      </vt:variant>
      <vt:variant>
        <vt:lpwstr/>
      </vt:variant>
      <vt:variant>
        <vt:lpwstr>_Toc431493791</vt:lpwstr>
      </vt:variant>
      <vt:variant>
        <vt:i4>1703995</vt:i4>
      </vt:variant>
      <vt:variant>
        <vt:i4>362</vt:i4>
      </vt:variant>
      <vt:variant>
        <vt:i4>0</vt:i4>
      </vt:variant>
      <vt:variant>
        <vt:i4>5</vt:i4>
      </vt:variant>
      <vt:variant>
        <vt:lpwstr/>
      </vt:variant>
      <vt:variant>
        <vt:lpwstr>_Toc431493790</vt:lpwstr>
      </vt:variant>
      <vt:variant>
        <vt:i4>1769531</vt:i4>
      </vt:variant>
      <vt:variant>
        <vt:i4>356</vt:i4>
      </vt:variant>
      <vt:variant>
        <vt:i4>0</vt:i4>
      </vt:variant>
      <vt:variant>
        <vt:i4>5</vt:i4>
      </vt:variant>
      <vt:variant>
        <vt:lpwstr/>
      </vt:variant>
      <vt:variant>
        <vt:lpwstr>_Toc431493789</vt:lpwstr>
      </vt:variant>
      <vt:variant>
        <vt:i4>1769531</vt:i4>
      </vt:variant>
      <vt:variant>
        <vt:i4>350</vt:i4>
      </vt:variant>
      <vt:variant>
        <vt:i4>0</vt:i4>
      </vt:variant>
      <vt:variant>
        <vt:i4>5</vt:i4>
      </vt:variant>
      <vt:variant>
        <vt:lpwstr/>
      </vt:variant>
      <vt:variant>
        <vt:lpwstr>_Toc431493788</vt:lpwstr>
      </vt:variant>
      <vt:variant>
        <vt:i4>1769531</vt:i4>
      </vt:variant>
      <vt:variant>
        <vt:i4>344</vt:i4>
      </vt:variant>
      <vt:variant>
        <vt:i4>0</vt:i4>
      </vt:variant>
      <vt:variant>
        <vt:i4>5</vt:i4>
      </vt:variant>
      <vt:variant>
        <vt:lpwstr/>
      </vt:variant>
      <vt:variant>
        <vt:lpwstr>_Toc431493787</vt:lpwstr>
      </vt:variant>
      <vt:variant>
        <vt:i4>1769531</vt:i4>
      </vt:variant>
      <vt:variant>
        <vt:i4>338</vt:i4>
      </vt:variant>
      <vt:variant>
        <vt:i4>0</vt:i4>
      </vt:variant>
      <vt:variant>
        <vt:i4>5</vt:i4>
      </vt:variant>
      <vt:variant>
        <vt:lpwstr/>
      </vt:variant>
      <vt:variant>
        <vt:lpwstr>_Toc431493786</vt:lpwstr>
      </vt:variant>
      <vt:variant>
        <vt:i4>1769531</vt:i4>
      </vt:variant>
      <vt:variant>
        <vt:i4>332</vt:i4>
      </vt:variant>
      <vt:variant>
        <vt:i4>0</vt:i4>
      </vt:variant>
      <vt:variant>
        <vt:i4>5</vt:i4>
      </vt:variant>
      <vt:variant>
        <vt:lpwstr/>
      </vt:variant>
      <vt:variant>
        <vt:lpwstr>_Toc431493785</vt:lpwstr>
      </vt:variant>
      <vt:variant>
        <vt:i4>1769531</vt:i4>
      </vt:variant>
      <vt:variant>
        <vt:i4>326</vt:i4>
      </vt:variant>
      <vt:variant>
        <vt:i4>0</vt:i4>
      </vt:variant>
      <vt:variant>
        <vt:i4>5</vt:i4>
      </vt:variant>
      <vt:variant>
        <vt:lpwstr/>
      </vt:variant>
      <vt:variant>
        <vt:lpwstr>_Toc431493784</vt:lpwstr>
      </vt:variant>
      <vt:variant>
        <vt:i4>1769531</vt:i4>
      </vt:variant>
      <vt:variant>
        <vt:i4>320</vt:i4>
      </vt:variant>
      <vt:variant>
        <vt:i4>0</vt:i4>
      </vt:variant>
      <vt:variant>
        <vt:i4>5</vt:i4>
      </vt:variant>
      <vt:variant>
        <vt:lpwstr/>
      </vt:variant>
      <vt:variant>
        <vt:lpwstr>_Toc431493783</vt:lpwstr>
      </vt:variant>
      <vt:variant>
        <vt:i4>1769531</vt:i4>
      </vt:variant>
      <vt:variant>
        <vt:i4>314</vt:i4>
      </vt:variant>
      <vt:variant>
        <vt:i4>0</vt:i4>
      </vt:variant>
      <vt:variant>
        <vt:i4>5</vt:i4>
      </vt:variant>
      <vt:variant>
        <vt:lpwstr/>
      </vt:variant>
      <vt:variant>
        <vt:lpwstr>_Toc431493782</vt:lpwstr>
      </vt:variant>
      <vt:variant>
        <vt:i4>1769531</vt:i4>
      </vt:variant>
      <vt:variant>
        <vt:i4>308</vt:i4>
      </vt:variant>
      <vt:variant>
        <vt:i4>0</vt:i4>
      </vt:variant>
      <vt:variant>
        <vt:i4>5</vt:i4>
      </vt:variant>
      <vt:variant>
        <vt:lpwstr/>
      </vt:variant>
      <vt:variant>
        <vt:lpwstr>_Toc431493781</vt:lpwstr>
      </vt:variant>
      <vt:variant>
        <vt:i4>1769531</vt:i4>
      </vt:variant>
      <vt:variant>
        <vt:i4>302</vt:i4>
      </vt:variant>
      <vt:variant>
        <vt:i4>0</vt:i4>
      </vt:variant>
      <vt:variant>
        <vt:i4>5</vt:i4>
      </vt:variant>
      <vt:variant>
        <vt:lpwstr/>
      </vt:variant>
      <vt:variant>
        <vt:lpwstr>_Toc431493780</vt:lpwstr>
      </vt:variant>
      <vt:variant>
        <vt:i4>1310779</vt:i4>
      </vt:variant>
      <vt:variant>
        <vt:i4>296</vt:i4>
      </vt:variant>
      <vt:variant>
        <vt:i4>0</vt:i4>
      </vt:variant>
      <vt:variant>
        <vt:i4>5</vt:i4>
      </vt:variant>
      <vt:variant>
        <vt:lpwstr/>
      </vt:variant>
      <vt:variant>
        <vt:lpwstr>_Toc431493779</vt:lpwstr>
      </vt:variant>
      <vt:variant>
        <vt:i4>1310779</vt:i4>
      </vt:variant>
      <vt:variant>
        <vt:i4>290</vt:i4>
      </vt:variant>
      <vt:variant>
        <vt:i4>0</vt:i4>
      </vt:variant>
      <vt:variant>
        <vt:i4>5</vt:i4>
      </vt:variant>
      <vt:variant>
        <vt:lpwstr/>
      </vt:variant>
      <vt:variant>
        <vt:lpwstr>_Toc431493778</vt:lpwstr>
      </vt:variant>
      <vt:variant>
        <vt:i4>1310779</vt:i4>
      </vt:variant>
      <vt:variant>
        <vt:i4>284</vt:i4>
      </vt:variant>
      <vt:variant>
        <vt:i4>0</vt:i4>
      </vt:variant>
      <vt:variant>
        <vt:i4>5</vt:i4>
      </vt:variant>
      <vt:variant>
        <vt:lpwstr/>
      </vt:variant>
      <vt:variant>
        <vt:lpwstr>_Toc431493777</vt:lpwstr>
      </vt:variant>
      <vt:variant>
        <vt:i4>1310779</vt:i4>
      </vt:variant>
      <vt:variant>
        <vt:i4>278</vt:i4>
      </vt:variant>
      <vt:variant>
        <vt:i4>0</vt:i4>
      </vt:variant>
      <vt:variant>
        <vt:i4>5</vt:i4>
      </vt:variant>
      <vt:variant>
        <vt:lpwstr/>
      </vt:variant>
      <vt:variant>
        <vt:lpwstr>_Toc431493776</vt:lpwstr>
      </vt:variant>
      <vt:variant>
        <vt:i4>1310779</vt:i4>
      </vt:variant>
      <vt:variant>
        <vt:i4>272</vt:i4>
      </vt:variant>
      <vt:variant>
        <vt:i4>0</vt:i4>
      </vt:variant>
      <vt:variant>
        <vt:i4>5</vt:i4>
      </vt:variant>
      <vt:variant>
        <vt:lpwstr/>
      </vt:variant>
      <vt:variant>
        <vt:lpwstr>_Toc431493775</vt:lpwstr>
      </vt:variant>
      <vt:variant>
        <vt:i4>1310779</vt:i4>
      </vt:variant>
      <vt:variant>
        <vt:i4>266</vt:i4>
      </vt:variant>
      <vt:variant>
        <vt:i4>0</vt:i4>
      </vt:variant>
      <vt:variant>
        <vt:i4>5</vt:i4>
      </vt:variant>
      <vt:variant>
        <vt:lpwstr/>
      </vt:variant>
      <vt:variant>
        <vt:lpwstr>_Toc431493774</vt:lpwstr>
      </vt:variant>
      <vt:variant>
        <vt:i4>1310779</vt:i4>
      </vt:variant>
      <vt:variant>
        <vt:i4>260</vt:i4>
      </vt:variant>
      <vt:variant>
        <vt:i4>0</vt:i4>
      </vt:variant>
      <vt:variant>
        <vt:i4>5</vt:i4>
      </vt:variant>
      <vt:variant>
        <vt:lpwstr/>
      </vt:variant>
      <vt:variant>
        <vt:lpwstr>_Toc431493773</vt:lpwstr>
      </vt:variant>
      <vt:variant>
        <vt:i4>1310779</vt:i4>
      </vt:variant>
      <vt:variant>
        <vt:i4>254</vt:i4>
      </vt:variant>
      <vt:variant>
        <vt:i4>0</vt:i4>
      </vt:variant>
      <vt:variant>
        <vt:i4>5</vt:i4>
      </vt:variant>
      <vt:variant>
        <vt:lpwstr/>
      </vt:variant>
      <vt:variant>
        <vt:lpwstr>_Toc431493772</vt:lpwstr>
      </vt:variant>
      <vt:variant>
        <vt:i4>1310779</vt:i4>
      </vt:variant>
      <vt:variant>
        <vt:i4>248</vt:i4>
      </vt:variant>
      <vt:variant>
        <vt:i4>0</vt:i4>
      </vt:variant>
      <vt:variant>
        <vt:i4>5</vt:i4>
      </vt:variant>
      <vt:variant>
        <vt:lpwstr/>
      </vt:variant>
      <vt:variant>
        <vt:lpwstr>_Toc431493771</vt:lpwstr>
      </vt:variant>
      <vt:variant>
        <vt:i4>1310779</vt:i4>
      </vt:variant>
      <vt:variant>
        <vt:i4>242</vt:i4>
      </vt:variant>
      <vt:variant>
        <vt:i4>0</vt:i4>
      </vt:variant>
      <vt:variant>
        <vt:i4>5</vt:i4>
      </vt:variant>
      <vt:variant>
        <vt:lpwstr/>
      </vt:variant>
      <vt:variant>
        <vt:lpwstr>_Toc431493770</vt:lpwstr>
      </vt:variant>
      <vt:variant>
        <vt:i4>1376315</vt:i4>
      </vt:variant>
      <vt:variant>
        <vt:i4>236</vt:i4>
      </vt:variant>
      <vt:variant>
        <vt:i4>0</vt:i4>
      </vt:variant>
      <vt:variant>
        <vt:i4>5</vt:i4>
      </vt:variant>
      <vt:variant>
        <vt:lpwstr/>
      </vt:variant>
      <vt:variant>
        <vt:lpwstr>_Toc431493769</vt:lpwstr>
      </vt:variant>
      <vt:variant>
        <vt:i4>1376315</vt:i4>
      </vt:variant>
      <vt:variant>
        <vt:i4>230</vt:i4>
      </vt:variant>
      <vt:variant>
        <vt:i4>0</vt:i4>
      </vt:variant>
      <vt:variant>
        <vt:i4>5</vt:i4>
      </vt:variant>
      <vt:variant>
        <vt:lpwstr/>
      </vt:variant>
      <vt:variant>
        <vt:lpwstr>_Toc431493768</vt:lpwstr>
      </vt:variant>
      <vt:variant>
        <vt:i4>1376315</vt:i4>
      </vt:variant>
      <vt:variant>
        <vt:i4>224</vt:i4>
      </vt:variant>
      <vt:variant>
        <vt:i4>0</vt:i4>
      </vt:variant>
      <vt:variant>
        <vt:i4>5</vt:i4>
      </vt:variant>
      <vt:variant>
        <vt:lpwstr/>
      </vt:variant>
      <vt:variant>
        <vt:lpwstr>_Toc431493767</vt:lpwstr>
      </vt:variant>
      <vt:variant>
        <vt:i4>1376315</vt:i4>
      </vt:variant>
      <vt:variant>
        <vt:i4>218</vt:i4>
      </vt:variant>
      <vt:variant>
        <vt:i4>0</vt:i4>
      </vt:variant>
      <vt:variant>
        <vt:i4>5</vt:i4>
      </vt:variant>
      <vt:variant>
        <vt:lpwstr/>
      </vt:variant>
      <vt:variant>
        <vt:lpwstr>_Toc431493766</vt:lpwstr>
      </vt:variant>
      <vt:variant>
        <vt:i4>1376315</vt:i4>
      </vt:variant>
      <vt:variant>
        <vt:i4>212</vt:i4>
      </vt:variant>
      <vt:variant>
        <vt:i4>0</vt:i4>
      </vt:variant>
      <vt:variant>
        <vt:i4>5</vt:i4>
      </vt:variant>
      <vt:variant>
        <vt:lpwstr/>
      </vt:variant>
      <vt:variant>
        <vt:lpwstr>_Toc431493765</vt:lpwstr>
      </vt:variant>
      <vt:variant>
        <vt:i4>1376315</vt:i4>
      </vt:variant>
      <vt:variant>
        <vt:i4>206</vt:i4>
      </vt:variant>
      <vt:variant>
        <vt:i4>0</vt:i4>
      </vt:variant>
      <vt:variant>
        <vt:i4>5</vt:i4>
      </vt:variant>
      <vt:variant>
        <vt:lpwstr/>
      </vt:variant>
      <vt:variant>
        <vt:lpwstr>_Toc431493764</vt:lpwstr>
      </vt:variant>
      <vt:variant>
        <vt:i4>1376315</vt:i4>
      </vt:variant>
      <vt:variant>
        <vt:i4>200</vt:i4>
      </vt:variant>
      <vt:variant>
        <vt:i4>0</vt:i4>
      </vt:variant>
      <vt:variant>
        <vt:i4>5</vt:i4>
      </vt:variant>
      <vt:variant>
        <vt:lpwstr/>
      </vt:variant>
      <vt:variant>
        <vt:lpwstr>_Toc431493763</vt:lpwstr>
      </vt:variant>
      <vt:variant>
        <vt:i4>1376315</vt:i4>
      </vt:variant>
      <vt:variant>
        <vt:i4>194</vt:i4>
      </vt:variant>
      <vt:variant>
        <vt:i4>0</vt:i4>
      </vt:variant>
      <vt:variant>
        <vt:i4>5</vt:i4>
      </vt:variant>
      <vt:variant>
        <vt:lpwstr/>
      </vt:variant>
      <vt:variant>
        <vt:lpwstr>_Toc431493762</vt:lpwstr>
      </vt:variant>
      <vt:variant>
        <vt:i4>1376315</vt:i4>
      </vt:variant>
      <vt:variant>
        <vt:i4>188</vt:i4>
      </vt:variant>
      <vt:variant>
        <vt:i4>0</vt:i4>
      </vt:variant>
      <vt:variant>
        <vt:i4>5</vt:i4>
      </vt:variant>
      <vt:variant>
        <vt:lpwstr/>
      </vt:variant>
      <vt:variant>
        <vt:lpwstr>_Toc431493761</vt:lpwstr>
      </vt:variant>
      <vt:variant>
        <vt:i4>1376315</vt:i4>
      </vt:variant>
      <vt:variant>
        <vt:i4>182</vt:i4>
      </vt:variant>
      <vt:variant>
        <vt:i4>0</vt:i4>
      </vt:variant>
      <vt:variant>
        <vt:i4>5</vt:i4>
      </vt:variant>
      <vt:variant>
        <vt:lpwstr/>
      </vt:variant>
      <vt:variant>
        <vt:lpwstr>_Toc431493760</vt:lpwstr>
      </vt:variant>
      <vt:variant>
        <vt:i4>1441851</vt:i4>
      </vt:variant>
      <vt:variant>
        <vt:i4>176</vt:i4>
      </vt:variant>
      <vt:variant>
        <vt:i4>0</vt:i4>
      </vt:variant>
      <vt:variant>
        <vt:i4>5</vt:i4>
      </vt:variant>
      <vt:variant>
        <vt:lpwstr/>
      </vt:variant>
      <vt:variant>
        <vt:lpwstr>_Toc431493759</vt:lpwstr>
      </vt:variant>
      <vt:variant>
        <vt:i4>1441851</vt:i4>
      </vt:variant>
      <vt:variant>
        <vt:i4>170</vt:i4>
      </vt:variant>
      <vt:variant>
        <vt:i4>0</vt:i4>
      </vt:variant>
      <vt:variant>
        <vt:i4>5</vt:i4>
      </vt:variant>
      <vt:variant>
        <vt:lpwstr/>
      </vt:variant>
      <vt:variant>
        <vt:lpwstr>_Toc431493758</vt:lpwstr>
      </vt:variant>
      <vt:variant>
        <vt:i4>1441851</vt:i4>
      </vt:variant>
      <vt:variant>
        <vt:i4>164</vt:i4>
      </vt:variant>
      <vt:variant>
        <vt:i4>0</vt:i4>
      </vt:variant>
      <vt:variant>
        <vt:i4>5</vt:i4>
      </vt:variant>
      <vt:variant>
        <vt:lpwstr/>
      </vt:variant>
      <vt:variant>
        <vt:lpwstr>_Toc431493757</vt:lpwstr>
      </vt:variant>
      <vt:variant>
        <vt:i4>1441851</vt:i4>
      </vt:variant>
      <vt:variant>
        <vt:i4>158</vt:i4>
      </vt:variant>
      <vt:variant>
        <vt:i4>0</vt:i4>
      </vt:variant>
      <vt:variant>
        <vt:i4>5</vt:i4>
      </vt:variant>
      <vt:variant>
        <vt:lpwstr/>
      </vt:variant>
      <vt:variant>
        <vt:lpwstr>_Toc431493756</vt:lpwstr>
      </vt:variant>
      <vt:variant>
        <vt:i4>1441851</vt:i4>
      </vt:variant>
      <vt:variant>
        <vt:i4>152</vt:i4>
      </vt:variant>
      <vt:variant>
        <vt:i4>0</vt:i4>
      </vt:variant>
      <vt:variant>
        <vt:i4>5</vt:i4>
      </vt:variant>
      <vt:variant>
        <vt:lpwstr/>
      </vt:variant>
      <vt:variant>
        <vt:lpwstr>_Toc431493755</vt:lpwstr>
      </vt:variant>
      <vt:variant>
        <vt:i4>1441851</vt:i4>
      </vt:variant>
      <vt:variant>
        <vt:i4>146</vt:i4>
      </vt:variant>
      <vt:variant>
        <vt:i4>0</vt:i4>
      </vt:variant>
      <vt:variant>
        <vt:i4>5</vt:i4>
      </vt:variant>
      <vt:variant>
        <vt:lpwstr/>
      </vt:variant>
      <vt:variant>
        <vt:lpwstr>_Toc431493754</vt:lpwstr>
      </vt:variant>
      <vt:variant>
        <vt:i4>1441851</vt:i4>
      </vt:variant>
      <vt:variant>
        <vt:i4>140</vt:i4>
      </vt:variant>
      <vt:variant>
        <vt:i4>0</vt:i4>
      </vt:variant>
      <vt:variant>
        <vt:i4>5</vt:i4>
      </vt:variant>
      <vt:variant>
        <vt:lpwstr/>
      </vt:variant>
      <vt:variant>
        <vt:lpwstr>_Toc431493753</vt:lpwstr>
      </vt:variant>
      <vt:variant>
        <vt:i4>1441851</vt:i4>
      </vt:variant>
      <vt:variant>
        <vt:i4>134</vt:i4>
      </vt:variant>
      <vt:variant>
        <vt:i4>0</vt:i4>
      </vt:variant>
      <vt:variant>
        <vt:i4>5</vt:i4>
      </vt:variant>
      <vt:variant>
        <vt:lpwstr/>
      </vt:variant>
      <vt:variant>
        <vt:lpwstr>_Toc431493752</vt:lpwstr>
      </vt:variant>
      <vt:variant>
        <vt:i4>1441851</vt:i4>
      </vt:variant>
      <vt:variant>
        <vt:i4>128</vt:i4>
      </vt:variant>
      <vt:variant>
        <vt:i4>0</vt:i4>
      </vt:variant>
      <vt:variant>
        <vt:i4>5</vt:i4>
      </vt:variant>
      <vt:variant>
        <vt:lpwstr/>
      </vt:variant>
      <vt:variant>
        <vt:lpwstr>_Toc431493751</vt:lpwstr>
      </vt:variant>
      <vt:variant>
        <vt:i4>1441851</vt:i4>
      </vt:variant>
      <vt:variant>
        <vt:i4>122</vt:i4>
      </vt:variant>
      <vt:variant>
        <vt:i4>0</vt:i4>
      </vt:variant>
      <vt:variant>
        <vt:i4>5</vt:i4>
      </vt:variant>
      <vt:variant>
        <vt:lpwstr/>
      </vt:variant>
      <vt:variant>
        <vt:lpwstr>_Toc431493750</vt:lpwstr>
      </vt:variant>
      <vt:variant>
        <vt:i4>1507387</vt:i4>
      </vt:variant>
      <vt:variant>
        <vt:i4>116</vt:i4>
      </vt:variant>
      <vt:variant>
        <vt:i4>0</vt:i4>
      </vt:variant>
      <vt:variant>
        <vt:i4>5</vt:i4>
      </vt:variant>
      <vt:variant>
        <vt:lpwstr/>
      </vt:variant>
      <vt:variant>
        <vt:lpwstr>_Toc431493749</vt:lpwstr>
      </vt:variant>
      <vt:variant>
        <vt:i4>1507387</vt:i4>
      </vt:variant>
      <vt:variant>
        <vt:i4>110</vt:i4>
      </vt:variant>
      <vt:variant>
        <vt:i4>0</vt:i4>
      </vt:variant>
      <vt:variant>
        <vt:i4>5</vt:i4>
      </vt:variant>
      <vt:variant>
        <vt:lpwstr/>
      </vt:variant>
      <vt:variant>
        <vt:lpwstr>_Toc431493748</vt:lpwstr>
      </vt:variant>
      <vt:variant>
        <vt:i4>1507387</vt:i4>
      </vt:variant>
      <vt:variant>
        <vt:i4>104</vt:i4>
      </vt:variant>
      <vt:variant>
        <vt:i4>0</vt:i4>
      </vt:variant>
      <vt:variant>
        <vt:i4>5</vt:i4>
      </vt:variant>
      <vt:variant>
        <vt:lpwstr/>
      </vt:variant>
      <vt:variant>
        <vt:lpwstr>_Toc431493747</vt:lpwstr>
      </vt:variant>
      <vt:variant>
        <vt:i4>1507387</vt:i4>
      </vt:variant>
      <vt:variant>
        <vt:i4>98</vt:i4>
      </vt:variant>
      <vt:variant>
        <vt:i4>0</vt:i4>
      </vt:variant>
      <vt:variant>
        <vt:i4>5</vt:i4>
      </vt:variant>
      <vt:variant>
        <vt:lpwstr/>
      </vt:variant>
      <vt:variant>
        <vt:lpwstr>_Toc431493746</vt:lpwstr>
      </vt:variant>
      <vt:variant>
        <vt:i4>1507387</vt:i4>
      </vt:variant>
      <vt:variant>
        <vt:i4>92</vt:i4>
      </vt:variant>
      <vt:variant>
        <vt:i4>0</vt:i4>
      </vt:variant>
      <vt:variant>
        <vt:i4>5</vt:i4>
      </vt:variant>
      <vt:variant>
        <vt:lpwstr/>
      </vt:variant>
      <vt:variant>
        <vt:lpwstr>_Toc431493745</vt:lpwstr>
      </vt:variant>
      <vt:variant>
        <vt:i4>1507387</vt:i4>
      </vt:variant>
      <vt:variant>
        <vt:i4>86</vt:i4>
      </vt:variant>
      <vt:variant>
        <vt:i4>0</vt:i4>
      </vt:variant>
      <vt:variant>
        <vt:i4>5</vt:i4>
      </vt:variant>
      <vt:variant>
        <vt:lpwstr/>
      </vt:variant>
      <vt:variant>
        <vt:lpwstr>_Toc431493744</vt:lpwstr>
      </vt:variant>
      <vt:variant>
        <vt:i4>1507387</vt:i4>
      </vt:variant>
      <vt:variant>
        <vt:i4>80</vt:i4>
      </vt:variant>
      <vt:variant>
        <vt:i4>0</vt:i4>
      </vt:variant>
      <vt:variant>
        <vt:i4>5</vt:i4>
      </vt:variant>
      <vt:variant>
        <vt:lpwstr/>
      </vt:variant>
      <vt:variant>
        <vt:lpwstr>_Toc431493743</vt:lpwstr>
      </vt:variant>
      <vt:variant>
        <vt:i4>1507387</vt:i4>
      </vt:variant>
      <vt:variant>
        <vt:i4>74</vt:i4>
      </vt:variant>
      <vt:variant>
        <vt:i4>0</vt:i4>
      </vt:variant>
      <vt:variant>
        <vt:i4>5</vt:i4>
      </vt:variant>
      <vt:variant>
        <vt:lpwstr/>
      </vt:variant>
      <vt:variant>
        <vt:lpwstr>_Toc431493742</vt:lpwstr>
      </vt:variant>
      <vt:variant>
        <vt:i4>1507387</vt:i4>
      </vt:variant>
      <vt:variant>
        <vt:i4>68</vt:i4>
      </vt:variant>
      <vt:variant>
        <vt:i4>0</vt:i4>
      </vt:variant>
      <vt:variant>
        <vt:i4>5</vt:i4>
      </vt:variant>
      <vt:variant>
        <vt:lpwstr/>
      </vt:variant>
      <vt:variant>
        <vt:lpwstr>_Toc431493741</vt:lpwstr>
      </vt:variant>
      <vt:variant>
        <vt:i4>1507387</vt:i4>
      </vt:variant>
      <vt:variant>
        <vt:i4>62</vt:i4>
      </vt:variant>
      <vt:variant>
        <vt:i4>0</vt:i4>
      </vt:variant>
      <vt:variant>
        <vt:i4>5</vt:i4>
      </vt:variant>
      <vt:variant>
        <vt:lpwstr/>
      </vt:variant>
      <vt:variant>
        <vt:lpwstr>_Toc431493740</vt:lpwstr>
      </vt:variant>
      <vt:variant>
        <vt:i4>1048635</vt:i4>
      </vt:variant>
      <vt:variant>
        <vt:i4>56</vt:i4>
      </vt:variant>
      <vt:variant>
        <vt:i4>0</vt:i4>
      </vt:variant>
      <vt:variant>
        <vt:i4>5</vt:i4>
      </vt:variant>
      <vt:variant>
        <vt:lpwstr/>
      </vt:variant>
      <vt:variant>
        <vt:lpwstr>_Toc431493739</vt:lpwstr>
      </vt:variant>
      <vt:variant>
        <vt:i4>1048635</vt:i4>
      </vt:variant>
      <vt:variant>
        <vt:i4>50</vt:i4>
      </vt:variant>
      <vt:variant>
        <vt:i4>0</vt:i4>
      </vt:variant>
      <vt:variant>
        <vt:i4>5</vt:i4>
      </vt:variant>
      <vt:variant>
        <vt:lpwstr/>
      </vt:variant>
      <vt:variant>
        <vt:lpwstr>_Toc431493738</vt:lpwstr>
      </vt:variant>
      <vt:variant>
        <vt:i4>1048635</vt:i4>
      </vt:variant>
      <vt:variant>
        <vt:i4>44</vt:i4>
      </vt:variant>
      <vt:variant>
        <vt:i4>0</vt:i4>
      </vt:variant>
      <vt:variant>
        <vt:i4>5</vt:i4>
      </vt:variant>
      <vt:variant>
        <vt:lpwstr/>
      </vt:variant>
      <vt:variant>
        <vt:lpwstr>_Toc431493737</vt:lpwstr>
      </vt:variant>
      <vt:variant>
        <vt:i4>1048635</vt:i4>
      </vt:variant>
      <vt:variant>
        <vt:i4>38</vt:i4>
      </vt:variant>
      <vt:variant>
        <vt:i4>0</vt:i4>
      </vt:variant>
      <vt:variant>
        <vt:i4>5</vt:i4>
      </vt:variant>
      <vt:variant>
        <vt:lpwstr/>
      </vt:variant>
      <vt:variant>
        <vt:lpwstr>_Toc431493736</vt:lpwstr>
      </vt:variant>
      <vt:variant>
        <vt:i4>1048635</vt:i4>
      </vt:variant>
      <vt:variant>
        <vt:i4>32</vt:i4>
      </vt:variant>
      <vt:variant>
        <vt:i4>0</vt:i4>
      </vt:variant>
      <vt:variant>
        <vt:i4>5</vt:i4>
      </vt:variant>
      <vt:variant>
        <vt:lpwstr/>
      </vt:variant>
      <vt:variant>
        <vt:lpwstr>_Toc431493735</vt:lpwstr>
      </vt:variant>
      <vt:variant>
        <vt:i4>1048635</vt:i4>
      </vt:variant>
      <vt:variant>
        <vt:i4>26</vt:i4>
      </vt:variant>
      <vt:variant>
        <vt:i4>0</vt:i4>
      </vt:variant>
      <vt:variant>
        <vt:i4>5</vt:i4>
      </vt:variant>
      <vt:variant>
        <vt:lpwstr/>
      </vt:variant>
      <vt:variant>
        <vt:lpwstr>_Toc431493734</vt:lpwstr>
      </vt:variant>
      <vt:variant>
        <vt:i4>1048635</vt:i4>
      </vt:variant>
      <vt:variant>
        <vt:i4>20</vt:i4>
      </vt:variant>
      <vt:variant>
        <vt:i4>0</vt:i4>
      </vt:variant>
      <vt:variant>
        <vt:i4>5</vt:i4>
      </vt:variant>
      <vt:variant>
        <vt:lpwstr/>
      </vt:variant>
      <vt:variant>
        <vt:lpwstr>_Toc431493733</vt:lpwstr>
      </vt:variant>
      <vt:variant>
        <vt:i4>1048635</vt:i4>
      </vt:variant>
      <vt:variant>
        <vt:i4>14</vt:i4>
      </vt:variant>
      <vt:variant>
        <vt:i4>0</vt:i4>
      </vt:variant>
      <vt:variant>
        <vt:i4>5</vt:i4>
      </vt:variant>
      <vt:variant>
        <vt:lpwstr/>
      </vt:variant>
      <vt:variant>
        <vt:lpwstr>_Toc431493732</vt:lpwstr>
      </vt:variant>
      <vt:variant>
        <vt:i4>1048635</vt:i4>
      </vt:variant>
      <vt:variant>
        <vt:i4>8</vt:i4>
      </vt:variant>
      <vt:variant>
        <vt:i4>0</vt:i4>
      </vt:variant>
      <vt:variant>
        <vt:i4>5</vt:i4>
      </vt:variant>
      <vt:variant>
        <vt:lpwstr/>
      </vt:variant>
      <vt:variant>
        <vt:lpwstr>_Toc431493731</vt:lpwstr>
      </vt:variant>
      <vt:variant>
        <vt:i4>1048635</vt:i4>
      </vt:variant>
      <vt:variant>
        <vt:i4>2</vt:i4>
      </vt:variant>
      <vt:variant>
        <vt:i4>0</vt:i4>
      </vt:variant>
      <vt:variant>
        <vt:i4>5</vt:i4>
      </vt:variant>
      <vt:variant>
        <vt:lpwstr/>
      </vt:variant>
      <vt:variant>
        <vt:lpwstr>_Toc431493730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McKenzie_etal_2016_MMP_Seagrass_Annual_Report_2014-15_WEB</dc:title>
  <dc:subject>MMP Inshore Seagrass monitroing</dc:subject>
  <dc:creator>Len McKenzie</dc:creator>
  <cp:keywords>MMP, seagrass</cp:keywords>
  <cp:lastModifiedBy>Joanna Ruxton</cp:lastModifiedBy>
  <cp:revision>2</cp:revision>
  <cp:lastPrinted>2016-09-25T09:56:00Z</cp:lastPrinted>
  <dcterms:created xsi:type="dcterms:W3CDTF">2016-09-28T03:26:00Z</dcterms:created>
  <dcterms:modified xsi:type="dcterms:W3CDTF">2016-09-28T03:26:00Z</dcterms:modified>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28300</vt:r8>
  </property>
  <property fmtid="{D5CDD505-2E9C-101B-9397-08002B2CF9AE}" pid="3" name="_dlc_DocIdItemGuid">
    <vt:lpwstr>737e416e-612d-4603-b8c7-730d78f87af2</vt:lpwstr>
  </property>
  <property fmtid="{D5CDD505-2E9C-101B-9397-08002B2CF9AE}" pid="4" name="ContentTypeId">
    <vt:lpwstr>0x010100441936E5D27A4AF2935B3316DA024CF2000D9715CDE278E54B8097413768F46C65</vt:lpwstr>
  </property>
  <property fmtid="{D5CDD505-2E9C-101B-9397-08002B2CF9AE}" pid="5" name="TaxCatchAll">
    <vt:lpwstr/>
  </property>
  <property fmtid="{D5CDD505-2E9C-101B-9397-08002B2CF9AE}" pid="6" name="ProjectPhase">
    <vt:lpwstr/>
  </property>
  <property fmtid="{D5CDD505-2E9C-101B-9397-08002B2CF9AE}" pid="7" name="a2118650a77a4a97b805ceb1a6b3e3dc">
    <vt:lpwstr/>
  </property>
</Properties>
</file>