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Default Extension="gif" ContentType="image/gif"/>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1F0C" w:rsidRPr="007D6EB4" w:rsidRDefault="006D22DA" w:rsidP="00617543">
      <w:pPr>
        <w:pStyle w:val="Para0"/>
        <w:rPr>
          <w:b/>
          <w:bCs/>
          <w:sz w:val="28"/>
          <w:szCs w:val="28"/>
          <w:lang w:val="en-AU"/>
        </w:rPr>
      </w:pPr>
      <w:bookmarkStart w:id="0" w:name="_GoBack"/>
      <w:bookmarkEnd w:id="0"/>
      <w:r>
        <w:rPr>
          <w:b/>
          <w:bCs/>
          <w:noProof/>
          <w:sz w:val="28"/>
          <w:szCs w:val="28"/>
          <w:lang w:val="en-AU" w:eastAsia="en-AU"/>
        </w:rPr>
        <w:drawing>
          <wp:anchor distT="0" distB="0" distL="114300" distR="114300" simplePos="0" relativeHeight="251661312" behindDoc="1" locked="0" layoutInCell="1" allowOverlap="1">
            <wp:simplePos x="0" y="0"/>
            <wp:positionH relativeFrom="margin">
              <wp:align>left</wp:align>
            </wp:positionH>
            <wp:positionV relativeFrom="topMargin">
              <wp:posOffset>629920</wp:posOffset>
            </wp:positionV>
            <wp:extent cx="1666875" cy="723900"/>
            <wp:effectExtent l="0" t="0" r="9525" b="0"/>
            <wp:wrapNone/>
            <wp:docPr id="52" name="Picture 1" descr="SKM logo" title="SK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 and Settings\mhuber\Desktop\Admin\SKM logos\skm_named_col_medium.jpg"/>
                    <pic:cNvPicPr>
                      <a:picLocks noChangeAspect="1" noChangeArrowheads="1"/>
                    </pic:cNvPicPr>
                  </pic:nvPicPr>
                  <pic:blipFill>
                    <a:blip r:embed="rId11" cstate="print"/>
                    <a:srcRect/>
                    <a:stretch>
                      <a:fillRect/>
                    </a:stretch>
                  </pic:blipFill>
                  <pic:spPr bwMode="auto">
                    <a:xfrm>
                      <a:off x="0" y="0"/>
                      <a:ext cx="1666875" cy="723900"/>
                    </a:xfrm>
                    <a:prstGeom prst="rect">
                      <a:avLst/>
                    </a:prstGeom>
                    <a:noFill/>
                    <a:ln w="9525">
                      <a:noFill/>
                      <a:miter lim="800000"/>
                      <a:headEnd/>
                      <a:tailEnd/>
                    </a:ln>
                  </pic:spPr>
                </pic:pic>
              </a:graphicData>
            </a:graphic>
          </wp:anchor>
        </w:drawing>
      </w:r>
    </w:p>
    <w:p w:rsidR="00C31F0C" w:rsidRPr="007D6EB4" w:rsidRDefault="00C31F0C" w:rsidP="00617543">
      <w:pPr>
        <w:pStyle w:val="Para0"/>
        <w:rPr>
          <w:b/>
          <w:bCs/>
          <w:sz w:val="28"/>
          <w:szCs w:val="28"/>
          <w:lang w:val="en-AU"/>
        </w:rPr>
      </w:pPr>
    </w:p>
    <w:p w:rsidR="00C31F0C" w:rsidRPr="007D6EB4" w:rsidRDefault="00C31F0C" w:rsidP="00617543">
      <w:pPr>
        <w:pStyle w:val="Para0"/>
        <w:rPr>
          <w:b/>
          <w:bCs/>
          <w:sz w:val="28"/>
          <w:szCs w:val="28"/>
          <w:lang w:val="en-AU"/>
        </w:rPr>
      </w:pPr>
    </w:p>
    <w:p w:rsidR="00C31F0C" w:rsidRPr="007D6EB4" w:rsidRDefault="00005A5E" w:rsidP="00617543">
      <w:pPr>
        <w:pStyle w:val="Para0"/>
        <w:rPr>
          <w:b/>
          <w:bCs/>
          <w:sz w:val="28"/>
          <w:szCs w:val="28"/>
          <w:lang w:val="en-AU"/>
        </w:rPr>
      </w:pPr>
      <w:r w:rsidRPr="00005A5E">
        <w:rPr>
          <w:b/>
          <w:bCs/>
          <w:noProof/>
          <w:sz w:val="28"/>
          <w:szCs w:val="28"/>
          <w:lang w:val="en-AU" w:eastAsia="en-AU"/>
        </w:rPr>
        <w:drawing>
          <wp:anchor distT="0" distB="0" distL="114300" distR="114300" simplePos="0" relativeHeight="251659264" behindDoc="1" locked="0" layoutInCell="1" allowOverlap="1">
            <wp:simplePos x="0" y="0"/>
            <wp:positionH relativeFrom="margin">
              <wp:align>right</wp:align>
            </wp:positionH>
            <wp:positionV relativeFrom="topMargin">
              <wp:posOffset>629920</wp:posOffset>
            </wp:positionV>
            <wp:extent cx="1809115" cy="723900"/>
            <wp:effectExtent l="0" t="0" r="635" b="0"/>
            <wp:wrapNone/>
            <wp:docPr id="41" name="Picture 2" descr="APASA logo" title="APAS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 and Settings\mhuber\Desktop\APASA_Logo_horizontal.jpg"/>
                    <pic:cNvPicPr>
                      <a:picLocks noChangeAspect="1" noChangeArrowheads="1"/>
                    </pic:cNvPicPr>
                  </pic:nvPicPr>
                  <pic:blipFill>
                    <a:blip r:embed="rId12" cstate="print"/>
                    <a:srcRect/>
                    <a:stretch>
                      <a:fillRect/>
                    </a:stretch>
                  </pic:blipFill>
                  <pic:spPr bwMode="auto">
                    <a:xfrm>
                      <a:off x="0" y="0"/>
                      <a:ext cx="1809115" cy="723900"/>
                    </a:xfrm>
                    <a:prstGeom prst="rect">
                      <a:avLst/>
                    </a:prstGeom>
                    <a:noFill/>
                    <a:ln w="9525">
                      <a:noFill/>
                      <a:miter lim="800000"/>
                      <a:headEnd/>
                      <a:tailEnd/>
                    </a:ln>
                  </pic:spPr>
                </pic:pic>
              </a:graphicData>
            </a:graphic>
          </wp:anchor>
        </w:drawing>
      </w:r>
    </w:p>
    <w:p w:rsidR="00534F70" w:rsidRPr="007D6EB4" w:rsidRDefault="00C31F0C" w:rsidP="00617543">
      <w:pPr>
        <w:pStyle w:val="Para0"/>
        <w:rPr>
          <w:b/>
          <w:bCs/>
          <w:sz w:val="28"/>
          <w:szCs w:val="28"/>
          <w:lang w:val="en-AU"/>
        </w:rPr>
      </w:pPr>
      <w:r w:rsidRPr="007D6EB4">
        <w:rPr>
          <w:b/>
          <w:bCs/>
          <w:sz w:val="28"/>
          <w:szCs w:val="28"/>
          <w:lang w:val="en-AU"/>
        </w:rPr>
        <w:t>Improved Dredge Material Management for the Great Barrier Reef Region</w:t>
      </w:r>
    </w:p>
    <w:p w:rsidR="00C31F0C" w:rsidRPr="007D6EB4" w:rsidRDefault="00C31F0C" w:rsidP="00617543">
      <w:pPr>
        <w:pStyle w:val="Para0"/>
        <w:rPr>
          <w:b/>
          <w:bCs/>
          <w:sz w:val="28"/>
          <w:szCs w:val="28"/>
          <w:lang w:val="en-AU"/>
        </w:rPr>
      </w:pPr>
    </w:p>
    <w:p w:rsidR="007D6EB4" w:rsidRPr="007D6EB4" w:rsidRDefault="007D6EB4" w:rsidP="00617543">
      <w:pPr>
        <w:pStyle w:val="Para0"/>
        <w:pBdr>
          <w:top w:val="single" w:sz="4" w:space="1" w:color="auto"/>
        </w:pBdr>
        <w:rPr>
          <w:b/>
          <w:bCs/>
          <w:sz w:val="28"/>
          <w:szCs w:val="28"/>
          <w:lang w:val="en-AU"/>
        </w:rPr>
      </w:pPr>
    </w:p>
    <w:p w:rsidR="007D6EB4" w:rsidRPr="007D6EB4" w:rsidRDefault="009959C4" w:rsidP="00617543">
      <w:pPr>
        <w:pStyle w:val="Para0"/>
        <w:pBdr>
          <w:top w:val="single" w:sz="4" w:space="1" w:color="auto"/>
        </w:pBdr>
        <w:rPr>
          <w:b/>
          <w:bCs/>
          <w:sz w:val="28"/>
          <w:szCs w:val="28"/>
          <w:lang w:val="en-AU"/>
        </w:rPr>
      </w:pPr>
      <w:r>
        <w:rPr>
          <w:b/>
          <w:bCs/>
          <w:sz w:val="28"/>
          <w:szCs w:val="28"/>
          <w:lang w:val="en-AU"/>
        </w:rPr>
        <w:t>APPENDIX C</w:t>
      </w:r>
    </w:p>
    <w:p w:rsidR="00C31F0C" w:rsidRPr="007D6EB4" w:rsidRDefault="00C31F0C" w:rsidP="00617543">
      <w:pPr>
        <w:pStyle w:val="Para0"/>
        <w:rPr>
          <w:b/>
          <w:sz w:val="28"/>
          <w:szCs w:val="28"/>
          <w:lang w:val="en-AU"/>
        </w:rPr>
      </w:pPr>
      <w:r w:rsidRPr="007D6EB4">
        <w:rPr>
          <w:b/>
          <w:sz w:val="28"/>
          <w:szCs w:val="28"/>
          <w:lang w:val="en-AU"/>
        </w:rPr>
        <w:t>Modelling of Bed</w:t>
      </w:r>
      <w:r w:rsidR="00F7576C">
        <w:rPr>
          <w:b/>
          <w:sz w:val="28"/>
          <w:szCs w:val="28"/>
          <w:lang w:val="en-AU"/>
        </w:rPr>
        <w:t xml:space="preserve"> </w:t>
      </w:r>
      <w:r w:rsidRPr="007D6EB4">
        <w:rPr>
          <w:b/>
          <w:sz w:val="28"/>
          <w:szCs w:val="28"/>
          <w:lang w:val="en-AU"/>
        </w:rPr>
        <w:t>Shear</w:t>
      </w:r>
      <w:r w:rsidR="00F7576C">
        <w:rPr>
          <w:b/>
          <w:sz w:val="28"/>
          <w:szCs w:val="28"/>
          <w:lang w:val="en-AU"/>
        </w:rPr>
        <w:t>-</w:t>
      </w:r>
      <w:r w:rsidRPr="007D6EB4">
        <w:rPr>
          <w:b/>
          <w:sz w:val="28"/>
          <w:szCs w:val="28"/>
          <w:lang w:val="en-AU"/>
        </w:rPr>
        <w:t>Stress in the Vicinity of Queensland Trading Ports in the Great Barrier Reef Region</w:t>
      </w:r>
    </w:p>
    <w:p w:rsidR="007D6EB4" w:rsidRPr="007D6EB4" w:rsidRDefault="007D6EB4" w:rsidP="00617543">
      <w:pPr>
        <w:pStyle w:val="Para0"/>
        <w:rPr>
          <w:b/>
          <w:sz w:val="24"/>
          <w:szCs w:val="24"/>
          <w:lang w:val="en-AU"/>
        </w:rPr>
      </w:pPr>
    </w:p>
    <w:p w:rsidR="007D6EB4" w:rsidRPr="007D6EB4" w:rsidRDefault="007D6EB4" w:rsidP="00617543">
      <w:pPr>
        <w:pStyle w:val="Para0"/>
        <w:rPr>
          <w:b/>
          <w:sz w:val="24"/>
          <w:szCs w:val="24"/>
          <w:lang w:val="en-AU"/>
        </w:rPr>
      </w:pPr>
    </w:p>
    <w:p w:rsidR="007D6EB4" w:rsidRPr="007D6EB4" w:rsidRDefault="007D6EB4" w:rsidP="00E46224">
      <w:pPr>
        <w:pStyle w:val="Para0"/>
        <w:outlineLvl w:val="0"/>
        <w:rPr>
          <w:b/>
          <w:sz w:val="24"/>
          <w:szCs w:val="24"/>
          <w:lang w:val="en-AU"/>
        </w:rPr>
      </w:pPr>
      <w:r w:rsidRPr="007D6EB4">
        <w:rPr>
          <w:b/>
          <w:sz w:val="24"/>
          <w:szCs w:val="24"/>
          <w:lang w:val="en-AU"/>
        </w:rPr>
        <w:t>Sinclair Knight Merz Pty Ltd (SKM)</w:t>
      </w:r>
    </w:p>
    <w:p w:rsidR="007D6EB4" w:rsidRPr="007D6EB4" w:rsidRDefault="007D6EB4" w:rsidP="00E46224">
      <w:pPr>
        <w:pStyle w:val="Para0"/>
        <w:outlineLvl w:val="0"/>
        <w:rPr>
          <w:b/>
          <w:sz w:val="24"/>
          <w:szCs w:val="24"/>
          <w:lang w:val="en-AU"/>
        </w:rPr>
      </w:pPr>
      <w:r w:rsidRPr="007D6EB4">
        <w:rPr>
          <w:b/>
          <w:sz w:val="24"/>
          <w:szCs w:val="24"/>
          <w:lang w:val="en-AU"/>
        </w:rPr>
        <w:t>Asia-Pacific Applied Science Associates (APASA)</w:t>
      </w:r>
    </w:p>
    <w:p w:rsidR="007D6EB4" w:rsidRPr="007D6EB4" w:rsidRDefault="007D6EB4" w:rsidP="00617543">
      <w:pPr>
        <w:pStyle w:val="Para0"/>
        <w:rPr>
          <w:b/>
          <w:sz w:val="24"/>
          <w:szCs w:val="24"/>
          <w:lang w:val="en-AU"/>
        </w:rPr>
      </w:pPr>
    </w:p>
    <w:p w:rsidR="007D6EB4" w:rsidRPr="007D6EB4" w:rsidRDefault="007D6EB4" w:rsidP="00617543">
      <w:pPr>
        <w:pStyle w:val="Para0"/>
        <w:rPr>
          <w:b/>
          <w:sz w:val="24"/>
          <w:szCs w:val="24"/>
          <w:lang w:val="en-AU"/>
        </w:rPr>
      </w:pPr>
    </w:p>
    <w:p w:rsidR="007D6EB4" w:rsidRPr="007D6EB4" w:rsidRDefault="007D6EB4" w:rsidP="00E46224">
      <w:pPr>
        <w:pStyle w:val="Para0"/>
        <w:outlineLvl w:val="0"/>
        <w:rPr>
          <w:b/>
          <w:sz w:val="24"/>
          <w:szCs w:val="24"/>
          <w:lang w:val="en-AU"/>
        </w:rPr>
      </w:pPr>
      <w:r w:rsidRPr="007D6EB4">
        <w:rPr>
          <w:b/>
          <w:sz w:val="24"/>
          <w:szCs w:val="24"/>
          <w:lang w:val="en-AU"/>
        </w:rPr>
        <w:t xml:space="preserve">Revision </w:t>
      </w:r>
      <w:r w:rsidR="008223F3">
        <w:rPr>
          <w:b/>
          <w:sz w:val="24"/>
          <w:szCs w:val="24"/>
          <w:lang w:val="en-AU"/>
        </w:rPr>
        <w:t>1</w:t>
      </w:r>
      <w:r w:rsidR="00C609AB">
        <w:rPr>
          <w:b/>
          <w:sz w:val="24"/>
          <w:szCs w:val="24"/>
          <w:lang w:val="en-AU"/>
        </w:rPr>
        <w:t>.2</w:t>
      </w:r>
    </w:p>
    <w:p w:rsidR="007D6EB4" w:rsidRPr="007D6EB4" w:rsidRDefault="00946F03" w:rsidP="00617543">
      <w:pPr>
        <w:pStyle w:val="Para0"/>
        <w:rPr>
          <w:b/>
          <w:sz w:val="24"/>
          <w:szCs w:val="24"/>
          <w:lang w:val="en-AU"/>
        </w:rPr>
      </w:pPr>
      <w:r>
        <w:rPr>
          <w:b/>
          <w:sz w:val="24"/>
          <w:szCs w:val="24"/>
          <w:lang w:val="en-AU"/>
        </w:rPr>
        <w:t>10</w:t>
      </w:r>
      <w:r w:rsidR="002D314E">
        <w:rPr>
          <w:b/>
          <w:sz w:val="24"/>
          <w:szCs w:val="24"/>
          <w:lang w:val="en-AU"/>
        </w:rPr>
        <w:t xml:space="preserve"> July</w:t>
      </w:r>
      <w:r w:rsidR="005531F5">
        <w:rPr>
          <w:b/>
          <w:sz w:val="24"/>
          <w:szCs w:val="24"/>
          <w:lang w:val="en-AU"/>
        </w:rPr>
        <w:t xml:space="preserve"> 2013</w:t>
      </w:r>
    </w:p>
    <w:p w:rsidR="00534F70" w:rsidRPr="007D6EB4" w:rsidRDefault="00534F70" w:rsidP="00617543">
      <w:pPr>
        <w:pStyle w:val="Para0"/>
        <w:rPr>
          <w:lang w:val="en-AU"/>
        </w:rPr>
      </w:pPr>
    </w:p>
    <w:p w:rsidR="00880FA4" w:rsidRPr="007D6EB4" w:rsidRDefault="00880FA4" w:rsidP="00617543">
      <w:pPr>
        <w:pStyle w:val="Para0"/>
        <w:rPr>
          <w:lang w:val="en-AU"/>
        </w:rPr>
        <w:sectPr w:rsidR="00880FA4" w:rsidRPr="007D6EB4" w:rsidSect="00617543">
          <w:headerReference w:type="first" r:id="rId13"/>
          <w:pgSz w:w="11907" w:h="16840" w:code="9"/>
          <w:pgMar w:top="1134" w:right="851" w:bottom="1134" w:left="1418" w:header="680" w:footer="851" w:gutter="0"/>
          <w:pgNumType w:fmt="lowerRoman" w:start="1"/>
          <w:cols w:space="720"/>
          <w:formProt w:val="0"/>
          <w:vAlign w:val="center"/>
          <w:docGrid w:linePitch="299"/>
        </w:sectPr>
      </w:pPr>
    </w:p>
    <w:p w:rsidR="00557E64" w:rsidRDefault="00557E64" w:rsidP="00557E64">
      <w:pPr>
        <w:spacing w:after="0" w:line="240" w:lineRule="auto"/>
        <w:rPr>
          <w:rFonts w:cs="Arial"/>
          <w:sz w:val="18"/>
          <w:szCs w:val="18"/>
        </w:rPr>
      </w:pPr>
      <w:r w:rsidRPr="008867E8">
        <w:rPr>
          <w:rFonts w:cs="Arial"/>
          <w:sz w:val="18"/>
          <w:szCs w:val="18"/>
        </w:rPr>
        <w:lastRenderedPageBreak/>
        <w:t>© Commonwealth of Australia 2013</w:t>
      </w:r>
    </w:p>
    <w:p w:rsidR="00557E64" w:rsidRDefault="00557E64" w:rsidP="00557E64">
      <w:pPr>
        <w:spacing w:after="0" w:line="240" w:lineRule="auto"/>
        <w:rPr>
          <w:rFonts w:cs="Arial"/>
          <w:sz w:val="18"/>
          <w:szCs w:val="18"/>
        </w:rPr>
      </w:pPr>
      <w:r>
        <w:rPr>
          <w:rFonts w:cs="Arial"/>
          <w:sz w:val="18"/>
          <w:szCs w:val="18"/>
        </w:rPr>
        <w:t>Published by the Great Barrier Reef Marine Park Authority 2013</w:t>
      </w:r>
    </w:p>
    <w:p w:rsidR="00792E36" w:rsidRDefault="00792E36" w:rsidP="00557E64">
      <w:pPr>
        <w:spacing w:after="0" w:line="240" w:lineRule="auto"/>
        <w:rPr>
          <w:rFonts w:cs="Arial"/>
          <w:sz w:val="18"/>
          <w:szCs w:val="18"/>
        </w:rPr>
      </w:pPr>
    </w:p>
    <w:p w:rsidR="00557E64" w:rsidRPr="008867E8" w:rsidRDefault="00557E64" w:rsidP="00557E64">
      <w:pPr>
        <w:spacing w:after="0" w:line="240" w:lineRule="auto"/>
        <w:rPr>
          <w:rFonts w:cs="Arial"/>
          <w:sz w:val="18"/>
          <w:szCs w:val="18"/>
        </w:rPr>
      </w:pPr>
      <w:r w:rsidRPr="008867E8">
        <w:rPr>
          <w:rFonts w:cs="Arial"/>
          <w:sz w:val="18"/>
          <w:szCs w:val="18"/>
        </w:rPr>
        <w:t xml:space="preserve">ISBN  </w:t>
      </w:r>
      <w:r w:rsidR="00792E36">
        <w:rPr>
          <w:rFonts w:cs="Arial"/>
          <w:sz w:val="18"/>
          <w:szCs w:val="18"/>
        </w:rPr>
        <w:t xml:space="preserve">978 1 </w:t>
      </w:r>
      <w:r w:rsidRPr="00A87FBB">
        <w:rPr>
          <w:rFonts w:cs="Arial"/>
          <w:sz w:val="18"/>
          <w:szCs w:val="18"/>
        </w:rPr>
        <w:t>922126</w:t>
      </w:r>
      <w:r w:rsidR="00792E36">
        <w:rPr>
          <w:rFonts w:cs="Arial"/>
          <w:sz w:val="18"/>
          <w:szCs w:val="18"/>
        </w:rPr>
        <w:t xml:space="preserve"> 14 </w:t>
      </w:r>
      <w:r w:rsidRPr="00A87FBB">
        <w:rPr>
          <w:rFonts w:cs="Arial"/>
          <w:sz w:val="18"/>
          <w:szCs w:val="18"/>
        </w:rPr>
        <w:t>6</w:t>
      </w:r>
      <w:r>
        <w:rPr>
          <w:rFonts w:cs="Arial"/>
          <w:sz w:val="18"/>
          <w:szCs w:val="18"/>
        </w:rPr>
        <w:t xml:space="preserve"> </w:t>
      </w:r>
      <w:r w:rsidRPr="008867E8">
        <w:rPr>
          <w:rFonts w:cs="Arial"/>
          <w:sz w:val="18"/>
          <w:szCs w:val="18"/>
        </w:rPr>
        <w:t xml:space="preserve">  (ebook)</w:t>
      </w:r>
    </w:p>
    <w:p w:rsidR="00557E64" w:rsidRPr="001B1743" w:rsidRDefault="00557E64" w:rsidP="00557E64">
      <w:pPr>
        <w:spacing w:after="0" w:line="240" w:lineRule="auto"/>
        <w:rPr>
          <w:rFonts w:cs="Arial"/>
          <w:sz w:val="10"/>
          <w:szCs w:val="10"/>
        </w:rPr>
      </w:pPr>
    </w:p>
    <w:p w:rsidR="00557E64" w:rsidRPr="007615C6" w:rsidRDefault="00557E64" w:rsidP="00557E64">
      <w:pPr>
        <w:spacing w:after="0" w:line="240" w:lineRule="auto"/>
        <w:rPr>
          <w:rFonts w:cs="Arial"/>
          <w:sz w:val="10"/>
          <w:szCs w:val="10"/>
        </w:rPr>
      </w:pPr>
    </w:p>
    <w:p w:rsidR="00557E64" w:rsidRPr="008867E8" w:rsidRDefault="00557E64" w:rsidP="00557E64">
      <w:pPr>
        <w:spacing w:after="0" w:line="240" w:lineRule="auto"/>
        <w:rPr>
          <w:rFonts w:cs="Arial"/>
          <w:sz w:val="18"/>
          <w:szCs w:val="18"/>
        </w:rPr>
      </w:pPr>
      <w:r w:rsidRPr="008867E8">
        <w:rPr>
          <w:rFonts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rFonts w:cs="Arial"/>
          <w:i/>
          <w:sz w:val="18"/>
          <w:szCs w:val="18"/>
        </w:rPr>
        <w:t>Copyright Act 1968</w:t>
      </w:r>
      <w:r w:rsidRPr="008867E8">
        <w:rPr>
          <w:rFonts w:cs="Arial"/>
          <w:sz w:val="18"/>
          <w:szCs w:val="18"/>
        </w:rPr>
        <w:t xml:space="preserve">, all other rights are reserved. </w:t>
      </w:r>
    </w:p>
    <w:p w:rsidR="00557E64" w:rsidRPr="008867E8" w:rsidRDefault="00557E64" w:rsidP="00557E64">
      <w:pPr>
        <w:spacing w:after="0" w:line="240" w:lineRule="auto"/>
        <w:rPr>
          <w:rFonts w:cs="Arial"/>
          <w:b/>
          <w:sz w:val="18"/>
          <w:szCs w:val="18"/>
        </w:rPr>
      </w:pPr>
    </w:p>
    <w:p w:rsidR="00557E64" w:rsidRPr="008867E8" w:rsidRDefault="00557E64" w:rsidP="00557E64">
      <w:pPr>
        <w:spacing w:after="0" w:line="240" w:lineRule="auto"/>
        <w:rPr>
          <w:rFonts w:cs="Arial"/>
          <w:b/>
          <w:sz w:val="18"/>
          <w:szCs w:val="18"/>
        </w:rPr>
      </w:pPr>
      <w:r w:rsidRPr="008867E8">
        <w:rPr>
          <w:rFonts w:cs="Arial"/>
          <w:b/>
          <w:sz w:val="18"/>
          <w:szCs w:val="18"/>
        </w:rPr>
        <w:t>Disclaimer</w:t>
      </w:r>
    </w:p>
    <w:p w:rsidR="00557E64" w:rsidRPr="008867E8" w:rsidRDefault="00557E64" w:rsidP="00557E64">
      <w:pPr>
        <w:spacing w:after="0" w:line="240" w:lineRule="auto"/>
        <w:rPr>
          <w:rFonts w:cs="Arial"/>
          <w:sz w:val="18"/>
          <w:szCs w:val="18"/>
        </w:rPr>
      </w:pPr>
      <w:r w:rsidRPr="008867E8">
        <w:rPr>
          <w:rFonts w:cs="Arial"/>
          <w:sz w:val="18"/>
          <w:szCs w:val="18"/>
        </w:rPr>
        <w:t>The views and opinions expressed in this publication are those of the authors and do not necessarily reflect those of the Australian Government or the Minister for Sustainability, Environment, Water, Population and Communities.</w:t>
      </w:r>
    </w:p>
    <w:p w:rsidR="00557E64" w:rsidRPr="007615C6" w:rsidRDefault="00557E64" w:rsidP="00557E64">
      <w:pPr>
        <w:spacing w:after="0" w:line="240" w:lineRule="auto"/>
        <w:rPr>
          <w:rFonts w:cs="Arial"/>
          <w:sz w:val="8"/>
          <w:szCs w:val="8"/>
        </w:rPr>
      </w:pPr>
    </w:p>
    <w:p w:rsidR="00557E64" w:rsidRPr="008867E8" w:rsidRDefault="00557E64" w:rsidP="00557E64">
      <w:pPr>
        <w:spacing w:after="0" w:line="240" w:lineRule="auto"/>
        <w:rPr>
          <w:rFonts w:cs="Arial"/>
          <w:sz w:val="18"/>
          <w:szCs w:val="18"/>
        </w:rPr>
      </w:pPr>
      <w:r w:rsidRPr="008867E8">
        <w:rPr>
          <w:rFonts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557E64" w:rsidRPr="008867E8" w:rsidRDefault="00557E64" w:rsidP="00557E64">
      <w:pPr>
        <w:spacing w:after="0" w:line="240" w:lineRule="auto"/>
        <w:rPr>
          <w:rFonts w:cs="Arial"/>
          <w:b/>
          <w:sz w:val="18"/>
          <w:szCs w:val="18"/>
        </w:rPr>
      </w:pPr>
    </w:p>
    <w:p w:rsidR="00557E64" w:rsidRPr="00E0078D" w:rsidRDefault="00557E64" w:rsidP="00557E64">
      <w:pPr>
        <w:spacing w:after="0" w:line="240" w:lineRule="auto"/>
        <w:rPr>
          <w:rFonts w:cs="Arial"/>
          <w:b/>
          <w:sz w:val="18"/>
          <w:szCs w:val="18"/>
        </w:rPr>
      </w:pPr>
      <w:r w:rsidRPr="00E0078D">
        <w:rPr>
          <w:rFonts w:cs="Arial"/>
          <w:b/>
          <w:sz w:val="18"/>
          <w:szCs w:val="18"/>
        </w:rPr>
        <w:t>National Library of Australia Cataloguing-in-Publication entry</w:t>
      </w:r>
    </w:p>
    <w:p w:rsidR="00557E64" w:rsidRPr="00E0078D" w:rsidRDefault="00557E64" w:rsidP="00557E64">
      <w:pPr>
        <w:spacing w:after="0" w:line="240" w:lineRule="auto"/>
        <w:rPr>
          <w:rFonts w:cs="Arial"/>
          <w:b/>
          <w:sz w:val="18"/>
          <w:szCs w:val="18"/>
        </w:rPr>
      </w:pPr>
    </w:p>
    <w:p w:rsidR="00557E64" w:rsidRDefault="00557E64" w:rsidP="00557E64">
      <w:pPr>
        <w:spacing w:after="0" w:line="240" w:lineRule="auto"/>
        <w:rPr>
          <w:rFonts w:cs="Arial"/>
          <w:sz w:val="18"/>
          <w:szCs w:val="18"/>
        </w:rPr>
      </w:pPr>
      <w:r w:rsidRPr="00E0078D">
        <w:rPr>
          <w:rFonts w:cs="Arial"/>
          <w:sz w:val="18"/>
          <w:szCs w:val="18"/>
        </w:rPr>
        <w:t>Sinclair Knight Merz (Firm).</w:t>
      </w:r>
    </w:p>
    <w:p w:rsidR="00557E64" w:rsidRPr="00E0078D" w:rsidRDefault="00557E64" w:rsidP="00557E64">
      <w:pPr>
        <w:spacing w:after="0" w:line="240" w:lineRule="auto"/>
        <w:rPr>
          <w:rFonts w:cs="Arial"/>
          <w:sz w:val="18"/>
          <w:szCs w:val="18"/>
        </w:rPr>
      </w:pPr>
    </w:p>
    <w:p w:rsidR="00557E64" w:rsidRDefault="00557E64" w:rsidP="00557E64">
      <w:pPr>
        <w:spacing w:after="0" w:line="240" w:lineRule="auto"/>
        <w:rPr>
          <w:rFonts w:cs="Arial"/>
          <w:sz w:val="18"/>
          <w:szCs w:val="18"/>
        </w:rPr>
      </w:pPr>
      <w:r w:rsidRPr="00E0078D">
        <w:rPr>
          <w:rFonts w:cs="Arial"/>
          <w:sz w:val="18"/>
          <w:szCs w:val="18"/>
        </w:rPr>
        <w:t xml:space="preserve">Improved dredge material management for the Great Barrier Reef Region / Sinclair Knight Merz Pty Ltd (SKM); Asia-Pacific Applied Science Associates (APASA). </w:t>
      </w:r>
    </w:p>
    <w:p w:rsidR="00557E64" w:rsidRPr="00E0078D" w:rsidRDefault="00557E64" w:rsidP="00557E64">
      <w:pPr>
        <w:spacing w:after="0" w:line="240" w:lineRule="auto"/>
        <w:rPr>
          <w:rFonts w:cs="Arial"/>
          <w:sz w:val="18"/>
          <w:szCs w:val="18"/>
        </w:rPr>
      </w:pPr>
    </w:p>
    <w:p w:rsidR="00557E64" w:rsidRDefault="00557E64" w:rsidP="00557E64">
      <w:pPr>
        <w:spacing w:after="0" w:line="240" w:lineRule="auto"/>
        <w:rPr>
          <w:rFonts w:cs="Arial"/>
          <w:sz w:val="18"/>
          <w:szCs w:val="18"/>
        </w:rPr>
      </w:pPr>
      <w:r w:rsidRPr="00E0078D">
        <w:rPr>
          <w:rFonts w:cs="Arial"/>
          <w:sz w:val="18"/>
          <w:szCs w:val="18"/>
        </w:rPr>
        <w:t>ISBN   978 1 922126 14 6 (ebook)</w:t>
      </w:r>
    </w:p>
    <w:p w:rsidR="00557E64" w:rsidRPr="00E0078D" w:rsidRDefault="00557E64" w:rsidP="00557E64">
      <w:pPr>
        <w:spacing w:after="0" w:line="240" w:lineRule="auto"/>
        <w:rPr>
          <w:rFonts w:cs="Arial"/>
          <w:sz w:val="18"/>
          <w:szCs w:val="18"/>
        </w:rPr>
      </w:pPr>
    </w:p>
    <w:p w:rsidR="00557E64" w:rsidRPr="00E0078D" w:rsidRDefault="00557E64" w:rsidP="00557E64">
      <w:pPr>
        <w:spacing w:after="0" w:line="240" w:lineRule="auto"/>
        <w:rPr>
          <w:rFonts w:cs="Arial"/>
          <w:sz w:val="18"/>
          <w:szCs w:val="18"/>
        </w:rPr>
      </w:pPr>
      <w:r w:rsidRPr="00E0078D">
        <w:rPr>
          <w:rFonts w:cs="Arial"/>
          <w:sz w:val="18"/>
          <w:szCs w:val="18"/>
        </w:rPr>
        <w:t>Dredging spoil--Environmental aspects--Queensland--Great Barrier Reef.</w:t>
      </w:r>
    </w:p>
    <w:p w:rsidR="00557E64" w:rsidRPr="00E0078D" w:rsidRDefault="00557E64" w:rsidP="00557E64">
      <w:pPr>
        <w:spacing w:after="0" w:line="240" w:lineRule="auto"/>
        <w:rPr>
          <w:rFonts w:cs="Arial"/>
          <w:sz w:val="18"/>
          <w:szCs w:val="18"/>
        </w:rPr>
      </w:pPr>
      <w:r w:rsidRPr="00E0078D">
        <w:rPr>
          <w:rFonts w:cs="Arial"/>
          <w:sz w:val="18"/>
          <w:szCs w:val="18"/>
        </w:rPr>
        <w:t>Dredging spoil--Queensland--Great Barrier Reef--Management.</w:t>
      </w:r>
    </w:p>
    <w:p w:rsidR="00557E64" w:rsidRPr="00E0078D" w:rsidRDefault="00557E64" w:rsidP="00557E64">
      <w:pPr>
        <w:spacing w:after="0" w:line="240" w:lineRule="auto"/>
        <w:rPr>
          <w:rFonts w:cs="Arial"/>
          <w:sz w:val="18"/>
          <w:szCs w:val="18"/>
        </w:rPr>
      </w:pPr>
      <w:r w:rsidRPr="00E0078D">
        <w:rPr>
          <w:rFonts w:cs="Arial"/>
          <w:sz w:val="18"/>
          <w:szCs w:val="18"/>
        </w:rPr>
        <w:t>Spoil banks--Environmental aspects--Queensland--Great Barrier Reef.</w:t>
      </w:r>
    </w:p>
    <w:p w:rsidR="00557E64" w:rsidRPr="00E0078D" w:rsidRDefault="00557E64" w:rsidP="00557E64">
      <w:pPr>
        <w:spacing w:after="0" w:line="240" w:lineRule="auto"/>
        <w:rPr>
          <w:rFonts w:cs="Arial"/>
          <w:sz w:val="18"/>
          <w:szCs w:val="18"/>
        </w:rPr>
      </w:pPr>
      <w:r w:rsidRPr="00E0078D">
        <w:rPr>
          <w:rFonts w:cs="Arial"/>
          <w:sz w:val="18"/>
          <w:szCs w:val="18"/>
        </w:rPr>
        <w:t>Spoil banks--Queensland--Great Barrier Reef--Management.</w:t>
      </w:r>
    </w:p>
    <w:p w:rsidR="00557E64" w:rsidRPr="00E0078D" w:rsidRDefault="00557E64" w:rsidP="00557E64">
      <w:pPr>
        <w:spacing w:after="0" w:line="240" w:lineRule="auto"/>
        <w:rPr>
          <w:rFonts w:cs="Arial"/>
          <w:sz w:val="18"/>
          <w:szCs w:val="18"/>
        </w:rPr>
      </w:pPr>
      <w:r w:rsidRPr="00E0078D">
        <w:rPr>
          <w:rFonts w:cs="Arial"/>
          <w:sz w:val="18"/>
          <w:szCs w:val="18"/>
        </w:rPr>
        <w:t>Dredging--Environmental aspects--Queensland--Great Barrier Reef.</w:t>
      </w:r>
    </w:p>
    <w:p w:rsidR="00557E64" w:rsidRPr="00E0078D" w:rsidRDefault="00557E64" w:rsidP="00557E64">
      <w:pPr>
        <w:spacing w:after="0" w:line="240" w:lineRule="auto"/>
        <w:rPr>
          <w:rFonts w:cs="Arial"/>
          <w:sz w:val="18"/>
          <w:szCs w:val="18"/>
        </w:rPr>
      </w:pPr>
      <w:r w:rsidRPr="00E0078D">
        <w:rPr>
          <w:rFonts w:cs="Arial"/>
          <w:sz w:val="18"/>
          <w:szCs w:val="18"/>
        </w:rPr>
        <w:t>Dredging--Risk management--Queensland--Great Barrier Reef.</w:t>
      </w:r>
    </w:p>
    <w:p w:rsidR="00557E64" w:rsidRPr="00E0078D" w:rsidRDefault="00557E64" w:rsidP="00557E64">
      <w:pPr>
        <w:spacing w:after="0" w:line="240" w:lineRule="auto"/>
        <w:rPr>
          <w:rFonts w:cs="Arial"/>
          <w:sz w:val="18"/>
          <w:szCs w:val="18"/>
        </w:rPr>
      </w:pPr>
      <w:r w:rsidRPr="00E0078D">
        <w:rPr>
          <w:rFonts w:cs="Arial"/>
          <w:sz w:val="18"/>
          <w:szCs w:val="18"/>
        </w:rPr>
        <w:t>Water quality management--Queensland--Great Barrier Reef.</w:t>
      </w:r>
    </w:p>
    <w:p w:rsidR="00557E64" w:rsidRDefault="00557E64" w:rsidP="00557E64">
      <w:pPr>
        <w:spacing w:after="0" w:line="240" w:lineRule="auto"/>
        <w:rPr>
          <w:rFonts w:cs="Arial"/>
          <w:sz w:val="18"/>
          <w:szCs w:val="18"/>
        </w:rPr>
      </w:pPr>
      <w:r w:rsidRPr="00E0078D">
        <w:rPr>
          <w:rFonts w:cs="Arial"/>
          <w:sz w:val="18"/>
          <w:szCs w:val="18"/>
        </w:rPr>
        <w:t>Hydrodynamic receptors.</w:t>
      </w:r>
    </w:p>
    <w:p w:rsidR="00557E64" w:rsidRPr="00E0078D" w:rsidRDefault="00557E64" w:rsidP="00557E64">
      <w:pPr>
        <w:spacing w:after="0" w:line="240" w:lineRule="auto"/>
        <w:rPr>
          <w:rFonts w:cs="Arial"/>
          <w:sz w:val="18"/>
          <w:szCs w:val="18"/>
        </w:rPr>
      </w:pPr>
    </w:p>
    <w:p w:rsidR="00557E64" w:rsidRPr="00E0078D" w:rsidRDefault="00557E64" w:rsidP="00557E64">
      <w:pPr>
        <w:spacing w:after="0" w:line="240" w:lineRule="auto"/>
        <w:rPr>
          <w:rFonts w:cs="Arial"/>
          <w:sz w:val="18"/>
          <w:szCs w:val="18"/>
        </w:rPr>
      </w:pPr>
      <w:r w:rsidRPr="00E0078D">
        <w:rPr>
          <w:rFonts w:cs="Arial"/>
          <w:sz w:val="18"/>
          <w:szCs w:val="18"/>
        </w:rPr>
        <w:t>Asia-Pacific Applied Science Associates.</w:t>
      </w:r>
    </w:p>
    <w:p w:rsidR="00557E64" w:rsidRPr="00E0078D" w:rsidRDefault="00557E64" w:rsidP="00557E64">
      <w:pPr>
        <w:spacing w:after="0" w:line="240" w:lineRule="auto"/>
        <w:rPr>
          <w:rFonts w:cs="Arial"/>
          <w:sz w:val="18"/>
          <w:szCs w:val="18"/>
        </w:rPr>
      </w:pPr>
      <w:r w:rsidRPr="00E0078D">
        <w:rPr>
          <w:rFonts w:cs="Arial"/>
          <w:sz w:val="18"/>
          <w:szCs w:val="18"/>
        </w:rPr>
        <w:t>Great Barrier Reef Marine Park Authority.</w:t>
      </w:r>
    </w:p>
    <w:p w:rsidR="00557E64" w:rsidRDefault="00557E64" w:rsidP="00557E64">
      <w:pPr>
        <w:spacing w:after="0" w:line="240" w:lineRule="auto"/>
        <w:rPr>
          <w:rFonts w:cs="Arial"/>
          <w:sz w:val="18"/>
          <w:szCs w:val="18"/>
        </w:rPr>
      </w:pPr>
    </w:p>
    <w:p w:rsidR="00557E64" w:rsidRPr="00E0078D" w:rsidRDefault="00557E64" w:rsidP="00557E64">
      <w:pPr>
        <w:spacing w:after="0" w:line="240" w:lineRule="auto"/>
        <w:rPr>
          <w:rFonts w:cs="Arial"/>
          <w:sz w:val="18"/>
          <w:szCs w:val="18"/>
        </w:rPr>
      </w:pPr>
      <w:r w:rsidRPr="00E0078D">
        <w:rPr>
          <w:rFonts w:cs="Arial"/>
          <w:sz w:val="18"/>
          <w:szCs w:val="18"/>
        </w:rPr>
        <w:t>363.7284</w:t>
      </w:r>
    </w:p>
    <w:p w:rsidR="00557E64" w:rsidRDefault="00557E64" w:rsidP="00557E64">
      <w:pPr>
        <w:spacing w:after="0" w:line="240" w:lineRule="auto"/>
        <w:rPr>
          <w:rFonts w:cs="Arial"/>
          <w:sz w:val="18"/>
          <w:szCs w:val="18"/>
        </w:rPr>
      </w:pPr>
    </w:p>
    <w:p w:rsidR="00557E64" w:rsidRPr="00E0078D" w:rsidRDefault="00557E64" w:rsidP="00557E64">
      <w:pPr>
        <w:spacing w:after="0" w:line="240" w:lineRule="auto"/>
        <w:rPr>
          <w:rFonts w:cs="Arial"/>
          <w:b/>
          <w:sz w:val="18"/>
          <w:szCs w:val="18"/>
        </w:rPr>
      </w:pPr>
      <w:r w:rsidRPr="00E0078D">
        <w:rPr>
          <w:rFonts w:cs="Arial"/>
          <w:b/>
          <w:sz w:val="18"/>
          <w:szCs w:val="18"/>
        </w:rPr>
        <w:t>This publication should be cited as:</w:t>
      </w:r>
    </w:p>
    <w:p w:rsidR="00557E64" w:rsidRPr="00E0078D" w:rsidRDefault="00557E64" w:rsidP="00557E64">
      <w:pPr>
        <w:spacing w:after="0" w:line="240" w:lineRule="auto"/>
        <w:rPr>
          <w:rFonts w:cs="Arial"/>
          <w:sz w:val="18"/>
          <w:szCs w:val="18"/>
        </w:rPr>
      </w:pPr>
      <w:r w:rsidRPr="004B4AA4">
        <w:rPr>
          <w:rFonts w:cs="Arial"/>
          <w:sz w:val="18"/>
          <w:szCs w:val="18"/>
        </w:rPr>
        <w:t xml:space="preserve">SKM 2013, </w:t>
      </w:r>
      <w:r w:rsidRPr="004B4AA4">
        <w:rPr>
          <w:rFonts w:cs="Arial"/>
          <w:i/>
          <w:sz w:val="18"/>
          <w:szCs w:val="18"/>
        </w:rPr>
        <w:t>Improved dredge material management for the Great Barrier Reef Region</w:t>
      </w:r>
      <w:r w:rsidRPr="004B4AA4">
        <w:rPr>
          <w:rFonts w:cs="Arial"/>
          <w:sz w:val="18"/>
          <w:szCs w:val="18"/>
        </w:rPr>
        <w:t>, Great Barrier Reef Marine Park Authority, Townsville.</w:t>
      </w:r>
    </w:p>
    <w:p w:rsidR="00557E64" w:rsidRDefault="00557E64" w:rsidP="00557E64">
      <w:pPr>
        <w:spacing w:after="0" w:line="240" w:lineRule="auto"/>
        <w:rPr>
          <w:rFonts w:cs="Arial"/>
          <w:b/>
          <w:sz w:val="18"/>
          <w:szCs w:val="18"/>
        </w:rPr>
      </w:pPr>
    </w:p>
    <w:p w:rsidR="00557E64" w:rsidRPr="00BC2270" w:rsidRDefault="00557E64" w:rsidP="00557E64">
      <w:pPr>
        <w:spacing w:after="0" w:line="240" w:lineRule="auto"/>
        <w:rPr>
          <w:rFonts w:cs="Arial"/>
          <w:b/>
          <w:sz w:val="18"/>
          <w:szCs w:val="18"/>
        </w:rPr>
      </w:pPr>
      <w:r w:rsidRPr="00BC2270">
        <w:rPr>
          <w:rFonts w:cs="Arial"/>
          <w:b/>
          <w:sz w:val="18"/>
          <w:szCs w:val="18"/>
        </w:rPr>
        <w:t>Acknowledgement</w:t>
      </w:r>
    </w:p>
    <w:p w:rsidR="00557E64" w:rsidRPr="00BC2270" w:rsidRDefault="00557E64" w:rsidP="00557E64">
      <w:pPr>
        <w:rPr>
          <w:rFonts w:cs="Arial"/>
          <w:sz w:val="18"/>
          <w:szCs w:val="18"/>
        </w:rPr>
      </w:pPr>
      <w:r w:rsidRPr="00BC2270">
        <w:rPr>
          <w:rFonts w:cs="Arial"/>
          <w:sz w:val="18"/>
          <w:szCs w:val="18"/>
        </w:rPr>
        <w:t>This report was supported with funding from the Department of Sustainability, Environment, Water, Population, and Communities through the Sustainable Regional Development Program.</w:t>
      </w:r>
    </w:p>
    <w:p w:rsidR="00557E64" w:rsidRPr="004B4AA4" w:rsidRDefault="00557E64" w:rsidP="00557E64">
      <w:pPr>
        <w:spacing w:after="0" w:line="240" w:lineRule="auto"/>
        <w:rPr>
          <w:rFonts w:cs="Arial"/>
          <w:b/>
          <w:sz w:val="18"/>
          <w:szCs w:val="18"/>
        </w:rPr>
      </w:pPr>
      <w:r>
        <w:rPr>
          <w:rFonts w:cs="Arial"/>
          <w:b/>
          <w:noProof/>
          <w:sz w:val="18"/>
          <w:szCs w:val="18"/>
          <w:lang w:val="en-AU" w:eastAsia="en-AU"/>
        </w:rPr>
        <w:drawing>
          <wp:inline distT="0" distB="0" distL="0" distR="0" wp14:anchorId="60469899" wp14:editId="0F591587">
            <wp:extent cx="3181666" cy="866775"/>
            <wp:effectExtent l="0" t="0" r="0" b="0"/>
            <wp:docPr id="2" name="Picture 2" descr="Australian Government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81666" cy="866775"/>
                    </a:xfrm>
                    <a:prstGeom prst="rect">
                      <a:avLst/>
                    </a:prstGeom>
                  </pic:spPr>
                </pic:pic>
              </a:graphicData>
            </a:graphic>
          </wp:inline>
        </w:drawing>
      </w:r>
    </w:p>
    <w:p w:rsidR="00557E64" w:rsidRPr="008867E8" w:rsidRDefault="00557E64" w:rsidP="00557E64">
      <w:pPr>
        <w:spacing w:after="0" w:line="240" w:lineRule="auto"/>
        <w:rPr>
          <w:rFonts w:cs="Arial"/>
          <w:b/>
          <w:sz w:val="18"/>
          <w:szCs w:val="18"/>
        </w:rPr>
      </w:pPr>
    </w:p>
    <w:p w:rsidR="00557E64" w:rsidRDefault="00557E64" w:rsidP="00557E64">
      <w:pPr>
        <w:spacing w:after="0" w:line="240" w:lineRule="auto"/>
        <w:rPr>
          <w:rFonts w:cs="Arial"/>
          <w:b/>
          <w:sz w:val="18"/>
          <w:szCs w:val="18"/>
        </w:rPr>
      </w:pPr>
      <w:r w:rsidRPr="008867E8">
        <w:rPr>
          <w:rFonts w:cs="Arial"/>
          <w:b/>
          <w:sz w:val="18"/>
          <w:szCs w:val="18"/>
        </w:rPr>
        <w:t>Requests and enquiries concerning reproduction and rights should be addressed to:</w:t>
      </w:r>
    </w:p>
    <w:p w:rsidR="00557E64" w:rsidRPr="001048EE" w:rsidRDefault="00557E64" w:rsidP="00557E64">
      <w:pPr>
        <w:spacing w:after="0" w:line="240" w:lineRule="auto"/>
        <w:rPr>
          <w:rFonts w:cs="Arial"/>
          <w:b/>
          <w:sz w:val="8"/>
          <w:szCs w:val="8"/>
        </w:rPr>
      </w:pPr>
    </w:p>
    <w:p w:rsidR="00557E64" w:rsidRPr="008867E8" w:rsidRDefault="00557E64" w:rsidP="00557E64">
      <w:pPr>
        <w:spacing w:after="0" w:line="240" w:lineRule="auto"/>
        <w:ind w:left="1134"/>
        <w:rPr>
          <w:rFonts w:cs="Arial"/>
          <w:sz w:val="18"/>
          <w:szCs w:val="18"/>
        </w:rPr>
      </w:pPr>
      <w:r w:rsidRPr="008867E8">
        <w:rPr>
          <w:rFonts w:cs="Arial"/>
          <w:sz w:val="18"/>
          <w:szCs w:val="18"/>
        </w:rPr>
        <w:t xml:space="preserve">Great Barrier Reef Marine Park Authority </w:t>
      </w:r>
    </w:p>
    <w:p w:rsidR="00557E64" w:rsidRPr="008867E8" w:rsidRDefault="00557E64" w:rsidP="00557E64">
      <w:pPr>
        <w:spacing w:after="0" w:line="240" w:lineRule="auto"/>
        <w:ind w:left="1134"/>
        <w:rPr>
          <w:rFonts w:cs="Arial"/>
          <w:sz w:val="18"/>
          <w:szCs w:val="18"/>
        </w:rPr>
      </w:pPr>
      <w:r w:rsidRPr="008867E8">
        <w:rPr>
          <w:rFonts w:cs="Arial"/>
          <w:sz w:val="18"/>
          <w:szCs w:val="18"/>
        </w:rPr>
        <w:t xml:space="preserve">2-68 Flinders Street (PO Box 1379) </w:t>
      </w:r>
    </w:p>
    <w:p w:rsidR="00557E64" w:rsidRDefault="00557E64" w:rsidP="00792E36">
      <w:pPr>
        <w:spacing w:after="0" w:line="240" w:lineRule="auto"/>
        <w:ind w:left="1134"/>
        <w:rPr>
          <w:rFonts w:cs="Arial"/>
          <w:sz w:val="18"/>
          <w:szCs w:val="18"/>
        </w:rPr>
      </w:pPr>
      <w:r w:rsidRPr="008867E8">
        <w:rPr>
          <w:rFonts w:cs="Arial"/>
          <w:sz w:val="18"/>
          <w:szCs w:val="18"/>
        </w:rPr>
        <w:t xml:space="preserve">Townsville QLD 4810, Australia </w:t>
      </w:r>
    </w:p>
    <w:p w:rsidR="00557E64" w:rsidRPr="008867E8" w:rsidRDefault="00557E64" w:rsidP="00557E64">
      <w:pPr>
        <w:spacing w:after="0" w:line="240" w:lineRule="auto"/>
        <w:ind w:left="1134"/>
        <w:rPr>
          <w:rFonts w:cs="Arial"/>
          <w:sz w:val="18"/>
          <w:szCs w:val="18"/>
        </w:rPr>
      </w:pPr>
      <w:r w:rsidRPr="008867E8">
        <w:rPr>
          <w:rFonts w:cs="Arial"/>
          <w:sz w:val="18"/>
          <w:szCs w:val="18"/>
        </w:rPr>
        <w:t xml:space="preserve">Phone: (07) 4750 0700 </w:t>
      </w:r>
    </w:p>
    <w:p w:rsidR="00557E64" w:rsidRPr="008867E8" w:rsidRDefault="00557E64" w:rsidP="00557E64">
      <w:pPr>
        <w:spacing w:after="0" w:line="240" w:lineRule="auto"/>
        <w:ind w:left="1134"/>
        <w:rPr>
          <w:rFonts w:cs="Arial"/>
          <w:sz w:val="18"/>
          <w:szCs w:val="18"/>
        </w:rPr>
      </w:pPr>
      <w:r w:rsidRPr="008867E8">
        <w:rPr>
          <w:rFonts w:cs="Arial"/>
          <w:sz w:val="18"/>
          <w:szCs w:val="18"/>
        </w:rPr>
        <w:t xml:space="preserve">Fax: (07) 4772 6093 </w:t>
      </w:r>
    </w:p>
    <w:p w:rsidR="00557E64" w:rsidRDefault="00557E64" w:rsidP="00557E64">
      <w:pPr>
        <w:spacing w:after="0" w:line="240" w:lineRule="auto"/>
        <w:ind w:left="1134"/>
        <w:rPr>
          <w:rFonts w:cs="Arial"/>
          <w:sz w:val="18"/>
          <w:szCs w:val="18"/>
        </w:rPr>
      </w:pPr>
      <w:r w:rsidRPr="008867E8">
        <w:rPr>
          <w:rFonts w:cs="Arial"/>
          <w:sz w:val="18"/>
          <w:szCs w:val="18"/>
        </w:rPr>
        <w:t xml:space="preserve">Email: </w:t>
      </w:r>
      <w:hyperlink r:id="rId15" w:history="1">
        <w:r w:rsidRPr="001139FA">
          <w:rPr>
            <w:rStyle w:val="Hyperlink"/>
            <w:rFonts w:cs="Arial"/>
            <w:sz w:val="18"/>
            <w:szCs w:val="18"/>
          </w:rPr>
          <w:t>info@gbrmpa.gov.au</w:t>
        </w:r>
      </w:hyperlink>
    </w:p>
    <w:p w:rsidR="00792E36" w:rsidRDefault="00557E64" w:rsidP="00792E36">
      <w:pPr>
        <w:spacing w:after="0" w:line="240" w:lineRule="auto"/>
        <w:ind w:left="1134"/>
        <w:rPr>
          <w:noProof/>
        </w:rPr>
      </w:pPr>
      <w:r w:rsidRPr="008867E8">
        <w:rPr>
          <w:rFonts w:cs="Arial"/>
          <w:sz w:val="18"/>
          <w:szCs w:val="18"/>
        </w:rPr>
        <w:t xml:space="preserve"> www.gbrmpa.gov.au</w:t>
      </w:r>
      <w:r>
        <w:rPr>
          <w:noProof/>
        </w:rPr>
        <w:t xml:space="preserve"> </w:t>
      </w:r>
    </w:p>
    <w:p w:rsidR="00792E36" w:rsidRDefault="00792E36" w:rsidP="00792E36">
      <w:pPr>
        <w:spacing w:after="0" w:line="240" w:lineRule="auto"/>
        <w:ind w:left="1134"/>
        <w:rPr>
          <w:noProof/>
        </w:rPr>
      </w:pPr>
    </w:p>
    <w:p w:rsidR="00792E36" w:rsidRDefault="00792E36" w:rsidP="00792E36">
      <w:pPr>
        <w:spacing w:after="0" w:line="240" w:lineRule="auto"/>
        <w:ind w:left="1134"/>
        <w:rPr>
          <w:noProof/>
        </w:rPr>
        <w:sectPr w:rsidR="00792E36" w:rsidSect="00916D65">
          <w:pgSz w:w="11907" w:h="16840" w:code="9"/>
          <w:pgMar w:top="1418" w:right="1701" w:bottom="1418" w:left="1701" w:header="680" w:footer="851" w:gutter="0"/>
          <w:pgNumType w:fmt="lowerRoman" w:start="1"/>
          <w:cols w:space="720"/>
          <w:formProt w:val="0"/>
          <w:docGrid w:linePitch="299"/>
        </w:sectPr>
      </w:pPr>
    </w:p>
    <w:p w:rsidR="00494945" w:rsidRPr="00792E36" w:rsidRDefault="00792E36" w:rsidP="00792E36">
      <w:pPr>
        <w:spacing w:after="0" w:line="240" w:lineRule="auto"/>
        <w:rPr>
          <w:b/>
          <w:noProof/>
          <w:sz w:val="24"/>
          <w:szCs w:val="24"/>
        </w:rPr>
      </w:pPr>
      <w:r>
        <w:rPr>
          <w:b/>
          <w:noProof/>
          <w:sz w:val="24"/>
          <w:szCs w:val="24"/>
        </w:rPr>
        <w:lastRenderedPageBreak/>
        <w:t>DOCUMENT HISTORY AND STATUS</w:t>
      </w:r>
    </w:p>
    <w:tbl>
      <w:tblPr>
        <w:tblW w:w="5000" w:type="pct"/>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113" w:type="dxa"/>
          <w:right w:w="113" w:type="dxa"/>
        </w:tblCellMar>
        <w:tblLook w:val="0000" w:firstRow="0" w:lastRow="0" w:firstColumn="0" w:lastColumn="0" w:noHBand="0" w:noVBand="0"/>
      </w:tblPr>
      <w:tblGrid>
        <w:gridCol w:w="979"/>
        <w:gridCol w:w="864"/>
        <w:gridCol w:w="1212"/>
        <w:gridCol w:w="1097"/>
        <w:gridCol w:w="1093"/>
        <w:gridCol w:w="992"/>
        <w:gridCol w:w="2494"/>
      </w:tblGrid>
      <w:tr w:rsidR="00494945" w:rsidTr="00C609AB">
        <w:trPr>
          <w:trHeight w:val="260"/>
        </w:trPr>
        <w:tc>
          <w:tcPr>
            <w:tcW w:w="979" w:type="dxa"/>
            <w:shd w:val="clear" w:color="000000" w:fill="auto"/>
            <w:vAlign w:val="center"/>
          </w:tcPr>
          <w:p w:rsidR="00494945" w:rsidRDefault="00494945" w:rsidP="00494945">
            <w:pPr>
              <w:pStyle w:val="DocStatusH"/>
              <w:jc w:val="center"/>
            </w:pPr>
            <w:r>
              <w:t>Revision</w:t>
            </w:r>
          </w:p>
        </w:tc>
        <w:tc>
          <w:tcPr>
            <w:tcW w:w="864" w:type="dxa"/>
            <w:shd w:val="clear" w:color="000000" w:fill="auto"/>
            <w:vAlign w:val="center"/>
          </w:tcPr>
          <w:p w:rsidR="00494945" w:rsidRDefault="00494945" w:rsidP="00494945">
            <w:pPr>
              <w:pStyle w:val="DocStatusH"/>
              <w:jc w:val="center"/>
            </w:pPr>
            <w:r>
              <w:t>Date issued</w:t>
            </w:r>
          </w:p>
        </w:tc>
        <w:tc>
          <w:tcPr>
            <w:tcW w:w="1212" w:type="dxa"/>
            <w:shd w:val="clear" w:color="000000" w:fill="auto"/>
          </w:tcPr>
          <w:p w:rsidR="00494945" w:rsidRDefault="00494945" w:rsidP="00494945">
            <w:pPr>
              <w:pStyle w:val="DocStatusH"/>
              <w:jc w:val="center"/>
            </w:pPr>
            <w:r>
              <w:t>Author(s)</w:t>
            </w:r>
          </w:p>
        </w:tc>
        <w:tc>
          <w:tcPr>
            <w:tcW w:w="1097" w:type="dxa"/>
            <w:shd w:val="clear" w:color="000000" w:fill="auto"/>
            <w:vAlign w:val="center"/>
          </w:tcPr>
          <w:p w:rsidR="00494945" w:rsidRDefault="00494945" w:rsidP="00494945">
            <w:pPr>
              <w:pStyle w:val="DocStatusH"/>
              <w:jc w:val="center"/>
            </w:pPr>
            <w:r>
              <w:t>Reviewed by</w:t>
            </w:r>
          </w:p>
        </w:tc>
        <w:tc>
          <w:tcPr>
            <w:tcW w:w="1093" w:type="dxa"/>
            <w:shd w:val="clear" w:color="000000" w:fill="auto"/>
            <w:vAlign w:val="center"/>
          </w:tcPr>
          <w:p w:rsidR="00494945" w:rsidRDefault="00494945" w:rsidP="00494945">
            <w:pPr>
              <w:pStyle w:val="DocStatusH"/>
              <w:jc w:val="center"/>
            </w:pPr>
            <w:r>
              <w:t>Approved by</w:t>
            </w:r>
          </w:p>
        </w:tc>
        <w:tc>
          <w:tcPr>
            <w:tcW w:w="992" w:type="dxa"/>
            <w:shd w:val="clear" w:color="000000" w:fill="auto"/>
            <w:vAlign w:val="center"/>
          </w:tcPr>
          <w:p w:rsidR="00494945" w:rsidRDefault="00494945" w:rsidP="00494945">
            <w:pPr>
              <w:pStyle w:val="DocStatusH"/>
              <w:jc w:val="center"/>
            </w:pPr>
            <w:r>
              <w:t>Date approved</w:t>
            </w:r>
          </w:p>
        </w:tc>
        <w:tc>
          <w:tcPr>
            <w:tcW w:w="2494" w:type="dxa"/>
            <w:shd w:val="clear" w:color="000000" w:fill="auto"/>
            <w:vAlign w:val="center"/>
          </w:tcPr>
          <w:p w:rsidR="00494945" w:rsidRDefault="00494945" w:rsidP="00494945">
            <w:pPr>
              <w:pStyle w:val="DocStatusH"/>
              <w:jc w:val="center"/>
            </w:pPr>
            <w:r>
              <w:t>Revision type</w:t>
            </w:r>
          </w:p>
        </w:tc>
      </w:tr>
      <w:tr w:rsidR="00494945" w:rsidTr="00C609AB">
        <w:tc>
          <w:tcPr>
            <w:tcW w:w="979" w:type="dxa"/>
          </w:tcPr>
          <w:p w:rsidR="00494945" w:rsidRPr="00494945" w:rsidRDefault="00494945" w:rsidP="007941E3">
            <w:pPr>
              <w:pStyle w:val="DocStatus"/>
              <w:rPr>
                <w:lang w:val="en-AU"/>
              </w:rPr>
            </w:pPr>
            <w:r w:rsidRPr="00494945">
              <w:t>Prelim</w:t>
            </w:r>
          </w:p>
        </w:tc>
        <w:tc>
          <w:tcPr>
            <w:tcW w:w="864" w:type="dxa"/>
          </w:tcPr>
          <w:p w:rsidR="00494945" w:rsidRDefault="00494945" w:rsidP="00494945">
            <w:pPr>
              <w:pStyle w:val="DocStatus"/>
            </w:pPr>
            <w:r>
              <w:t>22/10/12</w:t>
            </w:r>
          </w:p>
        </w:tc>
        <w:tc>
          <w:tcPr>
            <w:tcW w:w="1212" w:type="dxa"/>
          </w:tcPr>
          <w:p w:rsidR="00494945" w:rsidRDefault="00494945" w:rsidP="00494945">
            <w:pPr>
              <w:pStyle w:val="DocStatus"/>
            </w:pPr>
            <w:r>
              <w:t>Dr S Zigic</w:t>
            </w:r>
            <w:r>
              <w:br/>
              <w:t>Dr R Dunn</w:t>
            </w:r>
          </w:p>
        </w:tc>
        <w:tc>
          <w:tcPr>
            <w:tcW w:w="1097" w:type="dxa"/>
          </w:tcPr>
          <w:p w:rsidR="00494945" w:rsidRDefault="00494945" w:rsidP="00494945">
            <w:pPr>
              <w:pStyle w:val="DocStatus"/>
            </w:pPr>
            <w:r>
              <w:t>Dr S Zigic</w:t>
            </w:r>
            <w:r>
              <w:br/>
              <w:t>S Langtry</w:t>
            </w:r>
          </w:p>
        </w:tc>
        <w:tc>
          <w:tcPr>
            <w:tcW w:w="1093" w:type="dxa"/>
          </w:tcPr>
          <w:p w:rsidR="00494945" w:rsidRDefault="00494945" w:rsidP="00494945">
            <w:pPr>
              <w:pStyle w:val="DocStatus"/>
            </w:pPr>
            <w:r>
              <w:t>Dr S Zigic</w:t>
            </w:r>
          </w:p>
        </w:tc>
        <w:tc>
          <w:tcPr>
            <w:tcW w:w="992" w:type="dxa"/>
          </w:tcPr>
          <w:p w:rsidR="00494945" w:rsidRDefault="00494945" w:rsidP="00494945">
            <w:pPr>
              <w:pStyle w:val="DocStatus"/>
            </w:pPr>
            <w:r>
              <w:t>22/10/12</w:t>
            </w:r>
          </w:p>
        </w:tc>
        <w:tc>
          <w:tcPr>
            <w:tcW w:w="2494" w:type="dxa"/>
          </w:tcPr>
          <w:p w:rsidR="00494945" w:rsidRDefault="007941E3" w:rsidP="00494945">
            <w:pPr>
              <w:pStyle w:val="DocStatus"/>
            </w:pPr>
            <w:r>
              <w:t>Preliminary draft for SKM review</w:t>
            </w:r>
          </w:p>
        </w:tc>
      </w:tr>
      <w:tr w:rsidR="00494945" w:rsidTr="00C609AB">
        <w:tc>
          <w:tcPr>
            <w:tcW w:w="979" w:type="dxa"/>
          </w:tcPr>
          <w:p w:rsidR="00494945" w:rsidRDefault="007941E3" w:rsidP="00494945">
            <w:pPr>
              <w:pStyle w:val="DocStatus"/>
            </w:pPr>
            <w:r>
              <w:t>0</w:t>
            </w:r>
          </w:p>
        </w:tc>
        <w:tc>
          <w:tcPr>
            <w:tcW w:w="864" w:type="dxa"/>
          </w:tcPr>
          <w:p w:rsidR="00494945" w:rsidRDefault="007941E3" w:rsidP="00494945">
            <w:pPr>
              <w:pStyle w:val="DocStatus"/>
            </w:pPr>
            <w:r>
              <w:t>22/10/12</w:t>
            </w:r>
          </w:p>
        </w:tc>
        <w:tc>
          <w:tcPr>
            <w:tcW w:w="1212" w:type="dxa"/>
          </w:tcPr>
          <w:p w:rsidR="00494945" w:rsidRDefault="007941E3" w:rsidP="00494945">
            <w:pPr>
              <w:pStyle w:val="DocStatus"/>
            </w:pPr>
            <w:r>
              <w:t>Dr S Zigic</w:t>
            </w:r>
            <w:r>
              <w:br/>
              <w:t>Dr R Dunn</w:t>
            </w:r>
          </w:p>
        </w:tc>
        <w:tc>
          <w:tcPr>
            <w:tcW w:w="1097" w:type="dxa"/>
          </w:tcPr>
          <w:p w:rsidR="00494945" w:rsidRDefault="007941E3" w:rsidP="00494945">
            <w:pPr>
              <w:pStyle w:val="DocStatus"/>
            </w:pPr>
            <w:r>
              <w:t>Dr M Huber</w:t>
            </w:r>
          </w:p>
        </w:tc>
        <w:tc>
          <w:tcPr>
            <w:tcW w:w="1093" w:type="dxa"/>
          </w:tcPr>
          <w:p w:rsidR="00494945" w:rsidRDefault="007941E3" w:rsidP="00494945">
            <w:pPr>
              <w:pStyle w:val="DocStatus"/>
            </w:pPr>
            <w:r>
              <w:t>Dr M Huber</w:t>
            </w:r>
          </w:p>
        </w:tc>
        <w:tc>
          <w:tcPr>
            <w:tcW w:w="992" w:type="dxa"/>
          </w:tcPr>
          <w:p w:rsidR="00494945" w:rsidRDefault="007941E3" w:rsidP="00494945">
            <w:pPr>
              <w:pStyle w:val="DocStatus"/>
            </w:pPr>
            <w:r>
              <w:t>22/10/12</w:t>
            </w:r>
          </w:p>
        </w:tc>
        <w:tc>
          <w:tcPr>
            <w:tcW w:w="2494" w:type="dxa"/>
          </w:tcPr>
          <w:p w:rsidR="00494945" w:rsidRDefault="007941E3" w:rsidP="00494945">
            <w:pPr>
              <w:pStyle w:val="DocStatus"/>
            </w:pPr>
            <w:r>
              <w:t>Issued to client for review</w:t>
            </w:r>
          </w:p>
        </w:tc>
      </w:tr>
      <w:tr w:rsidR="00494945" w:rsidTr="00C609AB">
        <w:tc>
          <w:tcPr>
            <w:tcW w:w="979" w:type="dxa"/>
          </w:tcPr>
          <w:p w:rsidR="00494945" w:rsidRDefault="008223F3" w:rsidP="00494945">
            <w:pPr>
              <w:pStyle w:val="DocStatus"/>
            </w:pPr>
            <w:r>
              <w:t>1</w:t>
            </w:r>
          </w:p>
        </w:tc>
        <w:tc>
          <w:tcPr>
            <w:tcW w:w="864" w:type="dxa"/>
          </w:tcPr>
          <w:p w:rsidR="00494945" w:rsidRDefault="008223F3" w:rsidP="00494945">
            <w:pPr>
              <w:pStyle w:val="DocStatus"/>
            </w:pPr>
            <w:r>
              <w:t>12/11/12</w:t>
            </w:r>
          </w:p>
        </w:tc>
        <w:tc>
          <w:tcPr>
            <w:tcW w:w="1212" w:type="dxa"/>
          </w:tcPr>
          <w:p w:rsidR="00494945" w:rsidRDefault="008223F3" w:rsidP="00494945">
            <w:pPr>
              <w:pStyle w:val="DocStatus"/>
            </w:pPr>
            <w:r>
              <w:t>Dr S Zigic</w:t>
            </w:r>
            <w:r>
              <w:br/>
              <w:t>Dr R Dunn</w:t>
            </w:r>
          </w:p>
        </w:tc>
        <w:tc>
          <w:tcPr>
            <w:tcW w:w="1097" w:type="dxa"/>
          </w:tcPr>
          <w:p w:rsidR="00494945" w:rsidRDefault="008223F3" w:rsidP="00494945">
            <w:pPr>
              <w:pStyle w:val="DocStatus"/>
            </w:pPr>
            <w:r>
              <w:t>M. Yeates</w:t>
            </w:r>
          </w:p>
        </w:tc>
        <w:tc>
          <w:tcPr>
            <w:tcW w:w="1093" w:type="dxa"/>
          </w:tcPr>
          <w:p w:rsidR="00494945" w:rsidRDefault="008223F3" w:rsidP="00494945">
            <w:pPr>
              <w:pStyle w:val="DocStatus"/>
            </w:pPr>
            <w:r>
              <w:t>Dr M Huber</w:t>
            </w:r>
          </w:p>
        </w:tc>
        <w:tc>
          <w:tcPr>
            <w:tcW w:w="992" w:type="dxa"/>
          </w:tcPr>
          <w:p w:rsidR="00494945" w:rsidRDefault="008223F3" w:rsidP="00494945">
            <w:pPr>
              <w:pStyle w:val="DocStatus"/>
            </w:pPr>
            <w:r>
              <w:t>12/11/12</w:t>
            </w:r>
          </w:p>
        </w:tc>
        <w:tc>
          <w:tcPr>
            <w:tcW w:w="2494" w:type="dxa"/>
          </w:tcPr>
          <w:p w:rsidR="00494945" w:rsidRDefault="008223F3" w:rsidP="00494945">
            <w:pPr>
              <w:pStyle w:val="DocStatus"/>
            </w:pPr>
            <w:r>
              <w:t>Final</w:t>
            </w:r>
          </w:p>
        </w:tc>
      </w:tr>
      <w:tr w:rsidR="00494945" w:rsidTr="00C609AB">
        <w:tc>
          <w:tcPr>
            <w:tcW w:w="979" w:type="dxa"/>
          </w:tcPr>
          <w:p w:rsidR="00494945" w:rsidRDefault="005531F5" w:rsidP="00494945">
            <w:pPr>
              <w:pStyle w:val="DocStatus"/>
            </w:pPr>
            <w:r>
              <w:t>1.1</w:t>
            </w:r>
          </w:p>
        </w:tc>
        <w:tc>
          <w:tcPr>
            <w:tcW w:w="864" w:type="dxa"/>
          </w:tcPr>
          <w:p w:rsidR="00494945" w:rsidRDefault="00C8218F" w:rsidP="00494945">
            <w:pPr>
              <w:pStyle w:val="DocStatus"/>
            </w:pPr>
            <w:r>
              <w:t>2</w:t>
            </w:r>
            <w:r w:rsidR="00BF07E9">
              <w:t>8</w:t>
            </w:r>
            <w:r w:rsidR="005531F5">
              <w:t>/06/13</w:t>
            </w:r>
          </w:p>
        </w:tc>
        <w:tc>
          <w:tcPr>
            <w:tcW w:w="1212" w:type="dxa"/>
          </w:tcPr>
          <w:p w:rsidR="00494945" w:rsidRDefault="005531F5" w:rsidP="00494945">
            <w:pPr>
              <w:pStyle w:val="DocStatus"/>
            </w:pPr>
            <w:r>
              <w:t>Dr S Zigic</w:t>
            </w:r>
            <w:r>
              <w:br/>
              <w:t>Dr R Dunn</w:t>
            </w:r>
          </w:p>
        </w:tc>
        <w:tc>
          <w:tcPr>
            <w:tcW w:w="1097" w:type="dxa"/>
          </w:tcPr>
          <w:p w:rsidR="00494945" w:rsidRDefault="005531F5" w:rsidP="00946F03">
            <w:pPr>
              <w:pStyle w:val="DocStatus"/>
            </w:pPr>
            <w:r>
              <w:t>M.</w:t>
            </w:r>
            <w:r w:rsidR="00946F03">
              <w:t xml:space="preserve"> Yeates</w:t>
            </w:r>
          </w:p>
        </w:tc>
        <w:tc>
          <w:tcPr>
            <w:tcW w:w="1093" w:type="dxa"/>
          </w:tcPr>
          <w:p w:rsidR="00494945" w:rsidRDefault="00155DDE" w:rsidP="00494945">
            <w:pPr>
              <w:pStyle w:val="DocStatus"/>
            </w:pPr>
            <w:r>
              <w:t>M Yeates</w:t>
            </w:r>
          </w:p>
        </w:tc>
        <w:tc>
          <w:tcPr>
            <w:tcW w:w="992" w:type="dxa"/>
          </w:tcPr>
          <w:p w:rsidR="00494945" w:rsidRDefault="00C8218F" w:rsidP="00BF07E9">
            <w:pPr>
              <w:pStyle w:val="DocStatus"/>
            </w:pPr>
            <w:r>
              <w:t>2</w:t>
            </w:r>
            <w:r w:rsidR="00BF07E9">
              <w:t>8</w:t>
            </w:r>
            <w:r w:rsidR="005531F5">
              <w:t>/06/13</w:t>
            </w:r>
          </w:p>
        </w:tc>
        <w:tc>
          <w:tcPr>
            <w:tcW w:w="2494" w:type="dxa"/>
          </w:tcPr>
          <w:p w:rsidR="00494945" w:rsidRDefault="005531F5" w:rsidP="00494945">
            <w:pPr>
              <w:pStyle w:val="DocStatus"/>
            </w:pPr>
            <w:r>
              <w:t>Revised final</w:t>
            </w:r>
          </w:p>
        </w:tc>
      </w:tr>
      <w:tr w:rsidR="002D314E" w:rsidTr="00C609AB">
        <w:tc>
          <w:tcPr>
            <w:tcW w:w="979" w:type="dxa"/>
          </w:tcPr>
          <w:p w:rsidR="002D314E" w:rsidRDefault="002D314E" w:rsidP="00494945">
            <w:pPr>
              <w:pStyle w:val="DocStatus"/>
            </w:pPr>
            <w:r>
              <w:t>1.1</w:t>
            </w:r>
          </w:p>
        </w:tc>
        <w:tc>
          <w:tcPr>
            <w:tcW w:w="864" w:type="dxa"/>
          </w:tcPr>
          <w:p w:rsidR="002D314E" w:rsidRDefault="002D314E" w:rsidP="00494945">
            <w:pPr>
              <w:pStyle w:val="DocStatus"/>
            </w:pPr>
            <w:r>
              <w:t>03/07/11</w:t>
            </w:r>
          </w:p>
        </w:tc>
        <w:tc>
          <w:tcPr>
            <w:tcW w:w="1212" w:type="dxa"/>
          </w:tcPr>
          <w:p w:rsidR="002D314E" w:rsidRDefault="002D314E" w:rsidP="002D314E">
            <w:pPr>
              <w:pStyle w:val="DocStatus"/>
            </w:pPr>
            <w:r>
              <w:t>Dr S Zigic</w:t>
            </w:r>
            <w:r>
              <w:br/>
              <w:t>Dr R Dunn</w:t>
            </w:r>
          </w:p>
        </w:tc>
        <w:tc>
          <w:tcPr>
            <w:tcW w:w="1097" w:type="dxa"/>
          </w:tcPr>
          <w:p w:rsidR="002D314E" w:rsidRDefault="002D314E" w:rsidP="00946F03">
            <w:pPr>
              <w:pStyle w:val="DocStatus"/>
            </w:pPr>
            <w:r>
              <w:t>M.</w:t>
            </w:r>
            <w:r w:rsidR="00946F03">
              <w:t xml:space="preserve"> Yeates</w:t>
            </w:r>
          </w:p>
        </w:tc>
        <w:tc>
          <w:tcPr>
            <w:tcW w:w="1093" w:type="dxa"/>
          </w:tcPr>
          <w:p w:rsidR="002D314E" w:rsidRDefault="002D314E" w:rsidP="002D314E">
            <w:pPr>
              <w:pStyle w:val="DocStatus"/>
            </w:pPr>
            <w:r>
              <w:t>M Yeates</w:t>
            </w:r>
          </w:p>
        </w:tc>
        <w:tc>
          <w:tcPr>
            <w:tcW w:w="992" w:type="dxa"/>
          </w:tcPr>
          <w:p w:rsidR="002D314E" w:rsidRDefault="002D314E" w:rsidP="002D314E">
            <w:pPr>
              <w:pStyle w:val="DocStatus"/>
            </w:pPr>
            <w:r>
              <w:t>03/07/13</w:t>
            </w:r>
          </w:p>
        </w:tc>
        <w:tc>
          <w:tcPr>
            <w:tcW w:w="2494" w:type="dxa"/>
          </w:tcPr>
          <w:p w:rsidR="002D314E" w:rsidRDefault="002D314E" w:rsidP="002D314E">
            <w:pPr>
              <w:pStyle w:val="DocStatus"/>
            </w:pPr>
            <w:r>
              <w:t>Revised final</w:t>
            </w:r>
          </w:p>
        </w:tc>
      </w:tr>
      <w:tr w:rsidR="00C609AB" w:rsidTr="00C609AB">
        <w:tc>
          <w:tcPr>
            <w:tcW w:w="979" w:type="dxa"/>
          </w:tcPr>
          <w:p w:rsidR="00C609AB" w:rsidRDefault="00C609AB" w:rsidP="00494945">
            <w:pPr>
              <w:pStyle w:val="DocStatus"/>
            </w:pPr>
            <w:r>
              <w:t>1.2</w:t>
            </w:r>
          </w:p>
        </w:tc>
        <w:tc>
          <w:tcPr>
            <w:tcW w:w="864" w:type="dxa"/>
          </w:tcPr>
          <w:p w:rsidR="00C609AB" w:rsidRDefault="00946F03" w:rsidP="00494945">
            <w:pPr>
              <w:pStyle w:val="DocStatus"/>
            </w:pPr>
            <w:r>
              <w:t>10</w:t>
            </w:r>
            <w:r w:rsidR="00C609AB">
              <w:t>/07/13</w:t>
            </w:r>
          </w:p>
        </w:tc>
        <w:tc>
          <w:tcPr>
            <w:tcW w:w="1212" w:type="dxa"/>
          </w:tcPr>
          <w:p w:rsidR="00C609AB" w:rsidRDefault="00C609AB" w:rsidP="004D2A47">
            <w:pPr>
              <w:pStyle w:val="DocStatus"/>
            </w:pPr>
            <w:r>
              <w:t>Dr S Zigic</w:t>
            </w:r>
            <w:r>
              <w:br/>
              <w:t>Dr R Dunn</w:t>
            </w:r>
          </w:p>
        </w:tc>
        <w:tc>
          <w:tcPr>
            <w:tcW w:w="1097" w:type="dxa"/>
          </w:tcPr>
          <w:p w:rsidR="00C609AB" w:rsidRDefault="00C609AB" w:rsidP="00946F03">
            <w:pPr>
              <w:pStyle w:val="DocStatus"/>
            </w:pPr>
            <w:r>
              <w:t>M.</w:t>
            </w:r>
            <w:r w:rsidR="00946F03">
              <w:t xml:space="preserve"> Yeates</w:t>
            </w:r>
          </w:p>
        </w:tc>
        <w:tc>
          <w:tcPr>
            <w:tcW w:w="1093" w:type="dxa"/>
          </w:tcPr>
          <w:p w:rsidR="00C609AB" w:rsidRDefault="00C609AB" w:rsidP="004D2A47">
            <w:pPr>
              <w:pStyle w:val="DocStatus"/>
            </w:pPr>
            <w:r>
              <w:t>M Yeates</w:t>
            </w:r>
          </w:p>
        </w:tc>
        <w:tc>
          <w:tcPr>
            <w:tcW w:w="992" w:type="dxa"/>
          </w:tcPr>
          <w:p w:rsidR="00C609AB" w:rsidRDefault="00946F03" w:rsidP="00C609AB">
            <w:pPr>
              <w:pStyle w:val="DocStatus"/>
            </w:pPr>
            <w:r>
              <w:t>10</w:t>
            </w:r>
            <w:r w:rsidR="00C609AB">
              <w:t>/07/13</w:t>
            </w:r>
          </w:p>
        </w:tc>
        <w:tc>
          <w:tcPr>
            <w:tcW w:w="2494" w:type="dxa"/>
          </w:tcPr>
          <w:p w:rsidR="00C609AB" w:rsidRDefault="00C609AB" w:rsidP="004D2A47">
            <w:pPr>
              <w:pStyle w:val="DocStatus"/>
            </w:pPr>
            <w:r>
              <w:t>Revised final</w:t>
            </w:r>
          </w:p>
        </w:tc>
      </w:tr>
      <w:tr w:rsidR="00C609AB" w:rsidTr="00C609AB">
        <w:tc>
          <w:tcPr>
            <w:tcW w:w="979" w:type="dxa"/>
          </w:tcPr>
          <w:p w:rsidR="00C609AB" w:rsidRDefault="00C609AB" w:rsidP="00494945">
            <w:pPr>
              <w:pStyle w:val="DocStatus"/>
            </w:pPr>
          </w:p>
        </w:tc>
        <w:tc>
          <w:tcPr>
            <w:tcW w:w="864" w:type="dxa"/>
          </w:tcPr>
          <w:p w:rsidR="00C609AB" w:rsidRDefault="00C609AB" w:rsidP="00494945">
            <w:pPr>
              <w:pStyle w:val="DocStatus"/>
            </w:pPr>
          </w:p>
        </w:tc>
        <w:tc>
          <w:tcPr>
            <w:tcW w:w="1212" w:type="dxa"/>
          </w:tcPr>
          <w:p w:rsidR="00C609AB" w:rsidRDefault="00C609AB" w:rsidP="00494945">
            <w:pPr>
              <w:pStyle w:val="DocStatus"/>
            </w:pPr>
          </w:p>
        </w:tc>
        <w:tc>
          <w:tcPr>
            <w:tcW w:w="1097" w:type="dxa"/>
          </w:tcPr>
          <w:p w:rsidR="00C609AB" w:rsidRDefault="00C609AB" w:rsidP="00494945">
            <w:pPr>
              <w:pStyle w:val="DocStatus"/>
            </w:pPr>
          </w:p>
        </w:tc>
        <w:tc>
          <w:tcPr>
            <w:tcW w:w="1093" w:type="dxa"/>
          </w:tcPr>
          <w:p w:rsidR="00C609AB" w:rsidRDefault="00C609AB" w:rsidP="00494945">
            <w:pPr>
              <w:pStyle w:val="DocStatus"/>
            </w:pPr>
          </w:p>
        </w:tc>
        <w:tc>
          <w:tcPr>
            <w:tcW w:w="992" w:type="dxa"/>
          </w:tcPr>
          <w:p w:rsidR="00C609AB" w:rsidRDefault="00C609AB" w:rsidP="00494945">
            <w:pPr>
              <w:pStyle w:val="DocStatus"/>
            </w:pPr>
          </w:p>
        </w:tc>
        <w:tc>
          <w:tcPr>
            <w:tcW w:w="2494" w:type="dxa"/>
          </w:tcPr>
          <w:p w:rsidR="00C609AB" w:rsidRDefault="00C609AB" w:rsidP="00494945">
            <w:pPr>
              <w:pStyle w:val="DocStatus"/>
            </w:pPr>
          </w:p>
        </w:tc>
      </w:tr>
      <w:tr w:rsidR="00C609AB" w:rsidTr="00C609AB">
        <w:tc>
          <w:tcPr>
            <w:tcW w:w="979" w:type="dxa"/>
          </w:tcPr>
          <w:p w:rsidR="00C609AB" w:rsidRDefault="00C609AB" w:rsidP="00494945">
            <w:pPr>
              <w:pStyle w:val="DocStatus"/>
            </w:pPr>
          </w:p>
        </w:tc>
        <w:tc>
          <w:tcPr>
            <w:tcW w:w="864" w:type="dxa"/>
          </w:tcPr>
          <w:p w:rsidR="00C609AB" w:rsidRDefault="00C609AB" w:rsidP="00494945">
            <w:pPr>
              <w:pStyle w:val="DocStatus"/>
            </w:pPr>
          </w:p>
        </w:tc>
        <w:tc>
          <w:tcPr>
            <w:tcW w:w="1212" w:type="dxa"/>
          </w:tcPr>
          <w:p w:rsidR="00C609AB" w:rsidRDefault="00C609AB" w:rsidP="00494945">
            <w:pPr>
              <w:pStyle w:val="DocStatus"/>
            </w:pPr>
          </w:p>
        </w:tc>
        <w:tc>
          <w:tcPr>
            <w:tcW w:w="1097" w:type="dxa"/>
          </w:tcPr>
          <w:p w:rsidR="00C609AB" w:rsidRDefault="00C609AB" w:rsidP="00494945">
            <w:pPr>
              <w:pStyle w:val="DocStatus"/>
            </w:pPr>
          </w:p>
        </w:tc>
        <w:tc>
          <w:tcPr>
            <w:tcW w:w="1093" w:type="dxa"/>
          </w:tcPr>
          <w:p w:rsidR="00C609AB" w:rsidRDefault="00C609AB" w:rsidP="00494945">
            <w:pPr>
              <w:pStyle w:val="DocStatus"/>
            </w:pPr>
          </w:p>
        </w:tc>
        <w:tc>
          <w:tcPr>
            <w:tcW w:w="992" w:type="dxa"/>
          </w:tcPr>
          <w:p w:rsidR="00C609AB" w:rsidRDefault="00C609AB" w:rsidP="00494945">
            <w:pPr>
              <w:pStyle w:val="DocStatus"/>
            </w:pPr>
          </w:p>
        </w:tc>
        <w:tc>
          <w:tcPr>
            <w:tcW w:w="2494" w:type="dxa"/>
          </w:tcPr>
          <w:p w:rsidR="00C609AB" w:rsidRDefault="00C609AB" w:rsidP="00494945">
            <w:pPr>
              <w:pStyle w:val="DocStatus"/>
            </w:pPr>
          </w:p>
        </w:tc>
      </w:tr>
      <w:tr w:rsidR="00C609AB" w:rsidTr="00C609AB">
        <w:tc>
          <w:tcPr>
            <w:tcW w:w="979" w:type="dxa"/>
          </w:tcPr>
          <w:p w:rsidR="00C609AB" w:rsidRDefault="00C609AB" w:rsidP="00494945">
            <w:pPr>
              <w:pStyle w:val="DocStatus"/>
            </w:pPr>
          </w:p>
        </w:tc>
        <w:tc>
          <w:tcPr>
            <w:tcW w:w="864" w:type="dxa"/>
          </w:tcPr>
          <w:p w:rsidR="00C609AB" w:rsidRDefault="00C609AB" w:rsidP="00494945">
            <w:pPr>
              <w:pStyle w:val="DocStatus"/>
            </w:pPr>
          </w:p>
        </w:tc>
        <w:tc>
          <w:tcPr>
            <w:tcW w:w="1212" w:type="dxa"/>
          </w:tcPr>
          <w:p w:rsidR="00C609AB" w:rsidRDefault="00C609AB" w:rsidP="00494945">
            <w:pPr>
              <w:pStyle w:val="DocStatus"/>
            </w:pPr>
          </w:p>
        </w:tc>
        <w:tc>
          <w:tcPr>
            <w:tcW w:w="1097" w:type="dxa"/>
          </w:tcPr>
          <w:p w:rsidR="00C609AB" w:rsidRDefault="00C609AB" w:rsidP="00494945">
            <w:pPr>
              <w:pStyle w:val="DocStatus"/>
            </w:pPr>
          </w:p>
        </w:tc>
        <w:tc>
          <w:tcPr>
            <w:tcW w:w="1093" w:type="dxa"/>
          </w:tcPr>
          <w:p w:rsidR="00C609AB" w:rsidRDefault="00C609AB" w:rsidP="00494945">
            <w:pPr>
              <w:pStyle w:val="DocStatus"/>
            </w:pPr>
          </w:p>
        </w:tc>
        <w:tc>
          <w:tcPr>
            <w:tcW w:w="992" w:type="dxa"/>
          </w:tcPr>
          <w:p w:rsidR="00C609AB" w:rsidRDefault="00C609AB" w:rsidP="00494945">
            <w:pPr>
              <w:pStyle w:val="DocStatus"/>
            </w:pPr>
          </w:p>
        </w:tc>
        <w:tc>
          <w:tcPr>
            <w:tcW w:w="2494" w:type="dxa"/>
          </w:tcPr>
          <w:p w:rsidR="00C609AB" w:rsidRDefault="00C609AB" w:rsidP="00494945">
            <w:pPr>
              <w:pStyle w:val="DocStatus"/>
            </w:pPr>
          </w:p>
        </w:tc>
      </w:tr>
    </w:tbl>
    <w:p w:rsidR="004C5A33" w:rsidRPr="007D6EB4" w:rsidRDefault="004C5A33" w:rsidP="00617543">
      <w:pPr>
        <w:pStyle w:val="Para0"/>
        <w:rPr>
          <w:lang w:val="en-AU"/>
        </w:rPr>
        <w:sectPr w:rsidR="004C5A33" w:rsidRPr="007D6EB4" w:rsidSect="00916D65">
          <w:pgSz w:w="11907" w:h="16840" w:code="9"/>
          <w:pgMar w:top="1418" w:right="1701" w:bottom="1418" w:left="1701" w:header="680" w:footer="851" w:gutter="0"/>
          <w:pgNumType w:fmt="lowerRoman" w:start="1"/>
          <w:cols w:space="720"/>
          <w:formProt w:val="0"/>
          <w:docGrid w:linePitch="299"/>
        </w:sectPr>
      </w:pPr>
    </w:p>
    <w:p w:rsidR="000727DA" w:rsidRPr="007D6EB4" w:rsidRDefault="000727DA" w:rsidP="00E46224">
      <w:pPr>
        <w:pStyle w:val="Head1manual"/>
        <w:outlineLvl w:val="0"/>
        <w:rPr>
          <w:lang w:val="en-AU"/>
        </w:rPr>
      </w:pPr>
      <w:r w:rsidRPr="007D6EB4">
        <w:rPr>
          <w:lang w:val="en-AU"/>
        </w:rPr>
        <w:lastRenderedPageBreak/>
        <w:t>Contents</w:t>
      </w:r>
    </w:p>
    <w:p w:rsidR="00AC5D71" w:rsidRDefault="005F6FF5">
      <w:pPr>
        <w:pStyle w:val="TOC1"/>
        <w:rPr>
          <w:rFonts w:asciiTheme="minorHAnsi" w:eastAsiaTheme="minorEastAsia" w:hAnsiTheme="minorHAnsi" w:cstheme="minorBidi"/>
          <w:b w:val="0"/>
          <w:caps w:val="0"/>
          <w:color w:val="auto"/>
          <w:sz w:val="22"/>
          <w:szCs w:val="22"/>
          <w:lang w:val="en-AU" w:eastAsia="en-AU"/>
        </w:rPr>
      </w:pPr>
      <w:r w:rsidRPr="007D6EB4">
        <w:rPr>
          <w:b w:val="0"/>
          <w:sz w:val="22"/>
          <w:lang w:val="en-AU"/>
        </w:rPr>
        <w:fldChar w:fldCharType="begin"/>
      </w:r>
      <w:r w:rsidR="00FC2C3F" w:rsidRPr="007D6EB4">
        <w:rPr>
          <w:b w:val="0"/>
          <w:lang w:val="en-AU"/>
        </w:rPr>
        <w:instrText xml:space="preserve"> TOC \o "1-3" \t "Summary heading,1" </w:instrText>
      </w:r>
      <w:r w:rsidRPr="007D6EB4">
        <w:rPr>
          <w:b w:val="0"/>
          <w:sz w:val="22"/>
          <w:lang w:val="en-AU"/>
        </w:rPr>
        <w:fldChar w:fldCharType="separate"/>
      </w:r>
      <w:r w:rsidR="00AC5D71">
        <w:t>Acronyms</w:t>
      </w:r>
      <w:r w:rsidR="00AC5D71">
        <w:tab/>
      </w:r>
      <w:r w:rsidR="00AC5D71">
        <w:fldChar w:fldCharType="begin"/>
      </w:r>
      <w:r w:rsidR="00AC5D71">
        <w:instrText xml:space="preserve"> PAGEREF _Toc361929973 \h </w:instrText>
      </w:r>
      <w:r w:rsidR="00AC5D71">
        <w:fldChar w:fldCharType="separate"/>
      </w:r>
      <w:r w:rsidR="00751BC4">
        <w:t>ix</w:t>
      </w:r>
      <w:r w:rsidR="00AC5D71">
        <w:fldChar w:fldCharType="end"/>
      </w:r>
    </w:p>
    <w:p w:rsidR="00AC5D71" w:rsidRDefault="00AC5D71">
      <w:pPr>
        <w:pStyle w:val="TOC1"/>
        <w:rPr>
          <w:rFonts w:asciiTheme="minorHAnsi" w:eastAsiaTheme="minorEastAsia" w:hAnsiTheme="minorHAnsi" w:cstheme="minorBidi"/>
          <w:b w:val="0"/>
          <w:caps w:val="0"/>
          <w:color w:val="auto"/>
          <w:sz w:val="22"/>
          <w:szCs w:val="22"/>
          <w:lang w:val="en-AU" w:eastAsia="en-AU"/>
        </w:rPr>
      </w:pPr>
      <w:r>
        <w:t>glossary</w:t>
      </w:r>
      <w:r>
        <w:tab/>
      </w:r>
      <w:r>
        <w:fldChar w:fldCharType="begin"/>
      </w:r>
      <w:r>
        <w:instrText xml:space="preserve"> PAGEREF _Toc361929974 \h </w:instrText>
      </w:r>
      <w:r>
        <w:fldChar w:fldCharType="separate"/>
      </w:r>
      <w:r w:rsidR="00751BC4">
        <w:t>x</w:t>
      </w:r>
      <w:r>
        <w:fldChar w:fldCharType="end"/>
      </w:r>
    </w:p>
    <w:p w:rsidR="00AC5D71" w:rsidRDefault="00AC5D71">
      <w:pPr>
        <w:pStyle w:val="TOC1"/>
        <w:rPr>
          <w:rFonts w:asciiTheme="minorHAnsi" w:eastAsiaTheme="minorEastAsia" w:hAnsiTheme="minorHAnsi" w:cstheme="minorBidi"/>
          <w:b w:val="0"/>
          <w:caps w:val="0"/>
          <w:color w:val="auto"/>
          <w:sz w:val="22"/>
          <w:szCs w:val="22"/>
          <w:lang w:val="en-AU" w:eastAsia="en-AU"/>
        </w:rPr>
      </w:pPr>
      <w:r>
        <w:t>Acknowledgments</w:t>
      </w:r>
      <w:r>
        <w:tab/>
      </w:r>
      <w:r>
        <w:fldChar w:fldCharType="begin"/>
      </w:r>
      <w:r>
        <w:instrText xml:space="preserve"> PAGEREF _Toc361929975 \h </w:instrText>
      </w:r>
      <w:r>
        <w:fldChar w:fldCharType="separate"/>
      </w:r>
      <w:r w:rsidR="00751BC4">
        <w:t>xiii</w:t>
      </w:r>
      <w:r>
        <w:fldChar w:fldCharType="end"/>
      </w:r>
    </w:p>
    <w:p w:rsidR="00AC5D71" w:rsidRDefault="00AC5D71">
      <w:pPr>
        <w:pStyle w:val="TOC1"/>
        <w:rPr>
          <w:rFonts w:asciiTheme="minorHAnsi" w:eastAsiaTheme="minorEastAsia" w:hAnsiTheme="minorHAnsi" w:cstheme="minorBidi"/>
          <w:b w:val="0"/>
          <w:caps w:val="0"/>
          <w:color w:val="auto"/>
          <w:sz w:val="22"/>
          <w:szCs w:val="22"/>
          <w:lang w:val="en-AU" w:eastAsia="en-AU"/>
        </w:rPr>
      </w:pPr>
      <w:r>
        <w:t>RELIANCE STATEMENT</w:t>
      </w:r>
      <w:r>
        <w:tab/>
      </w:r>
      <w:r>
        <w:fldChar w:fldCharType="begin"/>
      </w:r>
      <w:r>
        <w:instrText xml:space="preserve"> PAGEREF _Toc361929976 \h </w:instrText>
      </w:r>
      <w:r>
        <w:fldChar w:fldCharType="separate"/>
      </w:r>
      <w:r w:rsidR="00751BC4">
        <w:t>1</w:t>
      </w:r>
      <w:r>
        <w:fldChar w:fldCharType="end"/>
      </w:r>
    </w:p>
    <w:p w:rsidR="00AC5D71" w:rsidRDefault="00AC5D71">
      <w:pPr>
        <w:pStyle w:val="TOC1"/>
        <w:rPr>
          <w:rFonts w:asciiTheme="minorHAnsi" w:eastAsiaTheme="minorEastAsia" w:hAnsiTheme="minorHAnsi" w:cstheme="minorBidi"/>
          <w:b w:val="0"/>
          <w:caps w:val="0"/>
          <w:color w:val="auto"/>
          <w:sz w:val="22"/>
          <w:szCs w:val="22"/>
          <w:lang w:val="en-AU" w:eastAsia="en-AU"/>
        </w:rPr>
      </w:pPr>
      <w:r w:rsidRPr="002137EF">
        <w:rPr>
          <w:lang w:val="en-AU"/>
        </w:rPr>
        <w:t>Summary</w:t>
      </w:r>
      <w:r>
        <w:tab/>
      </w:r>
      <w:r>
        <w:fldChar w:fldCharType="begin"/>
      </w:r>
      <w:r>
        <w:instrText xml:space="preserve"> PAGEREF _Toc361929977 \h </w:instrText>
      </w:r>
      <w:r>
        <w:fldChar w:fldCharType="separate"/>
      </w:r>
      <w:r w:rsidR="00751BC4">
        <w:t>2</w:t>
      </w:r>
      <w:r>
        <w:fldChar w:fldCharType="end"/>
      </w:r>
    </w:p>
    <w:p w:rsidR="00AC5D71" w:rsidRDefault="00AC5D71">
      <w:pPr>
        <w:pStyle w:val="TOC1"/>
        <w:rPr>
          <w:rFonts w:asciiTheme="minorHAnsi" w:eastAsiaTheme="minorEastAsia" w:hAnsiTheme="minorHAnsi" w:cstheme="minorBidi"/>
          <w:b w:val="0"/>
          <w:caps w:val="0"/>
          <w:color w:val="auto"/>
          <w:sz w:val="22"/>
          <w:szCs w:val="22"/>
          <w:lang w:val="en-AU" w:eastAsia="en-AU"/>
        </w:rPr>
      </w:pPr>
      <w:r w:rsidRPr="002137EF">
        <w:rPr>
          <w:lang w:val="en-AU"/>
        </w:rPr>
        <w:t>Introduction</w:t>
      </w:r>
      <w:r>
        <w:tab/>
      </w:r>
      <w:r>
        <w:fldChar w:fldCharType="begin"/>
      </w:r>
      <w:r>
        <w:instrText xml:space="preserve"> PAGEREF _Toc361929978 \h </w:instrText>
      </w:r>
      <w:r>
        <w:fldChar w:fldCharType="separate"/>
      </w:r>
      <w:r w:rsidR="00751BC4">
        <w:t>6</w:t>
      </w:r>
      <w:r>
        <w:fldChar w:fldCharType="end"/>
      </w:r>
    </w:p>
    <w:p w:rsidR="00AC5D71" w:rsidRDefault="00AC5D71">
      <w:pPr>
        <w:pStyle w:val="TOC1"/>
        <w:rPr>
          <w:rFonts w:asciiTheme="minorHAnsi" w:eastAsiaTheme="minorEastAsia" w:hAnsiTheme="minorHAnsi" w:cstheme="minorBidi"/>
          <w:b w:val="0"/>
          <w:caps w:val="0"/>
          <w:color w:val="auto"/>
          <w:sz w:val="22"/>
          <w:szCs w:val="22"/>
          <w:lang w:val="en-AU" w:eastAsia="en-AU"/>
        </w:rPr>
      </w:pPr>
      <w:r w:rsidRPr="002137EF">
        <w:rPr>
          <w:lang w:val="en-AU"/>
        </w:rPr>
        <w:t>Methods</w:t>
      </w:r>
      <w:r>
        <w:tab/>
      </w:r>
      <w:r>
        <w:fldChar w:fldCharType="begin"/>
      </w:r>
      <w:r>
        <w:instrText xml:space="preserve"> PAGEREF _Toc361929979 \h </w:instrText>
      </w:r>
      <w:r>
        <w:fldChar w:fldCharType="separate"/>
      </w:r>
      <w:r w:rsidR="00751BC4">
        <w:t>9</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t>Modelling of Coastal and Ocean Currents</w:t>
      </w:r>
      <w:r>
        <w:tab/>
      </w:r>
      <w:r>
        <w:fldChar w:fldCharType="begin"/>
      </w:r>
      <w:r>
        <w:instrText xml:space="preserve"> PAGEREF _Toc361929980 \h </w:instrText>
      </w:r>
      <w:r>
        <w:fldChar w:fldCharType="separate"/>
      </w:r>
      <w:r w:rsidR="00751BC4">
        <w:t>9</w:t>
      </w:r>
      <w:r>
        <w:fldChar w:fldCharType="end"/>
      </w:r>
    </w:p>
    <w:p w:rsidR="00AC5D71" w:rsidRDefault="00AC5D71">
      <w:pPr>
        <w:pStyle w:val="TOC3"/>
        <w:rPr>
          <w:rFonts w:asciiTheme="minorHAnsi" w:eastAsiaTheme="minorEastAsia" w:hAnsiTheme="minorHAnsi" w:cstheme="minorBidi"/>
          <w:color w:val="auto"/>
          <w:sz w:val="22"/>
          <w:szCs w:val="22"/>
          <w:lang w:val="en-AU" w:eastAsia="en-AU"/>
        </w:rPr>
      </w:pPr>
      <w:r>
        <w:t>Representation of oceanic drift currents</w:t>
      </w:r>
      <w:r>
        <w:tab/>
      </w:r>
      <w:r>
        <w:fldChar w:fldCharType="begin"/>
      </w:r>
      <w:r>
        <w:instrText xml:space="preserve"> PAGEREF _Toc361929981 \h </w:instrText>
      </w:r>
      <w:r>
        <w:fldChar w:fldCharType="separate"/>
      </w:r>
      <w:r w:rsidR="00751BC4">
        <w:t>10</w:t>
      </w:r>
      <w:r>
        <w:fldChar w:fldCharType="end"/>
      </w:r>
    </w:p>
    <w:p w:rsidR="00AC5D71" w:rsidRDefault="00AC5D71">
      <w:pPr>
        <w:pStyle w:val="TOC3"/>
        <w:rPr>
          <w:rFonts w:asciiTheme="minorHAnsi" w:eastAsiaTheme="minorEastAsia" w:hAnsiTheme="minorHAnsi" w:cstheme="minorBidi"/>
          <w:color w:val="auto"/>
          <w:sz w:val="22"/>
          <w:szCs w:val="22"/>
          <w:lang w:val="en-AU" w:eastAsia="en-AU"/>
        </w:rPr>
      </w:pPr>
      <w:r>
        <w:t>Coastal currents</w:t>
      </w:r>
      <w:r>
        <w:tab/>
      </w:r>
      <w:r>
        <w:fldChar w:fldCharType="begin"/>
      </w:r>
      <w:r>
        <w:instrText xml:space="preserve"> PAGEREF _Toc361929982 \h </w:instrText>
      </w:r>
      <w:r>
        <w:fldChar w:fldCharType="separate"/>
      </w:r>
      <w:r w:rsidR="00751BC4">
        <w:t>13</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t>Modelling of Wave Conditions</w:t>
      </w:r>
      <w:r>
        <w:tab/>
      </w:r>
      <w:r>
        <w:fldChar w:fldCharType="begin"/>
      </w:r>
      <w:r>
        <w:instrText xml:space="preserve"> PAGEREF _Toc361929983 \h </w:instrText>
      </w:r>
      <w:r>
        <w:fldChar w:fldCharType="separate"/>
      </w:r>
      <w:r w:rsidR="00751BC4">
        <w:t>31</w:t>
      </w:r>
      <w:r>
        <w:fldChar w:fldCharType="end"/>
      </w:r>
    </w:p>
    <w:p w:rsidR="00AC5D71" w:rsidRDefault="00AC5D71">
      <w:pPr>
        <w:pStyle w:val="TOC3"/>
        <w:rPr>
          <w:rFonts w:asciiTheme="minorHAnsi" w:eastAsiaTheme="minorEastAsia" w:hAnsiTheme="minorHAnsi" w:cstheme="minorBidi"/>
          <w:color w:val="auto"/>
          <w:sz w:val="22"/>
          <w:szCs w:val="22"/>
          <w:lang w:val="en-AU" w:eastAsia="en-AU"/>
        </w:rPr>
      </w:pPr>
      <w:r>
        <w:t>Validation of Wave Conditions</w:t>
      </w:r>
      <w:r>
        <w:tab/>
      </w:r>
      <w:r>
        <w:fldChar w:fldCharType="begin"/>
      </w:r>
      <w:r>
        <w:instrText xml:space="preserve"> PAGEREF _Toc361929984 \h </w:instrText>
      </w:r>
      <w:r>
        <w:fldChar w:fldCharType="separate"/>
      </w:r>
      <w:r w:rsidR="00751BC4">
        <w:t>35</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t>Bed Shear-stress Calculations</w:t>
      </w:r>
      <w:r>
        <w:tab/>
      </w:r>
      <w:r>
        <w:fldChar w:fldCharType="begin"/>
      </w:r>
      <w:r>
        <w:instrText xml:space="preserve"> PAGEREF _Toc361929985 \h </w:instrText>
      </w:r>
      <w:r>
        <w:fldChar w:fldCharType="separate"/>
      </w:r>
      <w:r w:rsidR="00751BC4">
        <w:t>41</w:t>
      </w:r>
      <w:r>
        <w:fldChar w:fldCharType="end"/>
      </w:r>
    </w:p>
    <w:p w:rsidR="00AC5D71" w:rsidRDefault="00AC5D71">
      <w:pPr>
        <w:pStyle w:val="TOC1"/>
        <w:rPr>
          <w:rFonts w:asciiTheme="minorHAnsi" w:eastAsiaTheme="minorEastAsia" w:hAnsiTheme="minorHAnsi" w:cstheme="minorBidi"/>
          <w:b w:val="0"/>
          <w:caps w:val="0"/>
          <w:color w:val="auto"/>
          <w:sz w:val="22"/>
          <w:szCs w:val="22"/>
          <w:lang w:val="en-AU" w:eastAsia="en-AU"/>
        </w:rPr>
      </w:pPr>
      <w:r w:rsidRPr="002137EF">
        <w:rPr>
          <w:lang w:val="en-AU"/>
        </w:rPr>
        <w:t>Results AND DISCUSSION</w:t>
      </w:r>
      <w:r>
        <w:tab/>
      </w:r>
      <w:r>
        <w:fldChar w:fldCharType="begin"/>
      </w:r>
      <w:r>
        <w:instrText xml:space="preserve"> PAGEREF _Toc361929986 \h </w:instrText>
      </w:r>
      <w:r>
        <w:fldChar w:fldCharType="separate"/>
      </w:r>
      <w:r w:rsidR="00751BC4">
        <w:t>43</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t>Port of Gladstone</w:t>
      </w:r>
      <w:r>
        <w:tab/>
      </w:r>
      <w:r>
        <w:fldChar w:fldCharType="begin"/>
      </w:r>
      <w:r>
        <w:instrText xml:space="preserve"> PAGEREF _Toc361929987 \h </w:instrText>
      </w:r>
      <w:r>
        <w:fldChar w:fldCharType="separate"/>
      </w:r>
      <w:r w:rsidR="00751BC4">
        <w:t>44</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rPr>
          <w:lang w:eastAsia="en-AU"/>
        </w:rPr>
        <w:t>Rosslyn Bay State Boat Harbour</w:t>
      </w:r>
      <w:r>
        <w:tab/>
      </w:r>
      <w:r>
        <w:fldChar w:fldCharType="begin"/>
      </w:r>
      <w:r>
        <w:instrText xml:space="preserve"> PAGEREF _Toc361929988 \h </w:instrText>
      </w:r>
      <w:r>
        <w:fldChar w:fldCharType="separate"/>
      </w:r>
      <w:r w:rsidR="00751BC4">
        <w:t>47</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rPr>
          <w:lang w:eastAsia="en-AU"/>
        </w:rPr>
        <w:t>Port of Hay Point</w:t>
      </w:r>
      <w:r>
        <w:tab/>
      </w:r>
      <w:r>
        <w:fldChar w:fldCharType="begin"/>
      </w:r>
      <w:r>
        <w:instrText xml:space="preserve"> PAGEREF _Toc361929989 \h </w:instrText>
      </w:r>
      <w:r>
        <w:fldChar w:fldCharType="separate"/>
      </w:r>
      <w:r w:rsidR="00751BC4">
        <w:t>50</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rPr>
          <w:lang w:eastAsia="en-AU"/>
        </w:rPr>
        <w:t>Port of Mackay</w:t>
      </w:r>
      <w:r>
        <w:tab/>
      </w:r>
      <w:r>
        <w:fldChar w:fldCharType="begin"/>
      </w:r>
      <w:r>
        <w:instrText xml:space="preserve"> PAGEREF _Toc361929990 \h </w:instrText>
      </w:r>
      <w:r>
        <w:fldChar w:fldCharType="separate"/>
      </w:r>
      <w:r w:rsidR="00751BC4">
        <w:t>53</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rPr>
          <w:lang w:eastAsia="en-AU"/>
        </w:rPr>
        <w:t>Port of Abbot Point</w:t>
      </w:r>
      <w:r>
        <w:tab/>
      </w:r>
      <w:r>
        <w:fldChar w:fldCharType="begin"/>
      </w:r>
      <w:r>
        <w:instrText xml:space="preserve"> PAGEREF _Toc361929991 \h </w:instrText>
      </w:r>
      <w:r>
        <w:fldChar w:fldCharType="separate"/>
      </w:r>
      <w:r w:rsidR="00751BC4">
        <w:t>55</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t>Port of Townsville</w:t>
      </w:r>
      <w:r>
        <w:tab/>
      </w:r>
      <w:r>
        <w:fldChar w:fldCharType="begin"/>
      </w:r>
      <w:r>
        <w:instrText xml:space="preserve"> PAGEREF _Toc361929992 \h </w:instrText>
      </w:r>
      <w:r>
        <w:fldChar w:fldCharType="separate"/>
      </w:r>
      <w:r w:rsidR="00751BC4">
        <w:t>58</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t>Port of Lucinda</w:t>
      </w:r>
      <w:r>
        <w:tab/>
      </w:r>
      <w:r>
        <w:fldChar w:fldCharType="begin"/>
      </w:r>
      <w:r>
        <w:instrText xml:space="preserve"> PAGEREF _Toc361929993 \h </w:instrText>
      </w:r>
      <w:r>
        <w:fldChar w:fldCharType="separate"/>
      </w:r>
      <w:r w:rsidR="00751BC4">
        <w:t>60</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t>Port of Mourilyan</w:t>
      </w:r>
      <w:r>
        <w:tab/>
      </w:r>
      <w:r>
        <w:fldChar w:fldCharType="begin"/>
      </w:r>
      <w:r>
        <w:instrText xml:space="preserve"> PAGEREF _Toc361929994 \h </w:instrText>
      </w:r>
      <w:r>
        <w:fldChar w:fldCharType="separate"/>
      </w:r>
      <w:r w:rsidR="00751BC4">
        <w:t>63</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t>Port of Cairns</w:t>
      </w:r>
      <w:r>
        <w:tab/>
      </w:r>
      <w:r>
        <w:fldChar w:fldCharType="begin"/>
      </w:r>
      <w:r>
        <w:instrText xml:space="preserve"> PAGEREF _Toc361929995 \h </w:instrText>
      </w:r>
      <w:r>
        <w:fldChar w:fldCharType="separate"/>
      </w:r>
      <w:r w:rsidR="00751BC4">
        <w:t>66</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t>Port of Cooktown</w:t>
      </w:r>
      <w:r>
        <w:tab/>
      </w:r>
      <w:r>
        <w:fldChar w:fldCharType="begin"/>
      </w:r>
      <w:r>
        <w:instrText xml:space="preserve"> PAGEREF _Toc361929996 \h </w:instrText>
      </w:r>
      <w:r>
        <w:fldChar w:fldCharType="separate"/>
      </w:r>
      <w:r w:rsidR="00751BC4">
        <w:t>69</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t>Port of Cape Flattery</w:t>
      </w:r>
      <w:r>
        <w:tab/>
      </w:r>
      <w:r>
        <w:fldChar w:fldCharType="begin"/>
      </w:r>
      <w:r>
        <w:instrText xml:space="preserve"> PAGEREF _Toc361929997 \h </w:instrText>
      </w:r>
      <w:r>
        <w:fldChar w:fldCharType="separate"/>
      </w:r>
      <w:r w:rsidR="00751BC4">
        <w:t>72</w:t>
      </w:r>
      <w:r>
        <w:fldChar w:fldCharType="end"/>
      </w:r>
    </w:p>
    <w:p w:rsidR="00AC5D71" w:rsidRDefault="00AC5D71">
      <w:pPr>
        <w:pStyle w:val="TOC2"/>
        <w:rPr>
          <w:rFonts w:asciiTheme="minorHAnsi" w:eastAsiaTheme="minorEastAsia" w:hAnsiTheme="minorHAnsi" w:cstheme="minorBidi"/>
          <w:b w:val="0"/>
          <w:color w:val="auto"/>
          <w:szCs w:val="22"/>
          <w:lang w:val="en-AU" w:eastAsia="en-AU"/>
        </w:rPr>
      </w:pPr>
      <w:r>
        <w:t>Port of Quintell Beach</w:t>
      </w:r>
      <w:r>
        <w:tab/>
      </w:r>
      <w:r>
        <w:fldChar w:fldCharType="begin"/>
      </w:r>
      <w:r>
        <w:instrText xml:space="preserve"> PAGEREF _Toc361929998 \h </w:instrText>
      </w:r>
      <w:r>
        <w:fldChar w:fldCharType="separate"/>
      </w:r>
      <w:r w:rsidR="00751BC4">
        <w:t>74</w:t>
      </w:r>
      <w:r>
        <w:fldChar w:fldCharType="end"/>
      </w:r>
    </w:p>
    <w:p w:rsidR="00AC5D71" w:rsidRDefault="00AC5D71">
      <w:pPr>
        <w:pStyle w:val="TOC1"/>
        <w:rPr>
          <w:rFonts w:asciiTheme="minorHAnsi" w:eastAsiaTheme="minorEastAsia" w:hAnsiTheme="minorHAnsi" w:cstheme="minorBidi"/>
          <w:b w:val="0"/>
          <w:caps w:val="0"/>
          <w:color w:val="auto"/>
          <w:sz w:val="22"/>
          <w:szCs w:val="22"/>
          <w:lang w:val="en-AU" w:eastAsia="en-AU"/>
        </w:rPr>
      </w:pPr>
      <w:r w:rsidRPr="002137EF">
        <w:rPr>
          <w:lang w:val="en-AU"/>
        </w:rPr>
        <w:t>CONCLUSIONs</w:t>
      </w:r>
      <w:r>
        <w:tab/>
      </w:r>
      <w:r>
        <w:fldChar w:fldCharType="begin"/>
      </w:r>
      <w:r>
        <w:instrText xml:space="preserve"> PAGEREF _Toc361929999 \h </w:instrText>
      </w:r>
      <w:r>
        <w:fldChar w:fldCharType="separate"/>
      </w:r>
      <w:r w:rsidR="00751BC4">
        <w:t>78</w:t>
      </w:r>
      <w:r>
        <w:fldChar w:fldCharType="end"/>
      </w:r>
    </w:p>
    <w:p w:rsidR="00AC5D71" w:rsidRDefault="00AC5D71">
      <w:pPr>
        <w:pStyle w:val="TOC1"/>
        <w:rPr>
          <w:rFonts w:asciiTheme="minorHAnsi" w:eastAsiaTheme="minorEastAsia" w:hAnsiTheme="minorHAnsi" w:cstheme="minorBidi"/>
          <w:b w:val="0"/>
          <w:caps w:val="0"/>
          <w:color w:val="auto"/>
          <w:sz w:val="22"/>
          <w:szCs w:val="22"/>
          <w:lang w:val="en-AU" w:eastAsia="en-AU"/>
        </w:rPr>
      </w:pPr>
      <w:r w:rsidRPr="002137EF">
        <w:rPr>
          <w:lang w:val="en-AU"/>
        </w:rPr>
        <w:t>REFERENCES</w:t>
      </w:r>
      <w:r>
        <w:tab/>
      </w:r>
      <w:r>
        <w:fldChar w:fldCharType="begin"/>
      </w:r>
      <w:r>
        <w:instrText xml:space="preserve"> PAGEREF _Toc361930000 \h </w:instrText>
      </w:r>
      <w:r>
        <w:fldChar w:fldCharType="separate"/>
      </w:r>
      <w:r w:rsidR="00751BC4">
        <w:t>79</w:t>
      </w:r>
      <w:r>
        <w:fldChar w:fldCharType="end"/>
      </w:r>
    </w:p>
    <w:p w:rsidR="00DE74C2" w:rsidRDefault="005F6FF5">
      <w:pPr>
        <w:spacing w:after="0" w:line="240" w:lineRule="auto"/>
        <w:jc w:val="left"/>
        <w:rPr>
          <w:b/>
          <w:sz w:val="24"/>
          <w:lang w:val="en-AU"/>
        </w:rPr>
      </w:pPr>
      <w:r w:rsidRPr="007D6EB4">
        <w:rPr>
          <w:b/>
          <w:sz w:val="24"/>
          <w:lang w:val="en-AU"/>
        </w:rPr>
        <w:fldChar w:fldCharType="end"/>
      </w:r>
      <w:r w:rsidR="00DE74C2">
        <w:rPr>
          <w:b/>
          <w:sz w:val="24"/>
          <w:lang w:val="en-AU"/>
        </w:rPr>
        <w:br w:type="page"/>
      </w:r>
    </w:p>
    <w:p w:rsidR="00FC2C3F" w:rsidRPr="007D6EB4" w:rsidRDefault="00880FA4" w:rsidP="00E46224">
      <w:pPr>
        <w:pStyle w:val="Head1manual"/>
        <w:outlineLvl w:val="0"/>
        <w:rPr>
          <w:lang w:val="en-AU"/>
        </w:rPr>
      </w:pPr>
      <w:r w:rsidRPr="007D6EB4">
        <w:rPr>
          <w:lang w:val="en-AU"/>
        </w:rPr>
        <w:lastRenderedPageBreak/>
        <w:t>FIGURES</w:t>
      </w:r>
    </w:p>
    <w:p w:rsidR="007D27C8" w:rsidRDefault="005F6FF5"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7D6EB4">
        <w:rPr>
          <w:lang w:val="en-AU"/>
        </w:rPr>
        <w:fldChar w:fldCharType="begin"/>
      </w:r>
      <w:r w:rsidR="00880FA4" w:rsidRPr="007D6EB4">
        <w:rPr>
          <w:lang w:val="en-AU"/>
        </w:rPr>
        <w:instrText xml:space="preserve"> TOC \c "Figure" </w:instrText>
      </w:r>
      <w:r w:rsidRPr="007D6EB4">
        <w:rPr>
          <w:lang w:val="en-AU"/>
        </w:rPr>
        <w:fldChar w:fldCharType="separate"/>
      </w:r>
      <w:r w:rsidR="007D27C8" w:rsidRPr="001E43AE">
        <w:rPr>
          <w:b/>
          <w:lang w:val="en-AU"/>
        </w:rPr>
        <w:t>Figure 1</w:t>
      </w:r>
      <w:r w:rsidR="007D27C8" w:rsidRPr="001E43AE">
        <w:rPr>
          <w:lang w:val="en-AU"/>
        </w:rPr>
        <w:t>. Monthly values of the Southern Oscillation Index (SOI) 2004 - 2011. Sustained positive values indicate La Nina conditions, while sustained negative values indicate El Nino conditions (Source: Australian Bureau of Meteorology 2012).</w:t>
      </w:r>
      <w:r w:rsidR="007D27C8">
        <w:tab/>
      </w:r>
      <w:r w:rsidR="007D27C8">
        <w:fldChar w:fldCharType="begin"/>
      </w:r>
      <w:r w:rsidR="007D27C8">
        <w:instrText xml:space="preserve"> PAGEREF _Toc361651484 \h </w:instrText>
      </w:r>
      <w:r w:rsidR="007D27C8">
        <w:fldChar w:fldCharType="separate"/>
      </w:r>
      <w:r w:rsidR="00751BC4">
        <w:t>11</w:t>
      </w:r>
      <w:r w:rsidR="007D27C8">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2.</w:t>
      </w:r>
      <w:r w:rsidRPr="001E43AE">
        <w:rPr>
          <w:lang w:val="en-AU"/>
        </w:rPr>
        <w:t xml:space="preserve"> Comparative surface current roses for three years adjacent to (from top to bottom) Port of Gladstone, Port of Hay Point, Port of Abbot Point, Port of Townsville and Port of Cairns. The roses cover El Ni</w:t>
      </w:r>
      <w:r w:rsidRPr="001E43AE">
        <w:rPr>
          <w:rFonts w:cs="Arial"/>
          <w:lang w:val="en-AU"/>
        </w:rPr>
        <w:t>ñ</w:t>
      </w:r>
      <w:r w:rsidRPr="001E43AE">
        <w:rPr>
          <w:lang w:val="en-AU"/>
        </w:rPr>
        <w:t>o (2004), La Ni</w:t>
      </w:r>
      <w:r w:rsidRPr="001E43AE">
        <w:rPr>
          <w:rFonts w:cs="Arial"/>
          <w:lang w:val="en-AU"/>
        </w:rPr>
        <w:t>ñ</w:t>
      </w:r>
      <w:r w:rsidRPr="001E43AE">
        <w:rPr>
          <w:lang w:val="en-AU"/>
        </w:rPr>
        <w:t>a (2011) and neutral (2007) conditions and are for locations adjacent to the existing material placement sites.</w:t>
      </w:r>
      <w:r>
        <w:tab/>
      </w:r>
      <w:r>
        <w:fldChar w:fldCharType="begin"/>
      </w:r>
      <w:r>
        <w:instrText xml:space="preserve"> PAGEREF _Toc361651485 \h </w:instrText>
      </w:r>
      <w:r>
        <w:fldChar w:fldCharType="separate"/>
      </w:r>
      <w:r w:rsidR="00751BC4">
        <w:t>12</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3</w:t>
      </w:r>
      <w:r w:rsidRPr="001E43AE">
        <w:rPr>
          <w:lang w:val="en-AU"/>
        </w:rPr>
        <w:t>. Extent of the southern GBR coastal model grid. Note the smaller grid cells along the coastline and around islands to better resolve the complex flows around these features. The inset shows the smaller grid cells neighbouring the Port of Gladstone with the yellow box defining the location of the existing dredge material placement site.</w:t>
      </w:r>
      <w:r>
        <w:tab/>
      </w:r>
      <w:r>
        <w:fldChar w:fldCharType="begin"/>
      </w:r>
      <w:r>
        <w:instrText xml:space="preserve"> PAGEREF _Toc361651486 \h </w:instrText>
      </w:r>
      <w:r>
        <w:fldChar w:fldCharType="separate"/>
      </w:r>
      <w:r w:rsidR="00751BC4">
        <w:t>14</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4</w:t>
      </w:r>
      <w:r w:rsidRPr="001E43AE">
        <w:rPr>
          <w:lang w:val="en-AU"/>
        </w:rPr>
        <w:t>. Extent of the southern GBR coastal model grid. Note the smaller grid cells along the coastline and around islands to recreate the complex flows. The inset shows the smaller grid cells neighbouring Rosslyn Bay State Boat Harbour with the yellow box defining the location of the existing dredge material placement site.</w:t>
      </w:r>
      <w:r>
        <w:tab/>
      </w:r>
      <w:r>
        <w:fldChar w:fldCharType="begin"/>
      </w:r>
      <w:r>
        <w:instrText xml:space="preserve"> PAGEREF _Toc361651487 \h </w:instrText>
      </w:r>
      <w:r>
        <w:fldChar w:fldCharType="separate"/>
      </w:r>
      <w:r w:rsidR="00751BC4">
        <w:t>15</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5.</w:t>
      </w:r>
      <w:r w:rsidRPr="001E43AE">
        <w:rPr>
          <w:lang w:val="en-AU"/>
        </w:rPr>
        <w:t xml:space="preserve"> Extent of the southern GBR coastal model grid. Note the smaller grid cells along the coastline and around islands to recreate the complex flows. The inset shows the smaller grid cells neighbouring Port of Hay Point with the yellow box defining the location of the existing dredge material placement site.</w:t>
      </w:r>
      <w:r>
        <w:tab/>
      </w:r>
      <w:r>
        <w:fldChar w:fldCharType="begin"/>
      </w:r>
      <w:r>
        <w:instrText xml:space="preserve"> PAGEREF _Toc361651488 \h </w:instrText>
      </w:r>
      <w:r>
        <w:fldChar w:fldCharType="separate"/>
      </w:r>
      <w:r w:rsidR="00751BC4">
        <w:t>16</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6.</w:t>
      </w:r>
      <w:r w:rsidRPr="001E43AE">
        <w:rPr>
          <w:lang w:val="en-AU"/>
        </w:rPr>
        <w:t xml:space="preserve"> Extent of the central GBR coastal model grid. Note the smaller grid cells along the coastline and around islands to recreate the complex flows. The inset shows the smaller grid cells neighbouring Port of Abbot Point with the yellow box defining the location of the existing dredge material placement site.</w:t>
      </w:r>
      <w:r>
        <w:tab/>
      </w:r>
      <w:r>
        <w:fldChar w:fldCharType="begin"/>
      </w:r>
      <w:r>
        <w:instrText xml:space="preserve"> PAGEREF _Toc361651489 \h </w:instrText>
      </w:r>
      <w:r>
        <w:fldChar w:fldCharType="separate"/>
      </w:r>
      <w:r w:rsidR="00751BC4">
        <w:t>17</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7.</w:t>
      </w:r>
      <w:r w:rsidRPr="001E43AE">
        <w:rPr>
          <w:lang w:val="en-AU"/>
        </w:rPr>
        <w:t xml:space="preserve"> Extent of the central GBR coastal model grid. Note the smaller grid cells along the coastline and around islands to recreate the complex flows. The inset shows the smaller grid cells neighbouring Port of Townsville with the yellow box defining the location of the existing dredge material placement site.</w:t>
      </w:r>
      <w:r>
        <w:tab/>
      </w:r>
      <w:r>
        <w:fldChar w:fldCharType="begin"/>
      </w:r>
      <w:r>
        <w:instrText xml:space="preserve"> PAGEREF _Toc361651490 \h </w:instrText>
      </w:r>
      <w:r>
        <w:fldChar w:fldCharType="separate"/>
      </w:r>
      <w:r w:rsidR="00751BC4">
        <w:t>18</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8</w:t>
      </w:r>
      <w:r w:rsidRPr="001E43AE">
        <w:rPr>
          <w:lang w:val="en-AU"/>
        </w:rPr>
        <w:t>. Extent of the central GBR coastal model grid. Note the smaller grid cells along the coastline and around islands to recreate the complex flows. The inset shows the smaller grid cells neighbouring Port of Cairns with the yellow box defining the location of the existing dredge material placement site.</w:t>
      </w:r>
      <w:r>
        <w:tab/>
      </w:r>
      <w:r>
        <w:fldChar w:fldCharType="begin"/>
      </w:r>
      <w:r>
        <w:instrText xml:space="preserve"> PAGEREF _Toc361651491 \h </w:instrText>
      </w:r>
      <w:r>
        <w:fldChar w:fldCharType="separate"/>
      </w:r>
      <w:r w:rsidR="00751BC4">
        <w:t>19</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9.</w:t>
      </w:r>
      <w:r w:rsidRPr="001E43AE">
        <w:rPr>
          <w:lang w:val="en-AU"/>
        </w:rPr>
        <w:t xml:space="preserve"> Extent of the northern GBR coastal model grid. Note the smaller grid cells along the coastline and around islands to recreate the complex flows. The inset shows the smaller grid cells neighbouring Port of Cooktown with the yellow box defining the location of the existing dredge material placement site.</w:t>
      </w:r>
      <w:r>
        <w:tab/>
      </w:r>
      <w:r>
        <w:fldChar w:fldCharType="begin"/>
      </w:r>
      <w:r>
        <w:instrText xml:space="preserve"> PAGEREF _Toc361651492 \h </w:instrText>
      </w:r>
      <w:r>
        <w:fldChar w:fldCharType="separate"/>
      </w:r>
      <w:r w:rsidR="00751BC4">
        <w:t>20</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color w:val="auto"/>
          <w:lang w:val="en-AU"/>
        </w:rPr>
        <w:t>Figure 10.</w:t>
      </w:r>
      <w:r w:rsidRPr="001E43AE">
        <w:rPr>
          <w:color w:val="auto"/>
          <w:lang w:val="en-AU"/>
        </w:rPr>
        <w:t xml:space="preserve"> Comparison between the predicted (red line) and observed (blue line) water elevations at Gladstone (upper image), Rosslyn Bay (middle image) and Hay Point (lower image), 1-30 November 2011.</w:t>
      </w:r>
      <w:r>
        <w:tab/>
      </w:r>
      <w:r>
        <w:fldChar w:fldCharType="begin"/>
      </w:r>
      <w:r>
        <w:instrText xml:space="preserve"> PAGEREF _Toc361651493 \h </w:instrText>
      </w:r>
      <w:r>
        <w:fldChar w:fldCharType="separate"/>
      </w:r>
      <w:r w:rsidR="00751BC4">
        <w:t>23</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11.</w:t>
      </w:r>
      <w:r w:rsidRPr="001E43AE">
        <w:rPr>
          <w:lang w:val="en-AU"/>
        </w:rPr>
        <w:t xml:space="preserve"> Comparison between the predicted (red line) and observed (blue line) water elevations at Abbot Point (upper image), Townsville (middle image) and Cairns (lower image), 1-30 November 2011.</w:t>
      </w:r>
      <w:r>
        <w:tab/>
      </w:r>
      <w:r>
        <w:fldChar w:fldCharType="begin"/>
      </w:r>
      <w:r>
        <w:instrText xml:space="preserve"> PAGEREF _Toc361651494 \h </w:instrText>
      </w:r>
      <w:r>
        <w:fldChar w:fldCharType="separate"/>
      </w:r>
      <w:r w:rsidR="00751BC4">
        <w:t>24</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12.</w:t>
      </w:r>
      <w:r w:rsidRPr="001E43AE">
        <w:rPr>
          <w:lang w:val="en-AU"/>
        </w:rPr>
        <w:t xml:space="preserve"> Comparison between the predicted (red line) and observed (blue line) water elevations at Cooktown (upper image), Pipon Island (middle image) and Night Island (lower image), 1-30 November 2011.</w:t>
      </w:r>
      <w:r>
        <w:tab/>
      </w:r>
      <w:r>
        <w:fldChar w:fldCharType="begin"/>
      </w:r>
      <w:r>
        <w:instrText xml:space="preserve"> PAGEREF _Toc361651495 \h </w:instrText>
      </w:r>
      <w:r>
        <w:fldChar w:fldCharType="separate"/>
      </w:r>
      <w:r w:rsidR="00751BC4">
        <w:t>25</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13.</w:t>
      </w:r>
      <w:r w:rsidRPr="001E43AE">
        <w:rPr>
          <w:lang w:val="en-AU"/>
        </w:rPr>
        <w:t xml:space="preserve"> Locations of the bottom mounted Acoustic Doppler Current Profilers (ADCPs) instruments used to measure currents throughout water column adjacent to the Townsville and Hay Point existing material placement sites in January and November 2011, respectively.</w:t>
      </w:r>
      <w:r>
        <w:tab/>
      </w:r>
      <w:r>
        <w:fldChar w:fldCharType="begin"/>
      </w:r>
      <w:r>
        <w:instrText xml:space="preserve"> PAGEREF _Toc361651496 \h </w:instrText>
      </w:r>
      <w:r>
        <w:fldChar w:fldCharType="separate"/>
      </w:r>
      <w:r w:rsidR="00751BC4">
        <w:t>26</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14.</w:t>
      </w:r>
      <w:r w:rsidRPr="001E43AE">
        <w:rPr>
          <w:lang w:val="en-AU"/>
        </w:rPr>
        <w:t xml:space="preserve"> Comparison of the predicted and measured surface and bottom current speeds (upper images) and directions (lower images) and water elevations adjacent to the existing Hay Point disposal site (1-30 November 2011).</w:t>
      </w:r>
      <w:r>
        <w:tab/>
      </w:r>
      <w:r>
        <w:fldChar w:fldCharType="begin"/>
      </w:r>
      <w:r>
        <w:instrText xml:space="preserve"> PAGEREF _Toc361651497 \h </w:instrText>
      </w:r>
      <w:r>
        <w:fldChar w:fldCharType="separate"/>
      </w:r>
      <w:r w:rsidR="00751BC4">
        <w:t>29</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lastRenderedPageBreak/>
        <w:t>Figure 15.</w:t>
      </w:r>
      <w:r w:rsidRPr="001E43AE">
        <w:rPr>
          <w:lang w:val="en-AU"/>
        </w:rPr>
        <w:t xml:space="preserve"> Comparison of the predicted and measured surface and bottom current </w:t>
      </w:r>
      <w:r w:rsidRPr="001E43AE">
        <w:rPr>
          <w:color w:val="auto"/>
          <w:lang w:val="en-AU"/>
        </w:rPr>
        <w:t>speeds (upper panels) and directions (lower images) and water elevations adjacent to the existing Townsville disposal site (1-29 January 2011).</w:t>
      </w:r>
      <w:r>
        <w:tab/>
      </w:r>
      <w:r>
        <w:fldChar w:fldCharType="begin"/>
      </w:r>
      <w:r>
        <w:instrText xml:space="preserve"> PAGEREF _Toc361651498 \h </w:instrText>
      </w:r>
      <w:r>
        <w:fldChar w:fldCharType="separate"/>
      </w:r>
      <w:r w:rsidR="00751BC4">
        <w:t>30</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16.</w:t>
      </w:r>
      <w:r w:rsidRPr="001E43AE">
        <w:rPr>
          <w:lang w:val="en-AU"/>
        </w:rPr>
        <w:t xml:space="preserve"> Extent of the southern GBR wave model grid. The size of the individual triangles represent the varying mesh resolution and the colour coding the water depth (m).</w:t>
      </w:r>
      <w:r>
        <w:tab/>
      </w:r>
      <w:r>
        <w:fldChar w:fldCharType="begin"/>
      </w:r>
      <w:r>
        <w:instrText xml:space="preserve"> PAGEREF _Toc361651499 \h </w:instrText>
      </w:r>
      <w:r>
        <w:fldChar w:fldCharType="separate"/>
      </w:r>
      <w:r w:rsidR="00751BC4">
        <w:t>32</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17.</w:t>
      </w:r>
      <w:r w:rsidRPr="001E43AE">
        <w:rPr>
          <w:lang w:val="en-AU"/>
        </w:rPr>
        <w:t xml:space="preserve"> Extent of the southern central GBR wave model grid. The size of the individual triangles represent the varying mesh resolution and the colour coding the water depth (m).</w:t>
      </w:r>
      <w:r>
        <w:tab/>
      </w:r>
      <w:r>
        <w:fldChar w:fldCharType="begin"/>
      </w:r>
      <w:r>
        <w:instrText xml:space="preserve"> PAGEREF _Toc361651500 \h </w:instrText>
      </w:r>
      <w:r>
        <w:fldChar w:fldCharType="separate"/>
      </w:r>
      <w:r w:rsidR="00751BC4">
        <w:t>33</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18.</w:t>
      </w:r>
      <w:r w:rsidRPr="001E43AE">
        <w:rPr>
          <w:lang w:val="en-AU"/>
        </w:rPr>
        <w:t xml:space="preserve"> Extent of the northern central GBR wave model grid. The size of the individual triangles represent the varying mesh resolution and the colour coding the water depth (m).</w:t>
      </w:r>
      <w:r>
        <w:tab/>
      </w:r>
      <w:r>
        <w:fldChar w:fldCharType="begin"/>
      </w:r>
      <w:r>
        <w:instrText xml:space="preserve"> PAGEREF _Toc361651501 \h </w:instrText>
      </w:r>
      <w:r>
        <w:fldChar w:fldCharType="separate"/>
      </w:r>
      <w:r w:rsidR="00751BC4">
        <w:t>34</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19.</w:t>
      </w:r>
      <w:r w:rsidRPr="001E43AE">
        <w:rPr>
          <w:lang w:val="en-AU"/>
        </w:rPr>
        <w:t xml:space="preserve"> Extent of the northern GBR wave model grid. The size of the individual triangles represent the varying mesh resolution and the colour coding the water depth (m).</w:t>
      </w:r>
      <w:r>
        <w:tab/>
      </w:r>
      <w:r>
        <w:fldChar w:fldCharType="begin"/>
      </w:r>
      <w:r>
        <w:instrText xml:space="preserve"> PAGEREF _Toc361651502 \h </w:instrText>
      </w:r>
      <w:r>
        <w:fldChar w:fldCharType="separate"/>
      </w:r>
      <w:r w:rsidR="00751BC4">
        <w:t>35</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20.</w:t>
      </w:r>
      <w:r w:rsidRPr="001E43AE">
        <w:rPr>
          <w:lang w:val="en-AU"/>
        </w:rPr>
        <w:t xml:space="preserve"> Locations of the waverider buoys used to measure wave climate by the Department of Environment and Heritage Protection.</w:t>
      </w:r>
      <w:r>
        <w:tab/>
      </w:r>
      <w:r>
        <w:fldChar w:fldCharType="begin"/>
      </w:r>
      <w:r>
        <w:instrText xml:space="preserve"> PAGEREF _Toc361651503 \h </w:instrText>
      </w:r>
      <w:r>
        <w:fldChar w:fldCharType="separate"/>
      </w:r>
      <w:r w:rsidR="00751BC4">
        <w:t>36</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21.</w:t>
      </w:r>
      <w:r w:rsidRPr="001E43AE">
        <w:rPr>
          <w:lang w:val="en-AU"/>
        </w:rPr>
        <w:t xml:space="preserve"> Comparison of predicted (blue) and measured (green) waves at the Gladstone waverider buoy, January to March 2011. The top panel shows the significant wave height, the middle panel shows the peak wave period and the bottom panel shows the peak wave direction comparisons. The histograms provide an inter-comparison of the frequency distributions between the observed and predicted.</w:t>
      </w:r>
      <w:r>
        <w:tab/>
      </w:r>
      <w:r>
        <w:fldChar w:fldCharType="begin"/>
      </w:r>
      <w:r>
        <w:instrText xml:space="preserve"> PAGEREF _Toc361651504 \h </w:instrText>
      </w:r>
      <w:r>
        <w:fldChar w:fldCharType="separate"/>
      </w:r>
      <w:r w:rsidR="00751BC4">
        <w:t>37</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22.</w:t>
      </w:r>
      <w:r w:rsidRPr="001E43AE">
        <w:rPr>
          <w:lang w:val="en-AU"/>
        </w:rPr>
        <w:t xml:space="preserve"> Comparison of predicted (blue) and measured (green) waves at the Emu Park waverider buoy, January to March 2011. The top panel shows the significant wave height, the middle panel shows the peak wave period and the bottom panel shows the peak wave direction comparisons. The histograms provide an inter-comparison of the frequency distributions between the observed and predicted.</w:t>
      </w:r>
      <w:r>
        <w:tab/>
      </w:r>
      <w:r>
        <w:fldChar w:fldCharType="begin"/>
      </w:r>
      <w:r>
        <w:instrText xml:space="preserve"> PAGEREF _Toc361651505 \h </w:instrText>
      </w:r>
      <w:r>
        <w:fldChar w:fldCharType="separate"/>
      </w:r>
      <w:r w:rsidR="00751BC4">
        <w:t>38</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23.</w:t>
      </w:r>
      <w:r w:rsidRPr="001E43AE">
        <w:rPr>
          <w:lang w:val="en-AU"/>
        </w:rPr>
        <w:t xml:space="preserve"> Comparison of predicted (blue) and measured (green) waves at the Mackay waverider buoy, January to March 2011. The top panel shows the significant wave height, the middle panel shows the peak wave period and the bottom panel shows the peak wave direction comparisons. The histograms provide an inter-comparison of the frequency distributions between the observed and predicted.</w:t>
      </w:r>
      <w:r>
        <w:tab/>
      </w:r>
      <w:r>
        <w:fldChar w:fldCharType="begin"/>
      </w:r>
      <w:r>
        <w:instrText xml:space="preserve"> PAGEREF _Toc361651506 \h </w:instrText>
      </w:r>
      <w:r>
        <w:fldChar w:fldCharType="separate"/>
      </w:r>
      <w:r w:rsidR="00751BC4">
        <w:t>39</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24</w:t>
      </w:r>
      <w:r w:rsidRPr="001E43AE">
        <w:rPr>
          <w:lang w:val="en-AU"/>
        </w:rPr>
        <w:t>. Comparison of predicted (blue) and measured (green) waves at the Townsville waverider buoy, January to February 2011. The top panel shows the significant wave height, the middle panel shows the peak wave period and the bottom panel shows the peak wave direction comparisons. The histograms provide an inter-comparison of the frequency distributions between the observed and predicted.</w:t>
      </w:r>
      <w:r>
        <w:tab/>
      </w:r>
      <w:r>
        <w:fldChar w:fldCharType="begin"/>
      </w:r>
      <w:r>
        <w:instrText xml:space="preserve"> PAGEREF _Toc361651507 \h </w:instrText>
      </w:r>
      <w:r>
        <w:fldChar w:fldCharType="separate"/>
      </w:r>
      <w:r w:rsidR="00751BC4">
        <w:t>40</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25.</w:t>
      </w:r>
      <w:r w:rsidRPr="001E43AE">
        <w:rPr>
          <w:lang w:val="en-AU"/>
        </w:rPr>
        <w:t xml:space="preserve"> Comparison of predicted (blue) and measured (green) waves at the Cairns waverider buoy, January to February 2011. The top panel shows the significant wave height and the bottom panel shows the peak wave period. The histograms provide an inter-comparison of the frequency distributions between the observed and predicted.</w:t>
      </w:r>
      <w:r>
        <w:tab/>
      </w:r>
      <w:r>
        <w:fldChar w:fldCharType="begin"/>
      </w:r>
      <w:r>
        <w:instrText xml:space="preserve"> PAGEREF _Toc361651508 \h </w:instrText>
      </w:r>
      <w:r>
        <w:fldChar w:fldCharType="separate"/>
      </w:r>
      <w:r w:rsidR="00751BC4">
        <w:t>41</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rPr>
        <w:t>Figure 26.</w:t>
      </w:r>
      <w:r>
        <w:t xml:space="preserve"> Location of the 3000 samples collected within the Great Barrier Reef Marine Park, excluding within port limits (source: Mathews et al. 2007).</w:t>
      </w:r>
      <w:r>
        <w:tab/>
      </w:r>
      <w:r>
        <w:fldChar w:fldCharType="begin"/>
      </w:r>
      <w:r>
        <w:instrText xml:space="preserve"> PAGEREF _Toc361651509 \h </w:instrText>
      </w:r>
      <w:r>
        <w:fldChar w:fldCharType="separate"/>
      </w:r>
      <w:r w:rsidR="00751BC4">
        <w:t>44</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27.</w:t>
      </w:r>
      <w:r w:rsidRPr="001E43AE">
        <w:rPr>
          <w:lang w:val="en-AU"/>
        </w:rPr>
        <w:t xml:space="preserve"> Distribution of the 50</w:t>
      </w:r>
      <w:r w:rsidRPr="001E43AE">
        <w:rPr>
          <w:vertAlign w:val="superscript"/>
          <w:lang w:val="en-AU"/>
        </w:rPr>
        <w:t>th</w:t>
      </w:r>
      <w:r w:rsidRPr="001E43AE">
        <w:rPr>
          <w:lang w:val="en-AU"/>
        </w:rPr>
        <w:t xml:space="preserve"> (upper image) and 95</w:t>
      </w:r>
      <w:r w:rsidRPr="001E43AE">
        <w:rPr>
          <w:vertAlign w:val="superscript"/>
          <w:lang w:val="en-AU"/>
        </w:rPr>
        <w:t>th</w:t>
      </w:r>
      <w:r w:rsidRPr="001E43AE">
        <w:rPr>
          <w:lang w:val="en-AU"/>
        </w:rPr>
        <w:t xml:space="preserve"> (lower image) percentile bed shear-stress estimates within 50 km from the Port of Gladstone. The estimates were </w:t>
      </w:r>
      <w:r w:rsidRPr="001E43AE">
        <w:rPr>
          <w:lang w:val="en-AU" w:eastAsia="en-AU"/>
        </w:rPr>
        <w:t>calculated at hourly steps for each grid cell during 2011 current and wave conditions.</w:t>
      </w:r>
      <w:r w:rsidRPr="001E43AE">
        <w:rPr>
          <w:lang w:val="en-AU"/>
        </w:rPr>
        <w:t xml:space="preserve"> The insets show a close-up view of the bed shear-stress estimates adjacent to the existing disposal site.</w:t>
      </w:r>
      <w:r>
        <w:tab/>
      </w:r>
      <w:r>
        <w:fldChar w:fldCharType="begin"/>
      </w:r>
      <w:r>
        <w:instrText xml:space="preserve"> PAGEREF _Toc361651510 \h </w:instrText>
      </w:r>
      <w:r>
        <w:fldChar w:fldCharType="separate"/>
      </w:r>
      <w:r w:rsidR="00751BC4">
        <w:t>45</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28.</w:t>
      </w:r>
      <w:r w:rsidRPr="001E43AE">
        <w:rPr>
          <w:lang w:val="en-AU"/>
        </w:rPr>
        <w:t xml:space="preserve"> Percentage of clay-silt (upper image) and sand (lower image) content in surface sediments within 50 km from the Port of Gladstone (source: Geoscience Australia marine samples database 2007).</w:t>
      </w:r>
      <w:r>
        <w:tab/>
      </w:r>
      <w:r>
        <w:fldChar w:fldCharType="begin"/>
      </w:r>
      <w:r>
        <w:instrText xml:space="preserve"> PAGEREF _Toc361651511 \h </w:instrText>
      </w:r>
      <w:r>
        <w:fldChar w:fldCharType="separate"/>
      </w:r>
      <w:r w:rsidR="00751BC4">
        <w:t>46</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29.</w:t>
      </w:r>
      <w:r w:rsidRPr="001E43AE">
        <w:rPr>
          <w:lang w:val="en-AU"/>
        </w:rPr>
        <w:t xml:space="preserve"> Distribution of the 50</w:t>
      </w:r>
      <w:r w:rsidRPr="001E43AE">
        <w:rPr>
          <w:vertAlign w:val="superscript"/>
          <w:lang w:val="en-AU"/>
        </w:rPr>
        <w:t>th</w:t>
      </w:r>
      <w:r w:rsidRPr="001E43AE">
        <w:rPr>
          <w:lang w:val="en-AU"/>
        </w:rPr>
        <w:t xml:space="preserve"> (upper) and 95</w:t>
      </w:r>
      <w:r w:rsidRPr="001E43AE">
        <w:rPr>
          <w:vertAlign w:val="superscript"/>
          <w:lang w:val="en-AU"/>
        </w:rPr>
        <w:t>th</w:t>
      </w:r>
      <w:r w:rsidRPr="001E43AE">
        <w:rPr>
          <w:lang w:val="en-AU"/>
        </w:rPr>
        <w:t xml:space="preserve"> (lower image) percentile bed shear-stress estimates within 50 km from Rosslyn Bay State Boat Harbour. The estimates were </w:t>
      </w:r>
      <w:r w:rsidRPr="001E43AE">
        <w:rPr>
          <w:lang w:val="en-AU" w:eastAsia="en-AU"/>
        </w:rPr>
        <w:t xml:space="preserve">calculated at hourly steps for each grid cell during 2011 current and wave conditions. </w:t>
      </w:r>
      <w:r w:rsidRPr="001E43AE">
        <w:rPr>
          <w:lang w:val="en-AU"/>
        </w:rPr>
        <w:t>The insets show a close-up view of the bed shear-stress estimates adjacent to the existing disposal site.</w:t>
      </w:r>
      <w:r>
        <w:tab/>
      </w:r>
      <w:r>
        <w:fldChar w:fldCharType="begin"/>
      </w:r>
      <w:r>
        <w:instrText xml:space="preserve"> PAGEREF _Toc361651512 \h </w:instrText>
      </w:r>
      <w:r>
        <w:fldChar w:fldCharType="separate"/>
      </w:r>
      <w:r w:rsidR="00751BC4">
        <w:t>48</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30.</w:t>
      </w:r>
      <w:r w:rsidRPr="001E43AE">
        <w:rPr>
          <w:lang w:val="en-AU"/>
        </w:rPr>
        <w:t xml:space="preserve"> Percentage for clay-silt (upper image) and sand (lower image) content in surface sediments within 50 km from Rosslyn Bay State Boat Harbour (source: Geoscience Australia marine samples database 2007).</w:t>
      </w:r>
      <w:r>
        <w:tab/>
      </w:r>
      <w:r>
        <w:fldChar w:fldCharType="begin"/>
      </w:r>
      <w:r>
        <w:instrText xml:space="preserve"> PAGEREF _Toc361651513 \h </w:instrText>
      </w:r>
      <w:r>
        <w:fldChar w:fldCharType="separate"/>
      </w:r>
      <w:r w:rsidR="00751BC4">
        <w:t>49</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lastRenderedPageBreak/>
        <w:t>Figure 31</w:t>
      </w:r>
      <w:r w:rsidRPr="001E43AE">
        <w:rPr>
          <w:lang w:val="en-AU"/>
        </w:rPr>
        <w:t>. Distribution of the 50</w:t>
      </w:r>
      <w:r w:rsidRPr="001E43AE">
        <w:rPr>
          <w:vertAlign w:val="superscript"/>
          <w:lang w:val="en-AU"/>
        </w:rPr>
        <w:t>th</w:t>
      </w:r>
      <w:r w:rsidRPr="001E43AE">
        <w:rPr>
          <w:lang w:val="en-AU"/>
        </w:rPr>
        <w:t xml:space="preserve"> (upper) and 95</w:t>
      </w:r>
      <w:r w:rsidRPr="001E43AE">
        <w:rPr>
          <w:vertAlign w:val="superscript"/>
          <w:lang w:val="en-AU"/>
        </w:rPr>
        <w:t>th</w:t>
      </w:r>
      <w:r w:rsidRPr="001E43AE">
        <w:rPr>
          <w:lang w:val="en-AU"/>
        </w:rPr>
        <w:t xml:space="preserve"> (lower image) percentile bed shear-stress estimates within 50 km from the Port of Hay Point. The estimates were calculated at hourly steps for each grid cell during 2011 current and wave conditions. The insets show a close-up view of the bed shear-stress estimates adjacent to the existing disposal site.</w:t>
      </w:r>
      <w:r>
        <w:tab/>
      </w:r>
      <w:r>
        <w:fldChar w:fldCharType="begin"/>
      </w:r>
      <w:r>
        <w:instrText xml:space="preserve"> PAGEREF _Toc361651514 \h </w:instrText>
      </w:r>
      <w:r>
        <w:fldChar w:fldCharType="separate"/>
      </w:r>
      <w:r w:rsidR="00751BC4">
        <w:t>51</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32</w:t>
      </w:r>
      <w:r w:rsidRPr="001E43AE">
        <w:rPr>
          <w:lang w:val="en-AU"/>
        </w:rPr>
        <w:t>. Percentage for clay-silt (upper image) and sand (lower image) content in surface sediments within 50 km from the Port of Hay Point (source: Geoscience Australia marine samples database 2007).</w:t>
      </w:r>
      <w:r>
        <w:tab/>
      </w:r>
      <w:r>
        <w:fldChar w:fldCharType="begin"/>
      </w:r>
      <w:r>
        <w:instrText xml:space="preserve"> PAGEREF _Toc361651515 \h </w:instrText>
      </w:r>
      <w:r>
        <w:fldChar w:fldCharType="separate"/>
      </w:r>
      <w:r w:rsidR="00751BC4">
        <w:t>52</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33.</w:t>
      </w:r>
      <w:r w:rsidRPr="001E43AE">
        <w:rPr>
          <w:lang w:val="en-AU"/>
        </w:rPr>
        <w:t xml:space="preserve"> Distribution of the 50</w:t>
      </w:r>
      <w:r w:rsidRPr="001E43AE">
        <w:rPr>
          <w:vertAlign w:val="superscript"/>
          <w:lang w:val="en-AU"/>
        </w:rPr>
        <w:t>th</w:t>
      </w:r>
      <w:r w:rsidRPr="001E43AE">
        <w:rPr>
          <w:lang w:val="en-AU"/>
        </w:rPr>
        <w:t xml:space="preserve"> (upper) and 95</w:t>
      </w:r>
      <w:r w:rsidRPr="001E43AE">
        <w:rPr>
          <w:vertAlign w:val="superscript"/>
          <w:lang w:val="en-AU"/>
        </w:rPr>
        <w:t>th</w:t>
      </w:r>
      <w:r w:rsidRPr="001E43AE">
        <w:rPr>
          <w:lang w:val="en-AU"/>
        </w:rPr>
        <w:t xml:space="preserve"> (lower image) percentile bed shear-stress estimates within 50 km from the Port of Mackay. The estimates were </w:t>
      </w:r>
      <w:r w:rsidRPr="001E43AE">
        <w:rPr>
          <w:lang w:val="en-AU" w:eastAsia="en-AU"/>
        </w:rPr>
        <w:t xml:space="preserve">calculated at hourly steps for each grid cell during 2011 current and wave conditions. </w:t>
      </w:r>
      <w:r w:rsidRPr="001E43AE">
        <w:rPr>
          <w:lang w:val="en-AU"/>
        </w:rPr>
        <w:t>The insets show a close-up view of the bed shear-stress estimates adjacent to the existing disposal site.</w:t>
      </w:r>
      <w:r>
        <w:tab/>
      </w:r>
      <w:r>
        <w:fldChar w:fldCharType="begin"/>
      </w:r>
      <w:r>
        <w:instrText xml:space="preserve"> PAGEREF _Toc361651516 \h </w:instrText>
      </w:r>
      <w:r>
        <w:fldChar w:fldCharType="separate"/>
      </w:r>
      <w:r w:rsidR="00751BC4">
        <w:t>54</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34.</w:t>
      </w:r>
      <w:r w:rsidRPr="001E43AE">
        <w:rPr>
          <w:lang w:val="en-AU"/>
        </w:rPr>
        <w:t xml:space="preserve"> Percentage for clay-silt (upper image) and sand (lower image) content in surface sediments within 50 km from the Port of Mackay (source: Geoscience Australia marine samples database 2007).</w:t>
      </w:r>
      <w:r>
        <w:tab/>
      </w:r>
      <w:r>
        <w:fldChar w:fldCharType="begin"/>
      </w:r>
      <w:r>
        <w:instrText xml:space="preserve"> PAGEREF _Toc361651517 \h </w:instrText>
      </w:r>
      <w:r>
        <w:fldChar w:fldCharType="separate"/>
      </w:r>
      <w:r w:rsidR="00751BC4">
        <w:t>55</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35.</w:t>
      </w:r>
      <w:r w:rsidRPr="001E43AE">
        <w:rPr>
          <w:lang w:val="en-AU"/>
        </w:rPr>
        <w:t xml:space="preserve"> Distribution of the 50</w:t>
      </w:r>
      <w:r w:rsidRPr="001E43AE">
        <w:rPr>
          <w:vertAlign w:val="superscript"/>
          <w:lang w:val="en-AU"/>
        </w:rPr>
        <w:t>th</w:t>
      </w:r>
      <w:r w:rsidRPr="001E43AE">
        <w:rPr>
          <w:lang w:val="en-AU"/>
        </w:rPr>
        <w:t xml:space="preserve"> (upper) and 95</w:t>
      </w:r>
      <w:r w:rsidRPr="001E43AE">
        <w:rPr>
          <w:vertAlign w:val="superscript"/>
          <w:lang w:val="en-AU"/>
        </w:rPr>
        <w:t>th</w:t>
      </w:r>
      <w:r w:rsidRPr="001E43AE">
        <w:rPr>
          <w:lang w:val="en-AU"/>
        </w:rPr>
        <w:t xml:space="preserve"> (lower image) percentile bed shear-stress estimates within 50 km from the Port of Abbot Point. The estimates were </w:t>
      </w:r>
      <w:r w:rsidRPr="001E43AE">
        <w:rPr>
          <w:lang w:val="en-AU" w:eastAsia="en-AU"/>
        </w:rPr>
        <w:t xml:space="preserve">calculated at hourly steps for each grid cell during 2011 current and wave conditions. </w:t>
      </w:r>
      <w:r w:rsidRPr="001E43AE">
        <w:rPr>
          <w:lang w:val="en-AU"/>
        </w:rPr>
        <w:t>The insets show a close-up view of the bed shear-stress estimates adjacent to the existing disposal site.</w:t>
      </w:r>
      <w:r>
        <w:tab/>
      </w:r>
      <w:r>
        <w:fldChar w:fldCharType="begin"/>
      </w:r>
      <w:r>
        <w:instrText xml:space="preserve"> PAGEREF _Toc361651518 \h </w:instrText>
      </w:r>
      <w:r>
        <w:fldChar w:fldCharType="separate"/>
      </w:r>
      <w:r w:rsidR="00751BC4">
        <w:t>56</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36</w:t>
      </w:r>
      <w:r w:rsidRPr="001E43AE">
        <w:rPr>
          <w:lang w:val="en-AU"/>
        </w:rPr>
        <w:t>. Percentage for clay-silt (upper image) and sand (lower image) content in surface sediments within 50 km from the Port of Abbot Point (source Geoscience Australia marine samples database 2007).</w:t>
      </w:r>
      <w:r>
        <w:tab/>
      </w:r>
      <w:r>
        <w:fldChar w:fldCharType="begin"/>
      </w:r>
      <w:r>
        <w:instrText xml:space="preserve"> PAGEREF _Toc361651519 \h </w:instrText>
      </w:r>
      <w:r>
        <w:fldChar w:fldCharType="separate"/>
      </w:r>
      <w:r w:rsidR="00751BC4">
        <w:t>57</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37</w:t>
      </w:r>
      <w:r w:rsidRPr="001E43AE">
        <w:rPr>
          <w:lang w:val="en-AU"/>
        </w:rPr>
        <w:t>. Distribution of the 50</w:t>
      </w:r>
      <w:r w:rsidRPr="001E43AE">
        <w:rPr>
          <w:vertAlign w:val="superscript"/>
          <w:lang w:val="en-AU"/>
        </w:rPr>
        <w:t>th</w:t>
      </w:r>
      <w:r w:rsidRPr="001E43AE">
        <w:rPr>
          <w:lang w:val="en-AU"/>
        </w:rPr>
        <w:t xml:space="preserve"> (upper) and 95</w:t>
      </w:r>
      <w:r w:rsidRPr="001E43AE">
        <w:rPr>
          <w:vertAlign w:val="superscript"/>
          <w:lang w:val="en-AU"/>
        </w:rPr>
        <w:t>th</w:t>
      </w:r>
      <w:r w:rsidRPr="001E43AE">
        <w:rPr>
          <w:lang w:val="en-AU"/>
        </w:rPr>
        <w:t xml:space="preserve"> (lower image) percentile bed shear-stress estimates within 50 km from the Port of Townsville. The estimates were </w:t>
      </w:r>
      <w:r w:rsidRPr="001E43AE">
        <w:rPr>
          <w:lang w:val="en-AU" w:eastAsia="en-AU"/>
        </w:rPr>
        <w:t xml:space="preserve">calculated at hourly steps for each grid cell during 2011 current and wave conditions. </w:t>
      </w:r>
      <w:r w:rsidRPr="001E43AE">
        <w:rPr>
          <w:lang w:val="en-AU"/>
        </w:rPr>
        <w:t>The insets show a close-up view of the bed shear-stress estimates adjacent to the existing disposal site.</w:t>
      </w:r>
      <w:r>
        <w:tab/>
      </w:r>
      <w:r>
        <w:fldChar w:fldCharType="begin"/>
      </w:r>
      <w:r>
        <w:instrText xml:space="preserve"> PAGEREF _Toc361651520 \h </w:instrText>
      </w:r>
      <w:r>
        <w:fldChar w:fldCharType="separate"/>
      </w:r>
      <w:r w:rsidR="00751BC4">
        <w:t>59</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38</w:t>
      </w:r>
      <w:r w:rsidRPr="001E43AE">
        <w:rPr>
          <w:lang w:val="en-AU"/>
        </w:rPr>
        <w:t>. Percentage for clay-silt (upper image) and sand (lower image) content in surface sediments within 50 km from the Port of Townsville (source Geoscience Australia marine samples database 2007).</w:t>
      </w:r>
      <w:r>
        <w:tab/>
      </w:r>
      <w:r>
        <w:fldChar w:fldCharType="begin"/>
      </w:r>
      <w:r>
        <w:instrText xml:space="preserve"> PAGEREF _Toc361651521 \h </w:instrText>
      </w:r>
      <w:r>
        <w:fldChar w:fldCharType="separate"/>
      </w:r>
      <w:r w:rsidR="00751BC4">
        <w:t>60</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39</w:t>
      </w:r>
      <w:r w:rsidRPr="001E43AE">
        <w:rPr>
          <w:lang w:val="en-AU"/>
        </w:rPr>
        <w:t>. Distribution of the 50</w:t>
      </w:r>
      <w:r w:rsidRPr="001E43AE">
        <w:rPr>
          <w:vertAlign w:val="superscript"/>
          <w:lang w:val="en-AU"/>
        </w:rPr>
        <w:t>th</w:t>
      </w:r>
      <w:r w:rsidRPr="001E43AE">
        <w:rPr>
          <w:lang w:val="en-AU"/>
        </w:rPr>
        <w:t xml:space="preserve"> (upper image) and 95</w:t>
      </w:r>
      <w:r w:rsidRPr="001E43AE">
        <w:rPr>
          <w:vertAlign w:val="superscript"/>
          <w:lang w:val="en-AU"/>
        </w:rPr>
        <w:t>th</w:t>
      </w:r>
      <w:r w:rsidRPr="001E43AE">
        <w:rPr>
          <w:lang w:val="en-AU"/>
        </w:rPr>
        <w:t xml:space="preserve"> (lower image) percentile bed shear-stress estimates within 50 km from the Port of Lucinda. The estimates were </w:t>
      </w:r>
      <w:r w:rsidRPr="001E43AE">
        <w:rPr>
          <w:lang w:val="en-AU" w:eastAsia="en-AU"/>
        </w:rPr>
        <w:t xml:space="preserve">calculated at hourly steps for each grid cell during 2011 current and wave conditions. </w:t>
      </w:r>
      <w:r w:rsidRPr="001E43AE">
        <w:rPr>
          <w:lang w:val="en-AU"/>
        </w:rPr>
        <w:t>The insets show a close-up view of the bed shear-stress estimates adjacent to the existing disposal site.</w:t>
      </w:r>
      <w:r>
        <w:tab/>
      </w:r>
      <w:r>
        <w:fldChar w:fldCharType="begin"/>
      </w:r>
      <w:r>
        <w:instrText xml:space="preserve"> PAGEREF _Toc361651522 \h </w:instrText>
      </w:r>
      <w:r>
        <w:fldChar w:fldCharType="separate"/>
      </w:r>
      <w:r w:rsidR="00751BC4">
        <w:t>62</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40</w:t>
      </w:r>
      <w:r w:rsidRPr="001E43AE">
        <w:rPr>
          <w:lang w:val="en-AU"/>
        </w:rPr>
        <w:t>. Percentage clay-silt (upper image) and sand (lower image) content in surface sediments within 50 km from the Port of Lucinda (source: Geoscience Australia marine samples database 2007).</w:t>
      </w:r>
      <w:r>
        <w:tab/>
      </w:r>
      <w:r>
        <w:fldChar w:fldCharType="begin"/>
      </w:r>
      <w:r>
        <w:instrText xml:space="preserve"> PAGEREF _Toc361651523 \h </w:instrText>
      </w:r>
      <w:r>
        <w:fldChar w:fldCharType="separate"/>
      </w:r>
      <w:r w:rsidR="00751BC4">
        <w:t>63</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41</w:t>
      </w:r>
      <w:r w:rsidRPr="001E43AE">
        <w:rPr>
          <w:lang w:val="en-AU"/>
        </w:rPr>
        <w:t>. Distribution of the 50</w:t>
      </w:r>
      <w:r w:rsidRPr="001E43AE">
        <w:rPr>
          <w:vertAlign w:val="superscript"/>
          <w:lang w:val="en-AU"/>
        </w:rPr>
        <w:t>th</w:t>
      </w:r>
      <w:r w:rsidRPr="001E43AE">
        <w:rPr>
          <w:lang w:val="en-AU"/>
        </w:rPr>
        <w:t xml:space="preserve"> (upper image) and 95</w:t>
      </w:r>
      <w:r w:rsidRPr="001E43AE">
        <w:rPr>
          <w:vertAlign w:val="superscript"/>
          <w:lang w:val="en-AU"/>
        </w:rPr>
        <w:t>th</w:t>
      </w:r>
      <w:r w:rsidRPr="001E43AE">
        <w:rPr>
          <w:lang w:val="en-AU"/>
        </w:rPr>
        <w:t xml:space="preserve"> (lower image) percentile bed shear-stress estimates within 50 km from the Port of Mourilyan. The estimates were </w:t>
      </w:r>
      <w:r w:rsidRPr="001E43AE">
        <w:rPr>
          <w:lang w:val="en-AU" w:eastAsia="en-AU"/>
        </w:rPr>
        <w:t xml:space="preserve">calculated at hourly steps for each grid cell during 2011 current and wave conditions. </w:t>
      </w:r>
      <w:r w:rsidRPr="001E43AE">
        <w:rPr>
          <w:lang w:val="en-AU"/>
        </w:rPr>
        <w:t>The insets show a close-up view of the bed shear-stress estimates adjacent to the existing disposal site.</w:t>
      </w:r>
      <w:r>
        <w:tab/>
      </w:r>
      <w:r>
        <w:fldChar w:fldCharType="begin"/>
      </w:r>
      <w:r>
        <w:instrText xml:space="preserve"> PAGEREF _Toc361651524 \h </w:instrText>
      </w:r>
      <w:r>
        <w:fldChar w:fldCharType="separate"/>
      </w:r>
      <w:r w:rsidR="00751BC4">
        <w:t>65</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42</w:t>
      </w:r>
      <w:r w:rsidRPr="001E43AE">
        <w:rPr>
          <w:lang w:val="en-AU"/>
        </w:rPr>
        <w:t>. Percentage clay-silt (upper image) and sand (lower image) content in surface sediments within 50 km from the Port of Mourilyan (source: Geoscience Australia marine samples database 2007).</w:t>
      </w:r>
      <w:r>
        <w:tab/>
      </w:r>
      <w:r>
        <w:fldChar w:fldCharType="begin"/>
      </w:r>
      <w:r>
        <w:instrText xml:space="preserve"> PAGEREF _Toc361651525 \h </w:instrText>
      </w:r>
      <w:r>
        <w:fldChar w:fldCharType="separate"/>
      </w:r>
      <w:r w:rsidR="00751BC4">
        <w:t>66</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43</w:t>
      </w:r>
      <w:r w:rsidRPr="001E43AE">
        <w:rPr>
          <w:lang w:val="en-AU"/>
        </w:rPr>
        <w:t>. Distribution of the 50</w:t>
      </w:r>
      <w:r w:rsidRPr="001E43AE">
        <w:rPr>
          <w:vertAlign w:val="superscript"/>
          <w:lang w:val="en-AU"/>
        </w:rPr>
        <w:t>th</w:t>
      </w:r>
      <w:r w:rsidRPr="001E43AE">
        <w:rPr>
          <w:lang w:val="en-AU"/>
        </w:rPr>
        <w:t xml:space="preserve"> (upper image) and 95</w:t>
      </w:r>
      <w:r w:rsidRPr="001E43AE">
        <w:rPr>
          <w:vertAlign w:val="superscript"/>
          <w:lang w:val="en-AU"/>
        </w:rPr>
        <w:t>th</w:t>
      </w:r>
      <w:r w:rsidRPr="001E43AE">
        <w:rPr>
          <w:lang w:val="en-AU"/>
        </w:rPr>
        <w:t xml:space="preserve"> (lower image) percentile bed shear-stress estimates within 50 km from the Port of Cairns. The estimates were </w:t>
      </w:r>
      <w:r w:rsidRPr="001E43AE">
        <w:rPr>
          <w:lang w:val="en-AU" w:eastAsia="en-AU"/>
        </w:rPr>
        <w:t xml:space="preserve">calculated at hourly steps for each grid cell during 2011 current and wave conditions. </w:t>
      </w:r>
      <w:r w:rsidRPr="001E43AE">
        <w:rPr>
          <w:lang w:val="en-AU"/>
        </w:rPr>
        <w:t>The insets show a close-up view of the bed shear-stress estimates adjacent to the existing disposal site.</w:t>
      </w:r>
      <w:r>
        <w:tab/>
      </w:r>
      <w:r>
        <w:fldChar w:fldCharType="begin"/>
      </w:r>
      <w:r>
        <w:instrText xml:space="preserve"> PAGEREF _Toc361651526 \h </w:instrText>
      </w:r>
      <w:r>
        <w:fldChar w:fldCharType="separate"/>
      </w:r>
      <w:r w:rsidR="00751BC4">
        <w:t>68</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44</w:t>
      </w:r>
      <w:r w:rsidRPr="001E43AE">
        <w:rPr>
          <w:lang w:val="en-AU"/>
        </w:rPr>
        <w:t>. Percentage clay-silt (upper image) and sand (lower image) content in surface sediments within 50 km from the Port of Cairns (source: Geoscience Australia marine samples database 2007).</w:t>
      </w:r>
      <w:r>
        <w:tab/>
      </w:r>
      <w:r>
        <w:fldChar w:fldCharType="begin"/>
      </w:r>
      <w:r>
        <w:instrText xml:space="preserve"> PAGEREF _Toc361651527 \h </w:instrText>
      </w:r>
      <w:r>
        <w:fldChar w:fldCharType="separate"/>
      </w:r>
      <w:r w:rsidR="00751BC4">
        <w:t>69</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45</w:t>
      </w:r>
      <w:r w:rsidRPr="001E43AE">
        <w:rPr>
          <w:lang w:val="en-AU"/>
        </w:rPr>
        <w:t>. Distribution of the 50</w:t>
      </w:r>
      <w:r w:rsidRPr="001E43AE">
        <w:rPr>
          <w:vertAlign w:val="superscript"/>
          <w:lang w:val="en-AU"/>
        </w:rPr>
        <w:t>th</w:t>
      </w:r>
      <w:r w:rsidRPr="001E43AE">
        <w:rPr>
          <w:lang w:val="en-AU"/>
        </w:rPr>
        <w:t xml:space="preserve"> (upper image) and 95</w:t>
      </w:r>
      <w:r w:rsidRPr="001E43AE">
        <w:rPr>
          <w:vertAlign w:val="superscript"/>
          <w:lang w:val="en-AU"/>
        </w:rPr>
        <w:t>th</w:t>
      </w:r>
      <w:r w:rsidRPr="001E43AE">
        <w:rPr>
          <w:lang w:val="en-AU"/>
        </w:rPr>
        <w:t xml:space="preserve"> (lower image) percentile bed shear-stress estimates within 50 km from the Port of Cooktown. The estimates were </w:t>
      </w:r>
      <w:r w:rsidRPr="001E43AE">
        <w:rPr>
          <w:lang w:val="en-AU" w:eastAsia="en-AU"/>
        </w:rPr>
        <w:t xml:space="preserve">calculated at hourly steps for each grid cell during 2011 current and wave conditions. </w:t>
      </w:r>
      <w:r w:rsidRPr="001E43AE">
        <w:rPr>
          <w:lang w:val="en-AU"/>
        </w:rPr>
        <w:t>The insets show a close-up view of the bed shear-stress estimates adjacent to the existing disposal site.</w:t>
      </w:r>
      <w:r>
        <w:tab/>
      </w:r>
      <w:r>
        <w:fldChar w:fldCharType="begin"/>
      </w:r>
      <w:r>
        <w:instrText xml:space="preserve"> PAGEREF _Toc361651528 \h </w:instrText>
      </w:r>
      <w:r>
        <w:fldChar w:fldCharType="separate"/>
      </w:r>
      <w:r w:rsidR="00751BC4">
        <w:t>71</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lastRenderedPageBreak/>
        <w:t>Figure 46</w:t>
      </w:r>
      <w:r w:rsidRPr="001E43AE">
        <w:rPr>
          <w:lang w:val="en-AU"/>
        </w:rPr>
        <w:t>. Percentage clay-silt (upper image) and sand (lower image) content in surface sediments within 50 km from the Port of Cooktown (source: Geoscience Australia marine samples database 2007).</w:t>
      </w:r>
      <w:r>
        <w:tab/>
      </w:r>
      <w:r>
        <w:fldChar w:fldCharType="begin"/>
      </w:r>
      <w:r>
        <w:instrText xml:space="preserve"> PAGEREF _Toc361651529 \h </w:instrText>
      </w:r>
      <w:r>
        <w:fldChar w:fldCharType="separate"/>
      </w:r>
      <w:r w:rsidR="00751BC4">
        <w:t>72</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47</w:t>
      </w:r>
      <w:r w:rsidRPr="001E43AE">
        <w:rPr>
          <w:lang w:val="en-AU"/>
        </w:rPr>
        <w:t>. Distribution of the 50</w:t>
      </w:r>
      <w:r w:rsidRPr="001E43AE">
        <w:rPr>
          <w:vertAlign w:val="superscript"/>
          <w:lang w:val="en-AU"/>
        </w:rPr>
        <w:t>th</w:t>
      </w:r>
      <w:r w:rsidRPr="001E43AE">
        <w:rPr>
          <w:lang w:val="en-AU"/>
        </w:rPr>
        <w:t xml:space="preserve"> (upper image) and 95</w:t>
      </w:r>
      <w:r w:rsidRPr="001E43AE">
        <w:rPr>
          <w:vertAlign w:val="superscript"/>
          <w:lang w:val="en-AU"/>
        </w:rPr>
        <w:t>th</w:t>
      </w:r>
      <w:r w:rsidRPr="001E43AE">
        <w:rPr>
          <w:lang w:val="en-AU"/>
        </w:rPr>
        <w:t xml:space="preserve"> (lower image) percentile bed shear-stress estimates within 50 km from the Port of Cape Flattery. The estimates were </w:t>
      </w:r>
      <w:r w:rsidRPr="001E43AE">
        <w:rPr>
          <w:lang w:val="en-AU" w:eastAsia="en-AU"/>
        </w:rPr>
        <w:t xml:space="preserve">calculated at hourly steps for each grid cell during 2011 current and wave conditions. </w:t>
      </w:r>
      <w:r w:rsidRPr="001E43AE">
        <w:rPr>
          <w:lang w:val="en-AU"/>
        </w:rPr>
        <w:t>The insets show a close-up view of the bed shear-stress estimates adjacent to the existing disposal site.</w:t>
      </w:r>
      <w:r>
        <w:tab/>
      </w:r>
      <w:r>
        <w:fldChar w:fldCharType="begin"/>
      </w:r>
      <w:r>
        <w:instrText xml:space="preserve"> PAGEREF _Toc361651530 \h </w:instrText>
      </w:r>
      <w:r>
        <w:fldChar w:fldCharType="separate"/>
      </w:r>
      <w:r w:rsidR="00751BC4">
        <w:t>73</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48</w:t>
      </w:r>
      <w:r w:rsidRPr="001E43AE">
        <w:rPr>
          <w:lang w:val="en-AU"/>
        </w:rPr>
        <w:t>. Percentage clay-silt (upper image) and sand (lower image) content in surface sediments within 50 km from the Port of Cape Flattery (source: Geoscience Australia marine samples database 2007).</w:t>
      </w:r>
      <w:r>
        <w:tab/>
      </w:r>
      <w:r>
        <w:fldChar w:fldCharType="begin"/>
      </w:r>
      <w:r>
        <w:instrText xml:space="preserve"> PAGEREF _Toc361651531 \h </w:instrText>
      </w:r>
      <w:r>
        <w:fldChar w:fldCharType="separate"/>
      </w:r>
      <w:r w:rsidR="00751BC4">
        <w:t>74</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49.</w:t>
      </w:r>
      <w:r w:rsidRPr="001E43AE">
        <w:rPr>
          <w:lang w:val="en-AU"/>
        </w:rPr>
        <w:t xml:space="preserve"> Distribution of the 50</w:t>
      </w:r>
      <w:r w:rsidRPr="001E43AE">
        <w:rPr>
          <w:vertAlign w:val="superscript"/>
          <w:lang w:val="en-AU"/>
        </w:rPr>
        <w:t>th</w:t>
      </w:r>
      <w:r w:rsidRPr="001E43AE">
        <w:rPr>
          <w:lang w:val="en-AU"/>
        </w:rPr>
        <w:t xml:space="preserve"> (upper image) and 95</w:t>
      </w:r>
      <w:r w:rsidRPr="001E43AE">
        <w:rPr>
          <w:vertAlign w:val="superscript"/>
          <w:lang w:val="en-AU"/>
        </w:rPr>
        <w:t>th</w:t>
      </w:r>
      <w:r w:rsidRPr="001E43AE">
        <w:rPr>
          <w:lang w:val="en-AU"/>
        </w:rPr>
        <w:t xml:space="preserve"> (lower image) percentile bed shear-stress estimates within 50 km from the Port of Quintell Beach. The estimates were </w:t>
      </w:r>
      <w:r w:rsidRPr="001E43AE">
        <w:rPr>
          <w:lang w:val="en-AU" w:eastAsia="en-AU"/>
        </w:rPr>
        <w:t xml:space="preserve">calculated at hourly steps for each grid cell during 2011 current and wave conditions. </w:t>
      </w:r>
      <w:r w:rsidRPr="001E43AE">
        <w:rPr>
          <w:lang w:val="en-AU"/>
        </w:rPr>
        <w:t>The insets show a close-up view of the bed shear-stress estimates adjacent to the existing disposal site.</w:t>
      </w:r>
      <w:r>
        <w:tab/>
      </w:r>
      <w:r>
        <w:fldChar w:fldCharType="begin"/>
      </w:r>
      <w:r>
        <w:instrText xml:space="preserve"> PAGEREF _Toc361651532 \h </w:instrText>
      </w:r>
      <w:r>
        <w:fldChar w:fldCharType="separate"/>
      </w:r>
      <w:r w:rsidR="00751BC4">
        <w:t>76</w:t>
      </w:r>
      <w:r>
        <w:fldChar w:fldCharType="end"/>
      </w:r>
    </w:p>
    <w:p w:rsidR="007D27C8" w:rsidRDefault="007D27C8" w:rsidP="007D27C8">
      <w:pPr>
        <w:pStyle w:val="TableofFigures"/>
        <w:tabs>
          <w:tab w:val="clear" w:pos="8505"/>
          <w:tab w:val="right" w:pos="9072"/>
        </w:tabs>
        <w:rPr>
          <w:rFonts w:asciiTheme="minorHAnsi" w:eastAsiaTheme="minorEastAsia" w:hAnsiTheme="minorHAnsi" w:cstheme="minorBidi"/>
          <w:color w:val="auto"/>
          <w:sz w:val="22"/>
          <w:szCs w:val="22"/>
          <w:lang w:val="en-AU" w:eastAsia="en-AU"/>
        </w:rPr>
      </w:pPr>
      <w:r w:rsidRPr="001E43AE">
        <w:rPr>
          <w:b/>
          <w:lang w:val="en-AU"/>
        </w:rPr>
        <w:t>Figure 50</w:t>
      </w:r>
      <w:r w:rsidRPr="001E43AE">
        <w:rPr>
          <w:lang w:val="en-AU"/>
        </w:rPr>
        <w:t>. Percentage clay-silt (upper image) and sand (lower image) content in surface sediments within 50 km from the Port of Quintell Beach (source: Geoscience Australia marine samples database 2007).</w:t>
      </w:r>
      <w:r>
        <w:tab/>
      </w:r>
      <w:r>
        <w:fldChar w:fldCharType="begin"/>
      </w:r>
      <w:r>
        <w:instrText xml:space="preserve"> PAGEREF _Toc361651533 \h </w:instrText>
      </w:r>
      <w:r>
        <w:fldChar w:fldCharType="separate"/>
      </w:r>
      <w:r w:rsidR="00751BC4">
        <w:t>77</w:t>
      </w:r>
      <w:r>
        <w:fldChar w:fldCharType="end"/>
      </w:r>
    </w:p>
    <w:p w:rsidR="00DE74C2" w:rsidRDefault="005F6FF5" w:rsidP="00F21041">
      <w:pPr>
        <w:tabs>
          <w:tab w:val="right" w:pos="9072"/>
        </w:tabs>
        <w:spacing w:after="0" w:line="240" w:lineRule="auto"/>
        <w:jc w:val="left"/>
        <w:rPr>
          <w:lang w:val="en-AU"/>
        </w:rPr>
      </w:pPr>
      <w:r w:rsidRPr="007D6EB4">
        <w:rPr>
          <w:lang w:val="en-AU"/>
        </w:rPr>
        <w:fldChar w:fldCharType="end"/>
      </w:r>
      <w:r w:rsidR="00DE74C2">
        <w:rPr>
          <w:lang w:val="en-AU"/>
        </w:rPr>
        <w:br w:type="page"/>
      </w:r>
    </w:p>
    <w:p w:rsidR="004F566A" w:rsidRPr="007D6EB4" w:rsidRDefault="004F566A" w:rsidP="004F566A">
      <w:pPr>
        <w:pStyle w:val="Head1manual"/>
        <w:outlineLvl w:val="0"/>
        <w:rPr>
          <w:lang w:val="en-AU"/>
        </w:rPr>
      </w:pPr>
      <w:r>
        <w:rPr>
          <w:lang w:val="en-AU"/>
        </w:rPr>
        <w:lastRenderedPageBreak/>
        <w:t>Tables</w:t>
      </w:r>
    </w:p>
    <w:p w:rsidR="003443BD" w:rsidRDefault="005F6FF5">
      <w:pPr>
        <w:pStyle w:val="TableofFigures"/>
        <w:rPr>
          <w:rFonts w:asciiTheme="minorHAnsi" w:eastAsiaTheme="minorEastAsia" w:hAnsiTheme="minorHAnsi" w:cstheme="minorBidi"/>
          <w:color w:val="auto"/>
          <w:sz w:val="22"/>
          <w:szCs w:val="22"/>
          <w:lang w:val="en-AU" w:eastAsia="en-AU"/>
        </w:rPr>
      </w:pPr>
      <w:r>
        <w:rPr>
          <w:lang w:val="en-AU"/>
        </w:rPr>
        <w:fldChar w:fldCharType="begin"/>
      </w:r>
      <w:r w:rsidR="004F566A">
        <w:rPr>
          <w:lang w:val="en-AU"/>
        </w:rPr>
        <w:instrText xml:space="preserve"> TOC \h \z \c "Table" </w:instrText>
      </w:r>
      <w:r>
        <w:rPr>
          <w:lang w:val="en-AU"/>
        </w:rPr>
        <w:fldChar w:fldCharType="separate"/>
      </w:r>
      <w:hyperlink w:anchor="_Toc360779373" w:history="1">
        <w:r w:rsidR="003443BD" w:rsidRPr="005F279A">
          <w:rPr>
            <w:rStyle w:val="Hyperlink"/>
            <w:b/>
          </w:rPr>
          <w:t>Table 1</w:t>
        </w:r>
        <w:r w:rsidR="003443BD" w:rsidRPr="005F279A">
          <w:rPr>
            <w:rStyle w:val="Hyperlink"/>
          </w:rPr>
          <w:t xml:space="preserve"> Statistical comparison between the measured and predicted water elevation at Gladstone, Rosslyn Bay and Hay Point from 1</w:t>
        </w:r>
        <w:r w:rsidR="003443BD" w:rsidRPr="005F279A">
          <w:rPr>
            <w:rStyle w:val="Hyperlink"/>
            <w:vertAlign w:val="superscript"/>
          </w:rPr>
          <w:t xml:space="preserve"> </w:t>
        </w:r>
        <w:r w:rsidR="003443BD" w:rsidRPr="005F279A">
          <w:rPr>
            <w:rStyle w:val="Hyperlink"/>
          </w:rPr>
          <w:t>to 30 November 2011.</w:t>
        </w:r>
        <w:r w:rsidR="003443BD">
          <w:rPr>
            <w:webHidden/>
          </w:rPr>
          <w:tab/>
        </w:r>
        <w:r w:rsidR="003443BD">
          <w:rPr>
            <w:webHidden/>
          </w:rPr>
          <w:fldChar w:fldCharType="begin"/>
        </w:r>
        <w:r w:rsidR="003443BD">
          <w:rPr>
            <w:webHidden/>
          </w:rPr>
          <w:instrText xml:space="preserve"> PAGEREF _Toc360779373 \h </w:instrText>
        </w:r>
        <w:r w:rsidR="003443BD">
          <w:rPr>
            <w:webHidden/>
          </w:rPr>
        </w:r>
        <w:r w:rsidR="003443BD">
          <w:rPr>
            <w:webHidden/>
          </w:rPr>
          <w:fldChar w:fldCharType="separate"/>
        </w:r>
        <w:r w:rsidR="00751BC4">
          <w:rPr>
            <w:webHidden/>
          </w:rPr>
          <w:t>22</w:t>
        </w:r>
        <w:r w:rsidR="003443BD">
          <w:rPr>
            <w:webHidden/>
          </w:rPr>
          <w:fldChar w:fldCharType="end"/>
        </w:r>
      </w:hyperlink>
    </w:p>
    <w:p w:rsidR="003443BD" w:rsidRDefault="00C64E39">
      <w:pPr>
        <w:pStyle w:val="TableofFigures"/>
        <w:rPr>
          <w:rFonts w:asciiTheme="minorHAnsi" w:eastAsiaTheme="minorEastAsia" w:hAnsiTheme="minorHAnsi" w:cstheme="minorBidi"/>
          <w:color w:val="auto"/>
          <w:sz w:val="22"/>
          <w:szCs w:val="22"/>
          <w:lang w:val="en-AU" w:eastAsia="en-AU"/>
        </w:rPr>
      </w:pPr>
      <w:hyperlink w:anchor="_Toc360779374" w:history="1">
        <w:r w:rsidR="003443BD" w:rsidRPr="005F279A">
          <w:rPr>
            <w:rStyle w:val="Hyperlink"/>
            <w:b/>
          </w:rPr>
          <w:t>Table 2</w:t>
        </w:r>
        <w:r w:rsidR="003443BD" w:rsidRPr="005F279A">
          <w:rPr>
            <w:rStyle w:val="Hyperlink"/>
          </w:rPr>
          <w:t xml:space="preserve"> Statistical comparison between the measured and predicted water elevation at Abbott Point, Townsville and Cairns from 1</w:t>
        </w:r>
        <w:r w:rsidR="003443BD" w:rsidRPr="005F279A">
          <w:rPr>
            <w:rStyle w:val="Hyperlink"/>
            <w:vertAlign w:val="superscript"/>
          </w:rPr>
          <w:t xml:space="preserve"> </w:t>
        </w:r>
        <w:r w:rsidR="003443BD" w:rsidRPr="005F279A">
          <w:rPr>
            <w:rStyle w:val="Hyperlink"/>
          </w:rPr>
          <w:t>to 30 November 2011.</w:t>
        </w:r>
        <w:r w:rsidR="003443BD">
          <w:rPr>
            <w:webHidden/>
          </w:rPr>
          <w:tab/>
        </w:r>
        <w:r w:rsidR="003443BD">
          <w:rPr>
            <w:webHidden/>
          </w:rPr>
          <w:fldChar w:fldCharType="begin"/>
        </w:r>
        <w:r w:rsidR="003443BD">
          <w:rPr>
            <w:webHidden/>
          </w:rPr>
          <w:instrText xml:space="preserve"> PAGEREF _Toc360779374 \h </w:instrText>
        </w:r>
        <w:r w:rsidR="003443BD">
          <w:rPr>
            <w:webHidden/>
          </w:rPr>
        </w:r>
        <w:r w:rsidR="003443BD">
          <w:rPr>
            <w:webHidden/>
          </w:rPr>
          <w:fldChar w:fldCharType="separate"/>
        </w:r>
        <w:r w:rsidR="00751BC4">
          <w:rPr>
            <w:webHidden/>
          </w:rPr>
          <w:t>22</w:t>
        </w:r>
        <w:r w:rsidR="003443BD">
          <w:rPr>
            <w:webHidden/>
          </w:rPr>
          <w:fldChar w:fldCharType="end"/>
        </w:r>
      </w:hyperlink>
    </w:p>
    <w:p w:rsidR="003443BD" w:rsidRDefault="00C64E39">
      <w:pPr>
        <w:pStyle w:val="TableofFigures"/>
        <w:rPr>
          <w:rFonts w:asciiTheme="minorHAnsi" w:eastAsiaTheme="minorEastAsia" w:hAnsiTheme="minorHAnsi" w:cstheme="minorBidi"/>
          <w:color w:val="auto"/>
          <w:sz w:val="22"/>
          <w:szCs w:val="22"/>
          <w:lang w:val="en-AU" w:eastAsia="en-AU"/>
        </w:rPr>
      </w:pPr>
      <w:hyperlink w:anchor="_Toc360779375" w:history="1">
        <w:r w:rsidR="003443BD" w:rsidRPr="005F279A">
          <w:rPr>
            <w:rStyle w:val="Hyperlink"/>
            <w:b/>
          </w:rPr>
          <w:t>Table 3</w:t>
        </w:r>
        <w:r w:rsidR="003443BD" w:rsidRPr="005F279A">
          <w:rPr>
            <w:rStyle w:val="Hyperlink"/>
          </w:rPr>
          <w:t xml:space="preserve"> Statistical comparison between the measured and predicted water elevation at Cooktown, Pipon Island and Night Island from 1</w:t>
        </w:r>
        <w:r w:rsidR="003443BD" w:rsidRPr="005F279A">
          <w:rPr>
            <w:rStyle w:val="Hyperlink"/>
            <w:vertAlign w:val="superscript"/>
          </w:rPr>
          <w:t xml:space="preserve"> </w:t>
        </w:r>
        <w:r w:rsidR="003443BD" w:rsidRPr="005F279A">
          <w:rPr>
            <w:rStyle w:val="Hyperlink"/>
          </w:rPr>
          <w:t>to 30 November 2011.</w:t>
        </w:r>
        <w:r w:rsidR="003443BD">
          <w:rPr>
            <w:webHidden/>
          </w:rPr>
          <w:tab/>
        </w:r>
        <w:r w:rsidR="003443BD">
          <w:rPr>
            <w:webHidden/>
          </w:rPr>
          <w:fldChar w:fldCharType="begin"/>
        </w:r>
        <w:r w:rsidR="003443BD">
          <w:rPr>
            <w:webHidden/>
          </w:rPr>
          <w:instrText xml:space="preserve"> PAGEREF _Toc360779375 \h </w:instrText>
        </w:r>
        <w:r w:rsidR="003443BD">
          <w:rPr>
            <w:webHidden/>
          </w:rPr>
        </w:r>
        <w:r w:rsidR="003443BD">
          <w:rPr>
            <w:webHidden/>
          </w:rPr>
          <w:fldChar w:fldCharType="separate"/>
        </w:r>
        <w:r w:rsidR="00751BC4">
          <w:rPr>
            <w:webHidden/>
          </w:rPr>
          <w:t>22</w:t>
        </w:r>
        <w:r w:rsidR="003443BD">
          <w:rPr>
            <w:webHidden/>
          </w:rPr>
          <w:fldChar w:fldCharType="end"/>
        </w:r>
      </w:hyperlink>
    </w:p>
    <w:p w:rsidR="003443BD" w:rsidRDefault="00C64E39">
      <w:pPr>
        <w:pStyle w:val="TableofFigures"/>
        <w:rPr>
          <w:rFonts w:asciiTheme="minorHAnsi" w:eastAsiaTheme="minorEastAsia" w:hAnsiTheme="minorHAnsi" w:cstheme="minorBidi"/>
          <w:color w:val="auto"/>
          <w:sz w:val="22"/>
          <w:szCs w:val="22"/>
          <w:lang w:val="en-AU" w:eastAsia="en-AU"/>
        </w:rPr>
      </w:pPr>
      <w:hyperlink w:anchor="_Toc360779376" w:history="1">
        <w:r w:rsidR="003443BD" w:rsidRPr="005F279A">
          <w:rPr>
            <w:rStyle w:val="Hyperlink"/>
            <w:b/>
          </w:rPr>
          <w:t xml:space="preserve">Table 4 </w:t>
        </w:r>
        <w:r w:rsidR="003443BD" w:rsidRPr="005F279A">
          <w:rPr>
            <w:rStyle w:val="Hyperlink"/>
          </w:rPr>
          <w:t>Statistical comparison between measured and predicted surface and bottom currents adjacent to the Port of Hay Point material placement site from 1</w:t>
        </w:r>
        <w:r w:rsidR="003443BD" w:rsidRPr="005F279A">
          <w:rPr>
            <w:rStyle w:val="Hyperlink"/>
            <w:vertAlign w:val="superscript"/>
          </w:rPr>
          <w:t xml:space="preserve"> </w:t>
        </w:r>
        <w:r w:rsidR="003443BD" w:rsidRPr="005F279A">
          <w:rPr>
            <w:rStyle w:val="Hyperlink"/>
          </w:rPr>
          <w:t>to 30 November 2011.</w:t>
        </w:r>
        <w:r w:rsidR="003443BD">
          <w:rPr>
            <w:webHidden/>
          </w:rPr>
          <w:tab/>
        </w:r>
        <w:r w:rsidR="003443BD">
          <w:rPr>
            <w:webHidden/>
          </w:rPr>
          <w:fldChar w:fldCharType="begin"/>
        </w:r>
        <w:r w:rsidR="003443BD">
          <w:rPr>
            <w:webHidden/>
          </w:rPr>
          <w:instrText xml:space="preserve"> PAGEREF _Toc360779376 \h </w:instrText>
        </w:r>
        <w:r w:rsidR="003443BD">
          <w:rPr>
            <w:webHidden/>
          </w:rPr>
        </w:r>
        <w:r w:rsidR="003443BD">
          <w:rPr>
            <w:webHidden/>
          </w:rPr>
          <w:fldChar w:fldCharType="separate"/>
        </w:r>
        <w:r w:rsidR="00751BC4">
          <w:rPr>
            <w:webHidden/>
          </w:rPr>
          <w:t>28</w:t>
        </w:r>
        <w:r w:rsidR="003443BD">
          <w:rPr>
            <w:webHidden/>
          </w:rPr>
          <w:fldChar w:fldCharType="end"/>
        </w:r>
      </w:hyperlink>
    </w:p>
    <w:p w:rsidR="003443BD" w:rsidRDefault="00C64E39">
      <w:pPr>
        <w:pStyle w:val="TableofFigures"/>
        <w:rPr>
          <w:rFonts w:asciiTheme="minorHAnsi" w:eastAsiaTheme="minorEastAsia" w:hAnsiTheme="minorHAnsi" w:cstheme="minorBidi"/>
          <w:color w:val="auto"/>
          <w:sz w:val="22"/>
          <w:szCs w:val="22"/>
          <w:lang w:val="en-AU" w:eastAsia="en-AU"/>
        </w:rPr>
      </w:pPr>
      <w:hyperlink w:anchor="_Toc360779377" w:history="1">
        <w:r w:rsidR="003443BD" w:rsidRPr="005F279A">
          <w:rPr>
            <w:rStyle w:val="Hyperlink"/>
            <w:b/>
          </w:rPr>
          <w:t>Table 5</w:t>
        </w:r>
        <w:r w:rsidR="003443BD" w:rsidRPr="005F279A">
          <w:rPr>
            <w:rStyle w:val="Hyperlink"/>
          </w:rPr>
          <w:t xml:space="preserve"> Statistical comparison between measured and predicted surface and bottom currents adjacent to the Port of Townsville material placement site from 1</w:t>
        </w:r>
        <w:r w:rsidR="003443BD" w:rsidRPr="005F279A">
          <w:rPr>
            <w:rStyle w:val="Hyperlink"/>
            <w:vertAlign w:val="superscript"/>
          </w:rPr>
          <w:t xml:space="preserve"> </w:t>
        </w:r>
        <w:r w:rsidR="003443BD" w:rsidRPr="005F279A">
          <w:rPr>
            <w:rStyle w:val="Hyperlink"/>
          </w:rPr>
          <w:t>to 29 January 2011.</w:t>
        </w:r>
        <w:r w:rsidR="003443BD">
          <w:rPr>
            <w:webHidden/>
          </w:rPr>
          <w:tab/>
        </w:r>
        <w:r w:rsidR="003443BD">
          <w:rPr>
            <w:webHidden/>
          </w:rPr>
          <w:fldChar w:fldCharType="begin"/>
        </w:r>
        <w:r w:rsidR="003443BD">
          <w:rPr>
            <w:webHidden/>
          </w:rPr>
          <w:instrText xml:space="preserve"> PAGEREF _Toc360779377 \h </w:instrText>
        </w:r>
        <w:r w:rsidR="003443BD">
          <w:rPr>
            <w:webHidden/>
          </w:rPr>
        </w:r>
        <w:r w:rsidR="003443BD">
          <w:rPr>
            <w:webHidden/>
          </w:rPr>
          <w:fldChar w:fldCharType="separate"/>
        </w:r>
        <w:r w:rsidR="00751BC4">
          <w:rPr>
            <w:webHidden/>
          </w:rPr>
          <w:t>28</w:t>
        </w:r>
        <w:r w:rsidR="003443BD">
          <w:rPr>
            <w:webHidden/>
          </w:rPr>
          <w:fldChar w:fldCharType="end"/>
        </w:r>
      </w:hyperlink>
    </w:p>
    <w:p w:rsidR="003443BD" w:rsidRDefault="00C64E39">
      <w:pPr>
        <w:pStyle w:val="TableofFigures"/>
        <w:rPr>
          <w:rFonts w:asciiTheme="minorHAnsi" w:eastAsiaTheme="minorEastAsia" w:hAnsiTheme="minorHAnsi" w:cstheme="minorBidi"/>
          <w:color w:val="auto"/>
          <w:sz w:val="22"/>
          <w:szCs w:val="22"/>
          <w:lang w:val="en-AU" w:eastAsia="en-AU"/>
        </w:rPr>
      </w:pPr>
      <w:hyperlink w:anchor="_Toc360779378" w:history="1">
        <w:r w:rsidR="003443BD" w:rsidRPr="005F279A">
          <w:rPr>
            <w:rStyle w:val="Hyperlink"/>
            <w:b/>
          </w:rPr>
          <w:t>Table 6</w:t>
        </w:r>
        <w:r w:rsidR="003443BD" w:rsidRPr="005F279A">
          <w:rPr>
            <w:rStyle w:val="Hyperlink"/>
          </w:rPr>
          <w:t xml:space="preserve"> Bed shear-stress levels </w:t>
        </w:r>
        <w:r w:rsidR="003443BD" w:rsidRPr="005F279A">
          <w:rPr>
            <w:rStyle w:val="Hyperlink"/>
            <w:lang w:val="en-AU" w:eastAsia="en-AU"/>
          </w:rPr>
          <w:t xml:space="preserve">sufficient to start mobilising </w:t>
        </w:r>
        <w:r w:rsidR="003443BD" w:rsidRPr="005F279A">
          <w:rPr>
            <w:rStyle w:val="Hyperlink"/>
            <w:lang w:val="en-AU"/>
          </w:rPr>
          <w:t>unconsolidated sediments of different grain size categories from the bottom.</w:t>
        </w:r>
        <w:r w:rsidR="003443BD">
          <w:rPr>
            <w:webHidden/>
          </w:rPr>
          <w:tab/>
        </w:r>
        <w:r w:rsidR="003443BD">
          <w:rPr>
            <w:webHidden/>
          </w:rPr>
          <w:fldChar w:fldCharType="begin"/>
        </w:r>
        <w:r w:rsidR="003443BD">
          <w:rPr>
            <w:webHidden/>
          </w:rPr>
          <w:instrText xml:space="preserve"> PAGEREF _Toc360779378 \h </w:instrText>
        </w:r>
        <w:r w:rsidR="003443BD">
          <w:rPr>
            <w:webHidden/>
          </w:rPr>
        </w:r>
        <w:r w:rsidR="003443BD">
          <w:rPr>
            <w:webHidden/>
          </w:rPr>
          <w:fldChar w:fldCharType="separate"/>
        </w:r>
        <w:r w:rsidR="00751BC4">
          <w:rPr>
            <w:webHidden/>
          </w:rPr>
          <w:t>42</w:t>
        </w:r>
        <w:r w:rsidR="003443BD">
          <w:rPr>
            <w:webHidden/>
          </w:rPr>
          <w:fldChar w:fldCharType="end"/>
        </w:r>
      </w:hyperlink>
    </w:p>
    <w:p w:rsidR="000727DA" w:rsidRPr="007D6EB4" w:rsidRDefault="005F6FF5" w:rsidP="00617543">
      <w:pPr>
        <w:pStyle w:val="Para0"/>
        <w:rPr>
          <w:lang w:val="en-AU"/>
        </w:rPr>
        <w:sectPr w:rsidR="000727DA" w:rsidRPr="007D6EB4" w:rsidSect="004C5A33">
          <w:footerReference w:type="default" r:id="rId16"/>
          <w:type w:val="oddPage"/>
          <w:pgSz w:w="11907" w:h="16840" w:code="9"/>
          <w:pgMar w:top="1418" w:right="1701" w:bottom="1418" w:left="1701" w:header="680" w:footer="851" w:gutter="0"/>
          <w:pgNumType w:fmt="lowerRoman" w:start="3"/>
          <w:cols w:space="720"/>
          <w:formProt w:val="0"/>
          <w:docGrid w:linePitch="299"/>
        </w:sectPr>
      </w:pPr>
      <w:r>
        <w:rPr>
          <w:lang w:val="en-AU"/>
        </w:rPr>
        <w:fldChar w:fldCharType="end"/>
      </w:r>
    </w:p>
    <w:p w:rsidR="005957C1" w:rsidRPr="0096108C" w:rsidRDefault="005957C1" w:rsidP="005957C1">
      <w:pPr>
        <w:pStyle w:val="Heading1"/>
      </w:pPr>
      <w:bookmarkStart w:id="2" w:name="_Toc358008748"/>
      <w:bookmarkStart w:id="3" w:name="_Toc359593395"/>
      <w:bookmarkStart w:id="4" w:name="_Toc361929973"/>
      <w:r w:rsidRPr="0096108C">
        <w:lastRenderedPageBreak/>
        <w:t>Acronyms</w:t>
      </w:r>
      <w:bookmarkEnd w:id="2"/>
      <w:bookmarkEnd w:id="3"/>
      <w:bookmarkEnd w:id="4"/>
    </w:p>
    <w:tbl>
      <w:tblPr>
        <w:tblW w:w="9180" w:type="dxa"/>
        <w:tblInd w:w="93" w:type="dxa"/>
        <w:tblLook w:val="04A0" w:firstRow="1" w:lastRow="0" w:firstColumn="1" w:lastColumn="0" w:noHBand="0" w:noVBand="1"/>
      </w:tblPr>
      <w:tblGrid>
        <w:gridCol w:w="1340"/>
        <w:gridCol w:w="7840"/>
      </w:tblGrid>
      <w:tr w:rsidR="005957C1" w:rsidRPr="0096108C" w:rsidTr="005957C1">
        <w:trPr>
          <w:trHeight w:val="300"/>
        </w:trPr>
        <w:tc>
          <w:tcPr>
            <w:tcW w:w="13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957C1" w:rsidRPr="0096108C" w:rsidRDefault="005957C1" w:rsidP="005957C1">
            <w:pPr>
              <w:pStyle w:val="Para0"/>
              <w:rPr>
                <w:lang w:eastAsia="en-AU"/>
              </w:rPr>
            </w:pPr>
            <w:r w:rsidRPr="0096108C">
              <w:rPr>
                <w:lang w:eastAsia="en-AU"/>
              </w:rPr>
              <w:t xml:space="preserve">ADCP </w:t>
            </w:r>
          </w:p>
        </w:tc>
        <w:tc>
          <w:tcPr>
            <w:tcW w:w="7840" w:type="dxa"/>
            <w:tcBorders>
              <w:top w:val="single" w:sz="4" w:space="0" w:color="auto"/>
              <w:left w:val="nil"/>
              <w:bottom w:val="single" w:sz="4" w:space="0" w:color="auto"/>
              <w:right w:val="single" w:sz="4" w:space="0" w:color="auto"/>
            </w:tcBorders>
            <w:shd w:val="clear" w:color="auto" w:fill="auto"/>
            <w:noWrap/>
            <w:vAlign w:val="bottom"/>
            <w:hideMark/>
          </w:tcPr>
          <w:p w:rsidR="005957C1" w:rsidRPr="0096108C" w:rsidRDefault="005957C1" w:rsidP="005957C1">
            <w:pPr>
              <w:pStyle w:val="Para0"/>
              <w:rPr>
                <w:lang w:eastAsia="en-AU"/>
              </w:rPr>
            </w:pPr>
            <w:r w:rsidRPr="0096108C">
              <w:rPr>
                <w:lang w:eastAsia="en-AU"/>
              </w:rPr>
              <w:t>Acoustic Doppler Current Profiler</w:t>
            </w:r>
          </w:p>
        </w:tc>
      </w:tr>
      <w:tr w:rsidR="005957C1"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5957C1" w:rsidRPr="0096108C" w:rsidRDefault="005957C1" w:rsidP="005957C1">
            <w:pPr>
              <w:pStyle w:val="Para0"/>
              <w:rPr>
                <w:lang w:eastAsia="en-AU"/>
              </w:rPr>
            </w:pPr>
            <w:r w:rsidRPr="0096108C">
              <w:rPr>
                <w:lang w:eastAsia="en-AU"/>
              </w:rPr>
              <w:t xml:space="preserve">APASA </w:t>
            </w:r>
          </w:p>
        </w:tc>
        <w:tc>
          <w:tcPr>
            <w:tcW w:w="7840" w:type="dxa"/>
            <w:tcBorders>
              <w:top w:val="nil"/>
              <w:left w:val="nil"/>
              <w:bottom w:val="single" w:sz="4" w:space="0" w:color="auto"/>
              <w:right w:val="single" w:sz="4" w:space="0" w:color="auto"/>
            </w:tcBorders>
            <w:shd w:val="clear" w:color="auto" w:fill="auto"/>
            <w:noWrap/>
            <w:vAlign w:val="bottom"/>
            <w:hideMark/>
          </w:tcPr>
          <w:p w:rsidR="005957C1" w:rsidRPr="0096108C" w:rsidRDefault="005957C1" w:rsidP="005957C1">
            <w:pPr>
              <w:pStyle w:val="Para0"/>
              <w:rPr>
                <w:lang w:eastAsia="en-AU"/>
              </w:rPr>
            </w:pPr>
            <w:r w:rsidRPr="0096108C">
              <w:rPr>
                <w:lang w:eastAsia="en-AU"/>
              </w:rPr>
              <w:t>Asia–Pacific Applied Science Associates</w:t>
            </w:r>
          </w:p>
        </w:tc>
      </w:tr>
      <w:tr w:rsidR="005957C1"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5957C1" w:rsidRPr="0096108C" w:rsidRDefault="005957C1" w:rsidP="005957C1">
            <w:pPr>
              <w:pStyle w:val="Para0"/>
              <w:rPr>
                <w:lang w:eastAsia="en-AU"/>
              </w:rPr>
            </w:pPr>
            <w:r w:rsidRPr="0096108C">
              <w:rPr>
                <w:lang w:eastAsia="en-AU"/>
              </w:rPr>
              <w:t xml:space="preserve">BOM </w:t>
            </w:r>
          </w:p>
        </w:tc>
        <w:tc>
          <w:tcPr>
            <w:tcW w:w="7840" w:type="dxa"/>
            <w:tcBorders>
              <w:top w:val="nil"/>
              <w:left w:val="nil"/>
              <w:bottom w:val="single" w:sz="4" w:space="0" w:color="auto"/>
              <w:right w:val="single" w:sz="4" w:space="0" w:color="auto"/>
            </w:tcBorders>
            <w:shd w:val="clear" w:color="auto" w:fill="auto"/>
            <w:noWrap/>
            <w:vAlign w:val="bottom"/>
            <w:hideMark/>
          </w:tcPr>
          <w:p w:rsidR="005957C1" w:rsidRPr="0096108C" w:rsidRDefault="005957C1" w:rsidP="005957C1">
            <w:pPr>
              <w:pStyle w:val="Para0"/>
              <w:rPr>
                <w:lang w:eastAsia="en-AU"/>
              </w:rPr>
            </w:pPr>
            <w:r w:rsidRPr="0096108C">
              <w:rPr>
                <w:lang w:eastAsia="en-AU"/>
              </w:rPr>
              <w:t>Bureau of Meteorology</w:t>
            </w:r>
          </w:p>
        </w:tc>
      </w:tr>
      <w:tr w:rsidR="005957C1"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5957C1" w:rsidRPr="0096108C" w:rsidRDefault="005957C1" w:rsidP="005957C1">
            <w:pPr>
              <w:pStyle w:val="Para0"/>
              <w:rPr>
                <w:lang w:eastAsia="en-AU"/>
              </w:rPr>
            </w:pPr>
            <w:r w:rsidRPr="0096108C">
              <w:rPr>
                <w:lang w:eastAsia="en-AU"/>
              </w:rPr>
              <w:t xml:space="preserve">CSIRO </w:t>
            </w:r>
          </w:p>
        </w:tc>
        <w:tc>
          <w:tcPr>
            <w:tcW w:w="7840" w:type="dxa"/>
            <w:tcBorders>
              <w:top w:val="nil"/>
              <w:left w:val="nil"/>
              <w:bottom w:val="single" w:sz="4" w:space="0" w:color="auto"/>
              <w:right w:val="single" w:sz="4" w:space="0" w:color="auto"/>
            </w:tcBorders>
            <w:shd w:val="clear" w:color="auto" w:fill="auto"/>
            <w:noWrap/>
            <w:vAlign w:val="bottom"/>
            <w:hideMark/>
          </w:tcPr>
          <w:p w:rsidR="005957C1" w:rsidRPr="0096108C" w:rsidRDefault="005957C1" w:rsidP="005957C1">
            <w:pPr>
              <w:pStyle w:val="Para0"/>
              <w:rPr>
                <w:lang w:eastAsia="en-AU"/>
              </w:rPr>
            </w:pPr>
            <w:r w:rsidRPr="0096108C">
              <w:rPr>
                <w:lang w:eastAsia="en-AU"/>
              </w:rPr>
              <w:t>Commonwealth Scientific and Industrial Research Organisation</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tcPr>
          <w:p w:rsidR="006B2E38" w:rsidRPr="0096108C" w:rsidRDefault="006B2E38" w:rsidP="002D314E">
            <w:pPr>
              <w:pStyle w:val="Para0"/>
              <w:rPr>
                <w:lang w:eastAsia="en-AU"/>
              </w:rPr>
            </w:pPr>
            <w:r>
              <w:rPr>
                <w:lang w:eastAsia="en-AU"/>
              </w:rPr>
              <w:t>D</w:t>
            </w:r>
            <w:r w:rsidRPr="0096108C">
              <w:rPr>
                <w:lang w:eastAsia="en-AU"/>
              </w:rPr>
              <w:t xml:space="preserve">SEWPaC </w:t>
            </w:r>
          </w:p>
        </w:tc>
        <w:tc>
          <w:tcPr>
            <w:tcW w:w="7840" w:type="dxa"/>
            <w:tcBorders>
              <w:top w:val="nil"/>
              <w:left w:val="nil"/>
              <w:bottom w:val="single" w:sz="4" w:space="0" w:color="auto"/>
              <w:right w:val="single" w:sz="4" w:space="0" w:color="auto"/>
            </w:tcBorders>
            <w:shd w:val="clear" w:color="auto" w:fill="auto"/>
            <w:noWrap/>
            <w:vAlign w:val="bottom"/>
          </w:tcPr>
          <w:p w:rsidR="006B2E38" w:rsidRPr="0096108C" w:rsidRDefault="006B2E38" w:rsidP="002D314E">
            <w:pPr>
              <w:pStyle w:val="Para0"/>
              <w:rPr>
                <w:lang w:eastAsia="en-AU"/>
              </w:rPr>
            </w:pPr>
            <w:r w:rsidRPr="0096108C">
              <w:rPr>
                <w:lang w:eastAsia="en-AU"/>
              </w:rPr>
              <w:t>Department of Sustainability, Environment, Water, Population and Communities</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EAC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East Australian Current</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EIA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Environmental Impact Assessment</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GBRMPA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Great Barrier Reef Marine Park Authority</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GFS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Global Forecast System</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GODAE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Global Ocean Data Assimilation Experiment</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HYCOM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HYbrid Coordinate Ocean Model</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LAT</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Lowest Astronomical tide</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MAE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Mean absolute error</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NASA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United States National Aeronautics and Space Administration</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NCEP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National Centre for Environmental Prediction</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NOAA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National Oceanographic and Atmospheric Association</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Reef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Great Barrier Reef</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SKM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Sinclair Knight Merz</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SOI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Southern Oscillation Index</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6B2E38" w:rsidRPr="0096108C" w:rsidRDefault="006B2E38" w:rsidP="005957C1">
            <w:pPr>
              <w:pStyle w:val="Para0"/>
              <w:rPr>
                <w:lang w:eastAsia="en-AU"/>
              </w:rPr>
            </w:pPr>
            <w:r w:rsidRPr="0096108C">
              <w:rPr>
                <w:lang w:eastAsia="en-AU"/>
              </w:rPr>
              <w:t xml:space="preserve">TSS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Total Suspended Solid</w:t>
            </w:r>
          </w:p>
        </w:tc>
      </w:tr>
      <w:tr w:rsidR="006B2E38" w:rsidRPr="0096108C" w:rsidTr="005957C1">
        <w:trPr>
          <w:trHeight w:val="300"/>
        </w:trPr>
        <w:tc>
          <w:tcPr>
            <w:tcW w:w="1340" w:type="dxa"/>
            <w:tcBorders>
              <w:top w:val="nil"/>
              <w:left w:val="single" w:sz="4" w:space="0" w:color="auto"/>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 xml:space="preserve">WW3 </w:t>
            </w:r>
          </w:p>
        </w:tc>
        <w:tc>
          <w:tcPr>
            <w:tcW w:w="7840" w:type="dxa"/>
            <w:tcBorders>
              <w:top w:val="nil"/>
              <w:left w:val="nil"/>
              <w:bottom w:val="single" w:sz="4" w:space="0" w:color="auto"/>
              <w:right w:val="single" w:sz="4" w:space="0" w:color="auto"/>
            </w:tcBorders>
            <w:shd w:val="clear" w:color="auto" w:fill="auto"/>
            <w:noWrap/>
            <w:vAlign w:val="bottom"/>
            <w:hideMark/>
          </w:tcPr>
          <w:p w:rsidR="006B2E38" w:rsidRPr="0096108C" w:rsidRDefault="006B2E38" w:rsidP="005957C1">
            <w:pPr>
              <w:pStyle w:val="Para0"/>
              <w:rPr>
                <w:lang w:eastAsia="en-AU"/>
              </w:rPr>
            </w:pPr>
            <w:r w:rsidRPr="0096108C">
              <w:rPr>
                <w:lang w:eastAsia="en-AU"/>
              </w:rPr>
              <w:t>WAVEWATCH III</w:t>
            </w:r>
          </w:p>
        </w:tc>
      </w:tr>
    </w:tbl>
    <w:p w:rsidR="005957C1" w:rsidRPr="0096108C" w:rsidRDefault="005957C1" w:rsidP="005957C1">
      <w:pPr>
        <w:pStyle w:val="Para0"/>
      </w:pPr>
    </w:p>
    <w:p w:rsidR="00E131E0" w:rsidRDefault="00E131E0" w:rsidP="0073141D">
      <w:pPr>
        <w:pStyle w:val="Heading1"/>
      </w:pPr>
      <w:bookmarkStart w:id="5" w:name="_Toc361929974"/>
      <w:r>
        <w:lastRenderedPageBreak/>
        <w:t>glossary</w:t>
      </w:r>
      <w:bookmarkEnd w:id="5"/>
    </w:p>
    <w:p w:rsidR="00E131E0" w:rsidRPr="00E131E0" w:rsidRDefault="00E131E0" w:rsidP="00E131E0">
      <w:pPr>
        <w:pStyle w:val="Para0"/>
        <w:rPr>
          <w:b/>
          <w:lang w:val="en-AU"/>
        </w:rPr>
      </w:pPr>
      <w:r w:rsidRPr="00E131E0">
        <w:rPr>
          <w:b/>
          <w:i/>
          <w:lang w:val="en-AU"/>
        </w:rPr>
        <w:t>A priori</w:t>
      </w:r>
      <w:r w:rsidRPr="00E131E0">
        <w:rPr>
          <w:b/>
          <w:lang w:val="en-AU"/>
        </w:rPr>
        <w:t xml:space="preserve"> </w:t>
      </w:r>
      <w:r w:rsidRPr="00E131E0">
        <w:rPr>
          <w:lang w:val="en-AU"/>
        </w:rPr>
        <w:t>Decisions, knowledge, or statistical analyses made before an event.</w:t>
      </w:r>
    </w:p>
    <w:p w:rsidR="00E131E0" w:rsidRPr="00E131E0" w:rsidRDefault="00E131E0" w:rsidP="00E131E0">
      <w:pPr>
        <w:pStyle w:val="Para0"/>
        <w:rPr>
          <w:lang w:val="en-AU"/>
        </w:rPr>
      </w:pPr>
      <w:r w:rsidRPr="00E131E0">
        <w:rPr>
          <w:b/>
          <w:lang w:val="en-AU"/>
        </w:rPr>
        <w:t xml:space="preserve">Bathymetry </w:t>
      </w:r>
      <w:r w:rsidRPr="00E131E0">
        <w:rPr>
          <w:lang w:val="en-AU"/>
        </w:rPr>
        <w:t xml:space="preserve">The study of underwater depth of </w:t>
      </w:r>
      <w:hyperlink r:id="rId17" w:tooltip="Ocean floor" w:history="1">
        <w:r w:rsidRPr="005957C1">
          <w:t>ocean floors</w:t>
        </w:r>
      </w:hyperlink>
      <w:r w:rsidRPr="00E131E0">
        <w:rPr>
          <w:lang w:val="en-AU"/>
        </w:rPr>
        <w:t xml:space="preserve">. Bathymetric (or </w:t>
      </w:r>
      <w:hyperlink r:id="rId18" w:tooltip="Hydrography" w:history="1">
        <w:r w:rsidRPr="005957C1">
          <w:t>hydrographic</w:t>
        </w:r>
      </w:hyperlink>
      <w:r w:rsidRPr="00E131E0">
        <w:rPr>
          <w:lang w:val="en-AU"/>
        </w:rPr>
        <w:t xml:space="preserve">) charts are typically produced to support safety of surface or sub-surface navigation, and usually show seafloor relief or </w:t>
      </w:r>
      <w:hyperlink r:id="rId19" w:tooltip="Terrain" w:history="1">
        <w:r w:rsidRPr="005957C1">
          <w:t>terrain</w:t>
        </w:r>
      </w:hyperlink>
      <w:r w:rsidRPr="00E131E0">
        <w:rPr>
          <w:lang w:val="en-AU"/>
        </w:rPr>
        <w:t xml:space="preserve"> as </w:t>
      </w:r>
      <w:hyperlink r:id="rId20" w:tooltip="Contour lines" w:history="1">
        <w:r w:rsidRPr="005957C1">
          <w:t>contour lines</w:t>
        </w:r>
      </w:hyperlink>
      <w:r w:rsidRPr="00E131E0">
        <w:rPr>
          <w:lang w:val="en-AU"/>
        </w:rPr>
        <w:t xml:space="preserve"> (called </w:t>
      </w:r>
      <w:r w:rsidRPr="005957C1">
        <w:rPr>
          <w:lang w:val="en-AU"/>
        </w:rPr>
        <w:t>depth contours</w:t>
      </w:r>
      <w:r w:rsidRPr="00E131E0">
        <w:rPr>
          <w:lang w:val="en-AU"/>
        </w:rPr>
        <w:t xml:space="preserve"> or </w:t>
      </w:r>
      <w:r w:rsidRPr="005957C1">
        <w:rPr>
          <w:lang w:val="en-AU"/>
        </w:rPr>
        <w:t>isobaths</w:t>
      </w:r>
      <w:r w:rsidRPr="00E131E0">
        <w:rPr>
          <w:lang w:val="en-AU"/>
        </w:rPr>
        <w:t>) and selected depths (</w:t>
      </w:r>
      <w:r w:rsidRPr="005957C1">
        <w:rPr>
          <w:lang w:val="en-AU"/>
        </w:rPr>
        <w:t>soundings</w:t>
      </w:r>
      <w:r w:rsidRPr="00E131E0">
        <w:rPr>
          <w:lang w:val="en-AU"/>
        </w:rPr>
        <w:t xml:space="preserve">), and typically also provide surface </w:t>
      </w:r>
      <w:hyperlink r:id="rId21" w:tooltip="Navigation" w:history="1">
        <w:r w:rsidRPr="005957C1">
          <w:t>navigational</w:t>
        </w:r>
      </w:hyperlink>
      <w:r w:rsidRPr="00E131E0">
        <w:rPr>
          <w:lang w:val="en-AU"/>
        </w:rPr>
        <w:t xml:space="preserve"> information. </w:t>
      </w:r>
    </w:p>
    <w:p w:rsidR="00E131E0" w:rsidRPr="00E131E0" w:rsidRDefault="00E131E0" w:rsidP="00E131E0">
      <w:pPr>
        <w:pStyle w:val="Para0"/>
        <w:rPr>
          <w:lang w:val="en-AU"/>
        </w:rPr>
      </w:pPr>
      <w:r w:rsidRPr="00E131E0">
        <w:rPr>
          <w:b/>
          <w:lang w:val="en-AU"/>
        </w:rPr>
        <w:t xml:space="preserve">Bed-shear stress </w:t>
      </w:r>
      <w:r w:rsidRPr="00E131E0">
        <w:rPr>
          <w:lang w:val="en-AU"/>
        </w:rPr>
        <w:t>Forces exerted by the ocean on bed sediments (at rest). When bed shear stress exceeds the critical shear stress for the bed sediments, the sediments will become transported by the ocean.</w:t>
      </w:r>
    </w:p>
    <w:p w:rsidR="00E131E0" w:rsidRPr="00E131E0" w:rsidRDefault="00E131E0" w:rsidP="00E131E0">
      <w:pPr>
        <w:pStyle w:val="Para0"/>
        <w:rPr>
          <w:b/>
          <w:lang w:val="en-AU"/>
        </w:rPr>
      </w:pPr>
      <w:r w:rsidRPr="00E131E0">
        <w:rPr>
          <w:b/>
          <w:lang w:val="en-AU"/>
        </w:rPr>
        <w:t xml:space="preserve">Beneficial re-use of dredge material </w:t>
      </w:r>
      <w:r w:rsidRPr="00E131E0">
        <w:rPr>
          <w:lang w:val="en-AU"/>
        </w:rPr>
        <w:t>Is the practice of using dredge material for another purpose that provides social, economic or environmental benefits.</w:t>
      </w:r>
    </w:p>
    <w:p w:rsidR="00E131E0" w:rsidRPr="00E131E0" w:rsidRDefault="00E131E0" w:rsidP="00E131E0">
      <w:pPr>
        <w:pStyle w:val="Para0"/>
        <w:rPr>
          <w:b/>
          <w:lang w:val="en-AU"/>
        </w:rPr>
      </w:pPr>
      <w:r w:rsidRPr="00E131E0">
        <w:rPr>
          <w:b/>
          <w:lang w:val="en-AU"/>
        </w:rPr>
        <w:t xml:space="preserve">Non-beneficial re-use </w:t>
      </w:r>
      <w:r w:rsidRPr="00E131E0">
        <w:rPr>
          <w:lang w:val="en-AU"/>
        </w:rPr>
        <w:t>Dredge material placement that does not provide a concurrent benefit, such as disposal at a landfill site or dedicated permanent disposal facility.</w:t>
      </w:r>
    </w:p>
    <w:p w:rsidR="00E131E0" w:rsidRPr="00E131E0" w:rsidRDefault="00E131E0" w:rsidP="00E131E0">
      <w:pPr>
        <w:pStyle w:val="Para0"/>
        <w:rPr>
          <w:b/>
          <w:bCs/>
          <w:lang w:val="en-AU"/>
        </w:rPr>
      </w:pPr>
      <w:r w:rsidRPr="00E131E0">
        <w:rPr>
          <w:b/>
          <w:bCs/>
          <w:lang w:val="en-AU"/>
        </w:rPr>
        <w:t xml:space="preserve">Bioturbated  </w:t>
      </w:r>
      <w:r w:rsidRPr="00E131E0">
        <w:rPr>
          <w:lang w:val="en-AU"/>
        </w:rPr>
        <w:t xml:space="preserve">Bioturbated sediment is sediment that has been reworked by animals or plants. Its effects include changing texture of sediments and displacement of microorganisms and non-living particles. Faunal activities displace sediment grains and mix the sediment matrix. The process leads to an increase in </w:t>
      </w:r>
      <w:hyperlink r:id="rId22" w:tooltip="Sediment-water interface" w:history="1">
        <w:r w:rsidRPr="005957C1">
          <w:t>sediment-water interface</w:t>
        </w:r>
      </w:hyperlink>
      <w:r w:rsidRPr="00E131E0">
        <w:rPr>
          <w:lang w:val="en-AU"/>
        </w:rPr>
        <w:t>, which facilitates particle exchange between the sediment and water column.</w:t>
      </w:r>
    </w:p>
    <w:p w:rsidR="00E131E0" w:rsidRPr="00E131E0" w:rsidRDefault="00E131E0" w:rsidP="00E131E0">
      <w:pPr>
        <w:pStyle w:val="Para0"/>
        <w:rPr>
          <w:lang w:val="en-AU"/>
        </w:rPr>
      </w:pPr>
      <w:r w:rsidRPr="00E131E0">
        <w:rPr>
          <w:b/>
          <w:lang w:val="en-AU"/>
        </w:rPr>
        <w:t>Cumulative impacts</w:t>
      </w:r>
      <w:r w:rsidRPr="00E131E0">
        <w:rPr>
          <w:lang w:val="en-AU"/>
        </w:rPr>
        <w:t xml:space="preserve"> Impacts resulting from the effects of one or more impacts, and the interactions between those impacts, added to other past, present, and reasonably foreseeable future pressures.</w:t>
      </w:r>
    </w:p>
    <w:p w:rsidR="00E131E0" w:rsidRPr="00E131E0" w:rsidRDefault="00E131E0" w:rsidP="00E131E0">
      <w:pPr>
        <w:pStyle w:val="Para0"/>
        <w:rPr>
          <w:b/>
          <w:lang w:val="en-AU"/>
        </w:rPr>
      </w:pPr>
      <w:r w:rsidRPr="00E131E0">
        <w:rPr>
          <w:b/>
          <w:lang w:val="en-AU"/>
        </w:rPr>
        <w:t xml:space="preserve">Dredging- Capital  </w:t>
      </w:r>
      <w:r w:rsidRPr="00E131E0">
        <w:rPr>
          <w:lang w:val="en-US"/>
        </w:rPr>
        <w:t xml:space="preserve">Dredging for navigation, to create new or enlarge existing channel, port, marina and boat harbour areas. Dredging for engineering purposes, to create trenches for pipes, cables, immersed tube tunnels, to remove material unsuitable for foundations and to remove overburden for aggregate. </w:t>
      </w:r>
    </w:p>
    <w:p w:rsidR="00E131E0" w:rsidRPr="00E131E0" w:rsidRDefault="00E131E0" w:rsidP="00E131E0">
      <w:pPr>
        <w:pStyle w:val="Para0"/>
        <w:rPr>
          <w:b/>
          <w:lang w:val="en-AU"/>
        </w:rPr>
      </w:pPr>
      <w:r w:rsidRPr="00E131E0">
        <w:rPr>
          <w:b/>
          <w:lang w:val="en-AU"/>
        </w:rPr>
        <w:t xml:space="preserve">Dredging- Maintenance </w:t>
      </w:r>
      <w:r w:rsidRPr="00E131E0">
        <w:rPr>
          <w:lang w:val="en-US"/>
        </w:rPr>
        <w:t xml:space="preserve">Dredging to ensure that previously dredged channels, berths or construction works are maintained at their designated dimensions. </w:t>
      </w:r>
    </w:p>
    <w:p w:rsidR="00E131E0" w:rsidRPr="00E131E0" w:rsidRDefault="00E131E0" w:rsidP="00E131E0">
      <w:pPr>
        <w:pStyle w:val="Para0"/>
        <w:rPr>
          <w:lang w:val="en-AU"/>
        </w:rPr>
      </w:pPr>
      <w:r w:rsidRPr="00E131E0">
        <w:rPr>
          <w:b/>
          <w:lang w:val="en-US"/>
        </w:rPr>
        <w:t xml:space="preserve">Entrainment </w:t>
      </w:r>
      <w:r w:rsidRPr="00E131E0">
        <w:rPr>
          <w:lang w:val="en-AU"/>
        </w:rPr>
        <w:t xml:space="preserve">Where suspended sediment is carried along by a current. </w:t>
      </w:r>
    </w:p>
    <w:p w:rsidR="00E131E0" w:rsidRPr="00E131E0" w:rsidRDefault="00E131E0" w:rsidP="00E131E0">
      <w:pPr>
        <w:pStyle w:val="Para0"/>
        <w:rPr>
          <w:lang w:val="en-AU"/>
        </w:rPr>
      </w:pPr>
      <w:r w:rsidRPr="00E131E0">
        <w:rPr>
          <w:b/>
          <w:bCs/>
          <w:lang w:val="en-AU"/>
        </w:rPr>
        <w:t xml:space="preserve">Hydrodynamics </w:t>
      </w:r>
      <w:r w:rsidRPr="00E131E0">
        <w:rPr>
          <w:lang w:val="en-AU"/>
        </w:rPr>
        <w:t>The movement (dynamics) of water due to the action of tides, waves, winds and other influences.</w:t>
      </w:r>
    </w:p>
    <w:p w:rsidR="00E131E0" w:rsidRPr="00E131E0" w:rsidRDefault="00E131E0" w:rsidP="00E131E0">
      <w:pPr>
        <w:pStyle w:val="Para0"/>
        <w:rPr>
          <w:lang w:val="en-AU"/>
        </w:rPr>
      </w:pPr>
      <w:r w:rsidRPr="00E131E0">
        <w:rPr>
          <w:b/>
          <w:bCs/>
          <w:lang w:val="en-AU"/>
        </w:rPr>
        <w:t xml:space="preserve">Hydrographic </w:t>
      </w:r>
      <w:r w:rsidRPr="00E131E0">
        <w:rPr>
          <w:lang w:val="en-AU"/>
        </w:rPr>
        <w:t>The physical and chemical features of the oceans.</w:t>
      </w:r>
    </w:p>
    <w:p w:rsidR="00E131E0" w:rsidRPr="00E131E0" w:rsidRDefault="00E131E0" w:rsidP="00E131E0">
      <w:pPr>
        <w:pStyle w:val="Para0"/>
        <w:rPr>
          <w:b/>
          <w:lang w:val="en-AU"/>
        </w:rPr>
      </w:pPr>
      <w:r w:rsidRPr="00E131E0">
        <w:rPr>
          <w:b/>
          <w:lang w:val="en-AU"/>
        </w:rPr>
        <w:t xml:space="preserve">Hydrodynamic models </w:t>
      </w:r>
      <w:r w:rsidRPr="00E131E0">
        <w:rPr>
          <w:lang w:val="en-AU"/>
        </w:rPr>
        <w:t>Hydrodynamic models are generated by computer softwares</w:t>
      </w:r>
      <w:r w:rsidR="00AF326D">
        <w:rPr>
          <w:lang w:val="en-AU"/>
        </w:rPr>
        <w:t xml:space="preserve">. </w:t>
      </w:r>
      <w:r w:rsidRPr="00E131E0">
        <w:rPr>
          <w:lang w:val="en-AU"/>
        </w:rPr>
        <w:t>A two-dimensional hydrodynamic model, although useful in many situations, is limited to depth-averaged equations and therefore unable to resolve stratification or vertical gradients</w:t>
      </w:r>
      <w:r w:rsidR="00AF326D">
        <w:rPr>
          <w:lang w:val="en-AU"/>
        </w:rPr>
        <w:t xml:space="preserve">. </w:t>
      </w:r>
      <w:r w:rsidRPr="00E131E0">
        <w:rPr>
          <w:lang w:val="en-AU"/>
        </w:rPr>
        <w:t>A three-dimensional model can determine the vertical distribution of currents</w:t>
      </w:r>
      <w:r w:rsidR="00AF326D">
        <w:rPr>
          <w:lang w:val="en-AU"/>
        </w:rPr>
        <w:t xml:space="preserve">. </w:t>
      </w:r>
      <w:r w:rsidRPr="00E131E0">
        <w:rPr>
          <w:lang w:val="en-AU"/>
        </w:rPr>
        <w:t>It provides the most complete solution for any hydrodynamic system including the formulation for the effects of bottom shear stress and surface wind shear stress</w:t>
      </w:r>
      <w:r w:rsidR="00AF326D">
        <w:rPr>
          <w:lang w:val="en-AU"/>
        </w:rPr>
        <w:t xml:space="preserve">. </w:t>
      </w:r>
      <w:r w:rsidRPr="00E131E0">
        <w:rPr>
          <w:lang w:val="en-AU"/>
        </w:rPr>
        <w:t>A 3D hydrodynamic model is highly recommended as best practice because it provides realistic simulation of the marine environment</w:t>
      </w:r>
      <w:r w:rsidR="00AF326D">
        <w:rPr>
          <w:lang w:val="en-AU"/>
        </w:rPr>
        <w:t xml:space="preserve">. </w:t>
      </w:r>
    </w:p>
    <w:p w:rsidR="00E131E0" w:rsidRPr="00E131E0" w:rsidRDefault="00E131E0" w:rsidP="00E131E0">
      <w:pPr>
        <w:pStyle w:val="Para0"/>
        <w:rPr>
          <w:b/>
          <w:lang w:val="en-AU"/>
        </w:rPr>
      </w:pPr>
      <w:r w:rsidRPr="00E131E0">
        <w:rPr>
          <w:b/>
          <w:lang w:val="en-AU"/>
        </w:rPr>
        <w:t xml:space="preserve">Littoral sediment </w:t>
      </w:r>
      <w:r w:rsidRPr="00E131E0">
        <w:rPr>
          <w:lang w:val="en-AU"/>
        </w:rPr>
        <w:t>Sediment that is derived from the intertidal (littoral) coastal zone</w:t>
      </w:r>
      <w:r w:rsidR="00AF326D">
        <w:rPr>
          <w:lang w:val="en-AU"/>
        </w:rPr>
        <w:t xml:space="preserve">. </w:t>
      </w:r>
    </w:p>
    <w:p w:rsidR="00E131E0" w:rsidRPr="00E131E0" w:rsidRDefault="00E131E0" w:rsidP="00E131E0">
      <w:pPr>
        <w:pStyle w:val="Para0"/>
        <w:rPr>
          <w:b/>
          <w:bCs/>
          <w:lang w:val="en-AU"/>
        </w:rPr>
      </w:pPr>
      <w:r w:rsidRPr="00E131E0">
        <w:rPr>
          <w:b/>
          <w:bCs/>
          <w:lang w:val="en-AU"/>
        </w:rPr>
        <w:lastRenderedPageBreak/>
        <w:t xml:space="preserve">Mesoscale circulation </w:t>
      </w:r>
      <w:r w:rsidRPr="00E131E0">
        <w:rPr>
          <w:lang w:val="en-AU"/>
        </w:rPr>
        <w:t>Ocean circulation with horizontal dimensions generally ranging from around 5 kilometres</w:t>
      </w:r>
      <w:r w:rsidR="002D314E">
        <w:rPr>
          <w:lang w:val="en-AU"/>
        </w:rPr>
        <w:t xml:space="preserve"> to several hundred kilometres</w:t>
      </w:r>
      <w:r w:rsidR="00AF326D">
        <w:rPr>
          <w:lang w:val="en-AU"/>
        </w:rPr>
        <w:t xml:space="preserve">. </w:t>
      </w:r>
    </w:p>
    <w:p w:rsidR="00E131E0" w:rsidRPr="002D314E" w:rsidRDefault="00E131E0" w:rsidP="00E131E0">
      <w:pPr>
        <w:pStyle w:val="Para0"/>
        <w:rPr>
          <w:b/>
          <w:bCs/>
          <w:lang w:val="en-AU"/>
        </w:rPr>
      </w:pPr>
      <w:r w:rsidRPr="002D314E">
        <w:rPr>
          <w:b/>
          <w:bCs/>
          <w:lang w:val="en-AU"/>
        </w:rPr>
        <w:t xml:space="preserve">Parametric spectral inputs </w:t>
      </w:r>
      <w:r w:rsidRPr="002D314E">
        <w:rPr>
          <w:bCs/>
          <w:lang w:val="en-AU"/>
        </w:rPr>
        <w:t>Using directional spectra (both speed and direction) wave and wind data for modelling wave conditions</w:t>
      </w:r>
      <w:r w:rsidR="00AF326D">
        <w:rPr>
          <w:bCs/>
          <w:lang w:val="en-AU"/>
        </w:rPr>
        <w:t xml:space="preserve">. </w:t>
      </w:r>
    </w:p>
    <w:p w:rsidR="002D314E" w:rsidRPr="002D314E" w:rsidRDefault="00E131E0" w:rsidP="002D314E">
      <w:pPr>
        <w:pStyle w:val="Para0"/>
        <w:rPr>
          <w:bCs/>
          <w:lang w:val="en-AU"/>
        </w:rPr>
      </w:pPr>
      <w:r w:rsidRPr="00E131E0">
        <w:rPr>
          <w:b/>
          <w:bCs/>
          <w:lang w:val="en-AU"/>
        </w:rPr>
        <w:t xml:space="preserve">Scour </w:t>
      </w:r>
      <w:r w:rsidRPr="002D314E">
        <w:rPr>
          <w:bCs/>
          <w:lang w:val="en-AU"/>
        </w:rPr>
        <w:t>changes on the bed of the ocean</w:t>
      </w:r>
      <w:r w:rsidR="00AF326D">
        <w:rPr>
          <w:bCs/>
          <w:lang w:val="en-AU"/>
        </w:rPr>
        <w:t xml:space="preserve">. </w:t>
      </w:r>
      <w:r w:rsidR="002D314E" w:rsidRPr="002D314E">
        <w:rPr>
          <w:bCs/>
          <w:lang w:val="en-AU"/>
        </w:rPr>
        <w:t>The frequent movement of water can lead to a </w:t>
      </w:r>
      <w:r w:rsidR="002D314E" w:rsidRPr="002D314E">
        <w:rPr>
          <w:lang w:val="en-AU"/>
        </w:rPr>
        <w:t>scouring</w:t>
      </w:r>
      <w:r w:rsidR="002D314E" w:rsidRPr="002D314E">
        <w:rPr>
          <w:bCs/>
          <w:lang w:val="en-AU"/>
        </w:rPr>
        <w:t> </w:t>
      </w:r>
      <w:r w:rsidR="002D314E" w:rsidRPr="002D314E">
        <w:rPr>
          <w:lang w:val="en-AU"/>
        </w:rPr>
        <w:t>effect</w:t>
      </w:r>
      <w:r w:rsidR="00AF326D">
        <w:rPr>
          <w:bCs/>
          <w:lang w:val="en-AU"/>
        </w:rPr>
        <w:t xml:space="preserve">. </w:t>
      </w:r>
    </w:p>
    <w:p w:rsidR="00E131E0" w:rsidRPr="00E131E0" w:rsidRDefault="00E131E0" w:rsidP="00E131E0">
      <w:pPr>
        <w:pStyle w:val="Para0"/>
        <w:rPr>
          <w:b/>
          <w:lang w:val="en-AU"/>
        </w:rPr>
      </w:pPr>
      <w:r w:rsidRPr="00E131E0">
        <w:rPr>
          <w:b/>
          <w:lang w:val="en-AU"/>
        </w:rPr>
        <w:t xml:space="preserve">Sedimentation </w:t>
      </w:r>
      <w:r w:rsidRPr="00E131E0">
        <w:rPr>
          <w:lang w:val="en-AU"/>
        </w:rPr>
        <w:t>The deposition or accumulation of sediment either on the seabed or in the water column</w:t>
      </w:r>
      <w:r w:rsidR="00AF326D">
        <w:rPr>
          <w:lang w:val="en-AU"/>
        </w:rPr>
        <w:t xml:space="preserve">. </w:t>
      </w:r>
      <w:r w:rsidRPr="00E131E0">
        <w:rPr>
          <w:lang w:val="en-AU"/>
        </w:rPr>
        <w:t>Deposition on the seabed is calculated as a probability function of the prevailing bottom stress, local sediment concentration and size class</w:t>
      </w:r>
      <w:r w:rsidR="00AF326D">
        <w:rPr>
          <w:lang w:val="en-AU"/>
        </w:rPr>
        <w:t xml:space="preserve">. </w:t>
      </w:r>
      <w:r w:rsidRPr="00E131E0">
        <w:rPr>
          <w:lang w:val="en-AU"/>
        </w:rPr>
        <w:t>Sediment that is deposited may subsequently be resuspended into the lower water column if critical levels of bottom stress are exceeded</w:t>
      </w:r>
      <w:r w:rsidR="00AF326D">
        <w:rPr>
          <w:lang w:val="en-AU"/>
        </w:rPr>
        <w:t xml:space="preserve">. </w:t>
      </w:r>
    </w:p>
    <w:p w:rsidR="00E131E0" w:rsidRPr="00E131E0" w:rsidRDefault="00E131E0" w:rsidP="00E131E0">
      <w:pPr>
        <w:pStyle w:val="Para0"/>
        <w:rPr>
          <w:lang w:val="en-AU"/>
        </w:rPr>
      </w:pPr>
      <w:r w:rsidRPr="00E131E0">
        <w:rPr>
          <w:b/>
          <w:bCs/>
          <w:lang w:val="en-AU"/>
        </w:rPr>
        <w:t>Sediment transport</w:t>
      </w:r>
      <w:r w:rsidRPr="00E131E0">
        <w:rPr>
          <w:lang w:val="en-AU"/>
        </w:rPr>
        <w:t> The movement of solid particles (</w:t>
      </w:r>
      <w:hyperlink r:id="rId23" w:tooltip="Sediment" w:history="1">
        <w:r w:rsidRPr="005957C1">
          <w:t>sediment</w:t>
        </w:r>
      </w:hyperlink>
      <w:r w:rsidRPr="00E131E0">
        <w:rPr>
          <w:lang w:val="en-AU"/>
        </w:rPr>
        <w:t>), typically due to a combination of the force of gravity acting on the sediment, and the movement of the </w:t>
      </w:r>
      <w:hyperlink r:id="rId24" w:tooltip="Fluid" w:history="1">
        <w:r w:rsidRPr="005957C1">
          <w:t>fluid</w:t>
        </w:r>
      </w:hyperlink>
      <w:r w:rsidRPr="00E131E0">
        <w:rPr>
          <w:lang w:val="en-AU"/>
        </w:rPr>
        <w:t> in which the sediment is entrained</w:t>
      </w:r>
      <w:r w:rsidR="00AF326D">
        <w:rPr>
          <w:lang w:val="en-AU"/>
        </w:rPr>
        <w:t xml:space="preserve">. </w:t>
      </w:r>
      <w:r w:rsidRPr="00E131E0">
        <w:rPr>
          <w:lang w:val="en-AU"/>
        </w:rPr>
        <w:t xml:space="preserve">Sediment transport is affected by a range of oceanographic factors including waves, </w:t>
      </w:r>
      <w:hyperlink r:id="rId25" w:tooltip="Current (fluid)" w:history="1">
        <w:r w:rsidRPr="005957C1">
          <w:t>currents</w:t>
        </w:r>
      </w:hyperlink>
      <w:r w:rsidRPr="00E131E0">
        <w:rPr>
          <w:lang w:val="en-AU"/>
        </w:rPr>
        <w:t> and </w:t>
      </w:r>
      <w:hyperlink r:id="rId26" w:tooltip="Tide" w:history="1">
        <w:r w:rsidRPr="005957C1">
          <w:t>tides</w:t>
        </w:r>
      </w:hyperlink>
      <w:r w:rsidR="00AF326D">
        <w:rPr>
          <w:lang w:val="en-AU"/>
        </w:rPr>
        <w:t xml:space="preserve">. </w:t>
      </w:r>
    </w:p>
    <w:p w:rsidR="00E131E0" w:rsidRPr="00E131E0" w:rsidRDefault="00E131E0" w:rsidP="00E131E0">
      <w:pPr>
        <w:pStyle w:val="Para0"/>
        <w:rPr>
          <w:b/>
          <w:lang w:val="en-AU"/>
        </w:rPr>
      </w:pPr>
      <w:r w:rsidRPr="00E131E0">
        <w:rPr>
          <w:b/>
          <w:lang w:val="en-AU"/>
        </w:rPr>
        <w:t xml:space="preserve">Sediment plume spatial extents </w:t>
      </w:r>
      <w:r w:rsidRPr="00E131E0">
        <w:rPr>
          <w:lang w:val="en-AU"/>
        </w:rPr>
        <w:t>For this project spatial extents of sediment plumes associated with dredge material placement are modelled and expressed as median (50</w:t>
      </w:r>
      <w:r w:rsidRPr="00E131E0">
        <w:rPr>
          <w:vertAlign w:val="superscript"/>
          <w:lang w:val="en-AU"/>
        </w:rPr>
        <w:t>th</w:t>
      </w:r>
      <w:r w:rsidRPr="00E131E0">
        <w:rPr>
          <w:lang w:val="en-AU"/>
        </w:rPr>
        <w:t xml:space="preserve"> percentile) and 95</w:t>
      </w:r>
      <w:r w:rsidRPr="00E131E0">
        <w:rPr>
          <w:vertAlign w:val="superscript"/>
          <w:lang w:val="en-AU"/>
        </w:rPr>
        <w:t>th</w:t>
      </w:r>
      <w:r w:rsidRPr="00E131E0">
        <w:rPr>
          <w:lang w:val="en-AU"/>
        </w:rPr>
        <w:t xml:space="preserve"> percentile contours of a range of values of TSS (mg/L) and sedimentation rate (mg/cm</w:t>
      </w:r>
      <w:r w:rsidRPr="00E131E0">
        <w:rPr>
          <w:vertAlign w:val="superscript"/>
          <w:lang w:val="en-AU"/>
        </w:rPr>
        <w:t>2</w:t>
      </w:r>
      <w:r w:rsidRPr="00E131E0">
        <w:rPr>
          <w:lang w:val="en-AU"/>
        </w:rPr>
        <w:t>/d)</w:t>
      </w:r>
      <w:r w:rsidR="00AF326D">
        <w:rPr>
          <w:lang w:val="en-AU"/>
        </w:rPr>
        <w:t xml:space="preserve">. </w:t>
      </w:r>
    </w:p>
    <w:p w:rsidR="00E131E0" w:rsidRPr="00E131E0" w:rsidRDefault="00E131E0" w:rsidP="00E131E0">
      <w:pPr>
        <w:pStyle w:val="Para0"/>
        <w:rPr>
          <w:lang w:val="en-AU"/>
        </w:rPr>
      </w:pPr>
      <w:r w:rsidRPr="00E131E0">
        <w:rPr>
          <w:b/>
          <w:lang w:val="en-AU"/>
        </w:rPr>
        <w:t>Median (50</w:t>
      </w:r>
      <w:r w:rsidRPr="00E131E0">
        <w:rPr>
          <w:b/>
          <w:vertAlign w:val="superscript"/>
          <w:lang w:val="en-AU"/>
        </w:rPr>
        <w:t>th</w:t>
      </w:r>
      <w:r w:rsidRPr="00E131E0">
        <w:rPr>
          <w:b/>
          <w:lang w:val="en-AU"/>
        </w:rPr>
        <w:t xml:space="preserve"> percentile) contours</w:t>
      </w:r>
      <w:r w:rsidRPr="00E131E0">
        <w:rPr>
          <w:lang w:val="en-AU"/>
        </w:rPr>
        <w:t xml:space="preserve"> represent “average” conditions, for example a 5</w:t>
      </w:r>
      <w:r w:rsidR="00EF44A6">
        <w:rPr>
          <w:lang w:val="en-AU"/>
        </w:rPr>
        <w:t> </w:t>
      </w:r>
      <w:r w:rsidRPr="00E131E0">
        <w:rPr>
          <w:lang w:val="en-AU"/>
        </w:rPr>
        <w:t>mg/L TSS median contour shows locations where 5 mg/L is predicted to occur 50</w:t>
      </w:r>
      <w:r w:rsidR="00383842">
        <w:rPr>
          <w:lang w:val="en-AU"/>
        </w:rPr>
        <w:t xml:space="preserve"> per cent</w:t>
      </w:r>
      <w:r w:rsidRPr="00E131E0">
        <w:rPr>
          <w:lang w:val="en-AU"/>
        </w:rPr>
        <w:t xml:space="preserve"> of the time during the modelling period</w:t>
      </w:r>
      <w:r w:rsidR="00AF326D">
        <w:rPr>
          <w:lang w:val="en-AU"/>
        </w:rPr>
        <w:t xml:space="preserve">. </w:t>
      </w:r>
      <w:r w:rsidRPr="00E131E0">
        <w:rPr>
          <w:lang w:val="en-AU"/>
        </w:rPr>
        <w:t>Areas enclosed by the contour are predicted to experience TSS concentrations ≥</w:t>
      </w:r>
      <w:r w:rsidR="00EF44A6">
        <w:rPr>
          <w:lang w:val="en-AU"/>
        </w:rPr>
        <w:t> </w:t>
      </w:r>
      <w:r w:rsidRPr="00E131E0">
        <w:rPr>
          <w:lang w:val="en-AU"/>
        </w:rPr>
        <w:t>5 mg/L more than half the time</w:t>
      </w:r>
      <w:r w:rsidR="00AF326D">
        <w:rPr>
          <w:lang w:val="en-AU"/>
        </w:rPr>
        <w:t xml:space="preserve">. </w:t>
      </w:r>
      <w:r w:rsidRPr="00E131E0">
        <w:rPr>
          <w:lang w:val="en-AU"/>
        </w:rPr>
        <w:t>Areas outside the contour are predicted to experience 5 mg/L TSS less than half the time during the modelling period</w:t>
      </w:r>
      <w:r w:rsidR="00AF326D">
        <w:rPr>
          <w:lang w:val="en-AU"/>
        </w:rPr>
        <w:t xml:space="preserve">. </w:t>
      </w:r>
    </w:p>
    <w:p w:rsidR="00E131E0" w:rsidRPr="00E131E0" w:rsidRDefault="00E131E0" w:rsidP="00E131E0">
      <w:pPr>
        <w:pStyle w:val="Para0"/>
        <w:rPr>
          <w:b/>
          <w:lang w:val="en-AU"/>
        </w:rPr>
      </w:pPr>
      <w:r w:rsidRPr="00E131E0">
        <w:rPr>
          <w:b/>
          <w:lang w:val="en-AU"/>
        </w:rPr>
        <w:t>The 95</w:t>
      </w:r>
      <w:r w:rsidRPr="00E131E0">
        <w:rPr>
          <w:b/>
          <w:vertAlign w:val="superscript"/>
          <w:lang w:val="en-AU"/>
        </w:rPr>
        <w:t>th</w:t>
      </w:r>
      <w:r w:rsidRPr="00E131E0">
        <w:rPr>
          <w:b/>
          <w:lang w:val="en-AU"/>
        </w:rPr>
        <w:t xml:space="preserve"> percentile contours</w:t>
      </w:r>
      <w:r w:rsidRPr="00E131E0">
        <w:rPr>
          <w:lang w:val="en-AU"/>
        </w:rPr>
        <w:t xml:space="preserve"> represent conditions 5 per cent of the time</w:t>
      </w:r>
      <w:r w:rsidR="00AF326D">
        <w:rPr>
          <w:lang w:val="en-AU"/>
        </w:rPr>
        <w:t xml:space="preserve">. </w:t>
      </w:r>
      <w:r w:rsidRPr="00E131E0">
        <w:rPr>
          <w:lang w:val="en-AU"/>
        </w:rPr>
        <w:t>For example, areas outside the 95</w:t>
      </w:r>
      <w:r w:rsidRPr="00E131E0">
        <w:rPr>
          <w:vertAlign w:val="superscript"/>
          <w:lang w:val="en-AU"/>
        </w:rPr>
        <w:t>th</w:t>
      </w:r>
      <w:r w:rsidRPr="00E131E0">
        <w:rPr>
          <w:lang w:val="en-AU"/>
        </w:rPr>
        <w:t xml:space="preserve"> percentile contour for 10 mg/cm</w:t>
      </w:r>
      <w:r w:rsidRPr="00E131E0">
        <w:rPr>
          <w:vertAlign w:val="superscript"/>
          <w:lang w:val="en-AU"/>
        </w:rPr>
        <w:t>2</w:t>
      </w:r>
      <w:r w:rsidRPr="00E131E0">
        <w:rPr>
          <w:lang w:val="en-AU"/>
        </w:rPr>
        <w:t xml:space="preserve">/d sedimentation rate are predicted to experience sedimentation of this intensity less than 5 per cent of the time during the dredge material placement campaign. </w:t>
      </w:r>
    </w:p>
    <w:p w:rsidR="00E131E0" w:rsidRDefault="00E131E0" w:rsidP="00E131E0">
      <w:pPr>
        <w:pStyle w:val="Para0"/>
        <w:rPr>
          <w:lang w:val="en-AU"/>
        </w:rPr>
      </w:pPr>
      <w:r w:rsidRPr="00E131E0">
        <w:rPr>
          <w:b/>
          <w:lang w:val="en-AU"/>
        </w:rPr>
        <w:t xml:space="preserve">Shoaling </w:t>
      </w:r>
      <w:r w:rsidRPr="00E131E0">
        <w:rPr>
          <w:lang w:val="en-AU"/>
        </w:rPr>
        <w:t>The bottom effect which influences the height of waves moving from deep to shallow water.</w:t>
      </w:r>
    </w:p>
    <w:p w:rsidR="00E131E0" w:rsidRPr="00E131E0" w:rsidRDefault="00E131E0" w:rsidP="00E131E0">
      <w:pPr>
        <w:pStyle w:val="Para0"/>
        <w:rPr>
          <w:b/>
          <w:lang w:val="en-AU"/>
        </w:rPr>
      </w:pPr>
      <w:r w:rsidRPr="00E131E0">
        <w:rPr>
          <w:b/>
          <w:lang w:val="en-AU"/>
        </w:rPr>
        <w:t xml:space="preserve">Surface current roses </w:t>
      </w:r>
      <w:r w:rsidRPr="00E131E0">
        <w:rPr>
          <w:lang w:val="en-AU"/>
        </w:rPr>
        <w:t>A diagrammatic representation of the proportion and rate range (in metres/second) of daily current records flowing to a given direction.</w:t>
      </w:r>
    </w:p>
    <w:p w:rsidR="00E131E0" w:rsidRPr="00E131E0" w:rsidRDefault="00E131E0" w:rsidP="00E131E0">
      <w:pPr>
        <w:pStyle w:val="Para0"/>
        <w:rPr>
          <w:lang w:val="en-AU"/>
        </w:rPr>
      </w:pPr>
      <w:r w:rsidRPr="00E131E0">
        <w:rPr>
          <w:b/>
          <w:lang w:val="en-AU"/>
        </w:rPr>
        <w:t xml:space="preserve">Tidal forcing </w:t>
      </w:r>
      <w:r w:rsidRPr="00E131E0">
        <w:rPr>
          <w:lang w:val="en-AU"/>
        </w:rPr>
        <w:t>The term </w:t>
      </w:r>
      <w:r w:rsidRPr="00E131E0">
        <w:rPr>
          <w:bCs/>
          <w:i/>
          <w:iCs/>
          <w:lang w:val="en-AU"/>
        </w:rPr>
        <w:t>tidal force</w:t>
      </w:r>
      <w:r w:rsidRPr="00E131E0">
        <w:rPr>
          <w:lang w:val="en-AU"/>
        </w:rPr>
        <w:t xml:space="preserve"> is used to describe the forces due to tidal acceleration. Tidal forcings are one component driving hydrodynamic and hydrographic conditions. </w:t>
      </w:r>
    </w:p>
    <w:p w:rsidR="00E131E0" w:rsidRPr="00E131E0" w:rsidRDefault="00E131E0" w:rsidP="00E131E0">
      <w:pPr>
        <w:pStyle w:val="Para0"/>
        <w:rPr>
          <w:b/>
          <w:lang w:val="en-AU"/>
        </w:rPr>
      </w:pPr>
      <w:r w:rsidRPr="00E131E0">
        <w:rPr>
          <w:b/>
          <w:lang w:val="en-AU"/>
        </w:rPr>
        <w:t>Total sedimentation (mg/cm</w:t>
      </w:r>
      <w:r w:rsidRPr="00E131E0">
        <w:rPr>
          <w:b/>
          <w:vertAlign w:val="superscript"/>
          <w:lang w:val="en-AU"/>
        </w:rPr>
        <w:t>2</w:t>
      </w:r>
      <w:r w:rsidRPr="00E131E0">
        <w:rPr>
          <w:b/>
          <w:lang w:val="en-AU"/>
        </w:rPr>
        <w:t xml:space="preserve">) </w:t>
      </w:r>
      <w:r w:rsidRPr="00E131E0">
        <w:rPr>
          <w:lang w:val="en-AU"/>
        </w:rPr>
        <w:t>The amount of dredge material deposited on the seabed in milligrams per square centimetre. For example, total sedimentation of 5</w:t>
      </w:r>
      <w:r w:rsidR="00EF44A6">
        <w:rPr>
          <w:lang w:val="en-AU"/>
        </w:rPr>
        <w:t> </w:t>
      </w:r>
      <w:r w:rsidRPr="00E131E0">
        <w:rPr>
          <w:lang w:val="en-AU"/>
        </w:rPr>
        <w:t>mg/cm</w:t>
      </w:r>
      <w:r w:rsidRPr="00E131E0">
        <w:rPr>
          <w:vertAlign w:val="superscript"/>
          <w:lang w:val="en-AU"/>
        </w:rPr>
        <w:t>2</w:t>
      </w:r>
      <w:r w:rsidRPr="00E131E0">
        <w:rPr>
          <w:lang w:val="en-AU"/>
        </w:rPr>
        <w:t xml:space="preserve"> equates to a sediment thickness of 0.05 mm.</w:t>
      </w:r>
    </w:p>
    <w:p w:rsidR="00E131E0" w:rsidRPr="00E131E0" w:rsidRDefault="00E131E0" w:rsidP="00E131E0">
      <w:pPr>
        <w:pStyle w:val="Para0"/>
        <w:rPr>
          <w:b/>
          <w:i/>
          <w:lang w:val="en-AU"/>
        </w:rPr>
      </w:pPr>
      <w:r w:rsidRPr="00E131E0">
        <w:rPr>
          <w:b/>
          <w:lang w:val="en-AU"/>
        </w:rPr>
        <w:t xml:space="preserve">White-capping coefficient </w:t>
      </w:r>
      <w:r w:rsidRPr="00E131E0">
        <w:rPr>
          <w:lang w:val="en-AU"/>
        </w:rPr>
        <w:t>The coefficient for determining the rate of white-capping dissipation used to appropriately represent the energy loss due to white-capping. White-capping or top breaking is steepness-induced wave-breaking, which occurs in water depths where the wave height becomes too large compared to the wavelength.</w:t>
      </w:r>
    </w:p>
    <w:p w:rsidR="00E131E0" w:rsidRPr="00E131E0" w:rsidRDefault="00E131E0" w:rsidP="00E131E0">
      <w:pPr>
        <w:pStyle w:val="Para0"/>
        <w:rPr>
          <w:lang w:val="en-AU"/>
        </w:rPr>
      </w:pPr>
      <w:r w:rsidRPr="00E131E0">
        <w:rPr>
          <w:b/>
          <w:lang w:val="en-AU"/>
        </w:rPr>
        <w:lastRenderedPageBreak/>
        <w:t xml:space="preserve">Wind forcing (wind load) </w:t>
      </w:r>
      <w:r w:rsidRPr="00E131E0">
        <w:rPr>
          <w:lang w:val="en-AU"/>
        </w:rPr>
        <w:t>The speed of the wind or wind velocity acts as pressure when it meets with a structure. The intensity of that pressure is the wind load. Wind load (force) is calculated with the general formula:</w:t>
      </w:r>
    </w:p>
    <w:p w:rsidR="00E131E0" w:rsidRPr="006A22FE" w:rsidRDefault="00E131E0" w:rsidP="006A22FE">
      <w:pPr>
        <w:pStyle w:val="Para0"/>
        <w:rPr>
          <w:lang w:val="en-AU"/>
        </w:rPr>
      </w:pPr>
      <w:r w:rsidRPr="00E131E0">
        <w:rPr>
          <w:lang w:val="en-AU"/>
        </w:rPr>
        <w:t xml:space="preserve">Windload (force) = Area x Wind Pressure x drag coefficient. </w:t>
      </w:r>
    </w:p>
    <w:p w:rsidR="00916D65" w:rsidRPr="007D6EB4" w:rsidRDefault="00916D65" w:rsidP="0073141D">
      <w:pPr>
        <w:pStyle w:val="Heading1"/>
      </w:pPr>
      <w:bookmarkStart w:id="6" w:name="_Toc361929975"/>
      <w:r w:rsidRPr="007D6EB4">
        <w:lastRenderedPageBreak/>
        <w:t>Acknowledgment</w:t>
      </w:r>
      <w:r w:rsidR="004C5A33" w:rsidRPr="007D6EB4">
        <w:t>s</w:t>
      </w:r>
      <w:bookmarkEnd w:id="6"/>
    </w:p>
    <w:p w:rsidR="00FC2C3F" w:rsidRPr="007D6EB4" w:rsidRDefault="0023181E" w:rsidP="00EC0510">
      <w:pPr>
        <w:pStyle w:val="Para0"/>
        <w:rPr>
          <w:lang w:val="en-AU"/>
        </w:rPr>
      </w:pPr>
      <w:r w:rsidRPr="007D6EB4">
        <w:rPr>
          <w:lang w:val="en-AU"/>
        </w:rPr>
        <w:t xml:space="preserve">The </w:t>
      </w:r>
      <w:r w:rsidRPr="007D6EB4">
        <w:rPr>
          <w:lang w:val="en-AU" w:eastAsia="en-AU"/>
        </w:rPr>
        <w:t>Department of Sustainability, Environment, Water, Population and Communities (</w:t>
      </w:r>
      <w:r w:rsidR="006B2E38">
        <w:rPr>
          <w:lang w:val="en-AU" w:eastAsia="en-AU"/>
        </w:rPr>
        <w:t>D</w:t>
      </w:r>
      <w:r w:rsidRPr="007D6EB4">
        <w:rPr>
          <w:lang w:val="en-AU" w:eastAsia="en-AU"/>
        </w:rPr>
        <w:t>SEWPaC</w:t>
      </w:r>
      <w:r w:rsidRPr="007D6EB4">
        <w:rPr>
          <w:lang w:val="en-AU"/>
        </w:rPr>
        <w:t xml:space="preserve">) </w:t>
      </w:r>
      <w:r w:rsidR="009C77D5" w:rsidRPr="007D6EB4">
        <w:rPr>
          <w:lang w:val="en-AU"/>
        </w:rPr>
        <w:t xml:space="preserve">funded </w:t>
      </w:r>
      <w:r w:rsidRPr="007D6EB4">
        <w:rPr>
          <w:lang w:val="en-AU"/>
        </w:rPr>
        <w:t xml:space="preserve">the research contained in this report and the Great Barrier Reef Marine Part Authority </w:t>
      </w:r>
      <w:r w:rsidR="009C77D5" w:rsidRPr="007D6EB4">
        <w:rPr>
          <w:lang w:val="en-AU"/>
        </w:rPr>
        <w:t xml:space="preserve">is gratefully acknowledged </w:t>
      </w:r>
      <w:r w:rsidRPr="007D6EB4">
        <w:rPr>
          <w:lang w:val="en-AU"/>
        </w:rPr>
        <w:t xml:space="preserve">for commissioning </w:t>
      </w:r>
      <w:r w:rsidR="009C77D5" w:rsidRPr="007D6EB4">
        <w:rPr>
          <w:lang w:val="en-AU"/>
        </w:rPr>
        <w:t xml:space="preserve">and defining </w:t>
      </w:r>
      <w:r w:rsidRPr="007D6EB4">
        <w:rPr>
          <w:lang w:val="en-AU"/>
        </w:rPr>
        <w:t xml:space="preserve">the </w:t>
      </w:r>
      <w:r w:rsidR="009C77D5" w:rsidRPr="007D6EB4">
        <w:rPr>
          <w:lang w:val="en-AU"/>
        </w:rPr>
        <w:t xml:space="preserve">scope of the </w:t>
      </w:r>
      <w:r w:rsidRPr="007D6EB4">
        <w:rPr>
          <w:lang w:val="en-AU"/>
        </w:rPr>
        <w:t>work.</w:t>
      </w:r>
      <w:r w:rsidR="0043422D">
        <w:rPr>
          <w:lang w:val="en-AU"/>
        </w:rPr>
        <w:t xml:space="preserve"> </w:t>
      </w:r>
      <w:r w:rsidR="005518BC" w:rsidRPr="007D6EB4">
        <w:rPr>
          <w:lang w:val="en-AU"/>
        </w:rPr>
        <w:t xml:space="preserve">We </w:t>
      </w:r>
      <w:r w:rsidRPr="007D6EB4">
        <w:rPr>
          <w:lang w:val="en-AU"/>
        </w:rPr>
        <w:t xml:space="preserve">would also like to thank all of the attendees at the recent risk assessment workshops for the </w:t>
      </w:r>
      <w:r w:rsidR="00EE3FDB" w:rsidRPr="007D6EB4">
        <w:rPr>
          <w:lang w:val="en-AU"/>
        </w:rPr>
        <w:t>six port locations</w:t>
      </w:r>
      <w:r w:rsidRPr="007D6EB4">
        <w:rPr>
          <w:szCs w:val="22"/>
          <w:lang w:val="en-AU"/>
        </w:rPr>
        <w:t xml:space="preserve"> (Cairns, Townsville, Abbot Point, Hay Point, Gladstone and Rosslyn Bay </w:t>
      </w:r>
      <w:r w:rsidRPr="007D6EB4">
        <w:rPr>
          <w:lang w:val="en-AU"/>
        </w:rPr>
        <w:t xml:space="preserve">that the Port of Hay Point) </w:t>
      </w:r>
      <w:r w:rsidR="00D000B3" w:rsidRPr="007D6EB4">
        <w:rPr>
          <w:lang w:val="en-AU"/>
        </w:rPr>
        <w:t>for</w:t>
      </w:r>
      <w:r w:rsidRPr="007D6EB4">
        <w:rPr>
          <w:lang w:val="en-AU"/>
        </w:rPr>
        <w:t xml:space="preserve"> the</w:t>
      </w:r>
      <w:r w:rsidR="00D000B3" w:rsidRPr="007D6EB4">
        <w:rPr>
          <w:lang w:val="en-AU"/>
        </w:rPr>
        <w:t>ir</w:t>
      </w:r>
      <w:r w:rsidRPr="007D6EB4">
        <w:rPr>
          <w:lang w:val="en-AU"/>
        </w:rPr>
        <w:t xml:space="preserve"> </w:t>
      </w:r>
      <w:r w:rsidR="00D000B3" w:rsidRPr="007D6EB4">
        <w:rPr>
          <w:lang w:val="en-AU"/>
        </w:rPr>
        <w:t xml:space="preserve">input, provision of data </w:t>
      </w:r>
      <w:r w:rsidRPr="007D6EB4">
        <w:rPr>
          <w:lang w:val="en-AU"/>
        </w:rPr>
        <w:t xml:space="preserve">and </w:t>
      </w:r>
      <w:r w:rsidR="00D000B3" w:rsidRPr="007D6EB4">
        <w:rPr>
          <w:lang w:val="en-AU"/>
        </w:rPr>
        <w:t xml:space="preserve">prompt </w:t>
      </w:r>
      <w:r w:rsidRPr="007D6EB4">
        <w:rPr>
          <w:lang w:val="en-AU"/>
        </w:rPr>
        <w:t>feedback.</w:t>
      </w:r>
      <w:r w:rsidR="0043422D">
        <w:rPr>
          <w:lang w:val="en-AU"/>
        </w:rPr>
        <w:t xml:space="preserve"> </w:t>
      </w:r>
      <w:r w:rsidRPr="007D6EB4">
        <w:rPr>
          <w:lang w:val="en-AU"/>
        </w:rPr>
        <w:t xml:space="preserve">We would like to provide additional </w:t>
      </w:r>
      <w:r w:rsidR="009B5281" w:rsidRPr="007D6EB4">
        <w:rPr>
          <w:lang w:val="en-AU"/>
        </w:rPr>
        <w:t>thanks to BMT</w:t>
      </w:r>
      <w:r w:rsidR="00F7576C">
        <w:rPr>
          <w:lang w:val="en-AU"/>
        </w:rPr>
        <w:t xml:space="preserve"> </w:t>
      </w:r>
      <w:r w:rsidR="009B5281" w:rsidRPr="007D6EB4">
        <w:rPr>
          <w:lang w:val="en-AU"/>
        </w:rPr>
        <w:t>WBM</w:t>
      </w:r>
      <w:r w:rsidR="00D000B3" w:rsidRPr="007D6EB4">
        <w:rPr>
          <w:lang w:val="en-AU"/>
        </w:rPr>
        <w:t xml:space="preserve"> staff</w:t>
      </w:r>
      <w:r w:rsidR="009B5281" w:rsidRPr="007D6EB4">
        <w:rPr>
          <w:lang w:val="en-AU"/>
        </w:rPr>
        <w:t xml:space="preserve"> for </w:t>
      </w:r>
      <w:r w:rsidR="00573ADD" w:rsidRPr="007D6EB4">
        <w:rPr>
          <w:lang w:val="en-AU"/>
        </w:rPr>
        <w:t xml:space="preserve">swiftly </w:t>
      </w:r>
      <w:r w:rsidR="009B5281" w:rsidRPr="007D6EB4">
        <w:rPr>
          <w:lang w:val="en-AU"/>
        </w:rPr>
        <w:t xml:space="preserve">providing </w:t>
      </w:r>
      <w:r w:rsidR="00573ADD" w:rsidRPr="007D6EB4">
        <w:rPr>
          <w:lang w:val="en-AU"/>
        </w:rPr>
        <w:t xml:space="preserve">current </w:t>
      </w:r>
      <w:r w:rsidR="009C77D5" w:rsidRPr="007D6EB4">
        <w:rPr>
          <w:lang w:val="en-AU"/>
        </w:rPr>
        <w:t>measurements from</w:t>
      </w:r>
      <w:r w:rsidR="00D000B3" w:rsidRPr="007D6EB4">
        <w:rPr>
          <w:lang w:val="en-AU"/>
        </w:rPr>
        <w:t xml:space="preserve"> </w:t>
      </w:r>
      <w:r w:rsidR="009C77D5" w:rsidRPr="007D6EB4">
        <w:rPr>
          <w:lang w:val="en-AU"/>
        </w:rPr>
        <w:t xml:space="preserve">the </w:t>
      </w:r>
      <w:r w:rsidR="00D000B3" w:rsidRPr="007D6EB4">
        <w:rPr>
          <w:lang w:val="en-AU"/>
        </w:rPr>
        <w:t xml:space="preserve">ports to be </w:t>
      </w:r>
      <w:r w:rsidR="00573ADD" w:rsidRPr="007D6EB4">
        <w:rPr>
          <w:lang w:val="en-AU"/>
        </w:rPr>
        <w:t>used in this assessment.</w:t>
      </w:r>
    </w:p>
    <w:p w:rsidR="00FC2C3F" w:rsidRPr="007D6EB4" w:rsidRDefault="00FC2C3F" w:rsidP="00617543">
      <w:pPr>
        <w:pStyle w:val="Para0"/>
        <w:rPr>
          <w:lang w:val="en-AU"/>
        </w:rPr>
      </w:pPr>
    </w:p>
    <w:p w:rsidR="004C5A33" w:rsidRPr="007D6EB4" w:rsidRDefault="004C5A33" w:rsidP="00617543">
      <w:pPr>
        <w:pStyle w:val="Para0"/>
        <w:rPr>
          <w:lang w:val="en-AU"/>
        </w:rPr>
        <w:sectPr w:rsidR="004C5A33" w:rsidRPr="007D6EB4" w:rsidSect="004C5A33">
          <w:headerReference w:type="default" r:id="rId27"/>
          <w:footerReference w:type="default" r:id="rId28"/>
          <w:footerReference w:type="first" r:id="rId29"/>
          <w:pgSz w:w="11907" w:h="16840" w:code="9"/>
          <w:pgMar w:top="1418" w:right="1701" w:bottom="1418" w:left="1701" w:header="567" w:footer="567" w:gutter="0"/>
          <w:pgNumType w:fmt="lowerRoman"/>
          <w:cols w:space="720"/>
          <w:formProt w:val="0"/>
          <w:docGrid w:linePitch="299"/>
        </w:sectPr>
      </w:pPr>
    </w:p>
    <w:p w:rsidR="00C609AB" w:rsidRPr="005012AD" w:rsidRDefault="00C609AB" w:rsidP="00C609AB">
      <w:pPr>
        <w:pStyle w:val="Heading1"/>
      </w:pPr>
      <w:bookmarkStart w:id="7" w:name="_Toc360691930"/>
      <w:bookmarkStart w:id="8" w:name="_Toc361929976"/>
      <w:r w:rsidRPr="005012AD">
        <w:lastRenderedPageBreak/>
        <w:t>RELIANCE STATEMENT</w:t>
      </w:r>
      <w:bookmarkEnd w:id="7"/>
      <w:bookmarkEnd w:id="8"/>
    </w:p>
    <w:p w:rsidR="00C609AB" w:rsidRPr="00286823" w:rsidRDefault="00C609AB" w:rsidP="00C609AB">
      <w:pPr>
        <w:pStyle w:val="Para0"/>
      </w:pPr>
      <w:r w:rsidRPr="00286823">
        <w:t>This report has been prepared pursuant to the Contract between Sinclair Knight Merz Pty Limited (SKM) and the Great Barrier Reef Marine Park Authority (the Client) dated 18 September 2012 as varied on 21 November 2012, 14 March 2013 and 17 June 2013 (the Contract). The scope of this report and associated services performed by SKM was developed with the Client to meet the specific needs of the project</w:t>
      </w:r>
      <w:r w:rsidR="00AF326D">
        <w:t xml:space="preserve">. </w:t>
      </w:r>
    </w:p>
    <w:p w:rsidR="00C609AB" w:rsidRPr="00286823" w:rsidRDefault="00C609AB" w:rsidP="00C609AB">
      <w:pPr>
        <w:pStyle w:val="Para0"/>
      </w:pPr>
      <w:r w:rsidRPr="00286823">
        <w:t>In preparing this report, SKM has relied upon, and presumed accurate, information (or confirmation of the absence thereof) provided by the Client and/or other sources including port authorities. Except as otherwise stated in the report, SKM has not attempted to verify the accuracy or completeness of such information. If the information relied upon by SKM as at the date of issue of this report is subsequently determined to be false, inaccurate or incomplete, then it is possible that the accuracy of SKM’s observations and conclusions expressed in this report may be affected.</w:t>
      </w:r>
    </w:p>
    <w:p w:rsidR="00C609AB" w:rsidRPr="00286823" w:rsidRDefault="00C609AB" w:rsidP="00C609AB">
      <w:pPr>
        <w:pStyle w:val="Para0"/>
      </w:pPr>
      <w:r w:rsidRPr="00286823">
        <w:t xml:space="preserve">SKM warrant that it has prepared this report in accordance with the usual care and thoroughness of the consulting profession, by reference to applicable standards, guidelines, procedures and practices and information sourced at the date of issue of this report. No other warranty or guarantee, whether expressed or implied, is made as to the data, observations, and findings expressed in this report, to the extent permitted by law except as provided for in the Contract between SKM and the Client. </w:t>
      </w:r>
    </w:p>
    <w:p w:rsidR="00C609AB" w:rsidRPr="00286823" w:rsidRDefault="00C609AB" w:rsidP="00C609AB">
      <w:pPr>
        <w:pStyle w:val="Para0"/>
      </w:pPr>
      <w:r w:rsidRPr="00286823">
        <w:t>SKM strongly recommends that this report should be read in full and no excerpts be interpreted as representative of the findings. Except as provided for in the Contract, no responsibility is accepted by SKM for use of any part of this report in any other context.</w:t>
      </w:r>
    </w:p>
    <w:p w:rsidR="00C609AB" w:rsidRPr="00286823" w:rsidRDefault="00C609AB" w:rsidP="00C609AB">
      <w:pPr>
        <w:pStyle w:val="Para0"/>
      </w:pPr>
      <w:r w:rsidRPr="00286823">
        <w:t>This report has been prepared on behalf of, SKM’s Client, and is subject to, and issued in accordance with, the provisions of the Contract between SKM and the Client. SKM accepts no liability or responsibility whatsoever for any use of, or reliance upon, this report by any third party but this does not affect the obligation on SKM to indemnify the Client in accordance with the terms of the Contract.</w:t>
      </w:r>
    </w:p>
    <w:p w:rsidR="00C609AB" w:rsidRPr="00286823" w:rsidRDefault="00C609AB" w:rsidP="00C609AB">
      <w:pPr>
        <w:pStyle w:val="Para0"/>
      </w:pPr>
    </w:p>
    <w:p w:rsidR="001F5825" w:rsidRDefault="001F5825" w:rsidP="00E46224">
      <w:pPr>
        <w:pStyle w:val="Heading1"/>
        <w:rPr>
          <w:lang w:val="en-AU"/>
        </w:rPr>
      </w:pPr>
      <w:bookmarkStart w:id="9" w:name="_Toc361929977"/>
      <w:r w:rsidRPr="007D6EB4">
        <w:rPr>
          <w:lang w:val="en-AU"/>
        </w:rPr>
        <w:lastRenderedPageBreak/>
        <w:t>Summary</w:t>
      </w:r>
      <w:bookmarkEnd w:id="9"/>
    </w:p>
    <w:p w:rsidR="006921A1" w:rsidRPr="002740AC" w:rsidRDefault="006921A1" w:rsidP="00EC0510">
      <w:pPr>
        <w:pStyle w:val="Para0"/>
      </w:pPr>
      <w:r w:rsidRPr="002740AC">
        <w:rPr>
          <w:lang w:val="en-AU"/>
        </w:rPr>
        <w:t>The Great Barrier Reef World Heritage Area (GBRWHA) has had a rapid increase in the number of proposed new ports and port expansions, which has prompted the Australian and Queensland governments to undertake a strategic review to help identify, plan for, and manage existing and emerging risks. This review was in part a response to the World Heritage Committee’s request to Australia to undertake a strategic assessment of future developments that could affect the GBRWHA</w:t>
      </w:r>
      <w:r w:rsidRPr="002740AC">
        <w:t xml:space="preserve"> and adjacent coastal zone in accordance with section 146 of the Environment Protection and Biodiversity Conservation Act 1999. </w:t>
      </w:r>
    </w:p>
    <w:p w:rsidR="006921A1" w:rsidRPr="002740AC" w:rsidRDefault="006921A1" w:rsidP="00EC0510">
      <w:pPr>
        <w:pStyle w:val="Para0"/>
      </w:pPr>
      <w:r w:rsidRPr="002740AC">
        <w:t>The strategic assessment will consider direct, indirect and cumulative impacts on matters of national environmental significance from existing, planned and potential future coastal development activities</w:t>
      </w:r>
      <w:r>
        <w:t>,</w:t>
      </w:r>
      <w:r w:rsidRPr="002740AC">
        <w:t xml:space="preserve"> including those associated with increased shipping and port infrastructure development. The comprehensive strategic assessment comprises two elements: the Great Barrier Reef Coastal Zone Strategic Assessment to be undertaken by the Queensland Government; and the Great Barrier Reef Region Strategic Assessment to be undertaken by the Great Barrier Reef Marine Park Authority (GBRMPA).</w:t>
      </w:r>
      <w:r>
        <w:t xml:space="preserve"> </w:t>
      </w:r>
    </w:p>
    <w:p w:rsidR="006921A1" w:rsidRPr="002740AC" w:rsidRDefault="006921A1" w:rsidP="00EC0510">
      <w:pPr>
        <w:pStyle w:val="Para0"/>
        <w:rPr>
          <w:lang w:val="en-AU"/>
        </w:rPr>
      </w:pPr>
      <w:r w:rsidRPr="006A22FE">
        <w:rPr>
          <w:rStyle w:val="Para0Char"/>
        </w:rPr>
        <w:t xml:space="preserve">To assist GBRMPA and </w:t>
      </w:r>
      <w:r w:rsidR="006B2E38">
        <w:rPr>
          <w:rStyle w:val="Para0Char"/>
        </w:rPr>
        <w:t>D</w:t>
      </w:r>
      <w:r w:rsidRPr="006A22FE">
        <w:rPr>
          <w:rStyle w:val="Para0Char"/>
        </w:rPr>
        <w:t xml:space="preserve">SEWPaC with tools </w:t>
      </w:r>
      <w:r w:rsidRPr="002740AC">
        <w:rPr>
          <w:rFonts w:cs="Arial"/>
        </w:rPr>
        <w:t>to improve decision making with regards to dredge material disposal in the Great Barrier Reef Region (includes the World Heritage Area and the Marine Park)</w:t>
      </w:r>
      <w:r w:rsidRPr="002740AC">
        <w:rPr>
          <w:sz w:val="23"/>
          <w:szCs w:val="23"/>
          <w:lang w:val="en-AU"/>
        </w:rPr>
        <w:t xml:space="preserve">, </w:t>
      </w:r>
      <w:r w:rsidRPr="002740AC">
        <w:rPr>
          <w:lang w:val="en-AU"/>
        </w:rPr>
        <w:t>Sinclair Knight Merz (SKM) and Asia-Pacific Applied Science Associates (APASA) were commissioned to complete the ‘Improved Dredge Material Management for the Great Barrier Reef Region’ screenin</w:t>
      </w:r>
      <w:r>
        <w:rPr>
          <w:lang w:val="en-AU"/>
        </w:rPr>
        <w:t>g study, which comprises 3</w:t>
      </w:r>
      <w:r w:rsidRPr="002740AC">
        <w:rPr>
          <w:lang w:val="en-AU"/>
        </w:rPr>
        <w:t xml:space="preserve"> desktop tasks:</w:t>
      </w:r>
    </w:p>
    <w:p w:rsidR="006921A1" w:rsidRPr="002740AC" w:rsidRDefault="006921A1" w:rsidP="00EC0510">
      <w:pPr>
        <w:pStyle w:val="Para0"/>
        <w:rPr>
          <w:lang w:val="en-AU"/>
        </w:rPr>
      </w:pPr>
      <w:r w:rsidRPr="002740AC">
        <w:rPr>
          <w:u w:val="single"/>
          <w:lang w:val="en-AU"/>
        </w:rPr>
        <w:t>Task 1</w:t>
      </w:r>
      <w:r w:rsidRPr="002740AC">
        <w:rPr>
          <w:lang w:val="en-AU"/>
        </w:rPr>
        <w:t>. Undertake a literature review and cost-benefit analysis that synthesises the available literature on the environmental and financial costs associated with land-based re-use and land-based disposal options for dredge material at six locations (Port of Gladstone, Rosslyn Bay Boat Harbour, the Port of Hay Point, the Port of Abbot Point, the Port of Town</w:t>
      </w:r>
      <w:r w:rsidR="002D314E">
        <w:rPr>
          <w:lang w:val="en-AU"/>
        </w:rPr>
        <w:t>sville, and the Port of Cairns).</w:t>
      </w:r>
    </w:p>
    <w:p w:rsidR="006921A1" w:rsidRPr="002740AC" w:rsidRDefault="006921A1" w:rsidP="00EC0510">
      <w:pPr>
        <w:pStyle w:val="Para0"/>
        <w:rPr>
          <w:lang w:val="en-AU"/>
        </w:rPr>
      </w:pPr>
      <w:r w:rsidRPr="002740AC">
        <w:rPr>
          <w:u w:val="single"/>
          <w:lang w:val="en-AU"/>
        </w:rPr>
        <w:t>Task 2</w:t>
      </w:r>
      <w:r w:rsidRPr="002740AC">
        <w:rPr>
          <w:lang w:val="en-AU"/>
        </w:rPr>
        <w:t xml:space="preserve">. </w:t>
      </w:r>
      <w:r w:rsidR="005531F5" w:rsidRPr="002740AC">
        <w:rPr>
          <w:lang w:val="en-AU"/>
        </w:rPr>
        <w:t>Develop a generic water quality monitoring framework that can be applied to any dredge material disposal site.</w:t>
      </w:r>
    </w:p>
    <w:p w:rsidR="006921A1" w:rsidRPr="002740AC" w:rsidRDefault="006921A1" w:rsidP="00EC0510">
      <w:pPr>
        <w:pStyle w:val="Para0"/>
        <w:rPr>
          <w:lang w:val="en-AU"/>
        </w:rPr>
      </w:pPr>
      <w:r w:rsidRPr="002740AC">
        <w:rPr>
          <w:u w:val="single"/>
          <w:lang w:val="en-AU"/>
        </w:rPr>
        <w:t>Task 3</w:t>
      </w:r>
      <w:r w:rsidRPr="002740AC">
        <w:rPr>
          <w:lang w:val="en-AU"/>
        </w:rPr>
        <w:t xml:space="preserve">. </w:t>
      </w:r>
      <w:r w:rsidR="005531F5" w:rsidRPr="002740AC">
        <w:rPr>
          <w:lang w:val="en-AU"/>
        </w:rPr>
        <w:t>Identify 13 potential alternative dredge material placement areas based on environmental, economic, operational, and social considerations and hydrodynamic modelling</w:t>
      </w:r>
      <w:r w:rsidR="005531F5">
        <w:rPr>
          <w:lang w:val="en-AU"/>
        </w:rPr>
        <w:t>. C</w:t>
      </w:r>
      <w:r w:rsidR="005531F5" w:rsidRPr="002740AC">
        <w:rPr>
          <w:lang w:val="en-AU"/>
        </w:rPr>
        <w:t>onduct hydrodynamic sediment migration and plume modelling for 12 model placement sites to assess risks to environmental values</w:t>
      </w:r>
      <w:r w:rsidR="006A22FE">
        <w:rPr>
          <w:lang w:val="en-AU"/>
        </w:rPr>
        <w:t>.</w:t>
      </w:r>
    </w:p>
    <w:p w:rsidR="006921A1" w:rsidRPr="002740AC" w:rsidRDefault="006921A1" w:rsidP="00EC0510">
      <w:pPr>
        <w:pStyle w:val="Para0"/>
        <w:rPr>
          <w:szCs w:val="22"/>
          <w:lang w:val="en-AU"/>
        </w:rPr>
      </w:pPr>
      <w:r w:rsidRPr="002740AC">
        <w:rPr>
          <w:lang w:val="en-AU"/>
        </w:rPr>
        <w:t>This report presents the findings of the bed shear</w:t>
      </w:r>
      <w:r>
        <w:rPr>
          <w:lang w:val="en-AU"/>
        </w:rPr>
        <w:t>-</w:t>
      </w:r>
      <w:r w:rsidRPr="002740AC">
        <w:rPr>
          <w:lang w:val="en-AU"/>
        </w:rPr>
        <w:t>stress modelling</w:t>
      </w:r>
      <w:r w:rsidRPr="002740AC">
        <w:t>,</w:t>
      </w:r>
      <w:r w:rsidRPr="002740AC">
        <w:rPr>
          <w:lang w:val="en-AU"/>
        </w:rPr>
        <w:t xml:space="preserve"> which is a sub-task </w:t>
      </w:r>
      <w:r w:rsidR="005531F5">
        <w:rPr>
          <w:lang w:val="en-AU"/>
        </w:rPr>
        <w:t>of the third task of the project</w:t>
      </w:r>
      <w:r w:rsidRPr="002740AC">
        <w:rPr>
          <w:lang w:val="en-AU"/>
        </w:rPr>
        <w:t xml:space="preserve">. Modelling the bed shear-stress within a </w:t>
      </w:r>
      <w:r w:rsidRPr="002740AC">
        <w:t>50 km radius of the 12 Queensland trading ports</w:t>
      </w:r>
      <w:r w:rsidRPr="002740AC">
        <w:rPr>
          <w:lang w:val="en-AU"/>
        </w:rPr>
        <w:t xml:space="preserve"> is important in determining </w:t>
      </w:r>
      <w:r w:rsidRPr="002740AC">
        <w:rPr>
          <w:szCs w:val="22"/>
          <w:lang w:val="en-AU" w:eastAsia="en-AU"/>
        </w:rPr>
        <w:t xml:space="preserve">whether the combined forces are sufficient to mobilise </w:t>
      </w:r>
      <w:r w:rsidRPr="002740AC">
        <w:rPr>
          <w:szCs w:val="22"/>
          <w:lang w:val="en-AU"/>
        </w:rPr>
        <w:t>unconsolidated sediments of different grain size categories on the seafloor and in turn the relative stability of dredge spoil.</w:t>
      </w:r>
      <w:r w:rsidRPr="002740AC">
        <w:rPr>
          <w:lang w:val="en-AU"/>
        </w:rPr>
        <w:t xml:space="preserve"> </w:t>
      </w:r>
      <w:r w:rsidRPr="002740AC">
        <w:rPr>
          <w:szCs w:val="22"/>
          <w:lang w:val="en-AU"/>
        </w:rPr>
        <w:t xml:space="preserve">The findings from the bed shear-stress modelling, </w:t>
      </w:r>
      <w:r>
        <w:rPr>
          <w:szCs w:val="22"/>
          <w:lang w:val="en-AU"/>
        </w:rPr>
        <w:t>together</w:t>
      </w:r>
      <w:r w:rsidRPr="002740AC">
        <w:rPr>
          <w:szCs w:val="22"/>
          <w:lang w:val="en-AU"/>
        </w:rPr>
        <w:t xml:space="preserve"> with various other site selection constraints that have been independently defined (i.e. operational, economic, social, cultural and environmental considerations), will be used to identify </w:t>
      </w:r>
      <w:r w:rsidR="005267C9">
        <w:rPr>
          <w:lang w:val="en-AU"/>
        </w:rPr>
        <w:t>three</w:t>
      </w:r>
      <w:r w:rsidR="005267C9" w:rsidRPr="002740AC">
        <w:rPr>
          <w:lang w:val="en-AU"/>
        </w:rPr>
        <w:t xml:space="preserve"> </w:t>
      </w:r>
      <w:r w:rsidRPr="002740AC">
        <w:rPr>
          <w:lang w:val="en-AU"/>
        </w:rPr>
        <w:t xml:space="preserve">alternative dredge material placement sites at Port of Gladstone, and </w:t>
      </w:r>
      <w:r w:rsidR="005267C9">
        <w:rPr>
          <w:lang w:val="en-AU"/>
        </w:rPr>
        <w:t>two</w:t>
      </w:r>
      <w:r w:rsidR="005267C9" w:rsidRPr="002740AC">
        <w:rPr>
          <w:lang w:val="en-AU"/>
        </w:rPr>
        <w:t xml:space="preserve"> </w:t>
      </w:r>
      <w:r w:rsidRPr="002740AC">
        <w:rPr>
          <w:lang w:val="en-AU"/>
        </w:rPr>
        <w:t>at</w:t>
      </w:r>
      <w:r>
        <w:rPr>
          <w:lang w:val="en-AU"/>
        </w:rPr>
        <w:t xml:space="preserve"> each of</w:t>
      </w:r>
      <w:r w:rsidRPr="002740AC">
        <w:rPr>
          <w:lang w:val="en-AU"/>
        </w:rPr>
        <w:t xml:space="preserve"> the other five ports</w:t>
      </w:r>
      <w:r w:rsidRPr="002740AC">
        <w:rPr>
          <w:szCs w:val="22"/>
          <w:lang w:val="en-AU"/>
        </w:rPr>
        <w:t xml:space="preserve"> (Ports of Cairns, Townsville, Abbot Point, Hay Point, and Rosslyn Bay </w:t>
      </w:r>
      <w:r w:rsidR="00083B18">
        <w:rPr>
          <w:szCs w:val="22"/>
          <w:lang w:val="en-AU"/>
        </w:rPr>
        <w:t>State Boat Harbour</w:t>
      </w:r>
      <w:r w:rsidRPr="002740AC">
        <w:rPr>
          <w:szCs w:val="22"/>
          <w:lang w:val="en-AU"/>
        </w:rPr>
        <w:t>)</w:t>
      </w:r>
      <w:r>
        <w:rPr>
          <w:szCs w:val="22"/>
          <w:lang w:val="en-AU"/>
        </w:rPr>
        <w:t xml:space="preserve">. All sites will be </w:t>
      </w:r>
      <w:r w:rsidRPr="002740AC">
        <w:rPr>
          <w:szCs w:val="22"/>
          <w:lang w:val="en-AU"/>
        </w:rPr>
        <w:t>within a 50 km radius of the</w:t>
      </w:r>
      <w:r>
        <w:rPr>
          <w:szCs w:val="22"/>
          <w:lang w:val="en-AU"/>
        </w:rPr>
        <w:t>ir respective</w:t>
      </w:r>
      <w:r w:rsidRPr="002740AC">
        <w:rPr>
          <w:szCs w:val="22"/>
          <w:lang w:val="en-AU"/>
        </w:rPr>
        <w:t xml:space="preserve"> ports </w:t>
      </w:r>
      <w:r w:rsidRPr="002740AC">
        <w:rPr>
          <w:lang w:val="en-AU"/>
        </w:rPr>
        <w:t>for further modelling and assessment</w:t>
      </w:r>
      <w:r w:rsidR="00F22FDB">
        <w:rPr>
          <w:lang w:val="en-AU"/>
        </w:rPr>
        <w:t>.</w:t>
      </w:r>
    </w:p>
    <w:p w:rsidR="006921A1" w:rsidRPr="002740AC" w:rsidRDefault="006921A1" w:rsidP="00EC0510">
      <w:pPr>
        <w:pStyle w:val="Para0"/>
        <w:rPr>
          <w:sz w:val="24"/>
          <w:lang w:val="en-AU"/>
        </w:rPr>
      </w:pPr>
      <w:r w:rsidRPr="002740AC">
        <w:rPr>
          <w:lang w:val="en-AU"/>
        </w:rPr>
        <w:lastRenderedPageBreak/>
        <w:t xml:space="preserve">The bed shear-stress modelling study was carried out in a number of independent yet, integrated stages. Firstly, as the oceanographic conditions fluctuate from one year to the next, an analysis was carried out representative of </w:t>
      </w:r>
      <w:r w:rsidRPr="002740AC">
        <w:rPr>
          <w:lang w:val="en-US"/>
        </w:rPr>
        <w:t xml:space="preserve">El Niño (2004), La Niña (2011) and neutral (2007) years, which was used to </w:t>
      </w:r>
      <w:r w:rsidRPr="002740AC">
        <w:t xml:space="preserve">verify which year </w:t>
      </w:r>
      <w:r w:rsidRPr="002740AC">
        <w:rPr>
          <w:lang w:val="en-AU"/>
        </w:rPr>
        <w:t>represents high-energy conditions</w:t>
      </w:r>
      <w:r w:rsidRPr="002740AC">
        <w:t xml:space="preserve">. </w:t>
      </w:r>
      <w:r w:rsidRPr="002740AC">
        <w:rPr>
          <w:lang w:val="en-AU"/>
        </w:rPr>
        <w:t xml:space="preserve">Based on this analysis, the 2011 period was identified as the year with the strongest predicted currents. Secondly, a dataset was established that incorporates the three-dimensional effects of the oceanic currents (i.e. effects from the </w:t>
      </w:r>
      <w:r w:rsidRPr="002740AC">
        <w:rPr>
          <w:lang w:val="en-AU" w:eastAsia="en-AU"/>
        </w:rPr>
        <w:t>prevailing south-east trade winds</w:t>
      </w:r>
      <w:r w:rsidRPr="002740AC">
        <w:rPr>
          <w:lang w:val="en-AU"/>
        </w:rPr>
        <w:t xml:space="preserve"> and East Australian Current) and tide</w:t>
      </w:r>
      <w:r>
        <w:rPr>
          <w:lang w:val="en-AU"/>
        </w:rPr>
        <w:t>-driven</w:t>
      </w:r>
      <w:r w:rsidRPr="002740AC">
        <w:rPr>
          <w:lang w:val="en-AU"/>
        </w:rPr>
        <w:t xml:space="preserve"> and wind-driven coastal currents. The data was validated against tide data from the National Tidal Facility and current data adjacent to the Hay Point and Townsville existing material disposal sites. The third step involved modelling the </w:t>
      </w:r>
      <w:r w:rsidRPr="002740AC">
        <w:t xml:space="preserve">wave climate for the period corresponding to the current data and confirming the </w:t>
      </w:r>
      <w:r w:rsidRPr="002740AC">
        <w:rPr>
          <w:szCs w:val="22"/>
          <w:lang w:val="en-AU"/>
        </w:rPr>
        <w:t>model accuracy using measured data at five locations (</w:t>
      </w:r>
      <w:r w:rsidRPr="002740AC">
        <w:rPr>
          <w:lang w:val="en-AU"/>
        </w:rPr>
        <w:t>Gladstone, Emu Park, Mackay, Townsville and Cairns).</w:t>
      </w:r>
      <w:r>
        <w:rPr>
          <w:lang w:val="en-AU"/>
        </w:rPr>
        <w:t xml:space="preserve"> </w:t>
      </w:r>
      <w:r w:rsidRPr="002740AC">
        <w:rPr>
          <w:lang w:val="en-AU"/>
        </w:rPr>
        <w:t xml:space="preserve">The final step was to estimate the </w:t>
      </w:r>
      <w:r w:rsidRPr="002740AC">
        <w:rPr>
          <w:lang w:val="en-AU" w:eastAsia="en-AU"/>
        </w:rPr>
        <w:t>50</w:t>
      </w:r>
      <w:r w:rsidRPr="002740AC">
        <w:rPr>
          <w:vertAlign w:val="superscript"/>
          <w:lang w:val="en-AU" w:eastAsia="en-AU"/>
        </w:rPr>
        <w:t>th</w:t>
      </w:r>
      <w:r w:rsidRPr="002740AC">
        <w:rPr>
          <w:lang w:val="en-AU" w:eastAsia="en-AU"/>
        </w:rPr>
        <w:t xml:space="preserve"> (or average conditions) and 95</w:t>
      </w:r>
      <w:r w:rsidRPr="002740AC">
        <w:rPr>
          <w:vertAlign w:val="superscript"/>
          <w:lang w:val="en-AU" w:eastAsia="en-AU"/>
        </w:rPr>
        <w:t>th</w:t>
      </w:r>
      <w:r w:rsidRPr="002740AC">
        <w:rPr>
          <w:lang w:val="en-AU" w:eastAsia="en-AU"/>
        </w:rPr>
        <w:t xml:space="preserve"> (or extreme conditions) percentile </w:t>
      </w:r>
      <w:r w:rsidRPr="002740AC">
        <w:rPr>
          <w:lang w:val="en-AU"/>
        </w:rPr>
        <w:t xml:space="preserve">bed shear-stress levels due to the combined current and wave forces, using the empirical formulation described in </w:t>
      </w:r>
      <w:r w:rsidRPr="002740AC">
        <w:rPr>
          <w:szCs w:val="22"/>
          <w:lang w:val="en-AU"/>
        </w:rPr>
        <w:t xml:space="preserve">Soulsby (1997), which assumes </w:t>
      </w:r>
      <w:r w:rsidRPr="002740AC">
        <w:rPr>
          <w:szCs w:val="22"/>
        </w:rPr>
        <w:t>non-cohesive rough (i.e. bioturbated) sediments under non-breaking waves.</w:t>
      </w:r>
      <w:r w:rsidRPr="002740AC">
        <w:rPr>
          <w:sz w:val="24"/>
          <w:lang w:val="en-AU"/>
        </w:rPr>
        <w:t xml:space="preserve"> </w:t>
      </w:r>
    </w:p>
    <w:p w:rsidR="006921A1" w:rsidRPr="002740AC" w:rsidRDefault="006921A1" w:rsidP="00EC0510">
      <w:pPr>
        <w:pStyle w:val="Para0"/>
        <w:rPr>
          <w:rFonts w:cs="Arial"/>
          <w:szCs w:val="22"/>
        </w:rPr>
      </w:pPr>
      <w:r w:rsidRPr="002740AC">
        <w:rPr>
          <w:rFonts w:cs="Arial"/>
          <w:szCs w:val="22"/>
        </w:rPr>
        <w:t xml:space="preserve">It is important to note that this study will not replace the need for a detailed Environmental Impact Assessment (EIA) associated with any future dredge spoil disposal operations. A detailed EIA would be required since there is a need to understand the composition of any future dredge spoil disposal operation. Each disposal operation potentially delivers a different grain size mix to the selected spoil grounds. Future dredging operations would also cause modification to the bathymetry which, for future operations, is unforeseen. Consequently, the study herein helps define the scour potential for the existing historical material placement sites and other locations within the region as a decision support tool and for comparative purposes to guide such detailed studies in the future. </w:t>
      </w:r>
    </w:p>
    <w:p w:rsidR="006921A1" w:rsidRPr="002740AC" w:rsidRDefault="006921A1" w:rsidP="00EC0510">
      <w:pPr>
        <w:pStyle w:val="Para0"/>
        <w:rPr>
          <w:rFonts w:cs="Arial"/>
          <w:szCs w:val="22"/>
        </w:rPr>
      </w:pPr>
      <w:r w:rsidRPr="002740AC">
        <w:rPr>
          <w:rFonts w:cs="Arial"/>
          <w:szCs w:val="22"/>
        </w:rPr>
        <w:t xml:space="preserve">Key findings for the </w:t>
      </w:r>
      <w:r>
        <w:rPr>
          <w:rFonts w:cs="Arial"/>
          <w:szCs w:val="22"/>
        </w:rPr>
        <w:t>12</w:t>
      </w:r>
      <w:r w:rsidRPr="002740AC">
        <w:rPr>
          <w:rFonts w:cs="Arial"/>
          <w:szCs w:val="22"/>
        </w:rPr>
        <w:t xml:space="preserve"> ports were:</w:t>
      </w:r>
    </w:p>
    <w:p w:rsidR="006921A1" w:rsidRPr="006A22FE" w:rsidRDefault="006921A1" w:rsidP="006A22FE">
      <w:pPr>
        <w:pStyle w:val="Para0bullet"/>
        <w:rPr>
          <w:color w:val="auto"/>
        </w:rPr>
      </w:pPr>
      <w:r w:rsidRPr="006A22FE">
        <w:rPr>
          <w:color w:val="auto"/>
        </w:rPr>
        <w:t>Port of Gladstone: The modelling indicates high shear-stress levels (or more dispersive zones) for the majority of the study area, with the potential to mobilise unconsolidated material up to coarse sand under average conditions. Select inshore areas east and west of the existing material placement site show lower bed shear-stres</w:t>
      </w:r>
      <w:r w:rsidR="006D4E6A">
        <w:rPr>
          <w:color w:val="auto"/>
        </w:rPr>
        <w:t>ses (i.e. more retentive zones).</w:t>
      </w:r>
    </w:p>
    <w:p w:rsidR="006921A1" w:rsidRPr="006A22FE" w:rsidRDefault="00DE74C2" w:rsidP="006A22FE">
      <w:pPr>
        <w:pStyle w:val="Para0bullet"/>
        <w:rPr>
          <w:color w:val="auto"/>
        </w:rPr>
      </w:pPr>
      <w:r w:rsidRPr="006A22FE">
        <w:rPr>
          <w:color w:val="auto"/>
        </w:rPr>
        <w:t>Rosslyn</w:t>
      </w:r>
      <w:r w:rsidR="006921A1" w:rsidRPr="006A22FE">
        <w:rPr>
          <w:color w:val="auto"/>
        </w:rPr>
        <w:t xml:space="preserve"> Bay </w:t>
      </w:r>
      <w:r w:rsidR="00083B18">
        <w:rPr>
          <w:color w:val="auto"/>
        </w:rPr>
        <w:t>State Boat Harbour</w:t>
      </w:r>
      <w:r w:rsidR="006921A1" w:rsidRPr="006A22FE">
        <w:rPr>
          <w:color w:val="auto"/>
        </w:rPr>
        <w:t xml:space="preserve">: </w:t>
      </w:r>
      <w:r w:rsidR="006921A1" w:rsidRPr="006A22FE">
        <w:rPr>
          <w:color w:val="auto"/>
          <w:lang w:val="en-AU"/>
        </w:rPr>
        <w:t>The 50</w:t>
      </w:r>
      <w:r w:rsidR="006921A1" w:rsidRPr="006A22FE">
        <w:rPr>
          <w:color w:val="auto"/>
          <w:vertAlign w:val="superscript"/>
          <w:lang w:val="en-AU"/>
        </w:rPr>
        <w:t>th</w:t>
      </w:r>
      <w:r w:rsidR="006921A1" w:rsidRPr="006A22FE">
        <w:rPr>
          <w:color w:val="auto"/>
          <w:lang w:val="en-AU"/>
        </w:rPr>
        <w:t xml:space="preserve"> percentile results indicate that the bed shear-stresses at the existing material placement site suggest a reasonably retentive environment and will be stable for sediments larger than fine silt. By moving offshore the stress levels increase significantly and would have the potential to mobilise unconsolidated fine and coarse sand. The 95</w:t>
      </w:r>
      <w:r w:rsidR="006921A1" w:rsidRPr="006A22FE">
        <w:rPr>
          <w:color w:val="auto"/>
          <w:vertAlign w:val="superscript"/>
          <w:lang w:val="en-AU"/>
        </w:rPr>
        <w:t>th</w:t>
      </w:r>
      <w:r w:rsidR="006921A1" w:rsidRPr="006A22FE">
        <w:rPr>
          <w:color w:val="auto"/>
          <w:lang w:val="en-AU"/>
        </w:rPr>
        <w:t xml:space="preserve"> percentile stress distributions show that sediments as large as coarse sand could be periodically mobilised for any location offshore from the port and that there would be no locations where dredged deposits would remain stable.</w:t>
      </w:r>
    </w:p>
    <w:p w:rsidR="006921A1" w:rsidRPr="006A22FE" w:rsidRDefault="006921A1" w:rsidP="006A22FE">
      <w:pPr>
        <w:pStyle w:val="Para0bullet"/>
        <w:rPr>
          <w:color w:val="auto"/>
        </w:rPr>
      </w:pPr>
      <w:r w:rsidRPr="006A22FE">
        <w:rPr>
          <w:color w:val="auto"/>
          <w:lang w:val="en-AU"/>
        </w:rPr>
        <w:t xml:space="preserve">Port of Hay Point: The results showed that under average conditions the </w:t>
      </w:r>
      <w:r w:rsidRPr="006A22FE">
        <w:rPr>
          <w:color w:val="auto"/>
        </w:rPr>
        <w:t>majority of the study area is energetic enough to mobilise unconsolidated material up to coarse sands. However, the areas south</w:t>
      </w:r>
      <w:r w:rsidR="006B2E38">
        <w:rPr>
          <w:color w:val="auto"/>
        </w:rPr>
        <w:t>-</w:t>
      </w:r>
      <w:r w:rsidRPr="006A22FE">
        <w:rPr>
          <w:color w:val="auto"/>
        </w:rPr>
        <w:t xml:space="preserve">west of the existing material placement sites are more retentive, </w:t>
      </w:r>
      <w:r w:rsidRPr="006A22FE">
        <w:rPr>
          <w:color w:val="auto"/>
          <w:lang w:val="en-AU"/>
        </w:rPr>
        <w:t xml:space="preserve">where recently settled sediments larger than coarse silt are unlikely to mobilise. </w:t>
      </w:r>
    </w:p>
    <w:p w:rsidR="006921A1" w:rsidRPr="006A22FE" w:rsidRDefault="006921A1" w:rsidP="006A22FE">
      <w:pPr>
        <w:pStyle w:val="Para0bullet"/>
        <w:rPr>
          <w:color w:val="auto"/>
        </w:rPr>
      </w:pPr>
      <w:r w:rsidRPr="006A22FE">
        <w:rPr>
          <w:color w:val="auto"/>
        </w:rPr>
        <w:t xml:space="preserve">Port of Mackay: Similar to the Port of Hay Point, even under average conditions the majority of the study area is energetic enough to mobilise unconsolidated material up to coarse sands. </w:t>
      </w:r>
      <w:r w:rsidRPr="006A22FE">
        <w:rPr>
          <w:color w:val="auto"/>
          <w:lang w:val="en-AU"/>
        </w:rPr>
        <w:t xml:space="preserve">At the existing material placement site, the stresses are a </w:t>
      </w:r>
      <w:r w:rsidRPr="006A22FE">
        <w:rPr>
          <w:color w:val="auto"/>
          <w:lang w:val="en-AU"/>
        </w:rPr>
        <w:lastRenderedPageBreak/>
        <w:t>slightly reduced but still show the potential for remobilisation of recently deposited sediments up to fine sand.</w:t>
      </w:r>
    </w:p>
    <w:p w:rsidR="006921A1" w:rsidRPr="006A22FE" w:rsidRDefault="006921A1" w:rsidP="006A22FE">
      <w:pPr>
        <w:pStyle w:val="Para0bullet"/>
        <w:rPr>
          <w:color w:val="auto"/>
          <w:lang w:val="en-AU"/>
        </w:rPr>
      </w:pPr>
      <w:r w:rsidRPr="006A22FE">
        <w:rPr>
          <w:color w:val="auto"/>
        </w:rPr>
        <w:t>Port of Abbot Point: The study area is a relatively low-energy and retentive environment under average (50</w:t>
      </w:r>
      <w:r w:rsidRPr="006A22FE">
        <w:rPr>
          <w:color w:val="auto"/>
          <w:vertAlign w:val="superscript"/>
        </w:rPr>
        <w:t>th</w:t>
      </w:r>
      <w:r w:rsidRPr="006A22FE">
        <w:rPr>
          <w:color w:val="auto"/>
        </w:rPr>
        <w:t xml:space="preserve"> percentile) conditions. The predicted shear-stresses are sufficient to mobilise unconsolidated sediments only up to fine silts, and peripheral areas up to coarse silts.</w:t>
      </w:r>
    </w:p>
    <w:p w:rsidR="006921A1" w:rsidRPr="006A22FE" w:rsidRDefault="006921A1" w:rsidP="006A22FE">
      <w:pPr>
        <w:pStyle w:val="Para0bullet"/>
        <w:rPr>
          <w:color w:val="auto"/>
          <w:lang w:val="en-AU"/>
        </w:rPr>
      </w:pPr>
      <w:r w:rsidRPr="006A22FE">
        <w:rPr>
          <w:color w:val="auto"/>
        </w:rPr>
        <w:t>Port of Townsville: M</w:t>
      </w:r>
      <w:r w:rsidRPr="006A22FE">
        <w:rPr>
          <w:color w:val="auto"/>
          <w:lang w:val="en-AU"/>
        </w:rPr>
        <w:t xml:space="preserve">uch of the study area has a relatively low-energy seabed environment, with shear-stress sufficient to potentially mobilise unconsolidated sediments up to coarse silts during average conditions. Modelled shear-stress in the north-eastern zone of the study area is sufficient to mobilise fine sands. Additionally, there is a small zone north of Magnetic Island with lower predicted shear-stress values (more retentive environment), sufficient to mobilise material only up to fine silt. </w:t>
      </w:r>
    </w:p>
    <w:p w:rsidR="006921A1" w:rsidRPr="006A22FE" w:rsidRDefault="006921A1" w:rsidP="006A22FE">
      <w:pPr>
        <w:pStyle w:val="Para0bullet"/>
        <w:rPr>
          <w:color w:val="auto"/>
          <w:lang w:val="en-AU"/>
        </w:rPr>
      </w:pPr>
      <w:r w:rsidRPr="006A22FE">
        <w:rPr>
          <w:color w:val="auto"/>
        </w:rPr>
        <w:t>Port of Lucinda: Modelling results indicate that most of the areas are retentive under average (50</w:t>
      </w:r>
      <w:r w:rsidRPr="006A22FE">
        <w:rPr>
          <w:color w:val="auto"/>
          <w:vertAlign w:val="superscript"/>
        </w:rPr>
        <w:t>th</w:t>
      </w:r>
      <w:r w:rsidRPr="006A22FE">
        <w:rPr>
          <w:color w:val="auto"/>
        </w:rPr>
        <w:t xml:space="preserve"> percentile) conditions, with the northern and southern regions having a predicted shear-stress sufficient to mobilise unconsolidated sediments typically up to coarse silts. However a more dispersive environment is predicted adjacent the port of Lucinda with predicted bed shear-stress values high enough to mobilise sediments up to coarse sand. Dispersive zones are also predicted north of Hinchinbrook Island, in the outer reefs north</w:t>
      </w:r>
      <w:r w:rsidR="006B2E38">
        <w:rPr>
          <w:color w:val="auto"/>
        </w:rPr>
        <w:t>-</w:t>
      </w:r>
      <w:r w:rsidRPr="006A22FE">
        <w:rPr>
          <w:color w:val="auto"/>
        </w:rPr>
        <w:t>east of Lucinda and south</w:t>
      </w:r>
      <w:r w:rsidR="006B2E38">
        <w:rPr>
          <w:color w:val="auto"/>
        </w:rPr>
        <w:t>-</w:t>
      </w:r>
      <w:r w:rsidRPr="006A22FE">
        <w:rPr>
          <w:color w:val="auto"/>
        </w:rPr>
        <w:t>west of Palm Island.</w:t>
      </w:r>
    </w:p>
    <w:p w:rsidR="006921A1" w:rsidRPr="006A22FE" w:rsidRDefault="006921A1" w:rsidP="006A22FE">
      <w:pPr>
        <w:pStyle w:val="Para0bullet"/>
        <w:rPr>
          <w:color w:val="auto"/>
        </w:rPr>
      </w:pPr>
      <w:r w:rsidRPr="006A22FE">
        <w:rPr>
          <w:color w:val="auto"/>
        </w:rPr>
        <w:t>Port of Mourilyan: The study area is a relatively low-energy retentive environment under average (50</w:t>
      </w:r>
      <w:r w:rsidRPr="006A22FE">
        <w:rPr>
          <w:color w:val="auto"/>
          <w:vertAlign w:val="superscript"/>
        </w:rPr>
        <w:t>th</w:t>
      </w:r>
      <w:r w:rsidRPr="006A22FE">
        <w:rPr>
          <w:color w:val="auto"/>
        </w:rPr>
        <w:t xml:space="preserve"> percentile) conditions, with the bed shear-stress values indicate potential mobilisation of clays along the near-shore region and up to fine and coarse silts in the deeper offshore regions.</w:t>
      </w:r>
    </w:p>
    <w:p w:rsidR="006921A1" w:rsidRPr="006A22FE" w:rsidRDefault="006921A1" w:rsidP="006A22FE">
      <w:pPr>
        <w:pStyle w:val="Para0bullet"/>
        <w:rPr>
          <w:color w:val="auto"/>
        </w:rPr>
      </w:pPr>
      <w:r w:rsidRPr="006A22FE">
        <w:rPr>
          <w:color w:val="auto"/>
        </w:rPr>
        <w:t>Port of Cairns: The 50</w:t>
      </w:r>
      <w:r w:rsidRPr="006A22FE">
        <w:rPr>
          <w:color w:val="auto"/>
          <w:vertAlign w:val="superscript"/>
        </w:rPr>
        <w:t>th</w:t>
      </w:r>
      <w:r w:rsidRPr="006A22FE">
        <w:rPr>
          <w:color w:val="auto"/>
        </w:rPr>
        <w:t xml:space="preserve"> percentile </w:t>
      </w:r>
      <w:r w:rsidRPr="006A22FE">
        <w:rPr>
          <w:color w:val="auto"/>
          <w:lang w:val="en-AU"/>
        </w:rPr>
        <w:t>modelling predicts relatively low sediment mobility (mostly retentive areas) within the Cairns study area, with shear-stress sufficient only to mobilise unconsolidated clays along the immediate coastline, grading into shear-stresses sufficient to potentially mobilise fine and coarse silts further offshore. Only a few reef-associated areas have predicted shear stresses sufficient to mobilise fine to coarse sands.</w:t>
      </w:r>
    </w:p>
    <w:p w:rsidR="006921A1" w:rsidRPr="006A22FE" w:rsidRDefault="006921A1" w:rsidP="006A22FE">
      <w:pPr>
        <w:pStyle w:val="Para0bullet"/>
        <w:rPr>
          <w:color w:val="auto"/>
          <w:lang w:val="en-AU"/>
        </w:rPr>
      </w:pPr>
      <w:r w:rsidRPr="006A22FE">
        <w:rPr>
          <w:color w:val="auto"/>
        </w:rPr>
        <w:t xml:space="preserve">Port of Cooktown: </w:t>
      </w:r>
      <w:r w:rsidRPr="006A22FE">
        <w:rPr>
          <w:color w:val="auto"/>
          <w:lang w:val="en-AU"/>
        </w:rPr>
        <w:t>Similar to the Cairns study region, under average conditions the bed shear-stress is relatively low, sufficient only to mobilise unconsolidated clays along much of the immediate coastline and coarse silts moving offshore. Offshore reef-associated areas have predicted shear stresses sufficient to mobilise sediments up to coarse sands.</w:t>
      </w:r>
    </w:p>
    <w:p w:rsidR="006921A1" w:rsidRPr="006A22FE" w:rsidRDefault="006921A1" w:rsidP="006A22FE">
      <w:pPr>
        <w:pStyle w:val="Para0bullet"/>
        <w:rPr>
          <w:color w:val="auto"/>
          <w:lang w:val="en-AU"/>
        </w:rPr>
      </w:pPr>
      <w:r w:rsidRPr="006A22FE">
        <w:rPr>
          <w:color w:val="auto"/>
          <w:lang w:val="en-AU"/>
        </w:rPr>
        <w:t xml:space="preserve">Port of Cape Flattery: The study area is </w:t>
      </w:r>
      <w:r w:rsidRPr="006A22FE">
        <w:rPr>
          <w:color w:val="auto"/>
        </w:rPr>
        <w:t>a low-energetic retentive environment under average (50</w:t>
      </w:r>
      <w:r w:rsidRPr="006A22FE">
        <w:rPr>
          <w:color w:val="auto"/>
          <w:vertAlign w:val="superscript"/>
        </w:rPr>
        <w:t>th</w:t>
      </w:r>
      <w:r w:rsidRPr="006A22FE">
        <w:rPr>
          <w:color w:val="auto"/>
        </w:rPr>
        <w:t xml:space="preserve"> percentile) conditions. The stress values are sufficient to mobilise unconsolidated clays along immediate near-shore regions and fine and coarse silts in adjacent waters.</w:t>
      </w:r>
    </w:p>
    <w:p w:rsidR="006921A1" w:rsidRPr="006A22FE" w:rsidRDefault="006921A1" w:rsidP="006A22FE">
      <w:pPr>
        <w:pStyle w:val="Para0bullet"/>
        <w:rPr>
          <w:color w:val="auto"/>
        </w:rPr>
      </w:pPr>
      <w:r w:rsidRPr="006A22FE">
        <w:rPr>
          <w:color w:val="auto"/>
        </w:rPr>
        <w:t xml:space="preserve">Port of Quintell Beach: </w:t>
      </w:r>
      <w:r w:rsidRPr="006A22FE">
        <w:rPr>
          <w:color w:val="auto"/>
          <w:lang w:val="en-AU"/>
        </w:rPr>
        <w:t xml:space="preserve">Similar to the Port of Cape Flattery, the study area is </w:t>
      </w:r>
      <w:r w:rsidRPr="006A22FE">
        <w:rPr>
          <w:color w:val="auto"/>
        </w:rPr>
        <w:t>a low-energetic retentive environment under average (50</w:t>
      </w:r>
      <w:r w:rsidRPr="006A22FE">
        <w:rPr>
          <w:color w:val="auto"/>
          <w:vertAlign w:val="superscript"/>
        </w:rPr>
        <w:t>th</w:t>
      </w:r>
      <w:r w:rsidRPr="006A22FE">
        <w:rPr>
          <w:color w:val="auto"/>
        </w:rPr>
        <w:t xml:space="preserve"> percentile) conditions, with stress values sufficient to mobilise unconsolidated clays along immediate near-shore regions and fine and coarse silts in adjacent waters.</w:t>
      </w:r>
    </w:p>
    <w:p w:rsidR="006921A1" w:rsidRPr="002740AC" w:rsidRDefault="006921A1" w:rsidP="00EC0510">
      <w:pPr>
        <w:spacing w:line="240" w:lineRule="auto"/>
        <w:jc w:val="left"/>
        <w:rPr>
          <w:rFonts w:cs="Arial"/>
          <w:color w:val="auto"/>
          <w:szCs w:val="22"/>
        </w:rPr>
      </w:pPr>
      <w:r w:rsidRPr="002740AC">
        <w:rPr>
          <w:rFonts w:cs="Arial"/>
          <w:color w:val="auto"/>
          <w:lang w:val="en-AU"/>
        </w:rPr>
        <w:t>An assessment of the 95</w:t>
      </w:r>
      <w:r w:rsidRPr="002740AC">
        <w:rPr>
          <w:rFonts w:cs="Arial"/>
          <w:color w:val="auto"/>
          <w:vertAlign w:val="superscript"/>
          <w:lang w:val="en-AU"/>
        </w:rPr>
        <w:t>th</w:t>
      </w:r>
      <w:r w:rsidRPr="002740AC">
        <w:rPr>
          <w:rFonts w:cs="Arial"/>
          <w:color w:val="auto"/>
          <w:lang w:val="en-AU"/>
        </w:rPr>
        <w:t xml:space="preserve"> percentile bed shear stress levels showed that for all of the 12 Queensland trading ports, </w:t>
      </w:r>
      <w:r>
        <w:rPr>
          <w:rFonts w:cs="Arial"/>
          <w:color w:val="auto"/>
          <w:lang w:val="en-AU"/>
        </w:rPr>
        <w:t xml:space="preserve">the </w:t>
      </w:r>
      <w:r w:rsidRPr="002740AC">
        <w:rPr>
          <w:rFonts w:cs="Arial"/>
          <w:color w:val="auto"/>
          <w:lang w:val="en-AU"/>
        </w:rPr>
        <w:t xml:space="preserve">majority of the study areas would become highly </w:t>
      </w:r>
      <w:r w:rsidRPr="002740AC">
        <w:rPr>
          <w:rFonts w:cs="Arial"/>
          <w:color w:val="auto"/>
          <w:lang w:val="en-AU"/>
        </w:rPr>
        <w:lastRenderedPageBreak/>
        <w:t xml:space="preserve">energetic (i.e. more dispersive) with the potential to mobilise unconsolidated sediments as large as coarse sand. </w:t>
      </w:r>
    </w:p>
    <w:p w:rsidR="001F5825" w:rsidRPr="007D6EB4" w:rsidRDefault="001F5825" w:rsidP="00E46224">
      <w:pPr>
        <w:pStyle w:val="Heading1"/>
        <w:rPr>
          <w:lang w:val="en-AU"/>
        </w:rPr>
      </w:pPr>
      <w:bookmarkStart w:id="10" w:name="_Toc361929978"/>
      <w:r w:rsidRPr="007D6EB4">
        <w:rPr>
          <w:lang w:val="en-AU"/>
        </w:rPr>
        <w:lastRenderedPageBreak/>
        <w:t>Introduction</w:t>
      </w:r>
      <w:bookmarkEnd w:id="10"/>
    </w:p>
    <w:p w:rsidR="00D2260D" w:rsidRPr="007D6EB4" w:rsidRDefault="001D0872" w:rsidP="00EC0510">
      <w:pPr>
        <w:spacing w:line="240" w:lineRule="auto"/>
        <w:jc w:val="left"/>
        <w:rPr>
          <w:lang w:val="en-AU"/>
        </w:rPr>
      </w:pPr>
      <w:r w:rsidRPr="007D6EB4">
        <w:rPr>
          <w:lang w:val="en-AU"/>
        </w:rPr>
        <w:t xml:space="preserve">The Great Barrier Reef (GBR) is recognised globally as an iconic natural resource, comprising </w:t>
      </w:r>
      <w:r w:rsidR="00986F31">
        <w:rPr>
          <w:lang w:val="en-AU"/>
        </w:rPr>
        <w:t>over 2900</w:t>
      </w:r>
      <w:r w:rsidRPr="007D6EB4">
        <w:rPr>
          <w:lang w:val="en-AU"/>
        </w:rPr>
        <w:t xml:space="preserve"> reefs, which are known collectively as one of the greatest natural ecosystems on the planet. </w:t>
      </w:r>
      <w:r w:rsidR="00D2260D" w:rsidRPr="007D6EB4">
        <w:rPr>
          <w:lang w:val="en-AU"/>
        </w:rPr>
        <w:t>The Great Barrier Reef Marine Park (GBRMP) was declared in 1975 and is widely recognised as one of the best</w:t>
      </w:r>
      <w:r w:rsidR="00986F31">
        <w:rPr>
          <w:lang w:val="en-AU"/>
        </w:rPr>
        <w:t>-</w:t>
      </w:r>
      <w:r w:rsidR="00D2260D" w:rsidRPr="007D6EB4">
        <w:rPr>
          <w:lang w:val="en-AU"/>
        </w:rPr>
        <w:t>managed marine protected areas in the world</w:t>
      </w:r>
      <w:r w:rsidR="00514377" w:rsidRPr="007D6EB4">
        <w:rPr>
          <w:lang w:val="en-AU"/>
        </w:rPr>
        <w:t xml:space="preserve"> (Great Barrier Reef Marine Park Authority 2009)</w:t>
      </w:r>
      <w:r w:rsidR="00D2260D" w:rsidRPr="007D6EB4">
        <w:rPr>
          <w:lang w:val="en-AU"/>
        </w:rPr>
        <w:t>. However, management of the reef ecosystem is being increasingly challenged by a range of complex factors, many of which have their origin outside of the Marine Park’s boundaries.</w:t>
      </w:r>
    </w:p>
    <w:p w:rsidR="003E1638" w:rsidRPr="00E26DAC" w:rsidRDefault="006F4DCE" w:rsidP="00EC0510">
      <w:pPr>
        <w:spacing w:line="240" w:lineRule="auto"/>
        <w:jc w:val="left"/>
      </w:pPr>
      <w:r>
        <w:t>As such, t</w:t>
      </w:r>
      <w:r w:rsidR="003E1638" w:rsidRPr="00E26DAC">
        <w:t>he Australian and Queensland governments have agreed to undertake a comprehensive strategic assessment of the Great Barrier Reef World Heritage Area</w:t>
      </w:r>
      <w:r w:rsidR="00763BE0">
        <w:t xml:space="preserve"> (GBRWHA)</w:t>
      </w:r>
      <w:r w:rsidR="003E1638" w:rsidRPr="00E26DAC">
        <w:t xml:space="preserve"> and adjacent coastal zone in accordance with section 146 of the </w:t>
      </w:r>
      <w:r w:rsidR="003E1638" w:rsidRPr="006F6FBF">
        <w:rPr>
          <w:i/>
        </w:rPr>
        <w:t>Environment Protection and Biodiversity Conservation Act 1999</w:t>
      </w:r>
      <w:r w:rsidR="003E1638" w:rsidRPr="00E26DAC">
        <w:t>. The strategic assessment will consider direct, indirect and cumulative impacts on matters of national environmental significance from existing, planned and potential future coastal development activities including those associated with increased shipping and port infrastructure development. The comprehensive strategic assessment comprises two elements: the Great Barrier Reef Coastal Zone Strategic Assessment to be undertaken by the Queensland Government; and the Great Barrier Reef Region Strategic Assessment to be undertaken by the Great Barrier Reef Marine Park Authority (GBRMPA)</w:t>
      </w:r>
      <w:r w:rsidR="004F566A">
        <w:t xml:space="preserve">. </w:t>
      </w:r>
      <w:r w:rsidR="003E1638" w:rsidRPr="00BF09AA">
        <w:rPr>
          <w:rFonts w:cs="Arial"/>
        </w:rPr>
        <w:t xml:space="preserve">These </w:t>
      </w:r>
      <w:r w:rsidR="00763BE0">
        <w:rPr>
          <w:rFonts w:cs="Arial"/>
        </w:rPr>
        <w:t xml:space="preserve">studies </w:t>
      </w:r>
      <w:r w:rsidR="003E1638" w:rsidRPr="00BF09AA">
        <w:rPr>
          <w:rFonts w:cs="Arial"/>
        </w:rPr>
        <w:t>will be focussed on assessing potential impacts resulting from existing and proposed coastal developments in the region; assessing the effectiveness of existing management arrangements; and developing strategies for improved management measures to protect the values of the Great Barrier Reef Region.</w:t>
      </w:r>
    </w:p>
    <w:p w:rsidR="001C5FFB" w:rsidRDefault="003E1638" w:rsidP="00A6519A">
      <w:pPr>
        <w:spacing w:line="240" w:lineRule="auto"/>
        <w:jc w:val="left"/>
        <w:rPr>
          <w:lang w:val="en-AU"/>
        </w:rPr>
      </w:pPr>
      <w:r w:rsidRPr="00497FC3">
        <w:rPr>
          <w:lang w:val="en-AU"/>
        </w:rPr>
        <w:t>Sinclair Knight Merz (SKM) and Asia-Pacific Applied Science Associates (APASA) were commissioned to complete the</w:t>
      </w:r>
      <w:r w:rsidR="006F6FBF">
        <w:rPr>
          <w:lang w:val="en-AU"/>
        </w:rPr>
        <w:t xml:space="preserve"> study</w:t>
      </w:r>
      <w:r w:rsidRPr="00497FC3">
        <w:rPr>
          <w:lang w:val="en-AU"/>
        </w:rPr>
        <w:t xml:space="preserve"> ‘Improved Dredge Material Management for the Great Barrier Reef Region’ </w:t>
      </w:r>
      <w:r w:rsidR="006F6FBF">
        <w:rPr>
          <w:sz w:val="23"/>
          <w:szCs w:val="23"/>
          <w:lang w:val="en-AU"/>
        </w:rPr>
        <w:t xml:space="preserve">to provide tools </w:t>
      </w:r>
      <w:r w:rsidR="006F6FBF">
        <w:rPr>
          <w:rFonts w:cs="Arial"/>
        </w:rPr>
        <w:t>to improve decision making with regards to dredge material disposal in the Great Barrier Reef Region</w:t>
      </w:r>
      <w:r w:rsidR="005B7757">
        <w:rPr>
          <w:rFonts w:cs="Arial"/>
        </w:rPr>
        <w:t xml:space="preserve"> (includes the World Heritage Area and Marine Park). The study </w:t>
      </w:r>
      <w:r w:rsidRPr="00497FC3">
        <w:rPr>
          <w:lang w:val="en-AU"/>
        </w:rPr>
        <w:t xml:space="preserve">encompasses three </w:t>
      </w:r>
      <w:r w:rsidR="0055717A">
        <w:rPr>
          <w:lang w:val="en-AU"/>
        </w:rPr>
        <w:t xml:space="preserve">desktop </w:t>
      </w:r>
      <w:r w:rsidRPr="00497FC3">
        <w:rPr>
          <w:lang w:val="en-AU"/>
        </w:rPr>
        <w:t>tasks:</w:t>
      </w:r>
    </w:p>
    <w:p w:rsidR="001C5FFB" w:rsidRDefault="003E1638" w:rsidP="00A6519A">
      <w:pPr>
        <w:spacing w:line="240" w:lineRule="auto"/>
        <w:jc w:val="left"/>
        <w:rPr>
          <w:lang w:val="en-AU"/>
        </w:rPr>
      </w:pPr>
      <w:r w:rsidRPr="00497FC3">
        <w:rPr>
          <w:u w:val="single"/>
          <w:lang w:val="en-AU"/>
        </w:rPr>
        <w:t>Task 1</w:t>
      </w:r>
      <w:r w:rsidRPr="00497FC3">
        <w:rPr>
          <w:lang w:val="en-AU"/>
        </w:rPr>
        <w:t>. Undertake a literature review and cost-benefit analysis that synthesises the available literature on the environmental and financial costs associated with land-based re-use and land-based disposal options for dredge material at six locations (Port of Gladstone, Rosslyn Bay Boat Harbour, the Port of Hay Point, the Port of Abbot Point, the Port of Town</w:t>
      </w:r>
      <w:r w:rsidR="002D314E">
        <w:rPr>
          <w:lang w:val="en-AU"/>
        </w:rPr>
        <w:t>sville, and the Port of Cairns).</w:t>
      </w:r>
    </w:p>
    <w:p w:rsidR="005531F5" w:rsidRDefault="003E1638" w:rsidP="005531F5">
      <w:pPr>
        <w:spacing w:line="240" w:lineRule="auto"/>
        <w:jc w:val="left"/>
        <w:rPr>
          <w:lang w:val="en-AU"/>
        </w:rPr>
      </w:pPr>
      <w:r w:rsidRPr="00497FC3">
        <w:rPr>
          <w:u w:val="single"/>
          <w:lang w:val="en-AU"/>
        </w:rPr>
        <w:t>Task 2</w:t>
      </w:r>
      <w:r w:rsidRPr="00497FC3">
        <w:rPr>
          <w:lang w:val="en-AU"/>
        </w:rPr>
        <w:t xml:space="preserve">. </w:t>
      </w:r>
      <w:r w:rsidR="005531F5" w:rsidRPr="00497FC3">
        <w:rPr>
          <w:lang w:val="en-AU"/>
        </w:rPr>
        <w:t>Develop a generic water quality monitoring framework that can be applied to an</w:t>
      </w:r>
      <w:r w:rsidR="006B2E38">
        <w:rPr>
          <w:lang w:val="en-AU"/>
        </w:rPr>
        <w:t>y dredge material disposal site</w:t>
      </w:r>
    </w:p>
    <w:p w:rsidR="003510FE" w:rsidRPr="007D6EB4" w:rsidRDefault="003E1638" w:rsidP="00EC0510">
      <w:pPr>
        <w:spacing w:line="240" w:lineRule="auto"/>
        <w:jc w:val="left"/>
        <w:rPr>
          <w:lang w:val="en-AU"/>
        </w:rPr>
      </w:pPr>
      <w:r w:rsidRPr="00497FC3">
        <w:rPr>
          <w:u w:val="single"/>
          <w:lang w:val="en-AU"/>
        </w:rPr>
        <w:t>Task 3</w:t>
      </w:r>
      <w:r w:rsidRPr="00497FC3">
        <w:rPr>
          <w:lang w:val="en-AU"/>
        </w:rPr>
        <w:t>. Identify 13 potential alternative dredge material placement areas based on environmental, economic, operational, and social considerations and hydrodynamic modelling, and conduct hydrodynamic sediment migration and plume modelling for 12</w:t>
      </w:r>
      <w:r w:rsidR="005267C9">
        <w:rPr>
          <w:lang w:val="en-AU"/>
        </w:rPr>
        <w:t> </w:t>
      </w:r>
      <w:r w:rsidRPr="00497FC3">
        <w:rPr>
          <w:lang w:val="en-AU"/>
        </w:rPr>
        <w:t xml:space="preserve">model </w:t>
      </w:r>
      <w:r w:rsidR="001C5FFB" w:rsidRPr="001C5FFB">
        <w:rPr>
          <w:lang w:val="en-AU"/>
        </w:rPr>
        <w:t>placement sites</w:t>
      </w:r>
      <w:r w:rsidRPr="00497FC3">
        <w:rPr>
          <w:lang w:val="en-AU"/>
        </w:rPr>
        <w:t xml:space="preserve"> to assess risks to environmental values</w:t>
      </w:r>
      <w:r w:rsidR="003510FE">
        <w:rPr>
          <w:lang w:val="en-AU"/>
        </w:rPr>
        <w:t>.</w:t>
      </w:r>
      <w:r w:rsidR="007865F5">
        <w:rPr>
          <w:lang w:val="en-AU"/>
        </w:rPr>
        <w:t xml:space="preserve"> </w:t>
      </w:r>
      <w:r w:rsidR="003510FE">
        <w:rPr>
          <w:lang w:val="en-AU"/>
        </w:rPr>
        <w:t xml:space="preserve">Task </w:t>
      </w:r>
      <w:r w:rsidR="00B1760C">
        <w:rPr>
          <w:lang w:val="en-AU"/>
        </w:rPr>
        <w:t>3</w:t>
      </w:r>
      <w:r w:rsidR="003510FE">
        <w:rPr>
          <w:lang w:val="en-AU"/>
        </w:rPr>
        <w:t xml:space="preserve"> comprised </w:t>
      </w:r>
      <w:r w:rsidR="005267C9">
        <w:rPr>
          <w:lang w:val="en-AU"/>
        </w:rPr>
        <w:t xml:space="preserve">two </w:t>
      </w:r>
      <w:r w:rsidR="003510FE">
        <w:rPr>
          <w:lang w:val="en-AU"/>
        </w:rPr>
        <w:t>sub-tasks</w:t>
      </w:r>
      <w:r w:rsidR="003510FE" w:rsidRPr="007D6EB4">
        <w:rPr>
          <w:lang w:val="en-AU"/>
        </w:rPr>
        <w:t>:</w:t>
      </w:r>
    </w:p>
    <w:p w:rsidR="003510FE" w:rsidRPr="007D6EB4" w:rsidRDefault="003510FE" w:rsidP="00EC0510">
      <w:pPr>
        <w:pStyle w:val="ListParagraph"/>
        <w:numPr>
          <w:ilvl w:val="0"/>
          <w:numId w:val="39"/>
        </w:numPr>
        <w:spacing w:line="240" w:lineRule="auto"/>
        <w:ind w:left="714" w:hanging="357"/>
        <w:jc w:val="left"/>
        <w:rPr>
          <w:szCs w:val="22"/>
          <w:lang w:val="en-AU"/>
        </w:rPr>
      </w:pPr>
      <w:r>
        <w:rPr>
          <w:szCs w:val="22"/>
          <w:lang w:val="en-AU"/>
        </w:rPr>
        <w:t>M</w:t>
      </w:r>
      <w:r w:rsidRPr="007D6EB4">
        <w:rPr>
          <w:szCs w:val="22"/>
          <w:lang w:val="en-AU"/>
        </w:rPr>
        <w:t>ap</w:t>
      </w:r>
      <w:r>
        <w:rPr>
          <w:szCs w:val="22"/>
          <w:lang w:val="en-AU"/>
        </w:rPr>
        <w:t>ping</w:t>
      </w:r>
      <w:r w:rsidRPr="007D6EB4">
        <w:rPr>
          <w:szCs w:val="22"/>
          <w:lang w:val="en-AU"/>
        </w:rPr>
        <w:t xml:space="preserve"> the </w:t>
      </w:r>
      <w:r>
        <w:rPr>
          <w:szCs w:val="22"/>
          <w:lang w:val="en-AU"/>
        </w:rPr>
        <w:t>bed shear-stress</w:t>
      </w:r>
      <w:r w:rsidRPr="007D6EB4">
        <w:rPr>
          <w:szCs w:val="22"/>
          <w:lang w:val="en-AU" w:eastAsia="en-AU"/>
        </w:rPr>
        <w:t xml:space="preserve">, under the ambient wave and current regime, within 50 km of 12 Queensland </w:t>
      </w:r>
      <w:r>
        <w:rPr>
          <w:szCs w:val="22"/>
          <w:lang w:val="en-AU" w:eastAsia="en-AU"/>
        </w:rPr>
        <w:t xml:space="preserve">trading </w:t>
      </w:r>
      <w:r w:rsidRPr="007D6EB4">
        <w:rPr>
          <w:szCs w:val="22"/>
          <w:lang w:val="en-AU" w:eastAsia="en-AU"/>
        </w:rPr>
        <w:t>ports</w:t>
      </w:r>
      <w:r w:rsidR="007978C7">
        <w:rPr>
          <w:szCs w:val="22"/>
          <w:lang w:val="en-AU" w:eastAsia="en-AU"/>
        </w:rPr>
        <w:t xml:space="preserve"> (Map 1)</w:t>
      </w:r>
      <w:r w:rsidRPr="007D6EB4">
        <w:rPr>
          <w:szCs w:val="22"/>
          <w:lang w:val="en-AU" w:eastAsia="en-AU"/>
        </w:rPr>
        <w:t xml:space="preserve">. This information is </w:t>
      </w:r>
      <w:r>
        <w:rPr>
          <w:szCs w:val="22"/>
          <w:lang w:val="en-AU" w:eastAsia="en-AU"/>
        </w:rPr>
        <w:t xml:space="preserve">important in determining whether the combined forces are sufficient to mobilise </w:t>
      </w:r>
      <w:r>
        <w:rPr>
          <w:szCs w:val="22"/>
          <w:lang w:val="en-AU"/>
        </w:rPr>
        <w:t xml:space="preserve">unconsolidated </w:t>
      </w:r>
      <w:r w:rsidRPr="007D6EB4">
        <w:rPr>
          <w:szCs w:val="22"/>
          <w:lang w:val="en-AU"/>
        </w:rPr>
        <w:t xml:space="preserve">sediments of different grain size </w:t>
      </w:r>
      <w:r>
        <w:rPr>
          <w:szCs w:val="22"/>
          <w:lang w:val="en-AU"/>
        </w:rPr>
        <w:t>categories from the bottom and in turn</w:t>
      </w:r>
      <w:r w:rsidRPr="007D6EB4">
        <w:rPr>
          <w:szCs w:val="22"/>
          <w:lang w:val="en-AU"/>
        </w:rPr>
        <w:t xml:space="preserve"> </w:t>
      </w:r>
      <w:r>
        <w:rPr>
          <w:szCs w:val="22"/>
          <w:lang w:val="en-AU"/>
        </w:rPr>
        <w:t xml:space="preserve">the </w:t>
      </w:r>
      <w:r w:rsidRPr="007D6EB4">
        <w:rPr>
          <w:szCs w:val="22"/>
          <w:lang w:val="en-AU"/>
        </w:rPr>
        <w:t xml:space="preserve">relative stability of </w:t>
      </w:r>
      <w:r>
        <w:rPr>
          <w:szCs w:val="22"/>
          <w:lang w:val="en-AU"/>
        </w:rPr>
        <w:t>dredged material</w:t>
      </w:r>
      <w:r w:rsidRPr="007D6EB4">
        <w:rPr>
          <w:szCs w:val="22"/>
          <w:lang w:val="en-AU"/>
        </w:rPr>
        <w:t>.</w:t>
      </w:r>
      <w:r>
        <w:rPr>
          <w:szCs w:val="22"/>
          <w:lang w:val="en-AU" w:eastAsia="en-AU"/>
        </w:rPr>
        <w:t xml:space="preserve"> </w:t>
      </w:r>
      <w:r>
        <w:rPr>
          <w:szCs w:val="22"/>
          <w:lang w:val="en-AU"/>
        </w:rPr>
        <w:t>The findings from the</w:t>
      </w:r>
      <w:r w:rsidRPr="007D6EB4">
        <w:rPr>
          <w:szCs w:val="22"/>
          <w:lang w:val="en-AU"/>
        </w:rPr>
        <w:t xml:space="preserve"> bed</w:t>
      </w:r>
      <w:r>
        <w:rPr>
          <w:szCs w:val="22"/>
          <w:lang w:val="en-AU"/>
        </w:rPr>
        <w:t>-shear-stress</w:t>
      </w:r>
      <w:r w:rsidRPr="007D6EB4">
        <w:rPr>
          <w:szCs w:val="22"/>
          <w:lang w:val="en-AU"/>
        </w:rPr>
        <w:t xml:space="preserve"> </w:t>
      </w:r>
      <w:r>
        <w:rPr>
          <w:szCs w:val="22"/>
          <w:lang w:val="en-AU"/>
        </w:rPr>
        <w:t>modelling along with</w:t>
      </w:r>
      <w:r w:rsidRPr="007D6EB4">
        <w:rPr>
          <w:szCs w:val="22"/>
          <w:lang w:val="en-AU"/>
        </w:rPr>
        <w:t xml:space="preserve"> various other site selection constraints (i.e. operational, economic, social</w:t>
      </w:r>
      <w:r>
        <w:rPr>
          <w:szCs w:val="22"/>
          <w:lang w:val="en-AU"/>
        </w:rPr>
        <w:t>, cultural</w:t>
      </w:r>
      <w:r w:rsidRPr="007D6EB4">
        <w:rPr>
          <w:szCs w:val="22"/>
          <w:lang w:val="en-AU"/>
        </w:rPr>
        <w:t xml:space="preserve"> and environmental considerations), </w:t>
      </w:r>
      <w:r>
        <w:rPr>
          <w:szCs w:val="22"/>
          <w:lang w:val="en-AU"/>
        </w:rPr>
        <w:t xml:space="preserve">will be used to identify </w:t>
      </w:r>
      <w:r w:rsidRPr="00497FC3">
        <w:rPr>
          <w:lang w:val="en-AU"/>
        </w:rPr>
        <w:t xml:space="preserve">three alternative dredge material placement sites at </w:t>
      </w:r>
      <w:r w:rsidRPr="00497FC3">
        <w:rPr>
          <w:lang w:val="en-AU"/>
        </w:rPr>
        <w:lastRenderedPageBreak/>
        <w:t>Gladstone, and two at the other five ports</w:t>
      </w:r>
      <w:r w:rsidR="007865F5">
        <w:rPr>
          <w:lang w:val="en-AU"/>
        </w:rPr>
        <w:t xml:space="preserve"> </w:t>
      </w:r>
      <w:r>
        <w:rPr>
          <w:szCs w:val="22"/>
          <w:lang w:val="en-AU"/>
        </w:rPr>
        <w:t>(</w:t>
      </w:r>
      <w:r w:rsidRPr="007D6EB4">
        <w:rPr>
          <w:szCs w:val="22"/>
          <w:lang w:val="en-AU"/>
        </w:rPr>
        <w:t xml:space="preserve">Ports of Cairns, Townsville, Abbot Point, Hay Point, and Rosslyn Bay </w:t>
      </w:r>
      <w:r w:rsidR="002E03C6">
        <w:rPr>
          <w:szCs w:val="22"/>
          <w:lang w:val="en-AU"/>
        </w:rPr>
        <w:t>State Boat Harbour</w:t>
      </w:r>
      <w:r>
        <w:rPr>
          <w:szCs w:val="22"/>
          <w:lang w:val="en-AU"/>
        </w:rPr>
        <w:t xml:space="preserve">) </w:t>
      </w:r>
      <w:r w:rsidRPr="007D6EB4">
        <w:rPr>
          <w:szCs w:val="22"/>
          <w:lang w:val="en-AU"/>
        </w:rPr>
        <w:t>within</w:t>
      </w:r>
      <w:r>
        <w:rPr>
          <w:szCs w:val="22"/>
          <w:lang w:val="en-AU"/>
        </w:rPr>
        <w:t xml:space="preserve"> a</w:t>
      </w:r>
      <w:r w:rsidRPr="007D6EB4">
        <w:rPr>
          <w:szCs w:val="22"/>
          <w:lang w:val="en-AU"/>
        </w:rPr>
        <w:t xml:space="preserve"> 50 km</w:t>
      </w:r>
      <w:r>
        <w:rPr>
          <w:szCs w:val="22"/>
          <w:lang w:val="en-AU"/>
        </w:rPr>
        <w:t xml:space="preserve"> radius of each port </w:t>
      </w:r>
      <w:r w:rsidRPr="00497FC3">
        <w:rPr>
          <w:lang w:val="en-AU"/>
        </w:rPr>
        <w:t>for further modelling and assessment</w:t>
      </w:r>
      <w:r>
        <w:rPr>
          <w:szCs w:val="22"/>
          <w:lang w:val="en-AU"/>
        </w:rPr>
        <w:t>;</w:t>
      </w:r>
    </w:p>
    <w:p w:rsidR="003510FE" w:rsidRPr="007D6EB4" w:rsidRDefault="003510FE" w:rsidP="00EC0510">
      <w:pPr>
        <w:numPr>
          <w:ilvl w:val="0"/>
          <w:numId w:val="39"/>
        </w:numPr>
        <w:suppressAutoHyphens/>
        <w:spacing w:before="160" w:after="0" w:line="240" w:lineRule="auto"/>
        <w:ind w:left="714" w:hanging="357"/>
        <w:jc w:val="left"/>
        <w:rPr>
          <w:lang w:val="en-AU" w:eastAsia="en-AU"/>
        </w:rPr>
      </w:pPr>
      <w:r>
        <w:rPr>
          <w:lang w:val="en-AU"/>
        </w:rPr>
        <w:t>M</w:t>
      </w:r>
      <w:r w:rsidRPr="00DC1A2D">
        <w:rPr>
          <w:lang w:val="en-AU"/>
        </w:rPr>
        <w:t>odel</w:t>
      </w:r>
      <w:r>
        <w:rPr>
          <w:lang w:val="en-AU"/>
        </w:rPr>
        <w:t xml:space="preserve"> the </w:t>
      </w:r>
      <w:r w:rsidRPr="00DC1A2D">
        <w:rPr>
          <w:lang w:val="en-AU"/>
        </w:rPr>
        <w:t xml:space="preserve">sediment migration after disposal and sediment plumes generated by disposal during a representative dredging scenario </w:t>
      </w:r>
      <w:r>
        <w:rPr>
          <w:lang w:val="en-AU"/>
        </w:rPr>
        <w:t xml:space="preserve">from the alternative sites identified, </w:t>
      </w:r>
      <w:r w:rsidRPr="00DC1A2D">
        <w:rPr>
          <w:lang w:val="en-AU"/>
        </w:rPr>
        <w:t>for each port</w:t>
      </w:r>
      <w:r w:rsidRPr="007D6EB4">
        <w:rPr>
          <w:lang w:val="en-AU"/>
        </w:rPr>
        <w:t>.</w:t>
      </w:r>
    </w:p>
    <w:p w:rsidR="001C5FFB" w:rsidRDefault="001C5FFB" w:rsidP="00A6519A">
      <w:pPr>
        <w:spacing w:line="240" w:lineRule="auto"/>
        <w:jc w:val="left"/>
        <w:rPr>
          <w:lang w:val="en-AU"/>
        </w:rPr>
      </w:pPr>
    </w:p>
    <w:p w:rsidR="001C5FFB" w:rsidRDefault="001C5FFB" w:rsidP="00A6519A">
      <w:pPr>
        <w:spacing w:line="240" w:lineRule="auto"/>
        <w:jc w:val="left"/>
        <w:rPr>
          <w:lang w:val="en-AU"/>
        </w:rPr>
      </w:pPr>
    </w:p>
    <w:p w:rsidR="00EC0510" w:rsidRDefault="00EC0510">
      <w:pPr>
        <w:spacing w:after="0" w:line="240" w:lineRule="auto"/>
        <w:jc w:val="left"/>
        <w:rPr>
          <w:lang w:val="en-AU"/>
        </w:rPr>
      </w:pPr>
      <w:r>
        <w:rPr>
          <w:lang w:val="en-AU"/>
        </w:rPr>
        <w:br w:type="page"/>
      </w:r>
    </w:p>
    <w:p w:rsidR="008A71C0" w:rsidRPr="007D6EB4" w:rsidRDefault="00994FCE" w:rsidP="00617543">
      <w:pPr>
        <w:pStyle w:val="Para0"/>
        <w:rPr>
          <w:lang w:val="en-AU"/>
        </w:rPr>
      </w:pPr>
      <w:r w:rsidRPr="007D6EB4">
        <w:rPr>
          <w:noProof/>
          <w:lang w:val="en-AU" w:eastAsia="en-AU"/>
        </w:rPr>
        <w:lastRenderedPageBreak/>
        <w:drawing>
          <wp:inline distT="0" distB="0" distL="0" distR="0" wp14:anchorId="6A167D3F" wp14:editId="7BCFCE66">
            <wp:extent cx="4743450" cy="7143750"/>
            <wp:effectExtent l="0" t="0" r="0" b="0"/>
            <wp:docPr id="7" name="Picture 7" descr="Map 1 shows locations of the 12 Queensland trading ports.  The majority (10) are located outside the Great Barrier Reef Marine Park, but inside the Great Barrier Reef World Heritage Area.  The Port of Quintell Beach (near the Lockhart River) and the Port of Cooktown, both relatively minor ports are located inside the Marine Park.  " title="Figure 140. Total sedimentation and bottom thickness at day 30 of the Abbot Point placement scenario at the current placement site, without large-scale current forc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QldTradingPort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743450" cy="7143750"/>
                    </a:xfrm>
                    <a:prstGeom prst="rect">
                      <a:avLst/>
                    </a:prstGeom>
                    <a:noFill/>
                    <a:ln>
                      <a:noFill/>
                    </a:ln>
                  </pic:spPr>
                </pic:pic>
              </a:graphicData>
            </a:graphic>
          </wp:inline>
        </w:drawing>
      </w:r>
    </w:p>
    <w:p w:rsidR="00FC2C3F" w:rsidRPr="007D6EB4" w:rsidRDefault="00652465" w:rsidP="00EC0510">
      <w:pPr>
        <w:pStyle w:val="Caption"/>
        <w:spacing w:line="240" w:lineRule="auto"/>
        <w:ind w:left="482" w:hanging="482"/>
        <w:jc w:val="left"/>
        <w:rPr>
          <w:b/>
          <w:lang w:val="en-AU"/>
        </w:rPr>
      </w:pPr>
      <w:r w:rsidRPr="007D6EB4">
        <w:rPr>
          <w:b/>
          <w:lang w:val="en-AU"/>
        </w:rPr>
        <w:t>Map</w:t>
      </w:r>
      <w:r w:rsidR="003376AF" w:rsidRPr="007D6EB4">
        <w:rPr>
          <w:b/>
          <w:lang w:val="en-AU"/>
        </w:rPr>
        <w:t xml:space="preserve"> </w:t>
      </w:r>
      <w:r w:rsidR="005F6FF5" w:rsidRPr="007D6EB4">
        <w:rPr>
          <w:rStyle w:val="CaptionChar"/>
          <w:b/>
          <w:lang w:val="en-AU"/>
        </w:rPr>
        <w:fldChar w:fldCharType="begin"/>
      </w:r>
      <w:r w:rsidR="00D2260D" w:rsidRPr="007D6EB4">
        <w:rPr>
          <w:rStyle w:val="CaptionChar"/>
          <w:b/>
          <w:lang w:val="en-AU"/>
        </w:rPr>
        <w:instrText xml:space="preserve"> SEQ Maps. \* ARABIC </w:instrText>
      </w:r>
      <w:r w:rsidR="005F6FF5" w:rsidRPr="007D6EB4">
        <w:rPr>
          <w:rStyle w:val="CaptionChar"/>
          <w:b/>
          <w:lang w:val="en-AU"/>
        </w:rPr>
        <w:fldChar w:fldCharType="separate"/>
      </w:r>
      <w:r w:rsidR="00751BC4">
        <w:rPr>
          <w:rStyle w:val="CaptionChar"/>
          <w:b/>
          <w:noProof/>
          <w:lang w:val="en-AU"/>
        </w:rPr>
        <w:t>1</w:t>
      </w:r>
      <w:r w:rsidR="005F6FF5" w:rsidRPr="007D6EB4">
        <w:rPr>
          <w:rStyle w:val="CaptionChar"/>
          <w:b/>
          <w:lang w:val="en-AU"/>
        </w:rPr>
        <w:fldChar w:fldCharType="end"/>
      </w:r>
      <w:r w:rsidR="00E5277F">
        <w:rPr>
          <w:rStyle w:val="CaptionChar"/>
          <w:b/>
          <w:lang w:val="en-AU"/>
        </w:rPr>
        <w:t>.</w:t>
      </w:r>
      <w:r w:rsidR="00880FA4" w:rsidRPr="007D6EB4">
        <w:rPr>
          <w:lang w:val="en-AU"/>
        </w:rPr>
        <w:t xml:space="preserve"> </w:t>
      </w:r>
      <w:r w:rsidR="00D2260D" w:rsidRPr="007D6EB4">
        <w:rPr>
          <w:lang w:val="en-AU"/>
        </w:rPr>
        <w:t xml:space="preserve">Locations of the 12 Queensland trading ports for which contour maps </w:t>
      </w:r>
      <w:r w:rsidR="00EE3FDB" w:rsidRPr="007D6EB4">
        <w:rPr>
          <w:lang w:val="en-AU"/>
        </w:rPr>
        <w:t>of the ambient bed</w:t>
      </w:r>
      <w:r w:rsidR="00F7576C">
        <w:rPr>
          <w:lang w:val="en-AU"/>
        </w:rPr>
        <w:t xml:space="preserve"> </w:t>
      </w:r>
      <w:r w:rsidR="00EE3FDB" w:rsidRPr="007D6EB4">
        <w:rPr>
          <w:lang w:val="en-AU"/>
        </w:rPr>
        <w:t>shear</w:t>
      </w:r>
      <w:r w:rsidR="00F7576C">
        <w:rPr>
          <w:lang w:val="en-AU"/>
        </w:rPr>
        <w:t>-</w:t>
      </w:r>
      <w:r w:rsidR="00EE3FDB" w:rsidRPr="007D6EB4">
        <w:rPr>
          <w:lang w:val="en-AU"/>
        </w:rPr>
        <w:t xml:space="preserve">stress </w:t>
      </w:r>
      <w:r w:rsidR="00D2260D" w:rsidRPr="007D6EB4">
        <w:rPr>
          <w:lang w:val="en-AU"/>
        </w:rPr>
        <w:t xml:space="preserve">were created to identify the stability of sediments and </w:t>
      </w:r>
      <w:r w:rsidR="00EE3FDB" w:rsidRPr="007D6EB4">
        <w:rPr>
          <w:lang w:val="en-AU"/>
        </w:rPr>
        <w:t xml:space="preserve">hence, whether locations are likely to be </w:t>
      </w:r>
      <w:r w:rsidR="00D2260D" w:rsidRPr="007D6EB4">
        <w:rPr>
          <w:lang w:val="en-AU"/>
        </w:rPr>
        <w:t xml:space="preserve">dispersive </w:t>
      </w:r>
      <w:r w:rsidR="00EE3FDB" w:rsidRPr="007D6EB4">
        <w:rPr>
          <w:lang w:val="en-AU"/>
        </w:rPr>
        <w:t xml:space="preserve">or </w:t>
      </w:r>
      <w:r w:rsidR="00D2260D" w:rsidRPr="007D6EB4">
        <w:rPr>
          <w:lang w:val="en-AU"/>
        </w:rPr>
        <w:t>non-dispersive</w:t>
      </w:r>
      <w:r w:rsidR="00EE3FDB" w:rsidRPr="007D6EB4">
        <w:rPr>
          <w:lang w:val="en-AU"/>
        </w:rPr>
        <w:t xml:space="preserve"> for dredged sediments</w:t>
      </w:r>
      <w:r w:rsidR="00D2260D" w:rsidRPr="007D6EB4">
        <w:rPr>
          <w:lang w:val="en-AU"/>
        </w:rPr>
        <w:t>.</w:t>
      </w:r>
      <w:r w:rsidR="0043422D">
        <w:rPr>
          <w:lang w:val="en-AU"/>
        </w:rPr>
        <w:t xml:space="preserve"> </w:t>
      </w:r>
      <w:r w:rsidR="00D2260D" w:rsidRPr="007D6EB4">
        <w:rPr>
          <w:lang w:val="en-AU"/>
        </w:rPr>
        <w:t>(</w:t>
      </w:r>
      <w:r w:rsidR="00994FCE" w:rsidRPr="007D6EB4">
        <w:rPr>
          <w:lang w:val="en-AU"/>
        </w:rPr>
        <w:t>Map courtesy of the Spatial Data Centre, Great Barrier Reef Marine Park Authority</w:t>
      </w:r>
      <w:r w:rsidRPr="007D6EB4">
        <w:rPr>
          <w:lang w:val="en-AU"/>
        </w:rPr>
        <w:t xml:space="preserve"> 2012 ©)</w:t>
      </w:r>
      <w:r w:rsidR="009B567A" w:rsidRPr="007D6EB4">
        <w:rPr>
          <w:lang w:val="en-AU"/>
        </w:rPr>
        <w:t>.</w:t>
      </w:r>
    </w:p>
    <w:p w:rsidR="00880FA4" w:rsidRPr="007D6EB4" w:rsidRDefault="00880FA4" w:rsidP="00617543">
      <w:pPr>
        <w:pStyle w:val="Para0"/>
        <w:rPr>
          <w:lang w:val="en-AU"/>
        </w:rPr>
      </w:pPr>
    </w:p>
    <w:p w:rsidR="001F5825" w:rsidRPr="007D6EB4" w:rsidRDefault="001F5825" w:rsidP="00E46224">
      <w:pPr>
        <w:pStyle w:val="Heading1"/>
        <w:rPr>
          <w:lang w:val="en-AU"/>
        </w:rPr>
      </w:pPr>
      <w:bookmarkStart w:id="11" w:name="_Toc361929979"/>
      <w:r w:rsidRPr="007D6EB4">
        <w:rPr>
          <w:lang w:val="en-AU"/>
        </w:rPr>
        <w:lastRenderedPageBreak/>
        <w:t>Methods</w:t>
      </w:r>
      <w:bookmarkEnd w:id="11"/>
    </w:p>
    <w:p w:rsidR="00D2260D" w:rsidRPr="007D6EB4" w:rsidRDefault="00D2260D" w:rsidP="00EC0510">
      <w:pPr>
        <w:spacing w:line="240" w:lineRule="auto"/>
        <w:jc w:val="left"/>
        <w:rPr>
          <w:lang w:val="en-AU"/>
        </w:rPr>
      </w:pPr>
      <w:r w:rsidRPr="007D6EB4">
        <w:rPr>
          <w:lang w:val="en-AU"/>
        </w:rPr>
        <w:t xml:space="preserve">The </w:t>
      </w:r>
      <w:r w:rsidR="000C6FAB">
        <w:rPr>
          <w:lang w:val="en-AU"/>
        </w:rPr>
        <w:t>desktop screening study</w:t>
      </w:r>
      <w:r w:rsidR="00FB4DFC" w:rsidRPr="007D6EB4">
        <w:rPr>
          <w:lang w:val="en-AU"/>
        </w:rPr>
        <w:t xml:space="preserve"> </w:t>
      </w:r>
      <w:r w:rsidR="007865F5">
        <w:rPr>
          <w:lang w:val="en-AU"/>
        </w:rPr>
        <w:t>comprised</w:t>
      </w:r>
      <w:r w:rsidRPr="007D6EB4">
        <w:rPr>
          <w:lang w:val="en-AU"/>
        </w:rPr>
        <w:t xml:space="preserve"> of the following </w:t>
      </w:r>
      <w:r w:rsidR="00297994" w:rsidRPr="007D6EB4">
        <w:rPr>
          <w:lang w:val="en-AU"/>
        </w:rPr>
        <w:t xml:space="preserve">key </w:t>
      </w:r>
      <w:r w:rsidRPr="007D6EB4">
        <w:rPr>
          <w:lang w:val="en-AU"/>
        </w:rPr>
        <w:t>tasks:</w:t>
      </w:r>
    </w:p>
    <w:p w:rsidR="00D2260D" w:rsidRPr="007D6EB4" w:rsidRDefault="00913734" w:rsidP="00EC0510">
      <w:pPr>
        <w:numPr>
          <w:ilvl w:val="0"/>
          <w:numId w:val="36"/>
        </w:numPr>
        <w:suppressAutoHyphens/>
        <w:spacing w:before="120" w:after="0" w:line="240" w:lineRule="auto"/>
        <w:jc w:val="left"/>
        <w:rPr>
          <w:lang w:val="en-AU"/>
        </w:rPr>
      </w:pPr>
      <w:r>
        <w:rPr>
          <w:lang w:val="en-AU"/>
        </w:rPr>
        <w:t xml:space="preserve">Select </w:t>
      </w:r>
      <w:r w:rsidR="00D2260D" w:rsidRPr="007D6EB4">
        <w:rPr>
          <w:lang w:val="en-AU"/>
        </w:rPr>
        <w:t>representative El Niño, La Niña and neutral years</w:t>
      </w:r>
      <w:r w:rsidR="00EE3FDB" w:rsidRPr="007D6EB4">
        <w:rPr>
          <w:lang w:val="en-AU"/>
        </w:rPr>
        <w:t xml:space="preserve"> from</w:t>
      </w:r>
      <w:r w:rsidR="007865F5">
        <w:rPr>
          <w:lang w:val="en-AU"/>
        </w:rPr>
        <w:t xml:space="preserve"> </w:t>
      </w:r>
      <w:r>
        <w:rPr>
          <w:lang w:val="en-AU"/>
        </w:rPr>
        <w:t xml:space="preserve">a </w:t>
      </w:r>
      <w:r w:rsidR="00EA4FBF" w:rsidRPr="007D6EB4">
        <w:rPr>
          <w:lang w:val="en-AU"/>
        </w:rPr>
        <w:t>ocean</w:t>
      </w:r>
      <w:r w:rsidR="00EA4FBF">
        <w:rPr>
          <w:lang w:val="en-AU"/>
        </w:rPr>
        <w:t xml:space="preserve">ic current dataset </w:t>
      </w:r>
      <w:r>
        <w:rPr>
          <w:lang w:val="en-AU"/>
        </w:rPr>
        <w:t xml:space="preserve">(2004 </w:t>
      </w:r>
      <w:r w:rsidR="002D314E">
        <w:rPr>
          <w:lang w:val="en-AU"/>
        </w:rPr>
        <w:t>to</w:t>
      </w:r>
      <w:r>
        <w:rPr>
          <w:lang w:val="en-AU"/>
        </w:rPr>
        <w:t xml:space="preserve"> 2011) </w:t>
      </w:r>
      <w:r w:rsidR="00EE3FDB" w:rsidRPr="007D6EB4">
        <w:rPr>
          <w:lang w:val="en-AU"/>
        </w:rPr>
        <w:t>operating over the continental shelf off Queensland</w:t>
      </w:r>
    </w:p>
    <w:p w:rsidR="00D2260D" w:rsidRPr="007D6EB4" w:rsidRDefault="00652465" w:rsidP="00EC0510">
      <w:pPr>
        <w:numPr>
          <w:ilvl w:val="0"/>
          <w:numId w:val="36"/>
        </w:numPr>
        <w:suppressAutoHyphens/>
        <w:spacing w:before="120" w:after="0" w:line="240" w:lineRule="auto"/>
        <w:jc w:val="left"/>
        <w:rPr>
          <w:lang w:val="en-AU"/>
        </w:rPr>
      </w:pPr>
      <w:r w:rsidRPr="007D6EB4">
        <w:rPr>
          <w:lang w:val="en-AU"/>
        </w:rPr>
        <w:t>Generat</w:t>
      </w:r>
      <w:r w:rsidR="000C6FAB">
        <w:rPr>
          <w:lang w:val="en-AU"/>
        </w:rPr>
        <w:t>e</w:t>
      </w:r>
      <w:r w:rsidRPr="007D6EB4">
        <w:rPr>
          <w:lang w:val="en-AU"/>
        </w:rPr>
        <w:t xml:space="preserve"> </w:t>
      </w:r>
      <w:r w:rsidR="00D2260D" w:rsidRPr="007D6EB4">
        <w:rPr>
          <w:lang w:val="en-AU"/>
        </w:rPr>
        <w:t xml:space="preserve">surface current roses for the </w:t>
      </w:r>
      <w:r w:rsidRPr="007D6EB4">
        <w:rPr>
          <w:lang w:val="en-AU"/>
        </w:rPr>
        <w:t>three</w:t>
      </w:r>
      <w:r w:rsidR="00D2260D" w:rsidRPr="007D6EB4">
        <w:rPr>
          <w:lang w:val="en-AU"/>
        </w:rPr>
        <w:t xml:space="preserve"> year-long </w:t>
      </w:r>
      <w:r w:rsidR="00D24FAE">
        <w:rPr>
          <w:lang w:val="en-AU"/>
        </w:rPr>
        <w:t xml:space="preserve">(2004, 2007, 2011) </w:t>
      </w:r>
      <w:r w:rsidR="00D2260D" w:rsidRPr="007D6EB4">
        <w:rPr>
          <w:lang w:val="en-AU"/>
        </w:rPr>
        <w:t>datasets</w:t>
      </w:r>
      <w:r w:rsidR="00913734">
        <w:rPr>
          <w:lang w:val="en-AU"/>
        </w:rPr>
        <w:t xml:space="preserve"> </w:t>
      </w:r>
      <w:r w:rsidR="00B22FA8">
        <w:rPr>
          <w:lang w:val="en-AU"/>
        </w:rPr>
        <w:t xml:space="preserve">to verify </w:t>
      </w:r>
      <w:r w:rsidR="00913734">
        <w:rPr>
          <w:lang w:val="en-AU"/>
        </w:rPr>
        <w:t>the year which represents high energy conditions (i.e. st</w:t>
      </w:r>
      <w:r w:rsidR="00D24FAE">
        <w:rPr>
          <w:lang w:val="en-AU"/>
        </w:rPr>
        <w:t>r</w:t>
      </w:r>
      <w:r w:rsidR="00913734">
        <w:rPr>
          <w:lang w:val="en-AU"/>
        </w:rPr>
        <w:t>o</w:t>
      </w:r>
      <w:r w:rsidR="006B2E38">
        <w:rPr>
          <w:lang w:val="en-AU"/>
        </w:rPr>
        <w:t>ngest predicted current speeds)</w:t>
      </w:r>
    </w:p>
    <w:p w:rsidR="00D2260D" w:rsidRPr="007D6EB4" w:rsidRDefault="00913734" w:rsidP="00EC0510">
      <w:pPr>
        <w:numPr>
          <w:ilvl w:val="0"/>
          <w:numId w:val="36"/>
        </w:numPr>
        <w:suppressAutoHyphens/>
        <w:spacing w:before="160" w:after="0" w:line="240" w:lineRule="auto"/>
        <w:jc w:val="left"/>
        <w:rPr>
          <w:lang w:val="en-AU"/>
        </w:rPr>
      </w:pPr>
      <w:r>
        <w:rPr>
          <w:lang w:val="en-AU"/>
        </w:rPr>
        <w:t>Incorporate</w:t>
      </w:r>
      <w:r w:rsidRPr="00944545">
        <w:rPr>
          <w:lang w:val="en-AU"/>
        </w:rPr>
        <w:t xml:space="preserve"> the effects of oceanic currents, i.e. the East Australian Current, </w:t>
      </w:r>
      <w:r w:rsidR="007865F5">
        <w:rPr>
          <w:lang w:val="en-AU"/>
        </w:rPr>
        <w:t>together</w:t>
      </w:r>
      <w:r w:rsidRPr="00944545">
        <w:rPr>
          <w:lang w:val="en-AU"/>
        </w:rPr>
        <w:t xml:space="preserve"> </w:t>
      </w:r>
      <w:r w:rsidR="007865F5">
        <w:rPr>
          <w:lang w:val="en-AU"/>
        </w:rPr>
        <w:t xml:space="preserve">with </w:t>
      </w:r>
      <w:r w:rsidRPr="00944545">
        <w:rPr>
          <w:lang w:val="en-AU"/>
        </w:rPr>
        <w:t xml:space="preserve">tide- and wind-driven currents </w:t>
      </w:r>
    </w:p>
    <w:p w:rsidR="00D2260D" w:rsidRPr="007D6EB4" w:rsidRDefault="00913734" w:rsidP="00EC0510">
      <w:pPr>
        <w:numPr>
          <w:ilvl w:val="0"/>
          <w:numId w:val="36"/>
        </w:numPr>
        <w:suppressAutoHyphens/>
        <w:spacing w:before="160" w:after="0" w:line="240" w:lineRule="auto"/>
        <w:jc w:val="left"/>
        <w:rPr>
          <w:lang w:val="en-AU"/>
        </w:rPr>
      </w:pPr>
      <w:r>
        <w:rPr>
          <w:lang w:val="en-AU"/>
        </w:rPr>
        <w:t xml:space="preserve">Model the </w:t>
      </w:r>
      <w:r w:rsidR="00F5786E" w:rsidRPr="007D6EB4">
        <w:rPr>
          <w:lang w:val="en-AU"/>
        </w:rPr>
        <w:t xml:space="preserve">wave </w:t>
      </w:r>
      <w:r>
        <w:rPr>
          <w:lang w:val="en-AU"/>
        </w:rPr>
        <w:t xml:space="preserve">climate </w:t>
      </w:r>
      <w:r w:rsidR="00D2260D" w:rsidRPr="007D6EB4">
        <w:rPr>
          <w:lang w:val="en-AU"/>
        </w:rPr>
        <w:t xml:space="preserve">for the </w:t>
      </w:r>
      <w:r>
        <w:rPr>
          <w:lang w:val="en-AU"/>
        </w:rPr>
        <w:t xml:space="preserve">same </w:t>
      </w:r>
      <w:r w:rsidR="00D2260D" w:rsidRPr="007D6EB4">
        <w:rPr>
          <w:lang w:val="en-AU"/>
        </w:rPr>
        <w:t xml:space="preserve">period </w:t>
      </w:r>
      <w:r>
        <w:rPr>
          <w:lang w:val="en-AU"/>
        </w:rPr>
        <w:t xml:space="preserve">as the </w:t>
      </w:r>
      <w:r w:rsidR="007A537B" w:rsidRPr="007D6EB4">
        <w:rPr>
          <w:lang w:val="en-AU"/>
        </w:rPr>
        <w:t>current data</w:t>
      </w:r>
    </w:p>
    <w:p w:rsidR="00D2260D" w:rsidRPr="007D6EB4" w:rsidRDefault="007A537B" w:rsidP="00EC0510">
      <w:pPr>
        <w:numPr>
          <w:ilvl w:val="0"/>
          <w:numId w:val="36"/>
        </w:numPr>
        <w:suppressAutoHyphens/>
        <w:spacing w:before="160" w:after="0" w:line="240" w:lineRule="auto"/>
        <w:jc w:val="left"/>
        <w:rPr>
          <w:lang w:val="en-AU"/>
        </w:rPr>
      </w:pPr>
      <w:r w:rsidRPr="007D6EB4">
        <w:rPr>
          <w:lang w:val="en-AU"/>
        </w:rPr>
        <w:t>Calculat</w:t>
      </w:r>
      <w:r w:rsidR="00D24FAE">
        <w:rPr>
          <w:lang w:val="en-AU"/>
        </w:rPr>
        <w:t>e</w:t>
      </w:r>
      <w:r w:rsidRPr="007D6EB4">
        <w:rPr>
          <w:lang w:val="en-AU"/>
        </w:rPr>
        <w:t xml:space="preserve"> </w:t>
      </w:r>
      <w:r w:rsidR="00D2260D" w:rsidRPr="007D6EB4">
        <w:rPr>
          <w:lang w:val="en-AU"/>
        </w:rPr>
        <w:t xml:space="preserve">the </w:t>
      </w:r>
      <w:r w:rsidR="00D24FAE">
        <w:rPr>
          <w:lang w:val="en-AU"/>
        </w:rPr>
        <w:t xml:space="preserve">bed </w:t>
      </w:r>
      <w:r w:rsidR="00F5786E" w:rsidRPr="007D6EB4">
        <w:rPr>
          <w:lang w:val="en-AU"/>
        </w:rPr>
        <w:t>shear-</w:t>
      </w:r>
      <w:r w:rsidR="00D2260D" w:rsidRPr="007D6EB4">
        <w:rPr>
          <w:lang w:val="en-AU"/>
        </w:rPr>
        <w:t>stress</w:t>
      </w:r>
      <w:r w:rsidR="00F5786E" w:rsidRPr="007D6EB4">
        <w:rPr>
          <w:lang w:val="en-AU"/>
        </w:rPr>
        <w:t xml:space="preserve"> due to </w:t>
      </w:r>
      <w:r w:rsidR="004A29A5" w:rsidRPr="007D6EB4">
        <w:rPr>
          <w:lang w:val="en-AU"/>
        </w:rPr>
        <w:t xml:space="preserve">combined forces of the </w:t>
      </w:r>
      <w:r w:rsidR="00F5786E" w:rsidRPr="007D6EB4">
        <w:rPr>
          <w:lang w:val="en-AU"/>
        </w:rPr>
        <w:t>current</w:t>
      </w:r>
      <w:r w:rsidR="00D24FAE">
        <w:rPr>
          <w:lang w:val="en-AU"/>
        </w:rPr>
        <w:t>s</w:t>
      </w:r>
      <w:r w:rsidR="00F5786E" w:rsidRPr="007D6EB4">
        <w:rPr>
          <w:lang w:val="en-AU"/>
        </w:rPr>
        <w:t xml:space="preserve"> and wave</w:t>
      </w:r>
      <w:r w:rsidR="004A29A5" w:rsidRPr="007D6EB4">
        <w:rPr>
          <w:lang w:val="en-AU"/>
        </w:rPr>
        <w:t>s</w:t>
      </w:r>
      <w:r w:rsidR="00D2260D" w:rsidRPr="007D6EB4">
        <w:rPr>
          <w:lang w:val="en-AU"/>
        </w:rPr>
        <w:t>, within 50 km of the 12 Queensland ports</w:t>
      </w:r>
    </w:p>
    <w:p w:rsidR="00D2260D" w:rsidRDefault="00D2260D" w:rsidP="00EC0510">
      <w:pPr>
        <w:numPr>
          <w:ilvl w:val="0"/>
          <w:numId w:val="36"/>
        </w:numPr>
        <w:suppressAutoHyphens/>
        <w:spacing w:before="160" w:after="0" w:line="240" w:lineRule="auto"/>
        <w:jc w:val="left"/>
        <w:rPr>
          <w:lang w:val="en-AU"/>
        </w:rPr>
      </w:pPr>
      <w:r w:rsidRPr="007D6EB4">
        <w:rPr>
          <w:lang w:val="en-AU"/>
        </w:rPr>
        <w:t>Generate 50</w:t>
      </w:r>
      <w:r w:rsidRPr="007D6EB4">
        <w:rPr>
          <w:vertAlign w:val="superscript"/>
          <w:lang w:val="en-AU"/>
        </w:rPr>
        <w:t>th</w:t>
      </w:r>
      <w:r w:rsidRPr="007D6EB4">
        <w:rPr>
          <w:lang w:val="en-AU"/>
        </w:rPr>
        <w:t xml:space="preserve"> and 95</w:t>
      </w:r>
      <w:r w:rsidRPr="007D6EB4">
        <w:rPr>
          <w:vertAlign w:val="superscript"/>
          <w:lang w:val="en-AU"/>
        </w:rPr>
        <w:t>th</w:t>
      </w:r>
      <w:r w:rsidRPr="007D6EB4">
        <w:rPr>
          <w:lang w:val="en-AU"/>
        </w:rPr>
        <w:t xml:space="preserve"> percentile</w:t>
      </w:r>
      <w:r w:rsidR="007865F5">
        <w:rPr>
          <w:lang w:val="en-AU"/>
        </w:rPr>
        <w:t xml:space="preserve"> </w:t>
      </w:r>
      <w:r w:rsidR="00D24FAE">
        <w:rPr>
          <w:lang w:val="en-AU"/>
        </w:rPr>
        <w:t xml:space="preserve">bed </w:t>
      </w:r>
      <w:r w:rsidR="003510FE">
        <w:rPr>
          <w:lang w:val="en-AU"/>
        </w:rPr>
        <w:t>shear-stress</w:t>
      </w:r>
      <w:r w:rsidR="00D24FAE">
        <w:rPr>
          <w:lang w:val="en-AU"/>
        </w:rPr>
        <w:t xml:space="preserve"> maps</w:t>
      </w:r>
      <w:r w:rsidR="005B7757">
        <w:rPr>
          <w:lang w:val="en-AU"/>
        </w:rPr>
        <w:t xml:space="preserve"> </w:t>
      </w:r>
      <w:r w:rsidR="007A537B" w:rsidRPr="007D6EB4">
        <w:rPr>
          <w:lang w:val="en-AU"/>
        </w:rPr>
        <w:t xml:space="preserve">to </w:t>
      </w:r>
      <w:r w:rsidRPr="007D6EB4">
        <w:rPr>
          <w:lang w:val="en-AU"/>
        </w:rPr>
        <w:t>identif</w:t>
      </w:r>
      <w:r w:rsidR="007A537B" w:rsidRPr="007D6EB4">
        <w:rPr>
          <w:lang w:val="en-AU"/>
        </w:rPr>
        <w:t>y</w:t>
      </w:r>
      <w:r w:rsidRPr="007D6EB4">
        <w:rPr>
          <w:lang w:val="en-AU"/>
        </w:rPr>
        <w:t xml:space="preserve"> areas that are likely to be </w:t>
      </w:r>
      <w:r w:rsidR="00D24FAE">
        <w:rPr>
          <w:lang w:val="en-AU"/>
        </w:rPr>
        <w:t xml:space="preserve">more </w:t>
      </w:r>
      <w:r w:rsidRPr="007D6EB4">
        <w:rPr>
          <w:lang w:val="en-AU"/>
        </w:rPr>
        <w:t>dispersive and</w:t>
      </w:r>
      <w:r w:rsidR="007865F5">
        <w:rPr>
          <w:lang w:val="en-AU"/>
        </w:rPr>
        <w:t xml:space="preserve"> </w:t>
      </w:r>
      <w:r w:rsidR="00D24FAE">
        <w:rPr>
          <w:lang w:val="en-AU"/>
        </w:rPr>
        <w:t>more retentive</w:t>
      </w:r>
      <w:r w:rsidR="006D4E6A">
        <w:rPr>
          <w:lang w:val="en-AU"/>
        </w:rPr>
        <w:t>.</w:t>
      </w:r>
    </w:p>
    <w:p w:rsidR="005F7C41" w:rsidRPr="000751B6" w:rsidRDefault="005F7C41" w:rsidP="00E46224">
      <w:pPr>
        <w:pStyle w:val="Heading2"/>
      </w:pPr>
      <w:bookmarkStart w:id="12" w:name="_Toc361929980"/>
      <w:r w:rsidRPr="000751B6">
        <w:t>Modelling of Coastal and Ocean Currents</w:t>
      </w:r>
      <w:bookmarkEnd w:id="12"/>
    </w:p>
    <w:p w:rsidR="00265274" w:rsidRPr="007D6EB4" w:rsidRDefault="00265274" w:rsidP="00EC0510">
      <w:pPr>
        <w:spacing w:line="240" w:lineRule="auto"/>
        <w:jc w:val="left"/>
        <w:rPr>
          <w:rFonts w:eastAsiaTheme="minorHAnsi"/>
          <w:lang w:val="en-AU" w:eastAsia="en-AU"/>
        </w:rPr>
      </w:pPr>
      <w:r w:rsidRPr="007D6EB4">
        <w:rPr>
          <w:lang w:val="en-AU" w:eastAsia="en-AU"/>
        </w:rPr>
        <w:t>Wolanski (1994) describes the important processes influencing the oceanography of</w:t>
      </w:r>
      <w:r w:rsidR="00897D99" w:rsidRPr="007D6EB4">
        <w:rPr>
          <w:lang w:val="en-AU" w:eastAsia="en-AU"/>
        </w:rPr>
        <w:t xml:space="preserve"> the Great Barrier Reef region.</w:t>
      </w:r>
      <w:r w:rsidRPr="007D6EB4">
        <w:rPr>
          <w:lang w:val="en-AU" w:eastAsia="en-AU"/>
        </w:rPr>
        <w:t xml:space="preserve"> Of particular importance to this study is the near coastal zone</w:t>
      </w:r>
      <w:r w:rsidR="000751B6">
        <w:rPr>
          <w:lang w:val="en-AU" w:eastAsia="en-AU"/>
        </w:rPr>
        <w:t>,</w:t>
      </w:r>
      <w:r w:rsidRPr="007D6EB4">
        <w:rPr>
          <w:lang w:val="en-AU" w:eastAsia="en-AU"/>
        </w:rPr>
        <w:t xml:space="preserve"> which is characterised by large</w:t>
      </w:r>
      <w:r w:rsidR="000751B6">
        <w:rPr>
          <w:lang w:val="en-AU" w:eastAsia="en-AU"/>
        </w:rPr>
        <w:t>-</w:t>
      </w:r>
      <w:r w:rsidRPr="007D6EB4">
        <w:rPr>
          <w:lang w:val="en-AU" w:eastAsia="en-AU"/>
        </w:rPr>
        <w:t>scale</w:t>
      </w:r>
      <w:r w:rsidR="000751B6">
        <w:rPr>
          <w:lang w:val="en-AU" w:eastAsia="en-AU"/>
        </w:rPr>
        <w:t>,</w:t>
      </w:r>
      <w:r w:rsidRPr="007D6EB4">
        <w:rPr>
          <w:lang w:val="en-AU" w:eastAsia="en-AU"/>
        </w:rPr>
        <w:t xml:space="preserve"> wind</w:t>
      </w:r>
      <w:r w:rsidR="000751B6">
        <w:rPr>
          <w:lang w:val="en-AU" w:eastAsia="en-AU"/>
        </w:rPr>
        <w:t>-</w:t>
      </w:r>
      <w:r w:rsidRPr="007D6EB4">
        <w:rPr>
          <w:lang w:val="en-AU" w:eastAsia="en-AU"/>
        </w:rPr>
        <w:t>driven flows and tidal dynamics that vary si</w:t>
      </w:r>
      <w:r w:rsidR="00897D99" w:rsidRPr="007D6EB4">
        <w:rPr>
          <w:lang w:val="en-AU" w:eastAsia="en-AU"/>
        </w:rPr>
        <w:t>gnificantly across this region.</w:t>
      </w:r>
      <w:r w:rsidRPr="007D6EB4">
        <w:rPr>
          <w:lang w:val="en-AU" w:eastAsia="en-AU"/>
        </w:rPr>
        <w:t xml:space="preserve"> Offshore of the Great Barrier Reef are deep</w:t>
      </w:r>
      <w:r w:rsidR="000751B6">
        <w:rPr>
          <w:lang w:val="en-AU" w:eastAsia="en-AU"/>
        </w:rPr>
        <w:t>-</w:t>
      </w:r>
      <w:r w:rsidRPr="007D6EB4">
        <w:rPr>
          <w:lang w:val="en-AU" w:eastAsia="en-AU"/>
        </w:rPr>
        <w:t xml:space="preserve">water currents </w:t>
      </w:r>
      <w:r w:rsidR="000751B6">
        <w:rPr>
          <w:lang w:val="en-AU" w:eastAsia="en-AU"/>
        </w:rPr>
        <w:t>that</w:t>
      </w:r>
      <w:r w:rsidR="000751B6" w:rsidRPr="007D6EB4">
        <w:rPr>
          <w:lang w:val="en-AU" w:eastAsia="en-AU"/>
        </w:rPr>
        <w:t xml:space="preserve"> </w:t>
      </w:r>
      <w:r w:rsidRPr="007D6EB4">
        <w:rPr>
          <w:lang w:val="en-AU" w:eastAsia="en-AU"/>
        </w:rPr>
        <w:t>result from the South Equatorial Current flowing into the Coral Sea where it splits into northward and southward arm</w:t>
      </w:r>
      <w:r w:rsidR="000751B6">
        <w:rPr>
          <w:lang w:val="en-AU" w:eastAsia="en-AU"/>
        </w:rPr>
        <w:t>s</w:t>
      </w:r>
      <w:r w:rsidRPr="007D6EB4">
        <w:rPr>
          <w:lang w:val="en-AU" w:eastAsia="en-AU"/>
        </w:rPr>
        <w:t xml:space="preserve"> as it approaches the north</w:t>
      </w:r>
      <w:r w:rsidR="000751B6">
        <w:rPr>
          <w:lang w:val="en-AU" w:eastAsia="en-AU"/>
        </w:rPr>
        <w:t>-</w:t>
      </w:r>
      <w:r w:rsidRPr="007D6EB4">
        <w:rPr>
          <w:lang w:val="en-AU" w:eastAsia="en-AU"/>
        </w:rPr>
        <w:t xml:space="preserve">east Australian shelf. The southern arm flows south, whereby it is often trapped against the </w:t>
      </w:r>
      <w:r w:rsidR="00897D99" w:rsidRPr="007D6EB4">
        <w:rPr>
          <w:lang w:val="en-AU" w:eastAsia="en-AU"/>
        </w:rPr>
        <w:t xml:space="preserve">continental </w:t>
      </w:r>
      <w:r w:rsidRPr="007D6EB4">
        <w:rPr>
          <w:lang w:val="en-AU" w:eastAsia="en-AU"/>
        </w:rPr>
        <w:t xml:space="preserve">slope, to form the East Australian Current (EAC). The northern arm flows along the shelf edge offshore of the northern GBR to form a semi-closed cyclonic eddy in the Coral Sea, </w:t>
      </w:r>
      <w:r w:rsidR="007D6EB4" w:rsidRPr="007D6EB4">
        <w:rPr>
          <w:lang w:val="en-AU" w:eastAsia="en-AU"/>
        </w:rPr>
        <w:t>centred</w:t>
      </w:r>
      <w:r w:rsidRPr="007D6EB4">
        <w:rPr>
          <w:lang w:val="en-AU" w:eastAsia="en-AU"/>
        </w:rPr>
        <w:t xml:space="preserve"> in the Gulf of Papua (Wolanski 1994).</w:t>
      </w:r>
    </w:p>
    <w:p w:rsidR="00265274" w:rsidRPr="007D6EB4" w:rsidRDefault="00265274" w:rsidP="00EC0510">
      <w:pPr>
        <w:spacing w:line="240" w:lineRule="auto"/>
        <w:jc w:val="left"/>
        <w:rPr>
          <w:lang w:val="en-AU" w:eastAsia="en-AU"/>
        </w:rPr>
      </w:pPr>
      <w:r w:rsidRPr="007D6EB4">
        <w:rPr>
          <w:lang w:val="en-AU" w:eastAsia="en-AU"/>
        </w:rPr>
        <w:t xml:space="preserve">While the </w:t>
      </w:r>
      <w:r w:rsidR="00897D99" w:rsidRPr="007D6EB4">
        <w:rPr>
          <w:lang w:val="en-AU" w:eastAsia="en-AU"/>
        </w:rPr>
        <w:t>EAC</w:t>
      </w:r>
      <w:r w:rsidRPr="007D6EB4">
        <w:rPr>
          <w:lang w:val="en-AU" w:eastAsia="en-AU"/>
        </w:rPr>
        <w:t xml:space="preserve"> influences the net drifts along the Great Barrier Reef shelf, its influence near the coast is weaker and </w:t>
      </w:r>
      <w:r w:rsidR="001D0872" w:rsidRPr="007D6EB4">
        <w:rPr>
          <w:lang w:val="en-AU" w:eastAsia="en-AU"/>
        </w:rPr>
        <w:t>non-existent</w:t>
      </w:r>
      <w:r w:rsidRPr="007D6EB4">
        <w:rPr>
          <w:lang w:val="en-AU" w:eastAsia="en-AU"/>
        </w:rPr>
        <w:t xml:space="preserve"> in the enclosed bays and estuaries along the coast (King </w:t>
      </w:r>
      <w:r w:rsidR="00C0603C">
        <w:rPr>
          <w:lang w:val="en-AU" w:eastAsia="en-AU"/>
        </w:rPr>
        <w:t>&amp;</w:t>
      </w:r>
      <w:r w:rsidRPr="007D6EB4">
        <w:rPr>
          <w:lang w:val="en-AU" w:eastAsia="en-AU"/>
        </w:rPr>
        <w:t xml:space="preserve"> Wolanski 1990). More importantly, the prevailing south</w:t>
      </w:r>
      <w:r w:rsidR="000751B6">
        <w:rPr>
          <w:lang w:val="en-AU" w:eastAsia="en-AU"/>
        </w:rPr>
        <w:t>-</w:t>
      </w:r>
      <w:r w:rsidRPr="007D6EB4">
        <w:rPr>
          <w:lang w:val="en-AU" w:eastAsia="en-AU"/>
        </w:rPr>
        <w:t>east trade winds (which can be moderate to strong during the month</w:t>
      </w:r>
      <w:r w:rsidR="007865F5">
        <w:rPr>
          <w:lang w:val="en-AU" w:eastAsia="en-AU"/>
        </w:rPr>
        <w:t>s of May to October) often halt</w:t>
      </w:r>
      <w:r w:rsidRPr="007D6EB4">
        <w:rPr>
          <w:lang w:val="en-AU" w:eastAsia="en-AU"/>
        </w:rPr>
        <w:t xml:space="preserve"> the </w:t>
      </w:r>
      <w:r w:rsidR="001D0872" w:rsidRPr="007D6EB4">
        <w:rPr>
          <w:lang w:val="en-AU" w:eastAsia="en-AU"/>
        </w:rPr>
        <w:t>deep water</w:t>
      </w:r>
      <w:r w:rsidRPr="007D6EB4">
        <w:rPr>
          <w:lang w:val="en-AU" w:eastAsia="en-AU"/>
        </w:rPr>
        <w:t xml:space="preserve"> drift currents on the shelf and particularly in shallow waters</w:t>
      </w:r>
      <w:r w:rsidR="00897D99" w:rsidRPr="007D6EB4">
        <w:rPr>
          <w:lang w:val="en-AU" w:eastAsia="en-AU"/>
        </w:rPr>
        <w:t xml:space="preserve"> for even weak </w:t>
      </w:r>
      <w:r w:rsidR="000751B6">
        <w:rPr>
          <w:lang w:val="en-AU" w:eastAsia="en-AU"/>
        </w:rPr>
        <w:t>south-east</w:t>
      </w:r>
      <w:r w:rsidR="00897D99" w:rsidRPr="007D6EB4">
        <w:rPr>
          <w:lang w:val="en-AU" w:eastAsia="en-AU"/>
        </w:rPr>
        <w:t xml:space="preserve"> winds.</w:t>
      </w:r>
      <w:r w:rsidRPr="007D6EB4">
        <w:rPr>
          <w:lang w:val="en-AU" w:eastAsia="en-AU"/>
        </w:rPr>
        <w:t xml:space="preserve"> Due to the persistence of these trade</w:t>
      </w:r>
      <w:r w:rsidR="00906D79">
        <w:rPr>
          <w:lang w:val="en-AU" w:eastAsia="en-AU"/>
        </w:rPr>
        <w:t xml:space="preserve"> </w:t>
      </w:r>
      <w:r w:rsidRPr="007D6EB4">
        <w:rPr>
          <w:lang w:val="en-AU" w:eastAsia="en-AU"/>
        </w:rPr>
        <w:t xml:space="preserve">winds from the </w:t>
      </w:r>
      <w:r w:rsidR="000751B6">
        <w:rPr>
          <w:lang w:val="en-AU" w:eastAsia="en-AU"/>
        </w:rPr>
        <w:t>south-east</w:t>
      </w:r>
      <w:r w:rsidRPr="007D6EB4">
        <w:rPr>
          <w:lang w:val="en-AU" w:eastAsia="en-AU"/>
        </w:rPr>
        <w:t xml:space="preserve">, a strong northward drift within the near coastal waters develops and can be seen in the littoral sediment profiling of inshore waters (inferred from longshore variation of sediment composition along the 10 m isobath as detailed by Lambeck </w:t>
      </w:r>
      <w:r w:rsidR="00DE74C2">
        <w:rPr>
          <w:lang w:val="en-AU" w:eastAsia="en-AU"/>
        </w:rPr>
        <w:t xml:space="preserve">&amp; </w:t>
      </w:r>
      <w:r w:rsidRPr="007D6EB4">
        <w:rPr>
          <w:lang w:val="en-AU" w:eastAsia="en-AU"/>
        </w:rPr>
        <w:t xml:space="preserve">Woolfe </w:t>
      </w:r>
      <w:r w:rsidR="00DB504F">
        <w:rPr>
          <w:lang w:val="en-AU" w:eastAsia="en-AU"/>
        </w:rPr>
        <w:t>(</w:t>
      </w:r>
      <w:r w:rsidRPr="007D6EB4">
        <w:rPr>
          <w:lang w:val="en-AU" w:eastAsia="en-AU"/>
        </w:rPr>
        <w:t>2000). Indeed</w:t>
      </w:r>
      <w:r w:rsidR="00294C64">
        <w:rPr>
          <w:lang w:val="en-AU" w:eastAsia="en-AU"/>
        </w:rPr>
        <w:t>,</w:t>
      </w:r>
      <w:r w:rsidRPr="007D6EB4">
        <w:rPr>
          <w:lang w:val="en-AU" w:eastAsia="en-AU"/>
        </w:rPr>
        <w:t xml:space="preserve"> during the passing of Tropical Cyclone Hamish in 2009, the currents inshore in Cleveland Bay</w:t>
      </w:r>
      <w:r w:rsidR="00307B61">
        <w:rPr>
          <w:lang w:val="en-AU" w:eastAsia="en-AU"/>
        </w:rPr>
        <w:t xml:space="preserve"> off Townsville</w:t>
      </w:r>
      <w:r w:rsidRPr="007D6EB4">
        <w:rPr>
          <w:lang w:val="en-AU" w:eastAsia="en-AU"/>
        </w:rPr>
        <w:t xml:space="preserve"> were measured to flow alongshore northward at a velocity peaking at 0.7 m/s (Lambrechts et al. 2010).</w:t>
      </w:r>
    </w:p>
    <w:p w:rsidR="00265274" w:rsidRPr="007D6EB4" w:rsidRDefault="007865F5" w:rsidP="00EC0510">
      <w:pPr>
        <w:spacing w:line="240" w:lineRule="auto"/>
        <w:jc w:val="left"/>
        <w:rPr>
          <w:lang w:val="en-AU"/>
        </w:rPr>
      </w:pPr>
      <w:r>
        <w:rPr>
          <w:lang w:val="en-AU" w:eastAsia="en-AU"/>
        </w:rPr>
        <w:t>With regard</w:t>
      </w:r>
      <w:r w:rsidR="00265274" w:rsidRPr="007D6EB4">
        <w:rPr>
          <w:lang w:val="en-AU" w:eastAsia="en-AU"/>
        </w:rPr>
        <w:t xml:space="preserve"> to tidal forcing, Wolanski (1994) demonstrated that tidal flow dynamics var</w:t>
      </w:r>
      <w:r w:rsidR="00294C64">
        <w:rPr>
          <w:lang w:val="en-AU" w:eastAsia="en-AU"/>
        </w:rPr>
        <w:t>y</w:t>
      </w:r>
      <w:r w:rsidR="00265274" w:rsidRPr="007D6EB4">
        <w:rPr>
          <w:lang w:val="en-AU" w:eastAsia="en-AU"/>
        </w:rPr>
        <w:t xml:space="preserve"> significantly from region to region</w:t>
      </w:r>
      <w:r w:rsidR="00294C64">
        <w:rPr>
          <w:lang w:val="en-AU" w:eastAsia="en-AU"/>
        </w:rPr>
        <w:t>,</w:t>
      </w:r>
      <w:r w:rsidR="00265274" w:rsidRPr="007D6EB4">
        <w:rPr>
          <w:lang w:val="en-AU" w:eastAsia="en-AU"/>
        </w:rPr>
        <w:t xml:space="preserve"> though general</w:t>
      </w:r>
      <w:r w:rsidR="00655B4E" w:rsidRPr="007D6EB4">
        <w:rPr>
          <w:lang w:val="en-AU" w:eastAsia="en-AU"/>
        </w:rPr>
        <w:t>ly show a semi</w:t>
      </w:r>
      <w:r w:rsidR="00294C64">
        <w:rPr>
          <w:lang w:val="en-AU" w:eastAsia="en-AU"/>
        </w:rPr>
        <w:t>-</w:t>
      </w:r>
      <w:r w:rsidR="00655B4E" w:rsidRPr="007D6EB4">
        <w:rPr>
          <w:lang w:val="en-AU" w:eastAsia="en-AU"/>
        </w:rPr>
        <w:t>diurnal beat.</w:t>
      </w:r>
      <w:r w:rsidR="00265274" w:rsidRPr="007D6EB4">
        <w:rPr>
          <w:lang w:val="en-AU" w:eastAsia="en-AU"/>
        </w:rPr>
        <w:t xml:space="preserve"> In the northern section of the Great Barrier Reef, the tides are relatively weak </w:t>
      </w:r>
      <w:r w:rsidR="00655B4E" w:rsidRPr="007D6EB4">
        <w:rPr>
          <w:lang w:val="en-AU" w:eastAsia="en-AU"/>
        </w:rPr>
        <w:t xml:space="preserve">and </w:t>
      </w:r>
      <w:r w:rsidR="00265274" w:rsidRPr="007D6EB4">
        <w:rPr>
          <w:lang w:val="en-AU" w:eastAsia="en-AU"/>
        </w:rPr>
        <w:t xml:space="preserve">run parallel </w:t>
      </w:r>
      <w:r w:rsidR="00EC0510">
        <w:rPr>
          <w:lang w:val="en-AU" w:eastAsia="en-AU"/>
        </w:rPr>
        <w:t>to</w:t>
      </w:r>
      <w:r w:rsidR="00265274" w:rsidRPr="007D6EB4">
        <w:rPr>
          <w:lang w:val="en-AU" w:eastAsia="en-AU"/>
        </w:rPr>
        <w:t xml:space="preserve"> the coast inshore. In the central section of the Great Barrier Reef, tidal currents are strong and flow</w:t>
      </w:r>
      <w:r>
        <w:rPr>
          <w:lang w:val="en-AU" w:eastAsia="en-AU"/>
        </w:rPr>
        <w:t xml:space="preserve"> in a</w:t>
      </w:r>
      <w:r w:rsidR="00265274" w:rsidRPr="007D6EB4">
        <w:rPr>
          <w:lang w:val="en-AU" w:eastAsia="en-AU"/>
        </w:rPr>
        <w:t xml:space="preserve"> </w:t>
      </w:r>
      <w:r>
        <w:rPr>
          <w:lang w:val="en-AU" w:eastAsia="en-AU"/>
        </w:rPr>
        <w:t>cross-</w:t>
      </w:r>
      <w:r w:rsidR="00265274" w:rsidRPr="007D6EB4">
        <w:rPr>
          <w:lang w:val="en-AU" w:eastAsia="en-AU"/>
        </w:rPr>
        <w:t xml:space="preserve">shelf direction (King </w:t>
      </w:r>
      <w:r w:rsidR="00C0603C">
        <w:rPr>
          <w:lang w:val="en-AU" w:eastAsia="en-AU"/>
        </w:rPr>
        <w:t>&amp;</w:t>
      </w:r>
      <w:r w:rsidR="00265274" w:rsidRPr="007D6EB4">
        <w:rPr>
          <w:lang w:val="en-AU" w:eastAsia="en-AU"/>
        </w:rPr>
        <w:t xml:space="preserve"> Wolanski 1996). </w:t>
      </w:r>
      <w:r w:rsidR="00655B4E" w:rsidRPr="007D6EB4">
        <w:rPr>
          <w:lang w:val="en-AU" w:eastAsia="en-AU"/>
        </w:rPr>
        <w:t>Additionally, i</w:t>
      </w:r>
      <w:r w:rsidR="00265274" w:rsidRPr="007D6EB4">
        <w:rPr>
          <w:lang w:val="en-AU" w:eastAsia="en-AU"/>
        </w:rPr>
        <w:t>n the southern section, the tides are very strong during spring tides and flow alongshore (</w:t>
      </w:r>
      <w:r w:rsidR="00655B4E" w:rsidRPr="007D6EB4">
        <w:rPr>
          <w:lang w:val="en-AU"/>
        </w:rPr>
        <w:t>Griffin et al.</w:t>
      </w:r>
      <w:r w:rsidR="00265274" w:rsidRPr="007D6EB4">
        <w:rPr>
          <w:lang w:val="en-AU"/>
        </w:rPr>
        <w:t xml:space="preserve"> 1987).</w:t>
      </w:r>
    </w:p>
    <w:p w:rsidR="00265274" w:rsidRPr="007D6EB4" w:rsidRDefault="00265274" w:rsidP="00EC0510">
      <w:pPr>
        <w:spacing w:line="240" w:lineRule="auto"/>
        <w:jc w:val="left"/>
        <w:rPr>
          <w:highlight w:val="yellow"/>
          <w:lang w:val="en-AU"/>
        </w:rPr>
      </w:pPr>
      <w:r w:rsidRPr="007D6EB4">
        <w:rPr>
          <w:lang w:val="en-AU"/>
        </w:rPr>
        <w:lastRenderedPageBreak/>
        <w:t>Hence, Wolanski (1994) details that the net current forcing can be variably influenced by the wind</w:t>
      </w:r>
      <w:r w:rsidR="007D6EB4">
        <w:rPr>
          <w:lang w:val="en-AU"/>
        </w:rPr>
        <w:t>-</w:t>
      </w:r>
      <w:r w:rsidRPr="007D6EB4">
        <w:rPr>
          <w:lang w:val="en-AU"/>
        </w:rPr>
        <w:t xml:space="preserve">driven, tidal </w:t>
      </w:r>
      <w:r w:rsidR="00DF5336" w:rsidRPr="007D6EB4">
        <w:rPr>
          <w:lang w:val="en-AU"/>
        </w:rPr>
        <w:t>and oceanic currents.</w:t>
      </w:r>
      <w:r w:rsidRPr="007D6EB4">
        <w:rPr>
          <w:lang w:val="en-AU"/>
        </w:rPr>
        <w:t xml:space="preserve"> Therefore, to accurately describe the variability in currents of this study region, both horizontally and vertically, year</w:t>
      </w:r>
      <w:r w:rsidR="00DF5336" w:rsidRPr="007D6EB4">
        <w:rPr>
          <w:lang w:val="en-AU"/>
        </w:rPr>
        <w:t>-</w:t>
      </w:r>
      <w:r w:rsidRPr="007D6EB4">
        <w:rPr>
          <w:lang w:val="en-AU"/>
        </w:rPr>
        <w:t>long oceanic currents were combined with coastal currents.</w:t>
      </w:r>
    </w:p>
    <w:p w:rsidR="00A74626" w:rsidRDefault="00A74626" w:rsidP="00EC0510">
      <w:pPr>
        <w:spacing w:line="240" w:lineRule="auto"/>
        <w:jc w:val="left"/>
        <w:rPr>
          <w:rFonts w:cs="Arial"/>
          <w:szCs w:val="22"/>
          <w:lang w:val="en-AU"/>
        </w:rPr>
      </w:pPr>
      <w:r w:rsidRPr="007D6EB4">
        <w:rPr>
          <w:rFonts w:cs="Arial"/>
          <w:szCs w:val="22"/>
          <w:lang w:val="en-AU"/>
        </w:rPr>
        <w:t xml:space="preserve">Below is a summary of </w:t>
      </w:r>
      <w:r w:rsidR="005F6707" w:rsidRPr="007D6EB4">
        <w:rPr>
          <w:rFonts w:cs="Arial"/>
          <w:szCs w:val="22"/>
          <w:lang w:val="en-AU"/>
        </w:rPr>
        <w:t xml:space="preserve">how the </w:t>
      </w:r>
      <w:r w:rsidRPr="007D6EB4">
        <w:rPr>
          <w:rFonts w:cs="Arial"/>
          <w:szCs w:val="22"/>
          <w:lang w:val="en-AU"/>
        </w:rPr>
        <w:t xml:space="preserve">combined </w:t>
      </w:r>
      <w:r w:rsidR="005F6707" w:rsidRPr="007D6EB4">
        <w:rPr>
          <w:rFonts w:cs="Arial"/>
          <w:szCs w:val="22"/>
          <w:lang w:val="en-AU"/>
        </w:rPr>
        <w:t>forces were estimated</w:t>
      </w:r>
      <w:r w:rsidRPr="007D6EB4">
        <w:rPr>
          <w:rFonts w:cs="Arial"/>
          <w:szCs w:val="22"/>
          <w:lang w:val="en-AU"/>
        </w:rPr>
        <w:t>.</w:t>
      </w:r>
    </w:p>
    <w:p w:rsidR="00D2260D" w:rsidRPr="007D6EB4" w:rsidRDefault="005F6707" w:rsidP="00E46224">
      <w:pPr>
        <w:pStyle w:val="Heading3"/>
      </w:pPr>
      <w:bookmarkStart w:id="13" w:name="_Toc361929981"/>
      <w:r w:rsidRPr="007D6EB4">
        <w:t>Representation of oceanic drift currents</w:t>
      </w:r>
      <w:bookmarkEnd w:id="13"/>
    </w:p>
    <w:p w:rsidR="001F1FCF" w:rsidRPr="007D6EB4" w:rsidRDefault="002E4AA7" w:rsidP="00EC0510">
      <w:pPr>
        <w:pStyle w:val="StyleLeft"/>
        <w:rPr>
          <w:lang w:val="en-AU"/>
        </w:rPr>
      </w:pPr>
      <w:r w:rsidRPr="007D6EB4">
        <w:rPr>
          <w:lang w:val="en-AU"/>
        </w:rPr>
        <w:t xml:space="preserve">The influence from </w:t>
      </w:r>
      <w:r w:rsidR="001F1FCF" w:rsidRPr="007D6EB4">
        <w:rPr>
          <w:lang w:val="en-AU"/>
        </w:rPr>
        <w:t>ocean</w:t>
      </w:r>
      <w:r w:rsidR="00DC7C17">
        <w:rPr>
          <w:lang w:val="en-AU"/>
        </w:rPr>
        <w:t>ic drift</w:t>
      </w:r>
      <w:r w:rsidR="001F1FCF" w:rsidRPr="007D6EB4">
        <w:rPr>
          <w:lang w:val="en-AU"/>
        </w:rPr>
        <w:t xml:space="preserve"> currents </w:t>
      </w:r>
      <w:r w:rsidRPr="007D6EB4">
        <w:rPr>
          <w:lang w:val="en-AU" w:eastAsia="en-AU"/>
        </w:rPr>
        <w:t xml:space="preserve">was represented </w:t>
      </w:r>
      <w:r w:rsidR="007649B2" w:rsidRPr="007D6EB4">
        <w:rPr>
          <w:lang w:val="en-AU"/>
        </w:rPr>
        <w:t>by</w:t>
      </w:r>
      <w:r w:rsidR="001F1FCF" w:rsidRPr="007D6EB4">
        <w:rPr>
          <w:lang w:val="en-AU"/>
        </w:rPr>
        <w:t xml:space="preserve"> the output </w:t>
      </w:r>
      <w:r w:rsidR="00DC7C17">
        <w:rPr>
          <w:lang w:val="en-AU"/>
        </w:rPr>
        <w:t xml:space="preserve">from </w:t>
      </w:r>
      <w:r w:rsidR="005F6707" w:rsidRPr="007D6EB4">
        <w:rPr>
          <w:lang w:val="en-AU"/>
        </w:rPr>
        <w:t xml:space="preserve">HYCOM (Hybrid Coordinate Ocean Model, see Wallcraft </w:t>
      </w:r>
      <w:r w:rsidR="005F6707" w:rsidRPr="007D6EB4">
        <w:rPr>
          <w:iCs/>
          <w:lang w:val="en-AU"/>
        </w:rPr>
        <w:t>et al</w:t>
      </w:r>
      <w:r w:rsidR="005F6707" w:rsidRPr="007D6EB4">
        <w:rPr>
          <w:lang w:val="en-AU"/>
        </w:rPr>
        <w:t>. 2003; Chassignet et al. 2007).</w:t>
      </w:r>
      <w:r w:rsidR="0043422D">
        <w:rPr>
          <w:lang w:val="en-AU"/>
        </w:rPr>
        <w:t xml:space="preserve"> </w:t>
      </w:r>
      <w:r w:rsidR="005F6707" w:rsidRPr="007D6EB4">
        <w:rPr>
          <w:lang w:val="en-AU"/>
        </w:rPr>
        <w:t xml:space="preserve">HYCOM calculates ocean currents globally and </w:t>
      </w:r>
      <w:r w:rsidR="001F1FCF" w:rsidRPr="007D6EB4">
        <w:rPr>
          <w:lang w:val="en-AU"/>
        </w:rPr>
        <w:t xml:space="preserve">is operated by the </w:t>
      </w:r>
      <w:r w:rsidR="005F6707" w:rsidRPr="007D6EB4">
        <w:rPr>
          <w:lang w:val="en-AU"/>
        </w:rPr>
        <w:t xml:space="preserve">HYCOM </w:t>
      </w:r>
      <w:r w:rsidR="001F1FCF" w:rsidRPr="007D6EB4">
        <w:rPr>
          <w:lang w:val="en-AU"/>
        </w:rPr>
        <w:t>Consortium, sponsored by the Global Ocean Data Assimilation Experiment (GODAE).</w:t>
      </w:r>
      <w:r w:rsidR="0043422D">
        <w:rPr>
          <w:lang w:val="en-AU"/>
        </w:rPr>
        <w:t xml:space="preserve"> </w:t>
      </w:r>
      <w:r w:rsidR="001F1FCF" w:rsidRPr="007D6EB4">
        <w:rPr>
          <w:lang w:val="en-AU"/>
        </w:rPr>
        <w:t>HYCOM is a data-assimilative, three-dimensional ocean model that is run as a hind</w:t>
      </w:r>
      <w:r w:rsidR="002C3746">
        <w:rPr>
          <w:lang w:val="en-AU"/>
        </w:rPr>
        <w:t>-</w:t>
      </w:r>
      <w:r w:rsidR="001F1FCF" w:rsidRPr="007D6EB4">
        <w:rPr>
          <w:lang w:val="en-AU"/>
        </w:rPr>
        <w:t xml:space="preserve">cast </w:t>
      </w:r>
      <w:r w:rsidR="003337B5" w:rsidRPr="007D6EB4">
        <w:rPr>
          <w:lang w:val="en-AU"/>
        </w:rPr>
        <w:t xml:space="preserve">model </w:t>
      </w:r>
      <w:r w:rsidR="001F1FCF" w:rsidRPr="007D6EB4">
        <w:rPr>
          <w:lang w:val="en-AU"/>
        </w:rPr>
        <w:t xml:space="preserve">(i.e. for a past period), assimilating time-varying observations of sea-surface height, sea-surface temperature and </w:t>
      </w:r>
      <w:r w:rsidR="001F1FCF" w:rsidRPr="00294C64">
        <w:rPr>
          <w:i/>
          <w:lang w:val="en-AU"/>
        </w:rPr>
        <w:t>in-situ</w:t>
      </w:r>
      <w:r w:rsidR="001F1FCF" w:rsidRPr="007D6EB4">
        <w:rPr>
          <w:lang w:val="en-AU"/>
        </w:rPr>
        <w:t xml:space="preserve"> temperature and salinity measurements </w:t>
      </w:r>
      <w:r w:rsidR="001F1FCF" w:rsidRPr="007D6EB4">
        <w:rPr>
          <w:rStyle w:val="BodyText2Char"/>
          <w:lang w:val="en-AU"/>
        </w:rPr>
        <w:t>(</w:t>
      </w:r>
      <w:r w:rsidR="001F1FCF" w:rsidRPr="007D6EB4">
        <w:rPr>
          <w:lang w:val="en-AU"/>
        </w:rPr>
        <w:t xml:space="preserve">Chassignet </w:t>
      </w:r>
      <w:r w:rsidR="001F1FCF" w:rsidRPr="007D6EB4">
        <w:rPr>
          <w:iCs/>
          <w:lang w:val="en-AU"/>
        </w:rPr>
        <w:t>et al</w:t>
      </w:r>
      <w:r w:rsidR="001F1FCF" w:rsidRPr="007D6EB4">
        <w:rPr>
          <w:lang w:val="en-AU"/>
        </w:rPr>
        <w:t xml:space="preserve">. 2009). </w:t>
      </w:r>
      <w:r w:rsidR="001F1FCF" w:rsidRPr="007D6EB4">
        <w:rPr>
          <w:rStyle w:val="BodyText2Char"/>
          <w:lang w:val="en-AU"/>
        </w:rPr>
        <w:t xml:space="preserve">The HYCOM predictions for </w:t>
      </w:r>
      <w:r w:rsidR="00387432" w:rsidRPr="007D6EB4">
        <w:rPr>
          <w:rStyle w:val="BodyText2Char"/>
          <w:lang w:val="en-AU"/>
        </w:rPr>
        <w:t>ocean</w:t>
      </w:r>
      <w:r w:rsidR="001F1FCF" w:rsidRPr="007D6EB4">
        <w:rPr>
          <w:rStyle w:val="BodyText2Char"/>
          <w:lang w:val="en-AU"/>
        </w:rPr>
        <w:t xml:space="preserve"> currents are produced </w:t>
      </w:r>
      <w:r w:rsidR="005F6707" w:rsidRPr="007D6EB4">
        <w:rPr>
          <w:rStyle w:val="BodyText2Char"/>
          <w:lang w:val="en-AU"/>
        </w:rPr>
        <w:t xml:space="preserve">in three-dimensions (depth-layered) </w:t>
      </w:r>
      <w:r w:rsidR="001F1FCF" w:rsidRPr="007D6EB4">
        <w:rPr>
          <w:rStyle w:val="BodyText2Char"/>
          <w:lang w:val="en-AU"/>
        </w:rPr>
        <w:t>at a horizontal spatial resolution of approximately 8.25 km over the region</w:t>
      </w:r>
      <w:r w:rsidR="00387432" w:rsidRPr="007D6EB4">
        <w:rPr>
          <w:rStyle w:val="BodyText2Char"/>
          <w:lang w:val="en-AU"/>
        </w:rPr>
        <w:t>, at a frequency of once per day</w:t>
      </w:r>
      <w:r w:rsidR="001F1FCF" w:rsidRPr="007D6EB4">
        <w:rPr>
          <w:rStyle w:val="BodyText2Char"/>
          <w:lang w:val="en-AU"/>
        </w:rPr>
        <w:t xml:space="preserve">. </w:t>
      </w:r>
      <w:r w:rsidR="001F1FCF" w:rsidRPr="007D6EB4">
        <w:rPr>
          <w:lang w:val="en-AU"/>
        </w:rPr>
        <w:t xml:space="preserve">Hence, the HYCOM model data provides estimates of </w:t>
      </w:r>
      <w:r w:rsidR="001F1FCF" w:rsidRPr="007D6EB4">
        <w:rPr>
          <w:rStyle w:val="BodyText2Char"/>
          <w:lang w:val="en-AU"/>
        </w:rPr>
        <w:t>meso-scale circulation, with horizontal resolution suitable to resolve eddies of a few 10’s of kilometres diameter, as well as connecting stream currents of similar spatial scale</w:t>
      </w:r>
      <w:r w:rsidR="001F1FCF" w:rsidRPr="007D6EB4">
        <w:rPr>
          <w:lang w:val="en-AU"/>
        </w:rPr>
        <w:t xml:space="preserve">. </w:t>
      </w:r>
      <w:r w:rsidR="005F6707" w:rsidRPr="007D6EB4">
        <w:rPr>
          <w:lang w:val="en-AU"/>
        </w:rPr>
        <w:t xml:space="preserve">HYCOM provides for </w:t>
      </w:r>
      <w:r w:rsidR="00387432" w:rsidRPr="007D6EB4">
        <w:rPr>
          <w:lang w:val="en-AU"/>
        </w:rPr>
        <w:t xml:space="preserve">a very </w:t>
      </w:r>
      <w:r w:rsidR="005F6707" w:rsidRPr="007D6EB4">
        <w:rPr>
          <w:lang w:val="en-AU"/>
        </w:rPr>
        <w:t>time-</w:t>
      </w:r>
      <w:r w:rsidR="00387432" w:rsidRPr="007D6EB4">
        <w:rPr>
          <w:lang w:val="en-AU"/>
        </w:rPr>
        <w:t xml:space="preserve">comprehensive ocean current dataset </w:t>
      </w:r>
      <w:r w:rsidR="005F6707" w:rsidRPr="007D6EB4">
        <w:rPr>
          <w:lang w:val="en-AU"/>
        </w:rPr>
        <w:t>spanning decades</w:t>
      </w:r>
      <w:r w:rsidR="00C926FF" w:rsidRPr="007D6EB4">
        <w:rPr>
          <w:lang w:val="en-AU"/>
        </w:rPr>
        <w:t xml:space="preserve"> with increasing data quality over more recent years with increased availability of ocean observations from satellite and sensor data. Data</w:t>
      </w:r>
      <w:r w:rsidR="00387432" w:rsidRPr="007D6EB4">
        <w:rPr>
          <w:lang w:val="en-AU"/>
        </w:rPr>
        <w:t xml:space="preserve"> between 2004 </w:t>
      </w:r>
      <w:r w:rsidR="007D6EB4">
        <w:rPr>
          <w:lang w:val="en-AU"/>
        </w:rPr>
        <w:t>and</w:t>
      </w:r>
      <w:r w:rsidR="007D6EB4" w:rsidRPr="007D6EB4">
        <w:rPr>
          <w:lang w:val="en-AU"/>
        </w:rPr>
        <w:t xml:space="preserve"> </w:t>
      </w:r>
      <w:r w:rsidR="00387432" w:rsidRPr="007D6EB4">
        <w:rPr>
          <w:lang w:val="en-AU"/>
        </w:rPr>
        <w:t>2011 (inclusive</w:t>
      </w:r>
      <w:r w:rsidR="00C926FF" w:rsidRPr="007D6EB4">
        <w:rPr>
          <w:lang w:val="en-AU"/>
        </w:rPr>
        <w:t>) were targeted for the study.</w:t>
      </w:r>
    </w:p>
    <w:p w:rsidR="004126D1" w:rsidRPr="007D6EB4" w:rsidRDefault="001F1FCF" w:rsidP="00EC0510">
      <w:pPr>
        <w:pStyle w:val="StyleLeft"/>
        <w:rPr>
          <w:lang w:val="en-AU"/>
        </w:rPr>
      </w:pPr>
      <w:r w:rsidRPr="007D6EB4">
        <w:rPr>
          <w:lang w:val="en-AU"/>
        </w:rPr>
        <w:t>The HYCOM model data w</w:t>
      </w:r>
      <w:r w:rsidR="003510FE">
        <w:rPr>
          <w:lang w:val="en-AU"/>
        </w:rPr>
        <w:t>ere</w:t>
      </w:r>
      <w:r w:rsidRPr="007D6EB4">
        <w:rPr>
          <w:lang w:val="en-AU"/>
        </w:rPr>
        <w:t xml:space="preserve"> selected for this study because </w:t>
      </w:r>
      <w:r w:rsidR="002E4AA7" w:rsidRPr="007D6EB4">
        <w:rPr>
          <w:lang w:val="en-AU"/>
        </w:rPr>
        <w:t xml:space="preserve">it </w:t>
      </w:r>
      <w:r w:rsidR="004126D1" w:rsidRPr="007D6EB4">
        <w:rPr>
          <w:lang w:val="en-AU"/>
        </w:rPr>
        <w:t>was found to better reproduce flows adjacent to the</w:t>
      </w:r>
      <w:r w:rsidR="002E4AA7" w:rsidRPr="007D6EB4">
        <w:rPr>
          <w:lang w:val="en-AU"/>
        </w:rPr>
        <w:t xml:space="preserve"> 12 Queensland ports</w:t>
      </w:r>
      <w:r w:rsidR="002A1E59" w:rsidRPr="007D6EB4">
        <w:rPr>
          <w:lang w:val="en-AU"/>
        </w:rPr>
        <w:t xml:space="preserve"> when compared </w:t>
      </w:r>
      <w:r w:rsidR="00771BE4">
        <w:rPr>
          <w:lang w:val="en-AU"/>
        </w:rPr>
        <w:t>with</w:t>
      </w:r>
      <w:r w:rsidR="002A1E59" w:rsidRPr="007D6EB4">
        <w:rPr>
          <w:lang w:val="en-AU"/>
        </w:rPr>
        <w:t xml:space="preserve"> the CSIRO BRAN 2.1 ocean model</w:t>
      </w:r>
      <w:r w:rsidR="004126D1" w:rsidRPr="007D6EB4">
        <w:rPr>
          <w:lang w:val="en-AU"/>
        </w:rPr>
        <w:t xml:space="preserve">. </w:t>
      </w:r>
    </w:p>
    <w:p w:rsidR="008A0B00" w:rsidRDefault="002E4AA7" w:rsidP="00EC0510">
      <w:pPr>
        <w:pStyle w:val="StyleLeft"/>
        <w:rPr>
          <w:lang w:val="en-AU"/>
        </w:rPr>
      </w:pPr>
      <w:r w:rsidRPr="007D6EB4">
        <w:rPr>
          <w:lang w:val="en-AU"/>
        </w:rPr>
        <w:t>As the oceanographic conditions fluctuate from one year to the next</w:t>
      </w:r>
      <w:r w:rsidR="00C926FF" w:rsidRPr="007D6EB4">
        <w:rPr>
          <w:lang w:val="en-AU"/>
        </w:rPr>
        <w:t>,</w:t>
      </w:r>
      <w:r w:rsidR="00125AD4" w:rsidRPr="007D6EB4">
        <w:rPr>
          <w:lang w:val="en-AU"/>
        </w:rPr>
        <w:t xml:space="preserve"> it was important to identify inter-annual trends</w:t>
      </w:r>
      <w:r w:rsidR="00C926FF" w:rsidRPr="007D6EB4">
        <w:rPr>
          <w:lang w:val="en-AU"/>
        </w:rPr>
        <w:t xml:space="preserve"> </w:t>
      </w:r>
      <w:r w:rsidR="002F1A7C" w:rsidRPr="007D6EB4">
        <w:rPr>
          <w:lang w:val="en-AU"/>
        </w:rPr>
        <w:t>using</w:t>
      </w:r>
      <w:r w:rsidR="00D2260D" w:rsidRPr="007D6EB4">
        <w:rPr>
          <w:lang w:val="en-AU"/>
        </w:rPr>
        <w:t xml:space="preserve"> the Southern Oscillation Index (SOI)</w:t>
      </w:r>
      <w:r w:rsidR="00544DE5">
        <w:rPr>
          <w:lang w:val="en-AU"/>
        </w:rPr>
        <w:t>. The SOI</w:t>
      </w:r>
      <w:r w:rsidR="00125AD4" w:rsidRPr="007D6EB4">
        <w:rPr>
          <w:lang w:val="en-AU"/>
        </w:rPr>
        <w:t xml:space="preserve"> </w:t>
      </w:r>
      <w:r w:rsidR="00D2260D" w:rsidRPr="007D6EB4">
        <w:rPr>
          <w:lang w:val="en-AU"/>
        </w:rPr>
        <w:t>broadly defines neutral, El Ni</w:t>
      </w:r>
      <w:r w:rsidR="00D2260D" w:rsidRPr="007D6EB4">
        <w:rPr>
          <w:rFonts w:cs="Arial"/>
          <w:lang w:val="en-AU"/>
        </w:rPr>
        <w:t>ñ</w:t>
      </w:r>
      <w:r w:rsidR="00D2260D" w:rsidRPr="007D6EB4">
        <w:rPr>
          <w:lang w:val="en-AU"/>
        </w:rPr>
        <w:t>o (strongly negative SOI) and La Ni</w:t>
      </w:r>
      <w:r w:rsidR="00D2260D" w:rsidRPr="007D6EB4">
        <w:rPr>
          <w:rFonts w:cs="Arial"/>
          <w:lang w:val="en-AU"/>
        </w:rPr>
        <w:t>ñ</w:t>
      </w:r>
      <w:r w:rsidR="00D2260D" w:rsidRPr="007D6EB4">
        <w:rPr>
          <w:lang w:val="en-AU"/>
        </w:rPr>
        <w:t>a (strongly positive SOI) conditions based on differences in the surface air-pressure between Tahiti on the eastern side of the Pacific Ocean and Darwin</w:t>
      </w:r>
      <w:r w:rsidR="002F1A7C" w:rsidRPr="007D6EB4">
        <w:rPr>
          <w:lang w:val="en-AU"/>
        </w:rPr>
        <w:t xml:space="preserve"> (Australia)</w:t>
      </w:r>
      <w:r w:rsidR="00D2260D" w:rsidRPr="007D6EB4">
        <w:rPr>
          <w:lang w:val="en-AU"/>
        </w:rPr>
        <w:t xml:space="preserve">, on the western side. </w:t>
      </w:r>
      <w:r w:rsidR="00184116" w:rsidRPr="007D6EB4">
        <w:rPr>
          <w:lang w:val="en-AU"/>
        </w:rPr>
        <w:t xml:space="preserve">The </w:t>
      </w:r>
      <w:r w:rsidR="00D2260D" w:rsidRPr="007D6EB4">
        <w:rPr>
          <w:lang w:val="en-AU"/>
        </w:rPr>
        <w:t>El Niño episodes are usually accompanied by sustained warming of the central and eastern tropical Pacific Ocean and a decrease in the strength of the Pacific trade winds. La Niña episodes are usually associated with converse trends</w:t>
      </w:r>
      <w:r w:rsidR="00125AD4" w:rsidRPr="007D6EB4">
        <w:rPr>
          <w:lang w:val="en-AU"/>
        </w:rPr>
        <w:t xml:space="preserve">. </w:t>
      </w:r>
    </w:p>
    <w:p w:rsidR="00265274" w:rsidRPr="007D6EB4" w:rsidRDefault="00693B03" w:rsidP="00EC0510">
      <w:pPr>
        <w:pStyle w:val="StyleLeft"/>
        <w:rPr>
          <w:lang w:val="en-AU"/>
        </w:rPr>
      </w:pPr>
      <w:r>
        <w:fldChar w:fldCharType="begin"/>
      </w:r>
      <w:r>
        <w:instrText xml:space="preserve"> REF _Ref338339387 \h  \* MERGEFORMAT </w:instrText>
      </w:r>
      <w:r>
        <w:fldChar w:fldCharType="separate"/>
      </w:r>
      <w:r w:rsidR="00751BC4" w:rsidRPr="00751BC4">
        <w:rPr>
          <w:lang w:val="en-AU"/>
        </w:rPr>
        <w:t>Figure 1</w:t>
      </w:r>
      <w:r>
        <w:fldChar w:fldCharType="end"/>
      </w:r>
      <w:r w:rsidR="008A0B00">
        <w:t xml:space="preserve"> shows </w:t>
      </w:r>
      <w:r w:rsidR="008A0B00">
        <w:rPr>
          <w:lang w:val="en-AU"/>
        </w:rPr>
        <w:t>t</w:t>
      </w:r>
      <w:r w:rsidR="00125AD4" w:rsidRPr="007D6EB4">
        <w:rPr>
          <w:lang w:val="en-AU"/>
        </w:rPr>
        <w:t xml:space="preserve">he monthly values for the SOI from 2004 to 2011 (corresponding to the HYCOM </w:t>
      </w:r>
      <w:r w:rsidR="00EF24D9" w:rsidRPr="007D6EB4">
        <w:rPr>
          <w:lang w:val="en-AU"/>
        </w:rPr>
        <w:t>ocean current dataset</w:t>
      </w:r>
      <w:r w:rsidR="00C926FF" w:rsidRPr="007D6EB4">
        <w:rPr>
          <w:lang w:val="en-AU"/>
        </w:rPr>
        <w:t xml:space="preserve"> that was targeted for assessment</w:t>
      </w:r>
      <w:r w:rsidR="00EF24D9" w:rsidRPr="007D6EB4">
        <w:rPr>
          <w:lang w:val="en-AU"/>
        </w:rPr>
        <w:t>)</w:t>
      </w:r>
      <w:r w:rsidR="008A0B00">
        <w:rPr>
          <w:lang w:val="en-AU"/>
        </w:rPr>
        <w:t>.</w:t>
      </w:r>
      <w:r w:rsidR="00EF24D9" w:rsidRPr="007D6EB4">
        <w:rPr>
          <w:lang w:val="en-AU"/>
        </w:rPr>
        <w:t xml:space="preserve"> Based on the SOI, 2007</w:t>
      </w:r>
      <w:r w:rsidR="00BE4C32" w:rsidRPr="007D6EB4">
        <w:rPr>
          <w:lang w:val="en-AU"/>
        </w:rPr>
        <w:t xml:space="preserve"> was selected as a representative</w:t>
      </w:r>
      <w:r w:rsidR="00125AD4" w:rsidRPr="007D6EB4">
        <w:rPr>
          <w:lang w:val="en-AU"/>
        </w:rPr>
        <w:t xml:space="preserve"> </w:t>
      </w:r>
      <w:r w:rsidR="00BE4C32" w:rsidRPr="007D6EB4">
        <w:rPr>
          <w:lang w:val="en-AU"/>
        </w:rPr>
        <w:t xml:space="preserve">mixed </w:t>
      </w:r>
      <w:r w:rsidR="00C926FF" w:rsidRPr="007D6EB4">
        <w:rPr>
          <w:lang w:val="en-AU"/>
        </w:rPr>
        <w:t>(</w:t>
      </w:r>
      <w:r w:rsidR="00BE4C32" w:rsidRPr="007D6EB4">
        <w:rPr>
          <w:lang w:val="en-AU"/>
        </w:rPr>
        <w:t>neutral</w:t>
      </w:r>
      <w:r w:rsidR="00C926FF" w:rsidRPr="007D6EB4">
        <w:rPr>
          <w:lang w:val="en-AU"/>
        </w:rPr>
        <w:t>) SOI</w:t>
      </w:r>
      <w:r w:rsidR="00BE4C32" w:rsidRPr="007D6EB4">
        <w:rPr>
          <w:lang w:val="en-AU"/>
        </w:rPr>
        <w:t xml:space="preserve"> year, 2011</w:t>
      </w:r>
      <w:r w:rsidR="00125AD4" w:rsidRPr="007D6EB4">
        <w:rPr>
          <w:lang w:val="en-AU"/>
        </w:rPr>
        <w:t xml:space="preserve"> </w:t>
      </w:r>
      <w:r w:rsidR="00C926FF" w:rsidRPr="007D6EB4">
        <w:rPr>
          <w:lang w:val="en-AU"/>
        </w:rPr>
        <w:t xml:space="preserve">as a </w:t>
      </w:r>
      <w:r w:rsidR="00EF24D9" w:rsidRPr="007D6EB4">
        <w:rPr>
          <w:lang w:val="en-AU"/>
        </w:rPr>
        <w:t>strong La Ni</w:t>
      </w:r>
      <w:r w:rsidR="00886446" w:rsidRPr="007D6EB4">
        <w:rPr>
          <w:rFonts w:cs="Arial"/>
          <w:lang w:val="en-AU"/>
        </w:rPr>
        <w:t>ñ</w:t>
      </w:r>
      <w:r w:rsidR="00BE4C32" w:rsidRPr="007D6EB4">
        <w:rPr>
          <w:lang w:val="en-AU"/>
        </w:rPr>
        <w:t>a</w:t>
      </w:r>
      <w:r w:rsidR="00EF24D9" w:rsidRPr="007D6EB4">
        <w:rPr>
          <w:lang w:val="en-AU"/>
        </w:rPr>
        <w:t xml:space="preserve"> and</w:t>
      </w:r>
      <w:r w:rsidR="00BE4C32" w:rsidRPr="007D6EB4">
        <w:rPr>
          <w:lang w:val="en-AU"/>
        </w:rPr>
        <w:t xml:space="preserve"> 2004</w:t>
      </w:r>
      <w:r w:rsidR="00EF24D9" w:rsidRPr="007D6EB4">
        <w:rPr>
          <w:lang w:val="en-AU"/>
        </w:rPr>
        <w:t xml:space="preserve"> </w:t>
      </w:r>
      <w:r w:rsidR="00C926FF" w:rsidRPr="007D6EB4">
        <w:rPr>
          <w:lang w:val="en-AU"/>
        </w:rPr>
        <w:t xml:space="preserve">as a moderate </w:t>
      </w:r>
      <w:r w:rsidR="00EF24D9" w:rsidRPr="007D6EB4">
        <w:rPr>
          <w:lang w:val="en-AU"/>
        </w:rPr>
        <w:t>El Ni</w:t>
      </w:r>
      <w:r w:rsidR="00886446" w:rsidRPr="007D6EB4">
        <w:rPr>
          <w:rFonts w:cs="Arial"/>
          <w:lang w:val="en-AU"/>
        </w:rPr>
        <w:t>ñ</w:t>
      </w:r>
      <w:r w:rsidR="00BE4C32" w:rsidRPr="007D6EB4">
        <w:rPr>
          <w:lang w:val="en-AU"/>
        </w:rPr>
        <w:t>o</w:t>
      </w:r>
      <w:r w:rsidR="00125AD4" w:rsidRPr="007D6EB4">
        <w:rPr>
          <w:lang w:val="en-AU"/>
        </w:rPr>
        <w:t xml:space="preserve"> year.</w:t>
      </w:r>
    </w:p>
    <w:p w:rsidR="00265274" w:rsidRPr="007D6EB4" w:rsidRDefault="008A0B00" w:rsidP="00EC0510">
      <w:pPr>
        <w:pStyle w:val="StyleLeft"/>
        <w:rPr>
          <w:lang w:val="en-AU"/>
        </w:rPr>
      </w:pPr>
      <w:r>
        <w:rPr>
          <w:lang w:val="en-AU"/>
        </w:rPr>
        <w:t>T</w:t>
      </w:r>
      <w:r w:rsidR="00265274" w:rsidRPr="007D6EB4">
        <w:rPr>
          <w:lang w:val="en-AU"/>
        </w:rPr>
        <w:t xml:space="preserve">o verify </w:t>
      </w:r>
      <w:r w:rsidR="00906D79">
        <w:rPr>
          <w:lang w:val="en-AU"/>
        </w:rPr>
        <w:t>the selection of years</w:t>
      </w:r>
      <w:r w:rsidR="00265274" w:rsidRPr="007D6EB4">
        <w:rPr>
          <w:lang w:val="en-AU"/>
        </w:rPr>
        <w:t xml:space="preserve">, current roses for each of the three year-long oceanic current datasets were generated to assess the variability and patterns of the oceanographic drift currents adjacent to the existing </w:t>
      </w:r>
      <w:r w:rsidR="0041654C" w:rsidRPr="00906D79">
        <w:rPr>
          <w:lang w:val="en-AU"/>
        </w:rPr>
        <w:t>material placement sites</w:t>
      </w:r>
      <w:r w:rsidR="00265274" w:rsidRPr="007D6EB4">
        <w:rPr>
          <w:lang w:val="en-AU"/>
        </w:rPr>
        <w:t xml:space="preserve"> for five key ports along the Queensland coastline (</w:t>
      </w:r>
      <w:r w:rsidR="003337B5" w:rsidRPr="007D6EB4">
        <w:rPr>
          <w:lang w:val="en-AU"/>
        </w:rPr>
        <w:t xml:space="preserve">Ports of </w:t>
      </w:r>
      <w:r w:rsidR="00265274" w:rsidRPr="007D6EB4">
        <w:rPr>
          <w:lang w:val="en-AU"/>
        </w:rPr>
        <w:t>Cairns, Townsville, Abbot Point, Hay Point and Gladstone).</w:t>
      </w:r>
    </w:p>
    <w:p w:rsidR="00265274" w:rsidRPr="007D6EB4" w:rsidRDefault="00265274" w:rsidP="00EC0510">
      <w:pPr>
        <w:pStyle w:val="StyleLeft"/>
        <w:rPr>
          <w:lang w:val="en-AU"/>
        </w:rPr>
      </w:pPr>
    </w:p>
    <w:p w:rsidR="00184116" w:rsidRPr="007D6EB4" w:rsidRDefault="00184116" w:rsidP="00EC0510">
      <w:pPr>
        <w:pStyle w:val="StyleLeft"/>
        <w:rPr>
          <w:lang w:val="en-AU"/>
        </w:rPr>
      </w:pPr>
      <w:r w:rsidRPr="006A22FE">
        <w:rPr>
          <w:noProof/>
          <w:bdr w:val="single" w:sz="4" w:space="0" w:color="auto"/>
          <w:lang w:val="en-AU" w:eastAsia="en-AU"/>
        </w:rPr>
        <w:lastRenderedPageBreak/>
        <w:drawing>
          <wp:inline distT="0" distB="0" distL="0" distR="0" wp14:anchorId="6E2E0A33" wp14:editId="774A3D23">
            <wp:extent cx="5372100" cy="2553515"/>
            <wp:effectExtent l="0" t="0" r="0" b="0"/>
            <wp:docPr id="1" name="Picture 1" descr="Figure 1 shows the monthly values for the Southern Oscillation Index (SOI) from 2004 to 2011 (corresponding to the HYCOM ocean current dataset that was targeted for assessment). Based on the SOI, 2007 was selected as a representative mixed (neutral) SOI year, 2011 as a strong La Niña and 2004 as a moderate El Niño year." title="Figure 1. Monthly values of the Southern Oscillation Index (SOI) 2004 - 2011. Sustained positive values indicate La Nina conditions, while sustained negative values indicate El Nino conditions (Source: Australian Bureau of Meteorology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uthern Oscillation Index"/>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372100" cy="2553515"/>
                    </a:xfrm>
                    <a:prstGeom prst="rect">
                      <a:avLst/>
                    </a:prstGeom>
                    <a:noFill/>
                    <a:ln>
                      <a:noFill/>
                    </a:ln>
                  </pic:spPr>
                </pic:pic>
              </a:graphicData>
            </a:graphic>
          </wp:inline>
        </w:drawing>
      </w:r>
    </w:p>
    <w:p w:rsidR="00184116" w:rsidRPr="007D6EB4" w:rsidRDefault="00184116" w:rsidP="00EC0510">
      <w:pPr>
        <w:pStyle w:val="Caption"/>
        <w:spacing w:line="240" w:lineRule="auto"/>
        <w:ind w:left="480" w:hanging="480"/>
        <w:jc w:val="left"/>
        <w:rPr>
          <w:lang w:val="en-AU"/>
        </w:rPr>
      </w:pPr>
      <w:bookmarkStart w:id="14" w:name="_Ref338339387"/>
      <w:bookmarkStart w:id="15" w:name="_Toc338242157"/>
      <w:bookmarkStart w:id="16" w:name="_Toc361651484"/>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1</w:t>
      </w:r>
      <w:r w:rsidR="005F6FF5" w:rsidRPr="007D6EB4">
        <w:rPr>
          <w:b/>
          <w:lang w:val="en-AU"/>
        </w:rPr>
        <w:fldChar w:fldCharType="end"/>
      </w:r>
      <w:bookmarkEnd w:id="14"/>
      <w:r w:rsidR="00E5277F">
        <w:rPr>
          <w:lang w:val="en-AU"/>
        </w:rPr>
        <w:t>.</w:t>
      </w:r>
      <w:r w:rsidRPr="007D6EB4">
        <w:rPr>
          <w:lang w:val="en-AU"/>
        </w:rPr>
        <w:t xml:space="preserve"> Monthly values of the Southern Oscillation Index (SOI) 2004 - 2011. Sustained positive values indicate La Nina conditions, while sustained negative values indicate El Nino conditions </w:t>
      </w:r>
      <w:r w:rsidR="00A41D04" w:rsidRPr="007D6EB4">
        <w:rPr>
          <w:lang w:val="en-AU"/>
        </w:rPr>
        <w:t>(S</w:t>
      </w:r>
      <w:r w:rsidRPr="007D6EB4">
        <w:rPr>
          <w:lang w:val="en-AU"/>
        </w:rPr>
        <w:t>ource</w:t>
      </w:r>
      <w:r w:rsidR="00A41D04" w:rsidRPr="007D6EB4">
        <w:rPr>
          <w:lang w:val="en-AU"/>
        </w:rPr>
        <w:t>:</w:t>
      </w:r>
      <w:r w:rsidRPr="007D6EB4">
        <w:rPr>
          <w:lang w:val="en-AU"/>
        </w:rPr>
        <w:t xml:space="preserve"> Australian Bureau of Meteorology</w:t>
      </w:r>
      <w:r w:rsidR="00403810" w:rsidRPr="007D6EB4">
        <w:rPr>
          <w:lang w:val="en-AU"/>
        </w:rPr>
        <w:t xml:space="preserve"> 2012</w:t>
      </w:r>
      <w:r w:rsidR="00A41D04" w:rsidRPr="007D6EB4">
        <w:rPr>
          <w:lang w:val="en-AU"/>
        </w:rPr>
        <w:t>)</w:t>
      </w:r>
      <w:r w:rsidRPr="007D6EB4">
        <w:rPr>
          <w:lang w:val="en-AU"/>
        </w:rPr>
        <w:t>.</w:t>
      </w:r>
      <w:bookmarkEnd w:id="15"/>
      <w:bookmarkEnd w:id="16"/>
    </w:p>
    <w:p w:rsidR="00994FCE" w:rsidRPr="007D6EB4" w:rsidRDefault="00994FCE" w:rsidP="00617543">
      <w:pPr>
        <w:pStyle w:val="Para0"/>
        <w:rPr>
          <w:lang w:val="en-AU"/>
        </w:rPr>
      </w:pPr>
    </w:p>
    <w:p w:rsidR="002E1076" w:rsidRPr="007D6EB4" w:rsidRDefault="002E1076" w:rsidP="00EC0510">
      <w:pPr>
        <w:pStyle w:val="StyleLeft"/>
        <w:rPr>
          <w:lang w:val="en-AU"/>
        </w:rPr>
      </w:pPr>
      <w:r w:rsidRPr="007D6EB4">
        <w:rPr>
          <w:lang w:val="en-AU"/>
        </w:rPr>
        <w:t>Note</w:t>
      </w:r>
      <w:r w:rsidR="00DE74C2">
        <w:rPr>
          <w:lang w:val="en-AU"/>
        </w:rPr>
        <w:t xml:space="preserve"> that</w:t>
      </w:r>
      <w:r w:rsidRPr="007D6EB4">
        <w:rPr>
          <w:lang w:val="en-AU"/>
        </w:rPr>
        <w:t xml:space="preserve"> the convention for defining current direction is </w:t>
      </w:r>
      <w:r w:rsidR="00C926FF" w:rsidRPr="007D6EB4">
        <w:rPr>
          <w:lang w:val="en-AU"/>
        </w:rPr>
        <w:t xml:space="preserve">to show </w:t>
      </w:r>
      <w:r w:rsidRPr="007D6EB4">
        <w:rPr>
          <w:lang w:val="en-AU"/>
        </w:rPr>
        <w:t xml:space="preserve">the direction </w:t>
      </w:r>
      <w:r w:rsidR="00C926FF" w:rsidRPr="007D6EB4">
        <w:rPr>
          <w:lang w:val="en-AU"/>
        </w:rPr>
        <w:t xml:space="preserve">that </w:t>
      </w:r>
      <w:r w:rsidRPr="007D6EB4">
        <w:rPr>
          <w:lang w:val="en-AU"/>
        </w:rPr>
        <w:t xml:space="preserve">the current flows </w:t>
      </w:r>
      <w:r w:rsidRPr="007D6EB4">
        <w:rPr>
          <w:u w:val="single"/>
          <w:lang w:val="en-AU"/>
        </w:rPr>
        <w:t>to</w:t>
      </w:r>
      <w:r w:rsidR="00C926FF" w:rsidRPr="007D6EB4">
        <w:rPr>
          <w:u w:val="single"/>
          <w:lang w:val="en-AU"/>
        </w:rPr>
        <w:t>ward</w:t>
      </w:r>
      <w:r w:rsidRPr="007D6EB4">
        <w:rPr>
          <w:lang w:val="en-AU"/>
        </w:rPr>
        <w:t xml:space="preserve">, which is used to reference current direction throughout this report. Each </w:t>
      </w:r>
      <w:r w:rsidR="00C926FF" w:rsidRPr="007D6EB4">
        <w:rPr>
          <w:lang w:val="en-AU"/>
        </w:rPr>
        <w:t xml:space="preserve">sector </w:t>
      </w:r>
      <w:r w:rsidRPr="007D6EB4">
        <w:rPr>
          <w:lang w:val="en-AU"/>
        </w:rPr>
        <w:t xml:space="preserve">of the rose represents the </w:t>
      </w:r>
      <w:r w:rsidR="00C926FF" w:rsidRPr="007D6EB4">
        <w:rPr>
          <w:lang w:val="en-AU"/>
        </w:rPr>
        <w:t xml:space="preserve">proportion of (daily) current records </w:t>
      </w:r>
      <w:r w:rsidRPr="007D6EB4">
        <w:rPr>
          <w:lang w:val="en-AU"/>
        </w:rPr>
        <w:t xml:space="preserve">flowing to that direction, with north to the top of the diagram. Sixteen directions are used. The </w:t>
      </w:r>
      <w:r w:rsidR="00F8518A" w:rsidRPr="007D6EB4">
        <w:rPr>
          <w:lang w:val="en-AU"/>
        </w:rPr>
        <w:t xml:space="preserve">sectors </w:t>
      </w:r>
      <w:r w:rsidRPr="007D6EB4">
        <w:rPr>
          <w:lang w:val="en-AU"/>
        </w:rPr>
        <w:t>are divided into segments of different colour, which represent the current speed ranges for each direction. Speed intervals of 0.2 m/s are used in these current roses. The length of each coloured segment is relative to the proportion of currents flowing within the corresponding speed and direction.</w:t>
      </w:r>
    </w:p>
    <w:p w:rsidR="00F8518A" w:rsidRPr="007D6EB4" w:rsidRDefault="002E1076" w:rsidP="001B1AFE">
      <w:pPr>
        <w:pStyle w:val="Para0"/>
        <w:rPr>
          <w:lang w:val="en-AU"/>
        </w:rPr>
      </w:pPr>
      <w:r w:rsidRPr="007D6EB4">
        <w:rPr>
          <w:lang w:val="en-AU"/>
        </w:rPr>
        <w:t>It is interesting to note that</w:t>
      </w:r>
      <w:r w:rsidR="00F8518A" w:rsidRPr="007D6EB4">
        <w:rPr>
          <w:lang w:val="en-AU"/>
        </w:rPr>
        <w:t>,</w:t>
      </w:r>
      <w:r w:rsidRPr="007D6EB4">
        <w:rPr>
          <w:lang w:val="en-AU"/>
        </w:rPr>
        <w:t xml:space="preserve"> for all </w:t>
      </w:r>
      <w:r w:rsidR="007865F5">
        <w:rPr>
          <w:lang w:val="en-AU"/>
        </w:rPr>
        <w:t>5</w:t>
      </w:r>
      <w:r w:rsidRPr="007D6EB4">
        <w:rPr>
          <w:lang w:val="en-AU"/>
        </w:rPr>
        <w:t xml:space="preserve"> ports</w:t>
      </w:r>
      <w:r w:rsidR="00F8518A" w:rsidRPr="007D6EB4">
        <w:rPr>
          <w:lang w:val="en-AU"/>
        </w:rPr>
        <w:t>,</w:t>
      </w:r>
      <w:r w:rsidR="00387432" w:rsidRPr="007D6EB4">
        <w:rPr>
          <w:lang w:val="en-AU"/>
        </w:rPr>
        <w:t xml:space="preserve"> the data showed</w:t>
      </w:r>
      <w:r w:rsidR="00EF24D9" w:rsidRPr="007D6EB4">
        <w:rPr>
          <w:lang w:val="en-AU"/>
        </w:rPr>
        <w:t xml:space="preserve"> general trends </w:t>
      </w:r>
      <w:r w:rsidR="00F8518A" w:rsidRPr="007D6EB4">
        <w:rPr>
          <w:lang w:val="en-AU"/>
        </w:rPr>
        <w:t xml:space="preserve">in the daily current directions that </w:t>
      </w:r>
      <w:r w:rsidR="003510FE">
        <w:rPr>
          <w:lang w:val="en-AU"/>
        </w:rPr>
        <w:t>were</w:t>
      </w:r>
      <w:r w:rsidR="00EF24D9" w:rsidRPr="007D6EB4">
        <w:rPr>
          <w:lang w:val="en-AU"/>
        </w:rPr>
        <w:t xml:space="preserve"> </w:t>
      </w:r>
      <w:r w:rsidR="00F8518A" w:rsidRPr="007D6EB4">
        <w:rPr>
          <w:lang w:val="en-AU"/>
        </w:rPr>
        <w:t xml:space="preserve">similar </w:t>
      </w:r>
      <w:r w:rsidR="00387432" w:rsidRPr="007D6EB4">
        <w:rPr>
          <w:lang w:val="en-AU"/>
        </w:rPr>
        <w:t>between the neutral (2007) and La Ni</w:t>
      </w:r>
      <w:r w:rsidR="00886446" w:rsidRPr="007D6EB4">
        <w:rPr>
          <w:rFonts w:cs="Arial"/>
          <w:lang w:val="en-AU"/>
        </w:rPr>
        <w:t>ñ</w:t>
      </w:r>
      <w:r w:rsidR="00387432" w:rsidRPr="007D6EB4">
        <w:rPr>
          <w:lang w:val="en-AU"/>
        </w:rPr>
        <w:t>a (2011) years</w:t>
      </w:r>
      <w:r w:rsidR="00F8518A" w:rsidRPr="007D6EB4">
        <w:rPr>
          <w:lang w:val="en-AU"/>
        </w:rPr>
        <w:t xml:space="preserve">, being a net flow towards the west-north-west. However, </w:t>
      </w:r>
      <w:r w:rsidR="00EF24D9" w:rsidRPr="007D6EB4">
        <w:rPr>
          <w:lang w:val="en-AU"/>
        </w:rPr>
        <w:t>stronge</w:t>
      </w:r>
      <w:r w:rsidR="00F8518A" w:rsidRPr="007D6EB4">
        <w:rPr>
          <w:lang w:val="en-AU"/>
        </w:rPr>
        <w:t xml:space="preserve">r </w:t>
      </w:r>
      <w:r w:rsidR="00EF24D9" w:rsidRPr="007D6EB4">
        <w:rPr>
          <w:lang w:val="en-AU"/>
        </w:rPr>
        <w:t xml:space="preserve">currents were </w:t>
      </w:r>
      <w:r w:rsidR="00F8518A" w:rsidRPr="007D6EB4">
        <w:rPr>
          <w:lang w:val="en-AU"/>
        </w:rPr>
        <w:t>hind-casted for</w:t>
      </w:r>
      <w:r w:rsidR="00EF24D9" w:rsidRPr="007D6EB4">
        <w:rPr>
          <w:lang w:val="en-AU"/>
        </w:rPr>
        <w:t xml:space="preserve"> </w:t>
      </w:r>
      <w:r w:rsidR="00387432" w:rsidRPr="007D6EB4">
        <w:rPr>
          <w:lang w:val="en-AU"/>
        </w:rPr>
        <w:t>2011</w:t>
      </w:r>
      <w:r w:rsidR="00EF24D9" w:rsidRPr="007D6EB4">
        <w:rPr>
          <w:lang w:val="en-AU"/>
        </w:rPr>
        <w:t xml:space="preserve">. The weakest and most variable currents were predicted during the </w:t>
      </w:r>
      <w:r w:rsidR="00387432" w:rsidRPr="007D6EB4">
        <w:rPr>
          <w:lang w:val="en-AU"/>
        </w:rPr>
        <w:t>El Ni</w:t>
      </w:r>
      <w:r w:rsidR="00886446" w:rsidRPr="007D6EB4">
        <w:rPr>
          <w:rFonts w:cs="Arial"/>
          <w:lang w:val="en-AU"/>
        </w:rPr>
        <w:t>ñ</w:t>
      </w:r>
      <w:r w:rsidR="00387432" w:rsidRPr="007D6EB4">
        <w:rPr>
          <w:lang w:val="en-AU"/>
        </w:rPr>
        <w:t>o conditions of 2004</w:t>
      </w:r>
      <w:r w:rsidR="00EF24D9" w:rsidRPr="007D6EB4">
        <w:rPr>
          <w:lang w:val="en-AU"/>
        </w:rPr>
        <w:t>.</w:t>
      </w:r>
      <w:r w:rsidR="00387432" w:rsidRPr="007D6EB4">
        <w:rPr>
          <w:lang w:val="en-AU"/>
        </w:rPr>
        <w:t xml:space="preserve"> Based on these findings, 2011 was selected to be the representative year for the study</w:t>
      </w:r>
      <w:r w:rsidR="00F8518A" w:rsidRPr="007D6EB4">
        <w:rPr>
          <w:lang w:val="en-AU"/>
        </w:rPr>
        <w:t xml:space="preserve"> on the basis that </w:t>
      </w:r>
      <w:r w:rsidR="003510FE">
        <w:t>currents during this year</w:t>
      </w:r>
      <w:r w:rsidR="00F8518A" w:rsidRPr="007D6EB4">
        <w:rPr>
          <w:lang w:val="en-AU"/>
        </w:rPr>
        <w:t xml:space="preserve"> would exert the greatest forces.</w:t>
      </w:r>
    </w:p>
    <w:p w:rsidR="00F8518A" w:rsidRPr="007D6EB4" w:rsidRDefault="00F8518A" w:rsidP="00617543">
      <w:pPr>
        <w:spacing w:after="0" w:line="240" w:lineRule="auto"/>
        <w:jc w:val="left"/>
        <w:rPr>
          <w:lang w:val="en-AU"/>
        </w:rPr>
      </w:pPr>
      <w:r w:rsidRPr="007D6EB4">
        <w:rPr>
          <w:lang w:val="en-AU"/>
        </w:rPr>
        <w:br w:type="page"/>
      </w:r>
    </w:p>
    <w:p w:rsidR="0041654C" w:rsidRPr="007D6EB4" w:rsidRDefault="0041654C" w:rsidP="00A6519A">
      <w:pPr>
        <w:spacing w:line="240" w:lineRule="auto"/>
        <w:jc w:val="center"/>
        <w:rPr>
          <w:lang w:val="en-AU"/>
        </w:rPr>
      </w:pPr>
      <w:r w:rsidRPr="006A22FE">
        <w:rPr>
          <w:noProof/>
          <w:bdr w:val="single" w:sz="4" w:space="0" w:color="auto"/>
          <w:lang w:val="en-AU" w:eastAsia="en-AU"/>
        </w:rPr>
        <w:lastRenderedPageBreak/>
        <w:drawing>
          <wp:inline distT="0" distB="0" distL="0" distR="0" wp14:anchorId="7618563B" wp14:editId="1EB112A4">
            <wp:extent cx="4607169" cy="1535723"/>
            <wp:effectExtent l="0" t="0" r="0" b="0"/>
            <wp:docPr id="17" name="Picture 17" descr="To verify the selection of years from Figure 1, current roses for each of the three year-long oceanic current datasets were generated to assess the variability and patterns of the oceanographic drift currents adjacent to the existing material placement sites for five key ports along the Queensland coastline (Ports of Cairns, Townsville, Abbot Point, Hay Point and Gladstone)" title="Figure 2. Comparative surface current roses for three years adjacent to (from top to bottom) Port of Gladstone, Port of Hay Point, Port of Abbot Point, Port of Townsville and Port of Cairns. The roses cover El Niño (2004), La Niña (2011) and neutral (2007) conditions and are for locations adjacent to the existing material placement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Q:\Projects\Q0110 GBRMPA-SKM QLD disposal site selection\8. Figures\Current_Rose_2004_2007_2011\East Bank HYCOM Current Rose for 2004 2007 and 2011.tif"/>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609046" cy="1536349"/>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0A24E523" wp14:editId="44773519">
            <wp:extent cx="4607169" cy="1535723"/>
            <wp:effectExtent l="0" t="0" r="0" b="0"/>
            <wp:docPr id="13" name="Picture 13" descr="To verify the selection of years from Figure 1, current roses for each of the three year-long oceanic current datasets were generated to assess the variability and patterns of the oceanographic drift currents adjacent to the existing material placement sites for five key ports along the Queensland coastline (Ports of Cairns, Townsville, Abbot Point, Hay Point and Gladstone)" title="Figure 2. Comparative surface current roses for three years adjacent to (from top to bottom) Port of Gladstone, Port of Hay Point, Port of Abbot Point, Port of Townsville and Port of Cairns. The roses cover El Niño (2004), La Niña (2011) and neutral (2007) conditions and are for locations adjacent to the existing material placement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Projects\Q0110 GBRMPA-SKM QLD disposal site selection\8. Figures\Current_Rose_2004_2007_2011\Hay Point HYCOM Current Rose for 2004 2007 and 2011.tif"/>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617131" cy="1539044"/>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2C3CE191" wp14:editId="36A63737">
            <wp:extent cx="4607169" cy="1535722"/>
            <wp:effectExtent l="0" t="0" r="0" b="0"/>
            <wp:docPr id="14" name="Picture 14" descr="To verify the selection of years from Figure 1, current roses for each of the three year-long oceanic current datasets were generated to assess the variability and patterns of the oceanographic drift currents adjacent to the existing material placement sites for five key ports along the Queensland coastline (Ports of Cairns, Townsville, Abbot Point, Hay Point and Gladstone)" title="Figure 2. Comparative surface current roses for three years adjacent to (from top to bottom) Port of Gladstone, Port of Hay Point, Port of Abbot Point, Port of Townsville and Port of Cairns. The roses cover El Niño (2004), La Niña (2011) and neutral (2007) conditions and are for locations adjacent to the existing material placement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Projects\Q0110 GBRMPA-SKM QLD disposal site selection\8. Figures\Current_Rose_2004_2007_2011\Abbot Point HYCOM Current Rose for 2004 2007 and 2011.tif"/>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617975" cy="1539324"/>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21A11405" wp14:editId="3B89D1E4">
            <wp:extent cx="4607169" cy="1535723"/>
            <wp:effectExtent l="0" t="0" r="0" b="0"/>
            <wp:docPr id="15" name="Picture 15" descr="To verify the selection of years from Figure 1, current roses for each of the three year-long oceanic current datasets were generated to assess the variability and patterns of the oceanographic drift currents adjacent to the existing material placement sites for five key ports along the Queensland coastline (Ports of Cairns, Townsville, Abbot Point, Hay Point and Gladstone)" title="Figure 2. Comparative surface current roses for three years adjacent to (from top to bottom) Port of Gladstone, Port of Hay Point, Port of Abbot Point, Port of Townsville and Port of Cairns. The roses cover El Niño (2004), La Niña (2011) and neutral (2007) conditions and are for locations adjacent to the existing material placement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Projects\Q0110 GBRMPA-SKM QLD disposal site selection\8. Figures\Current_Rose_2004_2007_2011\Townsville HYCOM Current Rose for 2004 2007 and 2011.tif"/>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609046" cy="1536349"/>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3145FC02" wp14:editId="64E1ACF2">
            <wp:extent cx="4598377" cy="1532791"/>
            <wp:effectExtent l="0" t="0" r="0" b="0"/>
            <wp:docPr id="16" name="Picture 16" descr="To verify the selection of years from Figure 1, current roses for each of the three year-long oceanic current datasets were generated to assess the variability and patterns of the oceanographic drift currents adjacent to the existing material placement sites for five key ports along the Queensland coastline (Ports of Cairns, Townsville, Abbot Point, Hay Point and Gladstone)" title="Figure 2. Comparative surface current roses for three years adjacent to (from top to bottom) Port of Gladstone, Port of Hay Point, Port of Abbot Point, Port of Townsville and Port of Cairns. The roses cover El Niño (2004), La Niña (2011) and neutral (2007) conditions and are for locations adjacent to the existing material placement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Projects\Q0110 GBRMPA-SKM QLD disposal site selection\8. Figures\Current_Rose_2004_2007_2011\Cairns HYCOM Current Rose for 2004 2007 and 2011.tif"/>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626540" cy="1542179"/>
                    </a:xfrm>
                    <a:prstGeom prst="rect">
                      <a:avLst/>
                    </a:prstGeom>
                    <a:noFill/>
                    <a:ln>
                      <a:noFill/>
                    </a:ln>
                  </pic:spPr>
                </pic:pic>
              </a:graphicData>
            </a:graphic>
          </wp:inline>
        </w:drawing>
      </w:r>
    </w:p>
    <w:p w:rsidR="00F8518A" w:rsidRPr="007D6EB4" w:rsidRDefault="00387432" w:rsidP="00EC0510">
      <w:pPr>
        <w:pStyle w:val="Caption"/>
        <w:spacing w:line="240" w:lineRule="auto"/>
        <w:ind w:left="480" w:hanging="480"/>
        <w:jc w:val="left"/>
        <w:rPr>
          <w:lang w:val="en-AU"/>
        </w:rPr>
      </w:pPr>
      <w:bookmarkStart w:id="17" w:name="_Ref338341645"/>
      <w:bookmarkStart w:id="18" w:name="_Toc338242158"/>
      <w:bookmarkStart w:id="19" w:name="_Toc361651485"/>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2</w:t>
      </w:r>
      <w:r w:rsidR="005F6FF5" w:rsidRPr="007D6EB4">
        <w:rPr>
          <w:b/>
          <w:lang w:val="en-AU"/>
        </w:rPr>
        <w:fldChar w:fldCharType="end"/>
      </w:r>
      <w:bookmarkEnd w:id="17"/>
      <w:r w:rsidR="00E5277F">
        <w:rPr>
          <w:b/>
          <w:lang w:val="en-AU"/>
        </w:rPr>
        <w:t>.</w:t>
      </w:r>
      <w:r w:rsidRPr="007D6EB4">
        <w:rPr>
          <w:lang w:val="en-AU"/>
        </w:rPr>
        <w:t xml:space="preserve"> Comparative surface current roses for three years adjacent to </w:t>
      </w:r>
      <w:r w:rsidR="002B7282" w:rsidRPr="007D6EB4">
        <w:rPr>
          <w:lang w:val="en-AU"/>
        </w:rPr>
        <w:t>(from top to bottom)</w:t>
      </w:r>
      <w:r w:rsidR="00906D79">
        <w:rPr>
          <w:lang w:val="en-AU"/>
        </w:rPr>
        <w:t xml:space="preserve"> </w:t>
      </w:r>
      <w:r w:rsidR="003F0E19">
        <w:rPr>
          <w:lang w:val="en-AU"/>
        </w:rPr>
        <w:t>Port of Gladstone</w:t>
      </w:r>
      <w:r w:rsidR="002B7282" w:rsidRPr="007D6EB4">
        <w:rPr>
          <w:lang w:val="en-AU"/>
        </w:rPr>
        <w:t>, Port of Hay Point, Port of</w:t>
      </w:r>
      <w:r w:rsidR="0041654C">
        <w:rPr>
          <w:lang w:val="en-AU"/>
        </w:rPr>
        <w:t xml:space="preserve"> Abbot Point, Port of Townsville and </w:t>
      </w:r>
      <w:r w:rsidRPr="007D6EB4">
        <w:rPr>
          <w:lang w:val="en-AU"/>
        </w:rPr>
        <w:t>Port of Cairns</w:t>
      </w:r>
      <w:r w:rsidR="00307B61">
        <w:rPr>
          <w:lang w:val="en-AU"/>
        </w:rPr>
        <w:t>.</w:t>
      </w:r>
      <w:r w:rsidR="002B7282" w:rsidRPr="007D6EB4">
        <w:rPr>
          <w:lang w:val="en-AU"/>
        </w:rPr>
        <w:t xml:space="preserve"> </w:t>
      </w:r>
      <w:r w:rsidRPr="007D6EB4">
        <w:rPr>
          <w:lang w:val="en-AU"/>
        </w:rPr>
        <w:t>The roses cover El Ni</w:t>
      </w:r>
      <w:r w:rsidR="00886446" w:rsidRPr="007D6EB4">
        <w:rPr>
          <w:rFonts w:cs="Arial"/>
          <w:lang w:val="en-AU"/>
        </w:rPr>
        <w:t>ñ</w:t>
      </w:r>
      <w:r w:rsidRPr="007D6EB4">
        <w:rPr>
          <w:lang w:val="en-AU"/>
        </w:rPr>
        <w:t>o (2004), La Ni</w:t>
      </w:r>
      <w:r w:rsidR="00886446" w:rsidRPr="007D6EB4">
        <w:rPr>
          <w:rFonts w:cs="Arial"/>
          <w:lang w:val="en-AU"/>
        </w:rPr>
        <w:t>ñ</w:t>
      </w:r>
      <w:r w:rsidRPr="007D6EB4">
        <w:rPr>
          <w:lang w:val="en-AU"/>
        </w:rPr>
        <w:t>a (2011) and neutral (2007) conditions</w:t>
      </w:r>
      <w:bookmarkEnd w:id="18"/>
      <w:r w:rsidR="002B7282" w:rsidRPr="007D6EB4">
        <w:rPr>
          <w:lang w:val="en-AU"/>
        </w:rPr>
        <w:t xml:space="preserve"> and are for locations </w:t>
      </w:r>
      <w:r w:rsidR="0041654C">
        <w:rPr>
          <w:lang w:val="en-AU"/>
        </w:rPr>
        <w:t>adjacent to the existing material placement sites</w:t>
      </w:r>
      <w:r w:rsidR="002B7282" w:rsidRPr="007D6EB4">
        <w:rPr>
          <w:lang w:val="en-AU"/>
        </w:rPr>
        <w:t>.</w:t>
      </w:r>
      <w:bookmarkEnd w:id="19"/>
    </w:p>
    <w:p w:rsidR="0057592E" w:rsidRPr="007D6EB4" w:rsidRDefault="0057592E" w:rsidP="00E46224">
      <w:pPr>
        <w:pStyle w:val="Heading3"/>
      </w:pPr>
      <w:bookmarkStart w:id="20" w:name="_Ref340234880"/>
      <w:bookmarkStart w:id="21" w:name="_Toc361929982"/>
      <w:r w:rsidRPr="007D6EB4">
        <w:lastRenderedPageBreak/>
        <w:t>Coastal currents</w:t>
      </w:r>
      <w:bookmarkEnd w:id="20"/>
      <w:bookmarkEnd w:id="21"/>
    </w:p>
    <w:p w:rsidR="00B8358F" w:rsidRPr="007D6EB4" w:rsidRDefault="00EA4FBF" w:rsidP="00EC0510">
      <w:pPr>
        <w:pStyle w:val="StyleLeft"/>
        <w:rPr>
          <w:lang w:val="en-AU"/>
        </w:rPr>
      </w:pPr>
      <w:r>
        <w:rPr>
          <w:lang w:val="en-AU"/>
        </w:rPr>
        <w:t xml:space="preserve">The tide and wind-driven currents </w:t>
      </w:r>
      <w:r w:rsidR="00427BDB" w:rsidRPr="007D6EB4">
        <w:rPr>
          <w:lang w:val="en-AU"/>
        </w:rPr>
        <w:t xml:space="preserve">over the coastal bathymetry </w:t>
      </w:r>
      <w:r w:rsidR="0057592E" w:rsidRPr="007D6EB4">
        <w:rPr>
          <w:lang w:val="en-AU"/>
        </w:rPr>
        <w:t xml:space="preserve">has been resolved by applying </w:t>
      </w:r>
      <w:r w:rsidR="00886446" w:rsidRPr="007D6EB4">
        <w:rPr>
          <w:lang w:val="en-AU"/>
        </w:rPr>
        <w:t xml:space="preserve">a three-dimensional barotropic ocean model, </w:t>
      </w:r>
      <w:r w:rsidR="0057592E" w:rsidRPr="007D6EB4">
        <w:rPr>
          <w:lang w:val="en-AU"/>
        </w:rPr>
        <w:t xml:space="preserve">HYDROMAP. </w:t>
      </w:r>
      <w:r w:rsidR="00B8358F" w:rsidRPr="007D6EB4">
        <w:rPr>
          <w:lang w:val="en-AU"/>
        </w:rPr>
        <w:t xml:space="preserve">The hydrodynamic model, as described </w:t>
      </w:r>
      <w:r w:rsidR="00886446" w:rsidRPr="007D6EB4">
        <w:rPr>
          <w:lang w:val="en-AU"/>
        </w:rPr>
        <w:t>by</w:t>
      </w:r>
      <w:r w:rsidR="00B8358F" w:rsidRPr="007D6EB4">
        <w:rPr>
          <w:lang w:val="en-AU"/>
        </w:rPr>
        <w:t xml:space="preserve"> Isaji </w:t>
      </w:r>
      <w:r w:rsidR="00DE74C2">
        <w:rPr>
          <w:lang w:val="en-AU"/>
        </w:rPr>
        <w:t>&amp;</w:t>
      </w:r>
      <w:r w:rsidR="00B8358F" w:rsidRPr="007D6EB4">
        <w:rPr>
          <w:lang w:val="en-AU"/>
        </w:rPr>
        <w:t xml:space="preserve"> Spaulding (1984</w:t>
      </w:r>
      <w:r w:rsidR="00427BDB" w:rsidRPr="007D6EB4">
        <w:rPr>
          <w:lang w:val="en-AU"/>
        </w:rPr>
        <w:t xml:space="preserve">) is a three-dimensional model that </w:t>
      </w:r>
      <w:r w:rsidR="00B8358F" w:rsidRPr="007D6EB4">
        <w:rPr>
          <w:lang w:val="en-AU"/>
        </w:rPr>
        <w:t xml:space="preserve">uses continuous profiles to represent the velocity, temperature, </w:t>
      </w:r>
      <w:r w:rsidR="007E08CA" w:rsidRPr="007D6EB4">
        <w:rPr>
          <w:lang w:val="en-AU"/>
        </w:rPr>
        <w:t>and salinity in the vertical</w:t>
      </w:r>
      <w:r w:rsidR="003510FE">
        <w:rPr>
          <w:lang w:val="en-AU"/>
        </w:rPr>
        <w:t xml:space="preserve"> structure</w:t>
      </w:r>
      <w:r w:rsidR="007E08CA" w:rsidRPr="007D6EB4">
        <w:rPr>
          <w:lang w:val="en-AU"/>
        </w:rPr>
        <w:t xml:space="preserve">. </w:t>
      </w:r>
      <w:r w:rsidR="00B8358F" w:rsidRPr="007D6EB4">
        <w:rPr>
          <w:lang w:val="en-AU"/>
        </w:rPr>
        <w:t>The basis of the model is formed by the three-dimensional conservation equations in spherical</w:t>
      </w:r>
      <w:r w:rsidR="00B8358F" w:rsidRPr="007D6EB4">
        <w:rPr>
          <w:rFonts w:ascii="Times New Roman" w:hAnsi="Times New Roman"/>
          <w:sz w:val="24"/>
          <w:szCs w:val="24"/>
          <w:lang w:val="en-AU"/>
        </w:rPr>
        <w:t xml:space="preserve"> </w:t>
      </w:r>
      <w:r w:rsidR="00B8358F" w:rsidRPr="007D6EB4">
        <w:rPr>
          <w:lang w:val="en-AU"/>
        </w:rPr>
        <w:t>coordinates for water mass, density, and momentum with the Boussinesq and hydrostatic assumptions.</w:t>
      </w:r>
    </w:p>
    <w:p w:rsidR="00EA4FBF" w:rsidRPr="00B61445" w:rsidRDefault="00B8358F" w:rsidP="001B1AFE">
      <w:pPr>
        <w:pStyle w:val="Para0"/>
        <w:rPr>
          <w:szCs w:val="22"/>
        </w:rPr>
      </w:pPr>
      <w:r w:rsidRPr="00B61445">
        <w:rPr>
          <w:lang w:val="en-AU"/>
        </w:rPr>
        <w:t>HYDROMAP simulates the flow of ocean currents within a model region due to forcing by astronomical tides, wind stress and bottom friction. The model employs a sophis</w:t>
      </w:r>
      <w:r w:rsidRPr="00B072EE">
        <w:rPr>
          <w:lang w:val="en-AU"/>
        </w:rPr>
        <w:t>ticated nested-gridding</w:t>
      </w:r>
      <w:r w:rsidRPr="00E57434">
        <w:rPr>
          <w:lang w:val="en-AU"/>
        </w:rPr>
        <w:t xml:space="preserve"> strategy, supporting up to six levels of spatial resolution. This unique feature allowed for currents to be generated at a much higher resolution within 50 km from each of the 12 ports</w:t>
      </w:r>
      <w:r w:rsidR="002C30D0" w:rsidRPr="0041654C">
        <w:rPr>
          <w:lang w:val="en-AU"/>
        </w:rPr>
        <w:t xml:space="preserve"> (~700 m spacing)</w:t>
      </w:r>
      <w:r w:rsidRPr="0041654C">
        <w:rPr>
          <w:lang w:val="en-AU"/>
        </w:rPr>
        <w:t>, necessary to resolve nearby reefs, complex passages through the islands and coastal flows</w:t>
      </w:r>
      <w:r w:rsidR="00B16E7E" w:rsidRPr="00FB1100">
        <w:rPr>
          <w:lang w:val="en-AU"/>
        </w:rPr>
        <w:t xml:space="preserve"> while allo</w:t>
      </w:r>
      <w:r w:rsidR="00B16E7E" w:rsidRPr="00565986">
        <w:rPr>
          <w:lang w:val="en-AU"/>
        </w:rPr>
        <w:t>wing for a larger domain that extended further seaward to capture the influence of wider forces using</w:t>
      </w:r>
      <w:r w:rsidR="002C30D0" w:rsidRPr="00565986">
        <w:rPr>
          <w:lang w:val="en-AU"/>
        </w:rPr>
        <w:t xml:space="preserve"> cells </w:t>
      </w:r>
      <w:r w:rsidR="00B16E7E" w:rsidRPr="00565986">
        <w:rPr>
          <w:lang w:val="en-AU"/>
        </w:rPr>
        <w:t xml:space="preserve">that </w:t>
      </w:r>
      <w:r w:rsidR="007E08CA" w:rsidRPr="00805DE7">
        <w:rPr>
          <w:lang w:val="en-AU"/>
        </w:rPr>
        <w:t>we</w:t>
      </w:r>
      <w:r w:rsidR="002C30D0" w:rsidRPr="00805DE7">
        <w:rPr>
          <w:lang w:val="en-AU"/>
        </w:rPr>
        <w:t>re much larger (</w:t>
      </w:r>
      <w:r w:rsidR="00B16E7E" w:rsidRPr="008B480F">
        <w:rPr>
          <w:lang w:val="en-AU"/>
        </w:rPr>
        <w:t xml:space="preserve">space increasing to </w:t>
      </w:r>
      <w:r w:rsidR="002C30D0" w:rsidRPr="00077D9C">
        <w:rPr>
          <w:lang w:val="en-AU"/>
        </w:rPr>
        <w:t xml:space="preserve">~11 km). The variable grid resolution allows for a balance between </w:t>
      </w:r>
      <w:r w:rsidR="00B16E7E" w:rsidRPr="00B84F3C">
        <w:rPr>
          <w:lang w:val="en-AU"/>
        </w:rPr>
        <w:t xml:space="preserve">the requirement to include </w:t>
      </w:r>
      <w:r w:rsidR="002C30D0" w:rsidRPr="00B84F3C">
        <w:rPr>
          <w:lang w:val="en-AU"/>
        </w:rPr>
        <w:t xml:space="preserve">important bathymetric </w:t>
      </w:r>
      <w:r w:rsidR="00B16E7E" w:rsidRPr="00B61445">
        <w:rPr>
          <w:lang w:val="en-AU"/>
        </w:rPr>
        <w:t xml:space="preserve">influences </w:t>
      </w:r>
      <w:r w:rsidR="002C30D0" w:rsidRPr="00B61445">
        <w:rPr>
          <w:lang w:val="en-AU"/>
        </w:rPr>
        <w:t xml:space="preserve">and ensuring efficient computational time. </w:t>
      </w:r>
      <w:r w:rsidR="00EA4FBF" w:rsidRPr="00C84E9F">
        <w:rPr>
          <w:lang w:val="en-AU"/>
        </w:rPr>
        <w:t xml:space="preserve">It is important to note that the datasets created and used in this study </w:t>
      </w:r>
      <w:r w:rsidR="00B61445" w:rsidRPr="00C84E9F">
        <w:rPr>
          <w:lang w:val="en-AU"/>
        </w:rPr>
        <w:t>could not be to the standard of a detailed Environmental Impact Assessment as the focus was</w:t>
      </w:r>
      <w:r w:rsidR="00EA4FBF" w:rsidRPr="00C84E9F">
        <w:rPr>
          <w:lang w:val="en-AU"/>
        </w:rPr>
        <w:t xml:space="preserve"> on the navigable waters of the </w:t>
      </w:r>
      <w:r w:rsidR="0046551B" w:rsidRPr="00C84E9F">
        <w:rPr>
          <w:lang w:val="en-AU"/>
        </w:rPr>
        <w:t xml:space="preserve">GBR </w:t>
      </w:r>
      <w:r w:rsidR="00EA4FBF" w:rsidRPr="00C84E9F">
        <w:rPr>
          <w:lang w:val="en-AU"/>
        </w:rPr>
        <w:t>including inshore waters and within Port limits</w:t>
      </w:r>
      <w:r w:rsidR="004F566A">
        <w:rPr>
          <w:lang w:val="en-AU"/>
        </w:rPr>
        <w:t xml:space="preserve">. </w:t>
      </w:r>
      <w:r w:rsidR="00EA4FBF" w:rsidRPr="00C84E9F">
        <w:rPr>
          <w:lang w:val="en-AU"/>
        </w:rPr>
        <w:t xml:space="preserve">The resolution of the datasets </w:t>
      </w:r>
      <w:r w:rsidR="00B61445" w:rsidRPr="00C84E9F">
        <w:rPr>
          <w:lang w:val="en-AU"/>
        </w:rPr>
        <w:t xml:space="preserve">(700 m) </w:t>
      </w:r>
      <w:r w:rsidR="00EA4FBF" w:rsidRPr="00C84E9F">
        <w:rPr>
          <w:lang w:val="en-AU"/>
        </w:rPr>
        <w:t xml:space="preserve">for quantifying the </w:t>
      </w:r>
      <w:r w:rsidR="00B61445" w:rsidRPr="00C84E9F">
        <w:rPr>
          <w:lang w:val="en-AU"/>
        </w:rPr>
        <w:t xml:space="preserve">bed </w:t>
      </w:r>
      <w:r w:rsidR="003510FE">
        <w:rPr>
          <w:lang w:val="en-AU"/>
        </w:rPr>
        <w:t>shear-stress</w:t>
      </w:r>
      <w:r w:rsidR="00B61445" w:rsidRPr="00C84E9F">
        <w:rPr>
          <w:lang w:val="en-AU"/>
        </w:rPr>
        <w:t>es</w:t>
      </w:r>
      <w:r w:rsidR="00EA4FBF" w:rsidRPr="00C84E9F">
        <w:rPr>
          <w:lang w:val="en-AU"/>
        </w:rPr>
        <w:t xml:space="preserve"> over this</w:t>
      </w:r>
      <w:r w:rsidR="00EA4FBF" w:rsidRPr="00B61445">
        <w:rPr>
          <w:szCs w:val="22"/>
        </w:rPr>
        <w:t xml:space="preserve"> vast and complex region is simil</w:t>
      </w:r>
      <w:r w:rsidR="00C84E9F">
        <w:rPr>
          <w:szCs w:val="22"/>
        </w:rPr>
        <w:t>ar to or better than other peer-</w:t>
      </w:r>
      <w:r w:rsidR="00EA4FBF" w:rsidRPr="00B61445">
        <w:rPr>
          <w:szCs w:val="22"/>
        </w:rPr>
        <w:t>reviewed models of the regio</w:t>
      </w:r>
      <w:r w:rsidR="00C84E9F">
        <w:rPr>
          <w:szCs w:val="22"/>
        </w:rPr>
        <w:t>n</w:t>
      </w:r>
      <w:r w:rsidR="004F566A">
        <w:rPr>
          <w:szCs w:val="22"/>
        </w:rPr>
        <w:t xml:space="preserve">. </w:t>
      </w:r>
      <w:r w:rsidR="00C84E9F">
        <w:rPr>
          <w:szCs w:val="22"/>
        </w:rPr>
        <w:t xml:space="preserve">For example, modelling </w:t>
      </w:r>
      <w:r w:rsidR="00DE74C2">
        <w:rPr>
          <w:szCs w:val="22"/>
        </w:rPr>
        <w:t>by</w:t>
      </w:r>
      <w:r w:rsidR="00C84E9F">
        <w:rPr>
          <w:szCs w:val="22"/>
        </w:rPr>
        <w:t xml:space="preserve"> Andutta et al.</w:t>
      </w:r>
      <w:r w:rsidR="00EA4FBF" w:rsidRPr="00B61445">
        <w:rPr>
          <w:szCs w:val="22"/>
        </w:rPr>
        <w:t xml:space="preserve"> </w:t>
      </w:r>
      <w:r w:rsidR="00C84E9F">
        <w:rPr>
          <w:szCs w:val="22"/>
        </w:rPr>
        <w:t>(</w:t>
      </w:r>
      <w:r w:rsidR="00EA4FBF" w:rsidRPr="00B61445">
        <w:rPr>
          <w:szCs w:val="22"/>
        </w:rPr>
        <w:t>2011</w:t>
      </w:r>
      <w:r w:rsidR="00C84E9F">
        <w:rPr>
          <w:szCs w:val="22"/>
        </w:rPr>
        <w:t>)</w:t>
      </w:r>
      <w:r w:rsidR="00EA4FBF" w:rsidRPr="00B61445">
        <w:rPr>
          <w:szCs w:val="22"/>
        </w:rPr>
        <w:t xml:space="preserve"> presented variable resolution from 300</w:t>
      </w:r>
      <w:r w:rsidR="005267C9">
        <w:rPr>
          <w:szCs w:val="22"/>
        </w:rPr>
        <w:t xml:space="preserve"> </w:t>
      </w:r>
      <w:r w:rsidR="00EA4FBF" w:rsidRPr="00B61445">
        <w:rPr>
          <w:szCs w:val="22"/>
        </w:rPr>
        <w:t xml:space="preserve">m to several </w:t>
      </w:r>
      <w:r w:rsidR="00C84E9F" w:rsidRPr="00B61445">
        <w:rPr>
          <w:szCs w:val="22"/>
        </w:rPr>
        <w:t>kilometres</w:t>
      </w:r>
      <w:r w:rsidR="00EA4FBF" w:rsidRPr="00B61445">
        <w:rPr>
          <w:szCs w:val="22"/>
        </w:rPr>
        <w:t xml:space="preserve"> in size</w:t>
      </w:r>
      <w:r w:rsidR="004F566A">
        <w:rPr>
          <w:szCs w:val="22"/>
        </w:rPr>
        <w:t xml:space="preserve">. </w:t>
      </w:r>
      <w:r w:rsidR="00EA4FBF" w:rsidRPr="00B61445">
        <w:rPr>
          <w:szCs w:val="22"/>
        </w:rPr>
        <w:t xml:space="preserve">Luick et al (2007) and King </w:t>
      </w:r>
      <w:r w:rsidR="00DE74C2">
        <w:rPr>
          <w:szCs w:val="22"/>
        </w:rPr>
        <w:t>&amp;</w:t>
      </w:r>
      <w:r w:rsidR="00EA4FBF" w:rsidRPr="00B61445">
        <w:rPr>
          <w:szCs w:val="22"/>
        </w:rPr>
        <w:t xml:space="preserve"> Wolanski (1992, 1996) demonstrated that grid dimensions of 2</w:t>
      </w:r>
      <w:r w:rsidR="009B2E78">
        <w:rPr>
          <w:szCs w:val="22"/>
        </w:rPr>
        <w:t xml:space="preserve"> </w:t>
      </w:r>
      <w:r w:rsidR="00EA4FBF" w:rsidRPr="00B61445">
        <w:rPr>
          <w:szCs w:val="22"/>
        </w:rPr>
        <w:t xml:space="preserve">km or less </w:t>
      </w:r>
      <w:r w:rsidR="00C84E9F">
        <w:rPr>
          <w:szCs w:val="22"/>
        </w:rPr>
        <w:t>were</w:t>
      </w:r>
      <w:r w:rsidR="00EA4FBF" w:rsidRPr="00B61445">
        <w:rPr>
          <w:szCs w:val="22"/>
        </w:rPr>
        <w:t xml:space="preserve"> sufficient to resolve shelf scale features within the Central Section of the Great Barrier Reef</w:t>
      </w:r>
      <w:r w:rsidR="004F566A">
        <w:rPr>
          <w:szCs w:val="22"/>
        </w:rPr>
        <w:t xml:space="preserve">. </w:t>
      </w:r>
      <w:r w:rsidR="009B2E78" w:rsidRPr="00C84E9F">
        <w:rPr>
          <w:szCs w:val="22"/>
        </w:rPr>
        <w:t xml:space="preserve">The modelled dataset created for the GBR and inshore waters as part of this study covered a one year period and hence would be a suitable dataset for boundary </w:t>
      </w:r>
      <w:r w:rsidR="003510FE">
        <w:rPr>
          <w:szCs w:val="22"/>
        </w:rPr>
        <w:t xml:space="preserve">forcing </w:t>
      </w:r>
      <w:r w:rsidR="009B2E78" w:rsidRPr="00C84E9F">
        <w:rPr>
          <w:szCs w:val="22"/>
        </w:rPr>
        <w:t>conditions of any detailed high resolution model as per GBRMPA Hydrodynamic Modelling Guidelines (2012).</w:t>
      </w:r>
    </w:p>
    <w:p w:rsidR="002C30D0" w:rsidRPr="007D6EB4" w:rsidRDefault="00B61445" w:rsidP="001B1AFE">
      <w:pPr>
        <w:pStyle w:val="Para0"/>
        <w:rPr>
          <w:lang w:val="en-AU"/>
        </w:rPr>
      </w:pPr>
      <w:r>
        <w:rPr>
          <w:lang w:val="en-AU"/>
        </w:rPr>
        <w:t xml:space="preserve">The </w:t>
      </w:r>
      <w:r w:rsidR="00DF7718">
        <w:rPr>
          <w:lang w:val="en-AU"/>
        </w:rPr>
        <w:t xml:space="preserve">model </w:t>
      </w:r>
      <w:r w:rsidR="00B16E7E" w:rsidRPr="007D6EB4">
        <w:rPr>
          <w:lang w:val="en-AU"/>
        </w:rPr>
        <w:t>bathymetr</w:t>
      </w:r>
      <w:r w:rsidR="00DF7718">
        <w:rPr>
          <w:lang w:val="en-AU"/>
        </w:rPr>
        <w:t>y</w:t>
      </w:r>
      <w:r w:rsidR="00B16E7E" w:rsidRPr="007D6EB4">
        <w:rPr>
          <w:lang w:val="en-AU"/>
        </w:rPr>
        <w:t xml:space="preserve"> </w:t>
      </w:r>
      <w:r w:rsidR="00DF7718">
        <w:rPr>
          <w:lang w:val="en-AU"/>
        </w:rPr>
        <w:t xml:space="preserve">was a compilation of the </w:t>
      </w:r>
      <w:r w:rsidR="002C30D0" w:rsidRPr="007D6EB4">
        <w:rPr>
          <w:lang w:val="en-AU"/>
        </w:rPr>
        <w:t xml:space="preserve">latest hydrographic charts and </w:t>
      </w:r>
      <w:r w:rsidR="00525868" w:rsidRPr="007D6EB4">
        <w:rPr>
          <w:lang w:val="en-AU"/>
        </w:rPr>
        <w:t xml:space="preserve">digital elevation data </w:t>
      </w:r>
      <w:r w:rsidR="00B16E7E" w:rsidRPr="007D6EB4">
        <w:rPr>
          <w:lang w:val="en-AU"/>
        </w:rPr>
        <w:t>(</w:t>
      </w:r>
      <w:r w:rsidR="009715DB" w:rsidRPr="007D6EB4">
        <w:rPr>
          <w:lang w:val="en-AU"/>
        </w:rPr>
        <w:t>source</w:t>
      </w:r>
      <w:r w:rsidR="00966ED9" w:rsidRPr="007D6EB4">
        <w:rPr>
          <w:lang w:val="en-AU"/>
        </w:rPr>
        <w:t>d from</w:t>
      </w:r>
      <w:r w:rsidR="00B16E7E" w:rsidRPr="007D6EB4">
        <w:rPr>
          <w:lang w:val="en-AU"/>
        </w:rPr>
        <w:t xml:space="preserve"> Geoscience Australia)</w:t>
      </w:r>
      <w:r w:rsidR="00525868" w:rsidRPr="007D6EB4">
        <w:rPr>
          <w:lang w:val="en-AU"/>
        </w:rPr>
        <w:t>.</w:t>
      </w:r>
    </w:p>
    <w:p w:rsidR="00582E7E" w:rsidRPr="007D6EB4" w:rsidRDefault="00B8358F" w:rsidP="00EC0510">
      <w:pPr>
        <w:pStyle w:val="StyleLeft"/>
        <w:rPr>
          <w:lang w:val="en-AU"/>
        </w:rPr>
      </w:pPr>
      <w:r w:rsidRPr="007D6EB4">
        <w:rPr>
          <w:lang w:val="en-AU"/>
        </w:rPr>
        <w:t>Due to the va</w:t>
      </w:r>
      <w:r w:rsidR="00B2501B" w:rsidRPr="007D6EB4">
        <w:rPr>
          <w:lang w:val="en-AU"/>
        </w:rPr>
        <w:t>st extent of the study region (</w:t>
      </w:r>
      <w:r w:rsidR="002C4A81">
        <w:rPr>
          <w:lang w:val="en-AU"/>
        </w:rPr>
        <w:t>approximately 15</w:t>
      </w:r>
      <w:r w:rsidR="00B2501B" w:rsidRPr="007D6EB4">
        <w:rPr>
          <w:lang w:val="en-AU"/>
        </w:rPr>
        <w:t xml:space="preserve">00 </w:t>
      </w:r>
      <w:r w:rsidRPr="007D6EB4">
        <w:rPr>
          <w:lang w:val="en-AU"/>
        </w:rPr>
        <w:t>km</w:t>
      </w:r>
      <w:r w:rsidR="00582E7E" w:rsidRPr="007D6EB4">
        <w:rPr>
          <w:lang w:val="en-AU"/>
        </w:rPr>
        <w:t xml:space="preserve"> north to south</w:t>
      </w:r>
      <w:r w:rsidRPr="007D6EB4">
        <w:rPr>
          <w:lang w:val="en-AU"/>
        </w:rPr>
        <w:t xml:space="preserve">), three separate </w:t>
      </w:r>
      <w:r w:rsidR="002C30D0" w:rsidRPr="007D6EB4">
        <w:rPr>
          <w:lang w:val="en-AU"/>
        </w:rPr>
        <w:t xml:space="preserve">overlapping </w:t>
      </w:r>
      <w:r w:rsidRPr="007D6EB4">
        <w:rPr>
          <w:lang w:val="en-AU"/>
        </w:rPr>
        <w:t>grid</w:t>
      </w:r>
      <w:r w:rsidR="00C16F64" w:rsidRPr="007D6EB4">
        <w:rPr>
          <w:lang w:val="en-AU"/>
        </w:rPr>
        <w:t>s</w:t>
      </w:r>
      <w:r w:rsidRPr="007D6EB4">
        <w:rPr>
          <w:lang w:val="en-AU"/>
        </w:rPr>
        <w:t xml:space="preserve"> were generated </w:t>
      </w:r>
      <w:r w:rsidR="00C16F64" w:rsidRPr="007D6EB4">
        <w:rPr>
          <w:lang w:val="en-AU"/>
        </w:rPr>
        <w:t xml:space="preserve">for </w:t>
      </w:r>
      <w:r w:rsidR="00582E7E" w:rsidRPr="007D6EB4">
        <w:rPr>
          <w:lang w:val="en-AU"/>
        </w:rPr>
        <w:t>the southern, central and northern GBR regions.</w:t>
      </w:r>
      <w:r w:rsidRPr="007D6EB4">
        <w:rPr>
          <w:lang w:val="en-AU"/>
        </w:rPr>
        <w:t xml:space="preserve"> </w:t>
      </w:r>
      <w:r w:rsidR="00C77A72" w:rsidRPr="007D6EB4">
        <w:rPr>
          <w:lang w:val="en-AU"/>
        </w:rPr>
        <w:t>Consequently, the grids are referred to as southern, central and northern GBR.</w:t>
      </w:r>
    </w:p>
    <w:p w:rsidR="0057592E" w:rsidRPr="007D6EB4" w:rsidRDefault="00693B03" w:rsidP="00EC0510">
      <w:pPr>
        <w:pStyle w:val="StyleLeft"/>
        <w:rPr>
          <w:lang w:val="en-AU"/>
        </w:rPr>
      </w:pPr>
      <w:r>
        <w:fldChar w:fldCharType="begin"/>
      </w:r>
      <w:r>
        <w:instrText xml:space="preserve"> REF _Ref338343236 \h  \* MERGEFORMAT </w:instrText>
      </w:r>
      <w:r>
        <w:fldChar w:fldCharType="separate"/>
      </w:r>
      <w:r w:rsidR="00751BC4" w:rsidRPr="00751BC4">
        <w:rPr>
          <w:lang w:val="en-AU"/>
        </w:rPr>
        <w:t>Figure 3</w:t>
      </w:r>
      <w:r>
        <w:fldChar w:fldCharType="end"/>
      </w:r>
      <w:r w:rsidR="00D000B3" w:rsidRPr="007D6EB4">
        <w:rPr>
          <w:lang w:val="en-AU"/>
        </w:rPr>
        <w:t xml:space="preserve"> to </w:t>
      </w:r>
      <w:r w:rsidR="00BF07E9" w:rsidRPr="00BF07E9">
        <w:fldChar w:fldCharType="begin"/>
      </w:r>
      <w:r w:rsidR="00BF07E9" w:rsidRPr="00BF07E9">
        <w:instrText xml:space="preserve"> REF  _Ref338343234 \* Lower \h  \* MERGEFORMAT </w:instrText>
      </w:r>
      <w:r w:rsidR="00BF07E9" w:rsidRPr="00BF07E9">
        <w:fldChar w:fldCharType="separate"/>
      </w:r>
      <w:r w:rsidR="00751BC4" w:rsidRPr="00751BC4">
        <w:rPr>
          <w:lang w:val="en-AU"/>
        </w:rPr>
        <w:t xml:space="preserve">figure </w:t>
      </w:r>
      <w:r w:rsidR="00751BC4" w:rsidRPr="00751BC4">
        <w:rPr>
          <w:noProof/>
          <w:lang w:val="en-AU"/>
        </w:rPr>
        <w:t>8</w:t>
      </w:r>
      <w:r w:rsidR="00BF07E9" w:rsidRPr="00BF07E9">
        <w:fldChar w:fldCharType="end"/>
      </w:r>
      <w:r w:rsidR="00D000B3" w:rsidRPr="007D6EB4">
        <w:rPr>
          <w:lang w:val="en-AU"/>
        </w:rPr>
        <w:t xml:space="preserve"> </w:t>
      </w:r>
      <w:r w:rsidR="002C30D0" w:rsidRPr="007D6EB4">
        <w:rPr>
          <w:lang w:val="en-AU"/>
        </w:rPr>
        <w:t xml:space="preserve">show the extent of the </w:t>
      </w:r>
      <w:r w:rsidR="00D000B3" w:rsidRPr="007D6EB4">
        <w:rPr>
          <w:lang w:val="en-AU"/>
        </w:rPr>
        <w:t xml:space="preserve">southern and central GBR </w:t>
      </w:r>
      <w:r w:rsidR="00D81533" w:rsidRPr="007D6EB4">
        <w:rPr>
          <w:lang w:val="en-AU"/>
        </w:rPr>
        <w:t xml:space="preserve">coastal current </w:t>
      </w:r>
      <w:r w:rsidR="002C30D0" w:rsidRPr="007D6EB4">
        <w:rPr>
          <w:lang w:val="en-AU"/>
        </w:rPr>
        <w:t xml:space="preserve">model grids, along with insets of the smaller grid cells neighbouring the </w:t>
      </w:r>
      <w:r w:rsidR="00C16F64" w:rsidRPr="007D6EB4">
        <w:rPr>
          <w:lang w:val="en-AU"/>
        </w:rPr>
        <w:t xml:space="preserve">six </w:t>
      </w:r>
      <w:r w:rsidR="002C30D0" w:rsidRPr="007D6EB4">
        <w:rPr>
          <w:lang w:val="en-AU"/>
        </w:rPr>
        <w:t>port</w:t>
      </w:r>
      <w:r w:rsidR="00C16F64" w:rsidRPr="007D6EB4">
        <w:rPr>
          <w:lang w:val="en-AU"/>
        </w:rPr>
        <w:t>s</w:t>
      </w:r>
      <w:r w:rsidR="00D81533" w:rsidRPr="007D6EB4">
        <w:rPr>
          <w:lang w:val="en-AU"/>
        </w:rPr>
        <w:t xml:space="preserve"> and the </w:t>
      </w:r>
      <w:r w:rsidR="002C30D0" w:rsidRPr="007D6EB4">
        <w:rPr>
          <w:lang w:val="en-AU"/>
        </w:rPr>
        <w:t>existin</w:t>
      </w:r>
      <w:r w:rsidR="002C30D0" w:rsidRPr="00C84E9F">
        <w:rPr>
          <w:lang w:val="en-AU"/>
        </w:rPr>
        <w:t xml:space="preserve">g </w:t>
      </w:r>
      <w:r w:rsidR="0041654C" w:rsidRPr="00C84E9F">
        <w:rPr>
          <w:lang w:val="en-AU"/>
        </w:rPr>
        <w:t>material placement sites</w:t>
      </w:r>
      <w:r w:rsidR="002C30D0" w:rsidRPr="00C84E9F">
        <w:rPr>
          <w:lang w:val="en-AU"/>
        </w:rPr>
        <w:t>.</w:t>
      </w:r>
      <w:r w:rsidR="0043422D" w:rsidRPr="00C84E9F">
        <w:rPr>
          <w:lang w:val="en-AU"/>
        </w:rPr>
        <w:t xml:space="preserve"> </w:t>
      </w:r>
      <w:r>
        <w:fldChar w:fldCharType="begin"/>
      </w:r>
      <w:r>
        <w:instrText xml:space="preserve"> REF _Ref338421390 \h  \* MERGEFORMAT </w:instrText>
      </w:r>
      <w:r>
        <w:fldChar w:fldCharType="separate"/>
      </w:r>
      <w:r w:rsidR="00751BC4" w:rsidRPr="00751BC4">
        <w:rPr>
          <w:lang w:val="en-AU"/>
        </w:rPr>
        <w:t>Figure 9</w:t>
      </w:r>
      <w:r>
        <w:fldChar w:fldCharType="end"/>
      </w:r>
      <w:r w:rsidR="00D000B3" w:rsidRPr="007D6EB4">
        <w:rPr>
          <w:lang w:val="en-AU"/>
        </w:rPr>
        <w:t xml:space="preserve"> shows the extent of the northern GBR coastal model grid.</w:t>
      </w:r>
    </w:p>
    <w:p w:rsidR="00315A1D" w:rsidRPr="007D6EB4" w:rsidRDefault="00315A1D" w:rsidP="00EC0510">
      <w:pPr>
        <w:pStyle w:val="StyleLeft"/>
        <w:rPr>
          <w:lang w:val="en-AU"/>
        </w:rPr>
        <w:sectPr w:rsidR="00315A1D" w:rsidRPr="007D6EB4" w:rsidSect="000751B6">
          <w:footerReference w:type="default" r:id="rId37"/>
          <w:pgSz w:w="11907" w:h="16840" w:code="9"/>
          <w:pgMar w:top="1418" w:right="1701" w:bottom="1418" w:left="1701" w:header="567" w:footer="567" w:gutter="0"/>
          <w:pgNumType w:start="1"/>
          <w:cols w:space="720"/>
          <w:formProt w:val="0"/>
          <w:docGrid w:linePitch="299"/>
        </w:sectPr>
      </w:pPr>
    </w:p>
    <w:p w:rsidR="00403810" w:rsidRPr="007D6EB4" w:rsidRDefault="0041654C" w:rsidP="00A6519A">
      <w:pPr>
        <w:spacing w:after="0" w:line="240" w:lineRule="auto"/>
        <w:jc w:val="left"/>
        <w:rPr>
          <w:lang w:val="en-AU"/>
        </w:rPr>
      </w:pPr>
      <w:r w:rsidRPr="006A22FE">
        <w:rPr>
          <w:noProof/>
          <w:bdr w:val="single" w:sz="4" w:space="0" w:color="auto"/>
          <w:lang w:val="en-AU" w:eastAsia="en-AU"/>
        </w:rPr>
        <w:lastRenderedPageBreak/>
        <w:drawing>
          <wp:inline distT="0" distB="0" distL="0" distR="0" wp14:anchorId="40B4A00C" wp14:editId="6C6CC7EB">
            <wp:extent cx="8025451" cy="4860000"/>
            <wp:effectExtent l="0" t="0" r="0" b="0"/>
            <wp:docPr id="18" name="Picture 18" descr="Figure 3 shows the extent of the southern GBR coastal current model grid, along with insets of the smaller grid cells neighbouring the Port of Gladstone and the existing material placement site." title="Figure 3. Extent of the southern GBR coastal model grid. Note the smaller grid cells along the coastline and around islands to better resolve the complex flows around these features. The inset shows the smaller grid cells neighbouring the Port of Gladstone with the yellow box defining the location of the existing dredge material placemen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Q:\Projects\Q0110 GBRMPA-SKM QLD disposal site selection\8. Figures\Location&amp;Grid_Maps\HYDROMAP_Grids\GLADSTONE.tif"/>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8025451" cy="4860000"/>
                    </a:xfrm>
                    <a:prstGeom prst="rect">
                      <a:avLst/>
                    </a:prstGeom>
                    <a:noFill/>
                    <a:ln>
                      <a:noFill/>
                    </a:ln>
                  </pic:spPr>
                </pic:pic>
              </a:graphicData>
            </a:graphic>
          </wp:inline>
        </w:drawing>
      </w:r>
    </w:p>
    <w:p w:rsidR="00315A1D" w:rsidRPr="007D6EB4" w:rsidRDefault="00403810" w:rsidP="00EC0510">
      <w:pPr>
        <w:pStyle w:val="Caption"/>
        <w:spacing w:line="240" w:lineRule="auto"/>
        <w:ind w:left="480" w:hanging="480"/>
        <w:jc w:val="left"/>
        <w:rPr>
          <w:lang w:val="en-AU"/>
        </w:rPr>
      </w:pPr>
      <w:bookmarkStart w:id="22" w:name="_Ref338343236"/>
      <w:bookmarkStart w:id="23" w:name="_Toc338242165"/>
      <w:bookmarkStart w:id="24" w:name="_Toc361651486"/>
      <w:r w:rsidRPr="00294C64">
        <w:rPr>
          <w:b/>
          <w:lang w:val="en-AU"/>
        </w:rPr>
        <w:t xml:space="preserve">Figure </w:t>
      </w:r>
      <w:r w:rsidR="005F6FF5" w:rsidRPr="00294C64">
        <w:rPr>
          <w:b/>
          <w:lang w:val="en-AU"/>
        </w:rPr>
        <w:fldChar w:fldCharType="begin"/>
      </w:r>
      <w:r w:rsidR="00031C1F" w:rsidRPr="00294C64">
        <w:rPr>
          <w:b/>
          <w:lang w:val="en-AU"/>
        </w:rPr>
        <w:instrText xml:space="preserve"> SEQ Figure \* ARABIC </w:instrText>
      </w:r>
      <w:r w:rsidR="005F6FF5" w:rsidRPr="00294C64">
        <w:rPr>
          <w:b/>
          <w:lang w:val="en-AU"/>
        </w:rPr>
        <w:fldChar w:fldCharType="separate"/>
      </w:r>
      <w:r w:rsidR="00751BC4">
        <w:rPr>
          <w:b/>
          <w:noProof/>
          <w:lang w:val="en-AU"/>
        </w:rPr>
        <w:t>3</w:t>
      </w:r>
      <w:r w:rsidR="005F6FF5" w:rsidRPr="00294C64">
        <w:rPr>
          <w:b/>
          <w:lang w:val="en-AU"/>
        </w:rPr>
        <w:fldChar w:fldCharType="end"/>
      </w:r>
      <w:bookmarkEnd w:id="22"/>
      <w:r w:rsidR="00E5277F">
        <w:rPr>
          <w:lang w:val="en-AU"/>
        </w:rPr>
        <w:t>.</w:t>
      </w:r>
      <w:r w:rsidRPr="007D6EB4">
        <w:rPr>
          <w:lang w:val="en-AU"/>
        </w:rPr>
        <w:t xml:space="preserve"> Extent of the southern GBR </w:t>
      </w:r>
      <w:r w:rsidR="00D000B3" w:rsidRPr="007D6EB4">
        <w:rPr>
          <w:lang w:val="en-AU"/>
        </w:rPr>
        <w:t>coastal model grid</w:t>
      </w:r>
      <w:r w:rsidRPr="007D6EB4">
        <w:rPr>
          <w:lang w:val="en-AU"/>
        </w:rPr>
        <w:t>.</w:t>
      </w:r>
      <w:r w:rsidR="0043422D">
        <w:rPr>
          <w:lang w:val="en-AU"/>
        </w:rPr>
        <w:t xml:space="preserve"> </w:t>
      </w:r>
      <w:r w:rsidRPr="007D6EB4">
        <w:rPr>
          <w:lang w:val="en-AU"/>
        </w:rPr>
        <w:t xml:space="preserve">Note the smaller grid cells along the coastline and around islands to </w:t>
      </w:r>
      <w:r w:rsidR="00B16E7E" w:rsidRPr="007D6EB4">
        <w:rPr>
          <w:lang w:val="en-AU"/>
        </w:rPr>
        <w:t xml:space="preserve">better resolve </w:t>
      </w:r>
      <w:r w:rsidRPr="007D6EB4">
        <w:rPr>
          <w:lang w:val="en-AU"/>
        </w:rPr>
        <w:t>the complex flows</w:t>
      </w:r>
      <w:r w:rsidR="00B16E7E" w:rsidRPr="007D6EB4">
        <w:rPr>
          <w:lang w:val="en-AU"/>
        </w:rPr>
        <w:t xml:space="preserve"> around these features</w:t>
      </w:r>
      <w:r w:rsidRPr="007D6EB4">
        <w:rPr>
          <w:lang w:val="en-AU"/>
        </w:rPr>
        <w:t>.</w:t>
      </w:r>
      <w:r w:rsidR="0043422D">
        <w:rPr>
          <w:lang w:val="en-AU"/>
        </w:rPr>
        <w:t xml:space="preserve"> </w:t>
      </w:r>
      <w:r w:rsidRPr="007D6EB4">
        <w:rPr>
          <w:lang w:val="en-AU"/>
        </w:rPr>
        <w:t xml:space="preserve">The inset shows the smaller grid cells neighbouring </w:t>
      </w:r>
      <w:r w:rsidR="00D1419F" w:rsidRPr="007D6EB4">
        <w:rPr>
          <w:lang w:val="en-AU"/>
        </w:rPr>
        <w:t xml:space="preserve">the </w:t>
      </w:r>
      <w:r w:rsidRPr="007D6EB4">
        <w:rPr>
          <w:lang w:val="en-AU"/>
        </w:rPr>
        <w:t>Port of Gladstone</w:t>
      </w:r>
      <w:bookmarkEnd w:id="23"/>
      <w:r w:rsidR="00315A1D" w:rsidRPr="007D6EB4">
        <w:rPr>
          <w:lang w:val="en-AU"/>
        </w:rPr>
        <w:t xml:space="preserve"> with the</w:t>
      </w:r>
      <w:r w:rsidR="00D1419F" w:rsidRPr="007D6EB4">
        <w:rPr>
          <w:lang w:val="en-AU"/>
        </w:rPr>
        <w:t xml:space="preserve"> yellow box defin</w:t>
      </w:r>
      <w:r w:rsidR="00315A1D" w:rsidRPr="007D6EB4">
        <w:rPr>
          <w:lang w:val="en-AU"/>
        </w:rPr>
        <w:t>ing</w:t>
      </w:r>
      <w:r w:rsidR="00D1419F" w:rsidRPr="007D6EB4">
        <w:rPr>
          <w:lang w:val="en-AU"/>
        </w:rPr>
        <w:t xml:space="preserve"> the location of the existing </w:t>
      </w:r>
      <w:r w:rsidR="0053514C">
        <w:rPr>
          <w:lang w:val="en-AU"/>
        </w:rPr>
        <w:t>dredge material placement site</w:t>
      </w:r>
      <w:r w:rsidR="00D1419F" w:rsidRPr="007D6EB4">
        <w:rPr>
          <w:lang w:val="en-AU"/>
        </w:rPr>
        <w:t>.</w:t>
      </w:r>
      <w:bookmarkEnd w:id="24"/>
    </w:p>
    <w:p w:rsidR="00403810" w:rsidRPr="007D6EB4" w:rsidRDefault="0041654C" w:rsidP="00617543">
      <w:pPr>
        <w:spacing w:line="240" w:lineRule="auto"/>
        <w:jc w:val="left"/>
        <w:rPr>
          <w:lang w:val="en-AU"/>
        </w:rPr>
      </w:pPr>
      <w:r w:rsidRPr="006A22FE">
        <w:rPr>
          <w:noProof/>
          <w:bdr w:val="single" w:sz="4" w:space="0" w:color="auto"/>
          <w:lang w:val="en-AU" w:eastAsia="en-AU"/>
        </w:rPr>
        <w:lastRenderedPageBreak/>
        <w:drawing>
          <wp:inline distT="0" distB="0" distL="0" distR="0" wp14:anchorId="243E813A" wp14:editId="0CF0557B">
            <wp:extent cx="8132400" cy="4924765"/>
            <wp:effectExtent l="0" t="0" r="0" b="0"/>
            <wp:docPr id="20" name="Picture 20" descr="Figure 4 shows the extent of the southern GBR coastal current model grid, along with insets of the smaller grid cells neighbouring Rosslyn Bay Marina and the existing material placement site. " title="Figure 4. Extent of the southern GBR coastal model grid. Note the smaller grid cells along the coastline and around islands to recreate the complex flows. The inset shows the smaller grid cells neighbouring Rosslyn Bay Marina with the yellow box defining the location of the existing dredge material placemen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Projects\Q0110 GBRMPA-SKM QLD disposal site selection\8. Figures\Location&amp;Grid_Maps\HYDROMAP_Grids\ROSSLYN BAY.tif"/>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8132400" cy="4924765"/>
                    </a:xfrm>
                    <a:prstGeom prst="rect">
                      <a:avLst/>
                    </a:prstGeom>
                    <a:noFill/>
                    <a:ln>
                      <a:noFill/>
                    </a:ln>
                  </pic:spPr>
                </pic:pic>
              </a:graphicData>
            </a:graphic>
          </wp:inline>
        </w:drawing>
      </w:r>
    </w:p>
    <w:p w:rsidR="00D1419F" w:rsidRPr="007D6EB4" w:rsidRDefault="00403810" w:rsidP="00EC0510">
      <w:pPr>
        <w:pStyle w:val="Caption"/>
        <w:spacing w:line="240" w:lineRule="auto"/>
        <w:ind w:left="480" w:hanging="480"/>
        <w:jc w:val="left"/>
        <w:rPr>
          <w:lang w:val="en-AU"/>
        </w:rPr>
      </w:pPr>
      <w:bookmarkStart w:id="25" w:name="_Toc338242164"/>
      <w:bookmarkStart w:id="26" w:name="_Toc361651487"/>
      <w:r w:rsidRPr="00294C64">
        <w:rPr>
          <w:b/>
          <w:lang w:val="en-AU"/>
        </w:rPr>
        <w:t xml:space="preserve">Figure </w:t>
      </w:r>
      <w:r w:rsidR="005F6FF5" w:rsidRPr="00294C64">
        <w:rPr>
          <w:b/>
          <w:lang w:val="en-AU"/>
        </w:rPr>
        <w:fldChar w:fldCharType="begin"/>
      </w:r>
      <w:r w:rsidR="00031C1F" w:rsidRPr="00294C64">
        <w:rPr>
          <w:b/>
          <w:lang w:val="en-AU"/>
        </w:rPr>
        <w:instrText xml:space="preserve"> SEQ Figure \* ARABIC </w:instrText>
      </w:r>
      <w:r w:rsidR="005F6FF5" w:rsidRPr="00294C64">
        <w:rPr>
          <w:b/>
          <w:lang w:val="en-AU"/>
        </w:rPr>
        <w:fldChar w:fldCharType="separate"/>
      </w:r>
      <w:r w:rsidR="00751BC4">
        <w:rPr>
          <w:b/>
          <w:noProof/>
          <w:lang w:val="en-AU"/>
        </w:rPr>
        <w:t>4</w:t>
      </w:r>
      <w:r w:rsidR="005F6FF5" w:rsidRPr="00294C64">
        <w:rPr>
          <w:b/>
          <w:lang w:val="en-AU"/>
        </w:rPr>
        <w:fldChar w:fldCharType="end"/>
      </w:r>
      <w:r w:rsidR="00E5277F">
        <w:rPr>
          <w:lang w:val="en-AU"/>
        </w:rPr>
        <w:t>.</w:t>
      </w:r>
      <w:r w:rsidRPr="007D6EB4">
        <w:rPr>
          <w:lang w:val="en-AU"/>
        </w:rPr>
        <w:t xml:space="preserve"> Extent of the southern GBR </w:t>
      </w:r>
      <w:r w:rsidR="00D000B3" w:rsidRPr="007D6EB4">
        <w:rPr>
          <w:lang w:val="en-AU"/>
        </w:rPr>
        <w:t>coastal model grid</w:t>
      </w:r>
      <w:r w:rsidRPr="007D6EB4">
        <w:rPr>
          <w:lang w:val="en-AU"/>
        </w:rPr>
        <w:t>.</w:t>
      </w:r>
      <w:r w:rsidR="0043422D">
        <w:rPr>
          <w:lang w:val="en-AU"/>
        </w:rPr>
        <w:t xml:space="preserve"> </w:t>
      </w:r>
      <w:r w:rsidRPr="007D6EB4">
        <w:rPr>
          <w:lang w:val="en-AU"/>
        </w:rPr>
        <w:t>Note the smaller grid cells along the coastline and around islands to recreate the complex flows.</w:t>
      </w:r>
      <w:r w:rsidR="0043422D">
        <w:rPr>
          <w:lang w:val="en-AU"/>
        </w:rPr>
        <w:t xml:space="preserve"> </w:t>
      </w:r>
      <w:r w:rsidRPr="007D6EB4">
        <w:rPr>
          <w:lang w:val="en-AU"/>
        </w:rPr>
        <w:t xml:space="preserve">The inset shows the smaller grid cells neighbouring Rosslyn Bay </w:t>
      </w:r>
      <w:bookmarkEnd w:id="25"/>
      <w:r w:rsidR="002E03C6">
        <w:rPr>
          <w:lang w:val="en-AU"/>
        </w:rPr>
        <w:t>State Boat Harbour</w:t>
      </w:r>
      <w:r w:rsidR="002E03C6" w:rsidRPr="007D6EB4">
        <w:rPr>
          <w:lang w:val="en-AU"/>
        </w:rPr>
        <w:t xml:space="preserve"> </w:t>
      </w:r>
      <w:r w:rsidR="00315A1D" w:rsidRPr="007D6EB4">
        <w:rPr>
          <w:lang w:val="en-AU"/>
        </w:rPr>
        <w:t xml:space="preserve">with the yellow box defining the location of the existing </w:t>
      </w:r>
      <w:r w:rsidR="00E91BF9">
        <w:rPr>
          <w:lang w:val="en-AU"/>
        </w:rPr>
        <w:t>dredge material placement site</w:t>
      </w:r>
      <w:r w:rsidR="00315A1D" w:rsidRPr="007D6EB4">
        <w:rPr>
          <w:lang w:val="en-AU"/>
        </w:rPr>
        <w:t>.</w:t>
      </w:r>
      <w:bookmarkEnd w:id="26"/>
    </w:p>
    <w:p w:rsidR="00403810" w:rsidRPr="007D6EB4" w:rsidRDefault="0041654C" w:rsidP="00EC0510">
      <w:pPr>
        <w:pStyle w:val="StyleLeft"/>
        <w:rPr>
          <w:lang w:val="en-AU"/>
        </w:rPr>
      </w:pPr>
      <w:r w:rsidRPr="006A22FE">
        <w:rPr>
          <w:noProof/>
          <w:bdr w:val="single" w:sz="4" w:space="0" w:color="auto"/>
          <w:lang w:val="en-AU" w:eastAsia="en-AU"/>
        </w:rPr>
        <w:lastRenderedPageBreak/>
        <w:drawing>
          <wp:inline distT="0" distB="0" distL="0" distR="0" wp14:anchorId="7B0C0721" wp14:editId="177A66B7">
            <wp:extent cx="8025451" cy="4860000"/>
            <wp:effectExtent l="0" t="0" r="0" b="0"/>
            <wp:docPr id="21" name="Picture 21" descr="Figure 5 shows the extent of the southern GBR coastal current model grid, along with insets of the smaller grid cells neighbouring Port of Hay Point  and the existing material placement site." title="Figure 5. Extent of the southern GBR coastal model grid. Note the smaller grid cells along the coastline and around islands to recreate the complex flows. The inset shows the smaller grid cells neighbouring Port of Hay Point with the yellow box defining the location of the existing dredge material placemen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Q:\Projects\Q0110 GBRMPA-SKM QLD disposal site selection\8. Figures\Location&amp;Grid_Maps\HYDROMAP_Grids\HAY POINT.tif"/>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8025451" cy="4860000"/>
                    </a:xfrm>
                    <a:prstGeom prst="rect">
                      <a:avLst/>
                    </a:prstGeom>
                    <a:noFill/>
                    <a:ln>
                      <a:noFill/>
                    </a:ln>
                  </pic:spPr>
                </pic:pic>
              </a:graphicData>
            </a:graphic>
          </wp:inline>
        </w:drawing>
      </w:r>
    </w:p>
    <w:p w:rsidR="00315A1D" w:rsidRPr="007D6EB4" w:rsidRDefault="00403810" w:rsidP="00EC0510">
      <w:pPr>
        <w:pStyle w:val="Caption"/>
        <w:spacing w:line="240" w:lineRule="auto"/>
        <w:ind w:left="480" w:hanging="480"/>
        <w:jc w:val="left"/>
        <w:rPr>
          <w:lang w:val="en-AU"/>
        </w:rPr>
      </w:pPr>
      <w:bookmarkStart w:id="27" w:name="_Toc338242163"/>
      <w:bookmarkStart w:id="28" w:name="_Toc361651488"/>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5</w:t>
      </w:r>
      <w:r w:rsidR="005F6FF5" w:rsidRPr="007D6EB4">
        <w:rPr>
          <w:b/>
          <w:lang w:val="en-AU"/>
        </w:rPr>
        <w:fldChar w:fldCharType="end"/>
      </w:r>
      <w:r w:rsidR="00E5277F">
        <w:rPr>
          <w:b/>
          <w:lang w:val="en-AU"/>
        </w:rPr>
        <w:t>.</w:t>
      </w:r>
      <w:r w:rsidRPr="007D6EB4">
        <w:rPr>
          <w:lang w:val="en-AU"/>
        </w:rPr>
        <w:t xml:space="preserve"> Extent of the southern GBR </w:t>
      </w:r>
      <w:r w:rsidR="00D000B3" w:rsidRPr="007D6EB4">
        <w:rPr>
          <w:lang w:val="en-AU"/>
        </w:rPr>
        <w:t>coastal model grid</w:t>
      </w:r>
      <w:r w:rsidRPr="007D6EB4">
        <w:rPr>
          <w:lang w:val="en-AU"/>
        </w:rPr>
        <w:t>. Note the smaller grid cells along the coastline and around islands to recreate the complex flows. The inset shows the smaller grid cells neighbouring Port of Hay Point</w:t>
      </w:r>
      <w:r w:rsidR="00315A1D" w:rsidRPr="007D6EB4">
        <w:rPr>
          <w:lang w:val="en-AU"/>
        </w:rPr>
        <w:t xml:space="preserve"> with the yellow box defining the location of the existing </w:t>
      </w:r>
      <w:r w:rsidR="00E91BF9">
        <w:rPr>
          <w:lang w:val="en-AU"/>
        </w:rPr>
        <w:t>dredge material placement site</w:t>
      </w:r>
      <w:r w:rsidR="00315A1D" w:rsidRPr="007D6EB4">
        <w:rPr>
          <w:lang w:val="en-AU"/>
        </w:rPr>
        <w:t>.</w:t>
      </w:r>
      <w:bookmarkEnd w:id="27"/>
      <w:bookmarkEnd w:id="28"/>
    </w:p>
    <w:p w:rsidR="00403810" w:rsidRPr="007D6EB4" w:rsidRDefault="0041654C" w:rsidP="00617543">
      <w:pPr>
        <w:spacing w:before="240" w:line="240" w:lineRule="auto"/>
        <w:jc w:val="left"/>
        <w:rPr>
          <w:lang w:val="en-AU"/>
        </w:rPr>
      </w:pPr>
      <w:r w:rsidRPr="006A22FE">
        <w:rPr>
          <w:noProof/>
          <w:bdr w:val="single" w:sz="4" w:space="0" w:color="auto"/>
          <w:lang w:val="en-AU" w:eastAsia="en-AU"/>
        </w:rPr>
        <w:lastRenderedPageBreak/>
        <w:drawing>
          <wp:inline distT="0" distB="0" distL="0" distR="0" wp14:anchorId="4DC33958" wp14:editId="557BCE04">
            <wp:extent cx="8025451" cy="4860000"/>
            <wp:effectExtent l="0" t="0" r="0" b="0"/>
            <wp:docPr id="22" name="Picture 22" descr="Figure 6 shows the extent of the central GBR coastal current model grid, along with insets of the smaller grid cells neighbouring Port of Abbot Point Point and the existing material placement site" title="Figure 6. Extent of the central GBR coastal model grid. Note the smaller grid cells along the coastline and around islands to recreate the complex flows. The inset shows the smaller grid cells neighbouring Port of Abbot Point with the yellow box defining the location of the existing dredge material placemen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Q:\Projects\Q0110 GBRMPA-SKM QLD disposal site selection\8. Figures\Location&amp;Grid_Maps\HYDROMAP_Grids\ABBOT POINT.tif"/>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8025451" cy="4860000"/>
                    </a:xfrm>
                    <a:prstGeom prst="rect">
                      <a:avLst/>
                    </a:prstGeom>
                    <a:noFill/>
                    <a:ln>
                      <a:noFill/>
                    </a:ln>
                  </pic:spPr>
                </pic:pic>
              </a:graphicData>
            </a:graphic>
          </wp:inline>
        </w:drawing>
      </w:r>
    </w:p>
    <w:p w:rsidR="00D1419F" w:rsidRPr="007D6EB4" w:rsidRDefault="00403810" w:rsidP="00EC0510">
      <w:pPr>
        <w:pStyle w:val="Caption"/>
        <w:spacing w:line="240" w:lineRule="auto"/>
        <w:ind w:left="480" w:hanging="480"/>
        <w:jc w:val="left"/>
        <w:rPr>
          <w:lang w:val="en-AU"/>
        </w:rPr>
      </w:pPr>
      <w:bookmarkStart w:id="29" w:name="_Toc338242162"/>
      <w:bookmarkStart w:id="30" w:name="_Toc361651489"/>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6</w:t>
      </w:r>
      <w:r w:rsidR="005F6FF5" w:rsidRPr="007D6EB4">
        <w:rPr>
          <w:b/>
          <w:lang w:val="en-AU"/>
        </w:rPr>
        <w:fldChar w:fldCharType="end"/>
      </w:r>
      <w:r w:rsidR="00E5277F">
        <w:rPr>
          <w:b/>
          <w:lang w:val="en-AU"/>
        </w:rPr>
        <w:t>.</w:t>
      </w:r>
      <w:r w:rsidRPr="007D6EB4">
        <w:rPr>
          <w:lang w:val="en-AU"/>
        </w:rPr>
        <w:t xml:space="preserve"> Extent of the central GBR </w:t>
      </w:r>
      <w:r w:rsidR="00D000B3" w:rsidRPr="007D6EB4">
        <w:rPr>
          <w:lang w:val="en-AU"/>
        </w:rPr>
        <w:t>coastal model grid</w:t>
      </w:r>
      <w:r w:rsidRPr="007D6EB4">
        <w:rPr>
          <w:lang w:val="en-AU"/>
        </w:rPr>
        <w:t>. Note the smaller grid cells along the coastline and around islands to recreate the complex flows. The inset shows the smaller grid cells neighbouring Port of Abbot Point</w:t>
      </w:r>
      <w:r w:rsidR="00315A1D" w:rsidRPr="007D6EB4">
        <w:rPr>
          <w:lang w:val="en-AU"/>
        </w:rPr>
        <w:t xml:space="preserve"> with the yellow box defining the location of the existing </w:t>
      </w:r>
      <w:r w:rsidR="00E91BF9">
        <w:rPr>
          <w:lang w:val="en-AU"/>
        </w:rPr>
        <w:t>dredge material placement site</w:t>
      </w:r>
      <w:r w:rsidR="00315A1D" w:rsidRPr="007D6EB4">
        <w:rPr>
          <w:lang w:val="en-AU"/>
        </w:rPr>
        <w:t>.</w:t>
      </w:r>
      <w:bookmarkEnd w:id="29"/>
      <w:bookmarkEnd w:id="30"/>
    </w:p>
    <w:p w:rsidR="00403810" w:rsidRPr="007D6EB4" w:rsidRDefault="0041654C" w:rsidP="00617543">
      <w:pPr>
        <w:spacing w:after="0" w:line="240" w:lineRule="auto"/>
        <w:jc w:val="left"/>
        <w:rPr>
          <w:lang w:val="en-AU"/>
        </w:rPr>
      </w:pPr>
      <w:r w:rsidRPr="006A22FE">
        <w:rPr>
          <w:noProof/>
          <w:bdr w:val="single" w:sz="4" w:space="0" w:color="auto"/>
          <w:lang w:val="en-AU" w:eastAsia="en-AU"/>
        </w:rPr>
        <w:lastRenderedPageBreak/>
        <w:drawing>
          <wp:inline distT="0" distB="0" distL="0" distR="0" wp14:anchorId="099B629F" wp14:editId="29232835">
            <wp:extent cx="8025451" cy="4860000"/>
            <wp:effectExtent l="0" t="0" r="0" b="0"/>
            <wp:docPr id="23" name="Picture 23" descr="Figure 7 shows the extent of the central GBR coastal current model grid, along with insets of the smaller grid cells neighbouring Port of Townsville and the existing material placement site" title="Figure 7. Extent of the central GBR coastal model grid. Note the smaller grid cells along the coastline and around islands to recreate the complex flows. The inset shows the smaller grid cells neighbouring Port of Townsville with the yellow box defining the location of the existing dredge material placemen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Q:\Projects\Q0110 GBRMPA-SKM QLD disposal site selection\8. Figures\Location&amp;Grid_Maps\HYDROMAP_Grids\TOWNSVILLE.tif"/>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8025451" cy="4860000"/>
                    </a:xfrm>
                    <a:prstGeom prst="rect">
                      <a:avLst/>
                    </a:prstGeom>
                    <a:noFill/>
                    <a:ln>
                      <a:noFill/>
                    </a:ln>
                  </pic:spPr>
                </pic:pic>
              </a:graphicData>
            </a:graphic>
          </wp:inline>
        </w:drawing>
      </w:r>
    </w:p>
    <w:p w:rsidR="00315A1D" w:rsidRPr="007D6EB4" w:rsidRDefault="00403810" w:rsidP="00EC0510">
      <w:pPr>
        <w:pStyle w:val="Caption"/>
        <w:spacing w:line="240" w:lineRule="auto"/>
        <w:ind w:left="480" w:hanging="480"/>
        <w:jc w:val="left"/>
        <w:rPr>
          <w:lang w:val="en-AU"/>
        </w:rPr>
      </w:pPr>
      <w:bookmarkStart w:id="31" w:name="_Toc338242161"/>
      <w:bookmarkStart w:id="32" w:name="_Toc361651490"/>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7</w:t>
      </w:r>
      <w:r w:rsidR="005F6FF5" w:rsidRPr="007D6EB4">
        <w:rPr>
          <w:b/>
          <w:lang w:val="en-AU"/>
        </w:rPr>
        <w:fldChar w:fldCharType="end"/>
      </w:r>
      <w:r w:rsidR="00E5277F">
        <w:rPr>
          <w:b/>
          <w:lang w:val="en-AU"/>
        </w:rPr>
        <w:t>.</w:t>
      </w:r>
      <w:r w:rsidRPr="007D6EB4">
        <w:rPr>
          <w:lang w:val="en-AU"/>
        </w:rPr>
        <w:t xml:space="preserve"> Extent of the central GBR </w:t>
      </w:r>
      <w:r w:rsidR="00D000B3" w:rsidRPr="007D6EB4">
        <w:rPr>
          <w:lang w:val="en-AU"/>
        </w:rPr>
        <w:t>coastal model grid</w:t>
      </w:r>
      <w:r w:rsidRPr="007D6EB4">
        <w:rPr>
          <w:lang w:val="en-AU"/>
        </w:rPr>
        <w:t>. Note the smaller grid cells along the coastline and around islands to recreate the complex flows. The inset shows the smaller grid cells neighbouring Port of Townsville</w:t>
      </w:r>
      <w:r w:rsidR="00315A1D" w:rsidRPr="007D6EB4">
        <w:rPr>
          <w:lang w:val="en-AU"/>
        </w:rPr>
        <w:t xml:space="preserve"> with the yellow box defining the location of the existing </w:t>
      </w:r>
      <w:r w:rsidR="00E91BF9">
        <w:rPr>
          <w:lang w:val="en-AU"/>
        </w:rPr>
        <w:t>dredge material placement site</w:t>
      </w:r>
      <w:r w:rsidR="00315A1D" w:rsidRPr="007D6EB4">
        <w:rPr>
          <w:lang w:val="en-AU"/>
        </w:rPr>
        <w:t>.</w:t>
      </w:r>
      <w:bookmarkEnd w:id="31"/>
      <w:bookmarkEnd w:id="32"/>
    </w:p>
    <w:p w:rsidR="00403810" w:rsidRPr="007D6EB4" w:rsidRDefault="0041654C" w:rsidP="00EC0510">
      <w:pPr>
        <w:pStyle w:val="StyleLeft"/>
        <w:rPr>
          <w:lang w:val="en-AU"/>
        </w:rPr>
      </w:pPr>
      <w:r w:rsidRPr="006A22FE">
        <w:rPr>
          <w:noProof/>
          <w:bdr w:val="single" w:sz="4" w:space="0" w:color="auto"/>
          <w:lang w:val="en-AU" w:eastAsia="en-AU"/>
        </w:rPr>
        <w:lastRenderedPageBreak/>
        <w:drawing>
          <wp:inline distT="0" distB="0" distL="0" distR="0" wp14:anchorId="44CA46CE" wp14:editId="1F0B269A">
            <wp:extent cx="8025451" cy="4860000"/>
            <wp:effectExtent l="0" t="0" r="0" b="0"/>
            <wp:docPr id="24" name="Picture 24" descr="Figure 8 shows the extent of the central GBR coastal current model grid, along with insets of the smaller grid cells neighbouring Port of Cairns and the existing material placement site. " title="Figure 8. Extent of the central GBR coastal model grid. Note the smaller grid cells along the coastline and around islands to recreate the complex flows. The inset shows the smaller grid cells neighbouring Port of Cairns with the yellow box defining the location of the existing dredge material placemen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Q:\Projects\Q0110 GBRMPA-SKM QLD disposal site selection\8. Figures\Location&amp;Grid_Maps\HYDROMAP_Grids\CAIRNS.tif"/>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8025451" cy="4860000"/>
                    </a:xfrm>
                    <a:prstGeom prst="rect">
                      <a:avLst/>
                    </a:prstGeom>
                    <a:noFill/>
                    <a:ln>
                      <a:noFill/>
                    </a:ln>
                  </pic:spPr>
                </pic:pic>
              </a:graphicData>
            </a:graphic>
          </wp:inline>
        </w:drawing>
      </w:r>
    </w:p>
    <w:p w:rsidR="00315A1D" w:rsidRPr="007D6EB4" w:rsidRDefault="00403810" w:rsidP="00EC0510">
      <w:pPr>
        <w:pStyle w:val="Caption"/>
        <w:spacing w:line="240" w:lineRule="auto"/>
        <w:ind w:left="480" w:hanging="480"/>
        <w:jc w:val="left"/>
        <w:rPr>
          <w:lang w:val="en-AU"/>
        </w:rPr>
      </w:pPr>
      <w:bookmarkStart w:id="33" w:name="_Ref338343234"/>
      <w:bookmarkStart w:id="34" w:name="_Toc338242160"/>
      <w:bookmarkStart w:id="35" w:name="_Toc361651491"/>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8</w:t>
      </w:r>
      <w:r w:rsidR="005F6FF5" w:rsidRPr="007D6EB4">
        <w:rPr>
          <w:b/>
          <w:lang w:val="en-AU"/>
        </w:rPr>
        <w:fldChar w:fldCharType="end"/>
      </w:r>
      <w:bookmarkEnd w:id="33"/>
      <w:r w:rsidR="00E5277F">
        <w:rPr>
          <w:lang w:val="en-AU"/>
        </w:rPr>
        <w:t>.</w:t>
      </w:r>
      <w:r w:rsidRPr="007D6EB4">
        <w:rPr>
          <w:lang w:val="en-AU"/>
        </w:rPr>
        <w:t xml:space="preserve"> Extent of the central GBR </w:t>
      </w:r>
      <w:r w:rsidR="00D000B3" w:rsidRPr="007D6EB4">
        <w:rPr>
          <w:lang w:val="en-AU"/>
        </w:rPr>
        <w:t>coastal model grid</w:t>
      </w:r>
      <w:r w:rsidRPr="007D6EB4">
        <w:rPr>
          <w:lang w:val="en-AU"/>
        </w:rPr>
        <w:t>. Note the smaller grid cells along the coastline and around islands to recreate the complex flows. The inset shows the smaller grid cells neighbouring Port of Cairns</w:t>
      </w:r>
      <w:r w:rsidR="00315A1D" w:rsidRPr="007D6EB4">
        <w:rPr>
          <w:lang w:val="en-AU"/>
        </w:rPr>
        <w:t xml:space="preserve"> with the yellow box defining the location of the existing </w:t>
      </w:r>
      <w:r w:rsidR="00E91BF9">
        <w:rPr>
          <w:lang w:val="en-AU"/>
        </w:rPr>
        <w:t>dredge material placement site</w:t>
      </w:r>
      <w:r w:rsidRPr="007D6EB4">
        <w:rPr>
          <w:lang w:val="en-AU"/>
        </w:rPr>
        <w:t>.</w:t>
      </w:r>
      <w:bookmarkEnd w:id="34"/>
      <w:bookmarkEnd w:id="35"/>
    </w:p>
    <w:p w:rsidR="00403810" w:rsidRPr="007D6EB4" w:rsidRDefault="0041654C" w:rsidP="00EC0510">
      <w:pPr>
        <w:pStyle w:val="StyleLeft"/>
        <w:rPr>
          <w:lang w:val="en-AU"/>
        </w:rPr>
      </w:pPr>
      <w:r w:rsidRPr="006A22FE">
        <w:rPr>
          <w:noProof/>
          <w:bdr w:val="single" w:sz="4" w:space="0" w:color="auto"/>
          <w:lang w:val="en-AU" w:eastAsia="en-AU"/>
        </w:rPr>
        <w:lastRenderedPageBreak/>
        <w:drawing>
          <wp:inline distT="0" distB="0" distL="0" distR="0" wp14:anchorId="09D4ACA7" wp14:editId="3EF039D1">
            <wp:extent cx="8025451" cy="4860000"/>
            <wp:effectExtent l="0" t="0" r="0" b="0"/>
            <wp:docPr id="25" name="Picture 25" descr="Figure 9 shows the extent of the northern GBR coastal current model grid, along with insets of the smaller grid cells neighbouring Port of Cooktown  and the existing material placement site. " title="Figure 9. Extent of the northern GBR coastal model grid. Note the smaller grid cells along the coastline and around islands to recreate the complex flows. The inset shows the smaller grid cells neighbouring Port of Cooktown with the yellow box defining the location of the existing dredge material placemen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Q:\Projects\Q0110 GBRMPA-SKM QLD disposal site selection\8. Figures\Location&amp;Grid_Maps\HYDROMAP_Grids\COOKTOWN.tif"/>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8025451" cy="4860000"/>
                    </a:xfrm>
                    <a:prstGeom prst="rect">
                      <a:avLst/>
                    </a:prstGeom>
                    <a:noFill/>
                    <a:ln>
                      <a:noFill/>
                    </a:ln>
                  </pic:spPr>
                </pic:pic>
              </a:graphicData>
            </a:graphic>
          </wp:inline>
        </w:drawing>
      </w:r>
    </w:p>
    <w:p w:rsidR="00C16F64" w:rsidRPr="007D6EB4" w:rsidRDefault="00BE7727" w:rsidP="00EC0510">
      <w:pPr>
        <w:pStyle w:val="Caption"/>
        <w:spacing w:line="240" w:lineRule="auto"/>
        <w:ind w:left="480" w:hanging="480"/>
        <w:jc w:val="left"/>
        <w:rPr>
          <w:lang w:val="en-AU"/>
        </w:rPr>
      </w:pPr>
      <w:bookmarkStart w:id="36" w:name="_Ref338421390"/>
      <w:bookmarkStart w:id="37" w:name="_Toc361651492"/>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9</w:t>
      </w:r>
      <w:r w:rsidR="005F6FF5" w:rsidRPr="007D6EB4">
        <w:rPr>
          <w:b/>
          <w:lang w:val="en-AU"/>
        </w:rPr>
        <w:fldChar w:fldCharType="end"/>
      </w:r>
      <w:bookmarkEnd w:id="36"/>
      <w:r w:rsidR="00E5277F">
        <w:rPr>
          <w:b/>
          <w:lang w:val="en-AU"/>
        </w:rPr>
        <w:t>.</w:t>
      </w:r>
      <w:r w:rsidRPr="007D6EB4">
        <w:rPr>
          <w:lang w:val="en-AU"/>
        </w:rPr>
        <w:t xml:space="preserve"> Extent of the </w:t>
      </w:r>
      <w:r w:rsidR="00D000B3" w:rsidRPr="007D6EB4">
        <w:rPr>
          <w:lang w:val="en-AU"/>
        </w:rPr>
        <w:t>northern</w:t>
      </w:r>
      <w:r w:rsidRPr="007D6EB4">
        <w:rPr>
          <w:lang w:val="en-AU"/>
        </w:rPr>
        <w:t xml:space="preserve"> GBR </w:t>
      </w:r>
      <w:r w:rsidR="00D000B3" w:rsidRPr="007D6EB4">
        <w:rPr>
          <w:lang w:val="en-AU"/>
        </w:rPr>
        <w:t>coastal model grid</w:t>
      </w:r>
      <w:r w:rsidRPr="007D6EB4">
        <w:rPr>
          <w:lang w:val="en-AU"/>
        </w:rPr>
        <w:t xml:space="preserve">. Note the smaller grid cells along the coastline and around islands to recreate the complex flows. The inset shows the smaller grid cells neighbouring Port of </w:t>
      </w:r>
      <w:r w:rsidR="00945E3A" w:rsidRPr="007D6EB4">
        <w:rPr>
          <w:lang w:val="en-AU"/>
        </w:rPr>
        <w:t xml:space="preserve">Cooktown </w:t>
      </w:r>
      <w:r w:rsidR="00315A1D" w:rsidRPr="007D6EB4">
        <w:rPr>
          <w:lang w:val="en-AU"/>
        </w:rPr>
        <w:t xml:space="preserve">with the yellow box defining the location of the existing </w:t>
      </w:r>
      <w:r w:rsidR="00E91BF9">
        <w:rPr>
          <w:lang w:val="en-AU"/>
        </w:rPr>
        <w:t>dredge material placement site</w:t>
      </w:r>
      <w:r w:rsidRPr="007D6EB4">
        <w:rPr>
          <w:lang w:val="en-AU"/>
        </w:rPr>
        <w:t>.</w:t>
      </w:r>
      <w:bookmarkEnd w:id="37"/>
    </w:p>
    <w:p w:rsidR="00315A1D" w:rsidRPr="007D6EB4" w:rsidRDefault="00315A1D" w:rsidP="00617543">
      <w:pPr>
        <w:pStyle w:val="Para0"/>
        <w:rPr>
          <w:lang w:val="en-AU"/>
        </w:rPr>
        <w:sectPr w:rsidR="00315A1D" w:rsidRPr="007D6EB4" w:rsidSect="00791DEB">
          <w:pgSz w:w="16840" w:h="11907" w:orient="landscape" w:code="9"/>
          <w:pgMar w:top="1701" w:right="1418" w:bottom="1134" w:left="1418" w:header="567" w:footer="567" w:gutter="0"/>
          <w:cols w:space="720"/>
          <w:formProt w:val="0"/>
          <w:docGrid w:linePitch="299"/>
        </w:sectPr>
      </w:pPr>
    </w:p>
    <w:p w:rsidR="00525868" w:rsidRPr="007D6EB4" w:rsidRDefault="00C16F64" w:rsidP="00E46224">
      <w:pPr>
        <w:pStyle w:val="Heading4"/>
      </w:pPr>
      <w:r w:rsidRPr="007D6EB4">
        <w:lastRenderedPageBreak/>
        <w:t>Tidal and Wind Forcing</w:t>
      </w:r>
    </w:p>
    <w:p w:rsidR="00E35859" w:rsidRPr="007D6EB4" w:rsidRDefault="00ED66ED" w:rsidP="00EC0510">
      <w:pPr>
        <w:pStyle w:val="StyleLeft"/>
        <w:rPr>
          <w:lang w:val="en-AU"/>
        </w:rPr>
      </w:pPr>
      <w:r w:rsidRPr="007D6EB4">
        <w:rPr>
          <w:lang w:val="en-AU"/>
        </w:rPr>
        <w:t xml:space="preserve">Tidal forcing </w:t>
      </w:r>
      <w:r w:rsidR="002B7282" w:rsidRPr="007D6EB4">
        <w:rPr>
          <w:lang w:val="en-AU"/>
        </w:rPr>
        <w:t xml:space="preserve">data </w:t>
      </w:r>
      <w:r w:rsidRPr="007D6EB4">
        <w:rPr>
          <w:lang w:val="en-AU"/>
        </w:rPr>
        <w:t xml:space="preserve">(amplitude and phase records) along the </w:t>
      </w:r>
      <w:r w:rsidR="007865F5" w:rsidRPr="007D6EB4">
        <w:rPr>
          <w:lang w:val="en-AU"/>
        </w:rPr>
        <w:t xml:space="preserve">southern, eastern and northern boundaries </w:t>
      </w:r>
      <w:r w:rsidRPr="007D6EB4">
        <w:rPr>
          <w:lang w:val="en-AU"/>
        </w:rPr>
        <w:t xml:space="preserve">ocean boundaries of the coastal current grids </w:t>
      </w:r>
      <w:r w:rsidR="002B7282" w:rsidRPr="007D6EB4">
        <w:rPr>
          <w:lang w:val="en-AU"/>
        </w:rPr>
        <w:t xml:space="preserve">were </w:t>
      </w:r>
      <w:r w:rsidRPr="007D6EB4">
        <w:rPr>
          <w:lang w:val="en-AU"/>
        </w:rPr>
        <w:t xml:space="preserve">extracted from the Topex/Poseidon global tidal database (TPX07.1). </w:t>
      </w:r>
      <w:r w:rsidR="00BE3800">
        <w:rPr>
          <w:lang w:val="en-AU"/>
        </w:rPr>
        <w:t>The</w:t>
      </w:r>
      <w:r w:rsidR="00D1419F" w:rsidRPr="007D6EB4">
        <w:rPr>
          <w:lang w:val="en-AU"/>
        </w:rPr>
        <w:t xml:space="preserve"> </w:t>
      </w:r>
      <w:r w:rsidRPr="007D6EB4">
        <w:rPr>
          <w:lang w:val="en-AU"/>
        </w:rPr>
        <w:t>data is derived from long-term measurements taken by the Topex/Poseidon</w:t>
      </w:r>
      <w:r w:rsidR="00C84E9F">
        <w:rPr>
          <w:lang w:val="en-AU"/>
        </w:rPr>
        <w:t xml:space="preserve"> satellites collected over a 13 </w:t>
      </w:r>
      <w:r w:rsidRPr="007D6EB4">
        <w:rPr>
          <w:lang w:val="en-AU"/>
        </w:rPr>
        <w:t xml:space="preserve">year period (1992-2005), during which time the planet </w:t>
      </w:r>
      <w:r w:rsidR="00BE3800">
        <w:rPr>
          <w:lang w:val="en-AU"/>
        </w:rPr>
        <w:t xml:space="preserve">was orbited </w:t>
      </w:r>
      <w:r w:rsidRPr="007D6EB4">
        <w:rPr>
          <w:lang w:val="en-AU"/>
        </w:rPr>
        <w:t xml:space="preserve">62,000 times. </w:t>
      </w:r>
      <w:r w:rsidR="00BE3800">
        <w:rPr>
          <w:lang w:val="en-AU"/>
        </w:rPr>
        <w:t xml:space="preserve">It </w:t>
      </w:r>
      <w:r w:rsidRPr="007D6EB4">
        <w:rPr>
          <w:lang w:val="en-AU"/>
        </w:rPr>
        <w:t>has a resolution of 0.25 degrees (465 m) globally, and is produced and quality controlled by</w:t>
      </w:r>
      <w:r w:rsidR="00966ED9" w:rsidRPr="007D6EB4">
        <w:rPr>
          <w:lang w:val="en-AU"/>
        </w:rPr>
        <w:t xml:space="preserve"> the</w:t>
      </w:r>
      <w:r w:rsidRPr="007D6EB4">
        <w:rPr>
          <w:lang w:val="en-AU"/>
        </w:rPr>
        <w:t xml:space="preserve"> </w:t>
      </w:r>
      <w:r w:rsidR="00EA7192">
        <w:rPr>
          <w:lang w:val="en-AU"/>
        </w:rPr>
        <w:t xml:space="preserve">United States </w:t>
      </w:r>
      <w:r w:rsidRPr="007D6EB4">
        <w:rPr>
          <w:lang w:val="en-AU"/>
        </w:rPr>
        <w:t>National Aeronautics and Space Administration (NASA). The satellites were equipped with two highly accurate altimeters, capable of taking sea level measurements at an accuracy of less than ± 1 cm ("</w:t>
      </w:r>
      <w:hyperlink r:id="rId45" w:tooltip="http://topex-www.jpl.nasa.gov/mission/topex.html" w:history="1">
        <w:r w:rsidRPr="007D6EB4">
          <w:rPr>
            <w:rStyle w:val="Hyperlink"/>
            <w:color w:val="auto"/>
            <w:lang w:val="en-AU"/>
          </w:rPr>
          <w:t>Ocean Surface Topography from Space</w:t>
        </w:r>
      </w:hyperlink>
      <w:r w:rsidRPr="007D6EB4">
        <w:rPr>
          <w:lang w:val="en-AU"/>
        </w:rPr>
        <w:t xml:space="preserve">" NASA/JPL). The Topex/Poseidon tidal data </w:t>
      </w:r>
      <w:r w:rsidR="003510FE">
        <w:rPr>
          <w:lang w:val="en-AU"/>
        </w:rPr>
        <w:t>have</w:t>
      </w:r>
      <w:r w:rsidRPr="007D6EB4">
        <w:rPr>
          <w:lang w:val="en-AU"/>
        </w:rPr>
        <w:t xml:space="preserve"> been widely used amongst the oceanographic and scientific community </w:t>
      </w:r>
      <w:r w:rsidR="00D1419F" w:rsidRPr="007D6EB4">
        <w:rPr>
          <w:lang w:val="en-AU"/>
        </w:rPr>
        <w:t xml:space="preserve">and is considered suitably accurate </w:t>
      </w:r>
      <w:r w:rsidRPr="007D6EB4">
        <w:rPr>
          <w:lang w:val="en-AU"/>
        </w:rPr>
        <w:t>(e.g</w:t>
      </w:r>
      <w:r w:rsidR="00EA7192" w:rsidRPr="007D6EB4">
        <w:rPr>
          <w:lang w:val="en-AU"/>
        </w:rPr>
        <w:t xml:space="preserve">. </w:t>
      </w:r>
      <w:r w:rsidRPr="007D6EB4">
        <w:rPr>
          <w:lang w:val="en-AU"/>
        </w:rPr>
        <w:t xml:space="preserve">Ludicone et al. 1998; Kostianoy et al. 2003; Yaremchuk </w:t>
      </w:r>
      <w:r w:rsidR="00C0603C">
        <w:rPr>
          <w:lang w:val="en-AU"/>
        </w:rPr>
        <w:t>&amp;</w:t>
      </w:r>
      <w:r w:rsidRPr="007D6EB4">
        <w:rPr>
          <w:lang w:val="en-AU"/>
        </w:rPr>
        <w:t xml:space="preserve"> Tangdong 2004; Qiu </w:t>
      </w:r>
      <w:r w:rsidR="00C0603C">
        <w:rPr>
          <w:lang w:val="en-AU"/>
        </w:rPr>
        <w:t>&amp;</w:t>
      </w:r>
      <w:r w:rsidRPr="007D6EB4">
        <w:rPr>
          <w:lang w:val="en-AU"/>
        </w:rPr>
        <w:t xml:space="preserve"> Chen 2010)</w:t>
      </w:r>
      <w:r w:rsidR="00C84E9F">
        <w:rPr>
          <w:lang w:val="en-AU"/>
        </w:rPr>
        <w:t>.</w:t>
      </w:r>
    </w:p>
    <w:p w:rsidR="00ED66ED" w:rsidRPr="007D6EB4" w:rsidRDefault="00A407E7" w:rsidP="00EC0510">
      <w:pPr>
        <w:pStyle w:val="StyleLeft"/>
        <w:rPr>
          <w:lang w:val="en-AU"/>
        </w:rPr>
      </w:pPr>
      <w:r w:rsidRPr="007D6EB4">
        <w:rPr>
          <w:lang w:val="en-AU"/>
        </w:rPr>
        <w:t>To account for the tidal forcing</w:t>
      </w:r>
      <w:r w:rsidR="00D1419F" w:rsidRPr="007D6EB4">
        <w:rPr>
          <w:lang w:val="en-AU"/>
        </w:rPr>
        <w:t xml:space="preserve"> over each grid</w:t>
      </w:r>
      <w:r w:rsidRPr="007D6EB4">
        <w:rPr>
          <w:lang w:val="en-AU"/>
        </w:rPr>
        <w:t>, the eight largest and most significant tidal constituents for the area (</w:t>
      </w:r>
      <w:r w:rsidRPr="007D6EB4">
        <w:rPr>
          <w:i/>
          <w:lang w:val="en-AU"/>
        </w:rPr>
        <w:t>M</w:t>
      </w:r>
      <w:r w:rsidRPr="007D6EB4">
        <w:rPr>
          <w:i/>
          <w:vertAlign w:val="subscript"/>
          <w:lang w:val="en-AU"/>
        </w:rPr>
        <w:t>2</w:t>
      </w:r>
      <w:r w:rsidRPr="007D6EB4">
        <w:rPr>
          <w:lang w:val="en-AU"/>
        </w:rPr>
        <w:t xml:space="preserve">, </w:t>
      </w:r>
      <w:r w:rsidRPr="007D6EB4">
        <w:rPr>
          <w:i/>
          <w:lang w:val="en-AU"/>
        </w:rPr>
        <w:t>S</w:t>
      </w:r>
      <w:r w:rsidRPr="007D6EB4">
        <w:rPr>
          <w:i/>
          <w:vertAlign w:val="subscript"/>
          <w:lang w:val="en-AU"/>
        </w:rPr>
        <w:t>2</w:t>
      </w:r>
      <w:r w:rsidRPr="007D6EB4">
        <w:rPr>
          <w:lang w:val="en-AU"/>
        </w:rPr>
        <w:t xml:space="preserve">, </w:t>
      </w:r>
      <w:r w:rsidRPr="007D6EB4">
        <w:rPr>
          <w:i/>
          <w:lang w:val="en-AU"/>
        </w:rPr>
        <w:t>K</w:t>
      </w:r>
      <w:r w:rsidRPr="007D6EB4">
        <w:rPr>
          <w:i/>
          <w:vertAlign w:val="subscript"/>
          <w:lang w:val="en-AU"/>
        </w:rPr>
        <w:t>1</w:t>
      </w:r>
      <w:r w:rsidRPr="007D6EB4">
        <w:rPr>
          <w:lang w:val="en-AU"/>
        </w:rPr>
        <w:t xml:space="preserve">, </w:t>
      </w:r>
      <w:r w:rsidRPr="007D6EB4">
        <w:rPr>
          <w:i/>
          <w:lang w:val="en-AU"/>
        </w:rPr>
        <w:t>O</w:t>
      </w:r>
      <w:r w:rsidRPr="007D6EB4">
        <w:rPr>
          <w:i/>
          <w:vertAlign w:val="subscript"/>
          <w:lang w:val="en-AU"/>
        </w:rPr>
        <w:t>1</w:t>
      </w:r>
      <w:r w:rsidRPr="007D6EB4">
        <w:rPr>
          <w:lang w:val="en-AU"/>
        </w:rPr>
        <w:t xml:space="preserve">, </w:t>
      </w:r>
      <w:r w:rsidRPr="007D6EB4">
        <w:rPr>
          <w:i/>
          <w:lang w:val="en-AU"/>
        </w:rPr>
        <w:t>N</w:t>
      </w:r>
      <w:r w:rsidRPr="007D6EB4">
        <w:rPr>
          <w:i/>
          <w:vertAlign w:val="subscript"/>
          <w:lang w:val="en-AU"/>
        </w:rPr>
        <w:t>2</w:t>
      </w:r>
      <w:r w:rsidRPr="007D6EB4">
        <w:rPr>
          <w:lang w:val="en-AU"/>
        </w:rPr>
        <w:t xml:space="preserve">, </w:t>
      </w:r>
      <w:r w:rsidRPr="007D6EB4">
        <w:rPr>
          <w:i/>
          <w:lang w:val="en-AU"/>
        </w:rPr>
        <w:t>P</w:t>
      </w:r>
      <w:r w:rsidRPr="007D6EB4">
        <w:rPr>
          <w:i/>
          <w:vertAlign w:val="subscript"/>
          <w:lang w:val="en-AU"/>
        </w:rPr>
        <w:t>1</w:t>
      </w:r>
      <w:r w:rsidRPr="007D6EB4">
        <w:rPr>
          <w:lang w:val="en-AU"/>
        </w:rPr>
        <w:t xml:space="preserve">, </w:t>
      </w:r>
      <w:r w:rsidRPr="007D6EB4">
        <w:rPr>
          <w:i/>
          <w:lang w:val="en-AU"/>
        </w:rPr>
        <w:t>K</w:t>
      </w:r>
      <w:r w:rsidRPr="007D6EB4">
        <w:rPr>
          <w:i/>
          <w:vertAlign w:val="subscript"/>
          <w:lang w:val="en-AU"/>
        </w:rPr>
        <w:t>2</w:t>
      </w:r>
      <w:r w:rsidRPr="007D6EB4">
        <w:rPr>
          <w:lang w:val="en-AU"/>
        </w:rPr>
        <w:t xml:space="preserve">, and </w:t>
      </w:r>
      <w:r w:rsidRPr="007D6EB4">
        <w:rPr>
          <w:i/>
          <w:lang w:val="en-AU"/>
        </w:rPr>
        <w:t>Q</w:t>
      </w:r>
      <w:r w:rsidRPr="007D6EB4">
        <w:rPr>
          <w:i/>
          <w:vertAlign w:val="subscript"/>
          <w:lang w:val="en-AU"/>
        </w:rPr>
        <w:t>1</w:t>
      </w:r>
      <w:r w:rsidRPr="007D6EB4">
        <w:rPr>
          <w:lang w:val="en-AU"/>
        </w:rPr>
        <w:t>) were selected at a resolution of 0.25</w:t>
      </w:r>
      <w:r w:rsidR="00D1419F" w:rsidRPr="007D6EB4">
        <w:rPr>
          <w:lang w:val="en-AU"/>
        </w:rPr>
        <w:t>° and spatially interpolated across the cells forming the coastal boundaries. The HYDROMAP model used this data to calculate the relative elevation of the ocean along the boundaries the slope and hence propagation of the tide into the domains.</w:t>
      </w:r>
    </w:p>
    <w:p w:rsidR="00C52031" w:rsidRDefault="00C52031" w:rsidP="00EC0510">
      <w:pPr>
        <w:pStyle w:val="StyleLeft"/>
        <w:rPr>
          <w:lang w:val="en-AU"/>
        </w:rPr>
      </w:pPr>
      <w:r w:rsidRPr="007D6EB4">
        <w:rPr>
          <w:lang w:val="en-AU"/>
        </w:rPr>
        <w:t xml:space="preserve">To ensure </w:t>
      </w:r>
      <w:r w:rsidR="000F4137">
        <w:rPr>
          <w:lang w:val="en-AU"/>
        </w:rPr>
        <w:t xml:space="preserve">the model </w:t>
      </w:r>
      <w:r w:rsidR="00C16F64" w:rsidRPr="007D6EB4">
        <w:rPr>
          <w:lang w:val="en-AU"/>
        </w:rPr>
        <w:t xml:space="preserve">was accurately </w:t>
      </w:r>
      <w:r w:rsidR="000F4137">
        <w:rPr>
          <w:lang w:val="en-AU"/>
        </w:rPr>
        <w:t>predicting</w:t>
      </w:r>
      <w:r w:rsidR="00EB0318" w:rsidRPr="007D6EB4">
        <w:rPr>
          <w:lang w:val="en-AU"/>
        </w:rPr>
        <w:t xml:space="preserve"> </w:t>
      </w:r>
      <w:r w:rsidR="00B2501B" w:rsidRPr="007D6EB4">
        <w:rPr>
          <w:lang w:val="en-AU"/>
        </w:rPr>
        <w:t xml:space="preserve">the propagation of the </w:t>
      </w:r>
      <w:r w:rsidR="00EB0318" w:rsidRPr="007D6EB4">
        <w:rPr>
          <w:lang w:val="en-AU"/>
        </w:rPr>
        <w:t>tidal elevations over the grid</w:t>
      </w:r>
      <w:r w:rsidR="00D1419F" w:rsidRPr="007D6EB4">
        <w:rPr>
          <w:lang w:val="en-AU"/>
        </w:rPr>
        <w:t xml:space="preserve">, </w:t>
      </w:r>
      <w:r w:rsidR="000F4137">
        <w:rPr>
          <w:lang w:val="en-AU"/>
        </w:rPr>
        <w:t xml:space="preserve">which </w:t>
      </w:r>
      <w:r w:rsidR="00EB0318" w:rsidRPr="007D6EB4">
        <w:rPr>
          <w:lang w:val="en-AU"/>
        </w:rPr>
        <w:t>includ</w:t>
      </w:r>
      <w:r w:rsidR="000F4137">
        <w:rPr>
          <w:lang w:val="en-AU"/>
        </w:rPr>
        <w:t>es</w:t>
      </w:r>
      <w:r w:rsidR="00EB0318" w:rsidRPr="007D6EB4">
        <w:rPr>
          <w:lang w:val="en-AU"/>
        </w:rPr>
        <w:t xml:space="preserve"> </w:t>
      </w:r>
      <w:r w:rsidR="00B2501B" w:rsidRPr="007D6EB4">
        <w:rPr>
          <w:lang w:val="en-AU"/>
        </w:rPr>
        <w:t xml:space="preserve">the effects </w:t>
      </w:r>
      <w:r w:rsidR="00EB0318" w:rsidRPr="007D6EB4">
        <w:rPr>
          <w:lang w:val="en-AU"/>
        </w:rPr>
        <w:t xml:space="preserve">of </w:t>
      </w:r>
      <w:r w:rsidR="00B2501B" w:rsidRPr="007D6EB4">
        <w:rPr>
          <w:lang w:val="en-AU"/>
        </w:rPr>
        <w:t xml:space="preserve">the numerous reefs (over 2,900) and continental islands (600), </w:t>
      </w:r>
      <w:r w:rsidRPr="007D6EB4">
        <w:rPr>
          <w:lang w:val="en-AU"/>
        </w:rPr>
        <w:t xml:space="preserve">water elevations </w:t>
      </w:r>
      <w:r w:rsidR="00EB0318" w:rsidRPr="007D6EB4">
        <w:rPr>
          <w:lang w:val="en-AU"/>
        </w:rPr>
        <w:t xml:space="preserve">predicted by the model </w:t>
      </w:r>
      <w:r w:rsidRPr="007D6EB4">
        <w:rPr>
          <w:lang w:val="en-AU"/>
        </w:rPr>
        <w:t xml:space="preserve">were compared </w:t>
      </w:r>
      <w:r w:rsidR="00771BE4">
        <w:rPr>
          <w:lang w:val="en-AU"/>
        </w:rPr>
        <w:t>with</w:t>
      </w:r>
      <w:r w:rsidRPr="007D6EB4">
        <w:rPr>
          <w:lang w:val="en-AU"/>
        </w:rPr>
        <w:t xml:space="preserve"> observed data </w:t>
      </w:r>
      <w:r w:rsidR="00EB0318" w:rsidRPr="007D6EB4">
        <w:rPr>
          <w:lang w:val="en-AU"/>
        </w:rPr>
        <w:t xml:space="preserve">at </w:t>
      </w:r>
      <w:r w:rsidRPr="007D6EB4">
        <w:rPr>
          <w:lang w:val="en-AU"/>
        </w:rPr>
        <w:t xml:space="preserve">nine tide stations </w:t>
      </w:r>
      <w:r w:rsidR="00EB0318" w:rsidRPr="007D6EB4">
        <w:rPr>
          <w:lang w:val="en-AU"/>
        </w:rPr>
        <w:t xml:space="preserve">located </w:t>
      </w:r>
      <w:r w:rsidRPr="007D6EB4">
        <w:rPr>
          <w:lang w:val="en-AU"/>
        </w:rPr>
        <w:t xml:space="preserve">along the Queensland coastline </w:t>
      </w:r>
      <w:r w:rsidR="00EB0318" w:rsidRPr="007D6EB4">
        <w:rPr>
          <w:lang w:val="en-AU"/>
        </w:rPr>
        <w:t>over a randomly selected month within 2011 (</w:t>
      </w:r>
      <w:r w:rsidRPr="007D6EB4">
        <w:rPr>
          <w:lang w:val="en-AU"/>
        </w:rPr>
        <w:t>1 to 30 November 2011</w:t>
      </w:r>
      <w:r w:rsidR="00EB0318" w:rsidRPr="007D6EB4">
        <w:rPr>
          <w:lang w:val="en-AU"/>
        </w:rPr>
        <w:t>)</w:t>
      </w:r>
      <w:r w:rsidRPr="007D6EB4">
        <w:rPr>
          <w:lang w:val="en-AU"/>
        </w:rPr>
        <w:t>.</w:t>
      </w:r>
      <w:r w:rsidR="0043422D">
        <w:rPr>
          <w:lang w:val="en-AU"/>
        </w:rPr>
        <w:t xml:space="preserve"> </w:t>
      </w:r>
      <w:r w:rsidR="00693B03">
        <w:fldChar w:fldCharType="begin"/>
      </w:r>
      <w:r w:rsidR="00693B03">
        <w:instrText xml:space="preserve"> REF _Ref338344466 \h  \* MERGEFORMAT </w:instrText>
      </w:r>
      <w:r w:rsidR="00693B03">
        <w:fldChar w:fldCharType="separate"/>
      </w:r>
      <w:r w:rsidR="00751BC4" w:rsidRPr="00751BC4">
        <w:rPr>
          <w:lang w:val="en-AU"/>
        </w:rPr>
        <w:t xml:space="preserve">Figure </w:t>
      </w:r>
      <w:r w:rsidR="00751BC4" w:rsidRPr="00751BC4">
        <w:rPr>
          <w:noProof/>
          <w:lang w:val="en-AU"/>
        </w:rPr>
        <w:t>10</w:t>
      </w:r>
      <w:r w:rsidR="00693B03">
        <w:fldChar w:fldCharType="end"/>
      </w:r>
      <w:r w:rsidR="00C375FC" w:rsidRPr="007D6EB4">
        <w:rPr>
          <w:lang w:val="en-AU"/>
        </w:rPr>
        <w:t xml:space="preserve"> </w:t>
      </w:r>
      <w:r w:rsidR="007B0370" w:rsidRPr="007D6EB4">
        <w:rPr>
          <w:lang w:val="en-AU"/>
        </w:rPr>
        <w:t xml:space="preserve">to </w:t>
      </w:r>
      <w:r w:rsidR="00BF07E9" w:rsidRPr="00BF07E9">
        <w:fldChar w:fldCharType="begin"/>
      </w:r>
      <w:r w:rsidR="00BF07E9" w:rsidRPr="00BF07E9">
        <w:instrText xml:space="preserve"> REF  _Ref338426952 \* Lower \h  \* MERGEFORMAT </w:instrText>
      </w:r>
      <w:r w:rsidR="00BF07E9" w:rsidRPr="00BF07E9">
        <w:fldChar w:fldCharType="separate"/>
      </w:r>
      <w:r w:rsidR="00751BC4" w:rsidRPr="00751BC4">
        <w:rPr>
          <w:lang w:val="en-AU"/>
        </w:rPr>
        <w:t xml:space="preserve">figure </w:t>
      </w:r>
      <w:r w:rsidR="00751BC4" w:rsidRPr="00751BC4">
        <w:rPr>
          <w:noProof/>
          <w:lang w:val="en-AU"/>
        </w:rPr>
        <w:t>12</w:t>
      </w:r>
      <w:r w:rsidR="00BF07E9" w:rsidRPr="00BF07E9">
        <w:fldChar w:fldCharType="end"/>
      </w:r>
      <w:r w:rsidR="00B2501B" w:rsidRPr="007D6EB4">
        <w:rPr>
          <w:lang w:val="en-AU"/>
        </w:rPr>
        <w:t xml:space="preserve"> </w:t>
      </w:r>
      <w:r w:rsidR="00BE3800">
        <w:rPr>
          <w:lang w:val="en-AU"/>
        </w:rPr>
        <w:t xml:space="preserve">show </w:t>
      </w:r>
      <w:r w:rsidR="00B2501B" w:rsidRPr="007D6EB4">
        <w:rPr>
          <w:lang w:val="en-AU"/>
        </w:rPr>
        <w:t>the model accurately reproduc</w:t>
      </w:r>
      <w:r w:rsidR="007B0370" w:rsidRPr="007D6EB4">
        <w:rPr>
          <w:lang w:val="en-AU"/>
        </w:rPr>
        <w:t>ed</w:t>
      </w:r>
      <w:r w:rsidRPr="007D6EB4">
        <w:rPr>
          <w:lang w:val="en-AU"/>
        </w:rPr>
        <w:t xml:space="preserve"> the phase and amplitudes throughout the spring and neap tidal cycles at all tide stations</w:t>
      </w:r>
      <w:r w:rsidR="00EB0318" w:rsidRPr="007D6EB4">
        <w:rPr>
          <w:lang w:val="en-AU"/>
        </w:rPr>
        <w:t>, including the inequalities in the semidiurnal and mixed phase tidal patterns.</w:t>
      </w:r>
    </w:p>
    <w:p w:rsidR="009F7AB8" w:rsidRPr="00216B8E" w:rsidRDefault="00693B03" w:rsidP="001B1AFE">
      <w:pPr>
        <w:pStyle w:val="Para0"/>
      </w:pPr>
      <w:r w:rsidRPr="00462939">
        <w:fldChar w:fldCharType="begin"/>
      </w:r>
      <w:r w:rsidRPr="00462939">
        <w:instrText xml:space="preserve"> REF _Ref340245889 \h  \* MERGEFORMAT </w:instrText>
      </w:r>
      <w:r w:rsidRPr="00462939">
        <w:fldChar w:fldCharType="separate"/>
      </w:r>
      <w:r w:rsidR="00751BC4" w:rsidRPr="00751BC4">
        <w:t>Table 1</w:t>
      </w:r>
      <w:r w:rsidRPr="00462939">
        <w:fldChar w:fldCharType="end"/>
      </w:r>
      <w:r w:rsidR="00AF0050" w:rsidRPr="00462939">
        <w:t xml:space="preserve"> </w:t>
      </w:r>
      <w:r w:rsidR="009F7AB8" w:rsidRPr="00462939">
        <w:t xml:space="preserve">to </w:t>
      </w:r>
      <w:r w:rsidR="00383842" w:rsidRPr="00383842">
        <w:fldChar w:fldCharType="begin"/>
      </w:r>
      <w:r w:rsidR="00383842" w:rsidRPr="00383842">
        <w:instrText xml:space="preserve"> REF  _Ref340245132 \* Lower \h  \* MERGEFORMAT </w:instrText>
      </w:r>
      <w:r w:rsidR="00383842" w:rsidRPr="00383842">
        <w:fldChar w:fldCharType="separate"/>
      </w:r>
      <w:r w:rsidR="00751BC4" w:rsidRPr="00751BC4">
        <w:t xml:space="preserve">table </w:t>
      </w:r>
      <w:r w:rsidR="00751BC4" w:rsidRPr="00751BC4">
        <w:rPr>
          <w:noProof/>
        </w:rPr>
        <w:t>3</w:t>
      </w:r>
      <w:r w:rsidR="00383842" w:rsidRPr="00383842">
        <w:fldChar w:fldCharType="end"/>
      </w:r>
      <w:r w:rsidR="009F7AB8" w:rsidRPr="00462939">
        <w:t xml:space="preserve"> p</w:t>
      </w:r>
      <w:r w:rsidR="009F7AB8" w:rsidRPr="00C05C0B">
        <w:t xml:space="preserve">rovide summaries of the comparisons between the measured and predicted water elevations between 1 </w:t>
      </w:r>
      <w:r w:rsidR="00C84E9F">
        <w:t>and</w:t>
      </w:r>
      <w:r w:rsidR="009F7AB8" w:rsidRPr="00C05C0B">
        <w:t xml:space="preserve"> 30 November 2011 </w:t>
      </w:r>
      <w:r w:rsidR="00215BB7">
        <w:t xml:space="preserve">at </w:t>
      </w:r>
      <w:r w:rsidR="005267C9">
        <w:t xml:space="preserve">nine </w:t>
      </w:r>
      <w:r w:rsidR="00215BB7">
        <w:t>locations (Gladstone, Ross</w:t>
      </w:r>
      <w:r w:rsidR="009F7AB8" w:rsidRPr="00C05C0B">
        <w:t>l</w:t>
      </w:r>
      <w:r w:rsidR="00215BB7">
        <w:t>y</w:t>
      </w:r>
      <w:r w:rsidR="009F7AB8" w:rsidRPr="00C05C0B">
        <w:t xml:space="preserve">n Bay, Hay Point, Abbot Point, Townsville, Cairns, Cooktown, Pipon Island and Night </w:t>
      </w:r>
      <w:r w:rsidR="009F7AB8" w:rsidRPr="00216B8E">
        <w:t>Island).</w:t>
      </w:r>
    </w:p>
    <w:p w:rsidR="009F7AB8" w:rsidRDefault="009F7AB8" w:rsidP="001B1AFE">
      <w:pPr>
        <w:pStyle w:val="Para0"/>
        <w:rPr>
          <w:lang w:val="en-AU"/>
        </w:rPr>
      </w:pPr>
      <w:r w:rsidRPr="00216B8E">
        <w:rPr>
          <w:lang w:val="en-AU"/>
        </w:rPr>
        <w:t xml:space="preserve">The tables show the maximum, average and minimum predicted water elevations are comparable to the measured water elevations at all </w:t>
      </w:r>
      <w:r w:rsidR="005267C9">
        <w:rPr>
          <w:lang w:val="en-AU"/>
        </w:rPr>
        <w:t>nine</w:t>
      </w:r>
      <w:r w:rsidR="005267C9" w:rsidRPr="00216B8E">
        <w:rPr>
          <w:lang w:val="en-AU"/>
        </w:rPr>
        <w:t xml:space="preserve"> </w:t>
      </w:r>
      <w:r w:rsidRPr="00216B8E">
        <w:rPr>
          <w:lang w:val="en-AU"/>
        </w:rPr>
        <w:t xml:space="preserve">locations. The MAE values ranged from </w:t>
      </w:r>
      <w:r>
        <w:rPr>
          <w:lang w:val="en-AU"/>
        </w:rPr>
        <w:t xml:space="preserve">0.07 m (Cairns) to 0.49 m (Hay Point). </w:t>
      </w:r>
    </w:p>
    <w:p w:rsidR="0073141D" w:rsidRPr="00216B8E" w:rsidRDefault="0073141D" w:rsidP="001B1AFE">
      <w:pPr>
        <w:pStyle w:val="Para0"/>
        <w:rPr>
          <w:lang w:val="en-AU"/>
        </w:rPr>
      </w:pPr>
    </w:p>
    <w:p w:rsidR="00A6519A" w:rsidRDefault="009F7AB8" w:rsidP="0073141D">
      <w:pPr>
        <w:keepNext/>
        <w:spacing w:after="0" w:line="240" w:lineRule="auto"/>
        <w:jc w:val="left"/>
      </w:pPr>
      <w:bookmarkStart w:id="38" w:name="_Ref340245889"/>
      <w:bookmarkStart w:id="39" w:name="_Toc360779373"/>
      <w:r w:rsidRPr="006409E3">
        <w:rPr>
          <w:b/>
        </w:rPr>
        <w:lastRenderedPageBreak/>
        <w:t xml:space="preserve">Table </w:t>
      </w:r>
      <w:r w:rsidR="005F6FF5" w:rsidRPr="006409E3">
        <w:rPr>
          <w:b/>
        </w:rPr>
        <w:fldChar w:fldCharType="begin"/>
      </w:r>
      <w:r w:rsidRPr="006409E3">
        <w:rPr>
          <w:b/>
        </w:rPr>
        <w:instrText xml:space="preserve"> SEQ Table \* ARABIC </w:instrText>
      </w:r>
      <w:r w:rsidR="005F6FF5" w:rsidRPr="006409E3">
        <w:rPr>
          <w:b/>
        </w:rPr>
        <w:fldChar w:fldCharType="separate"/>
      </w:r>
      <w:r w:rsidR="00751BC4">
        <w:rPr>
          <w:b/>
          <w:noProof/>
        </w:rPr>
        <w:t>1</w:t>
      </w:r>
      <w:r w:rsidR="005F6FF5" w:rsidRPr="006409E3">
        <w:rPr>
          <w:b/>
          <w:noProof/>
        </w:rPr>
        <w:fldChar w:fldCharType="end"/>
      </w:r>
      <w:bookmarkEnd w:id="38"/>
      <w:r w:rsidRPr="00324368">
        <w:t xml:space="preserve"> Statistical comparison between the measured </w:t>
      </w:r>
      <w:r w:rsidRPr="00C05C0B">
        <w:t>and predicted water elevation at Gladstone, Rosslyn Bay and Hay Point from 1</w:t>
      </w:r>
      <w:r w:rsidRPr="00C05C0B">
        <w:rPr>
          <w:vertAlign w:val="superscript"/>
        </w:rPr>
        <w:t xml:space="preserve"> </w:t>
      </w:r>
      <w:r w:rsidRPr="00C05C0B">
        <w:t>to 30 November 2011.</w:t>
      </w:r>
      <w:bookmarkEnd w:id="39"/>
    </w:p>
    <w:tbl>
      <w:tblPr>
        <w:tblStyle w:val="TableGrid"/>
        <w:tblW w:w="9242" w:type="dxa"/>
        <w:tblLook w:val="04A0" w:firstRow="1" w:lastRow="0" w:firstColumn="1" w:lastColumn="0" w:noHBand="0" w:noVBand="1"/>
      </w:tblPr>
      <w:tblGrid>
        <w:gridCol w:w="1756"/>
        <w:gridCol w:w="1247"/>
        <w:gridCol w:w="1248"/>
        <w:gridCol w:w="1248"/>
        <w:gridCol w:w="1247"/>
        <w:gridCol w:w="1248"/>
        <w:gridCol w:w="1248"/>
      </w:tblGrid>
      <w:tr w:rsidR="009F7AB8" w:rsidRPr="00963136" w:rsidTr="00C609AB">
        <w:trPr>
          <w:trHeight w:val="510"/>
          <w:tblHeader/>
        </w:trPr>
        <w:tc>
          <w:tcPr>
            <w:tcW w:w="1756" w:type="dxa"/>
            <w:vMerge w:val="restart"/>
            <w:shd w:val="clear" w:color="auto" w:fill="FFFFFF" w:themeFill="background1"/>
            <w:vAlign w:val="center"/>
          </w:tcPr>
          <w:p w:rsidR="009F7AB8" w:rsidRPr="00471441" w:rsidRDefault="00902AC3" w:rsidP="0073141D">
            <w:pPr>
              <w:keepNext/>
              <w:jc w:val="center"/>
              <w:rPr>
                <w:rFonts w:cs="Arial"/>
                <w:b/>
              </w:rPr>
            </w:pPr>
            <w:r>
              <w:rPr>
                <w:rFonts w:cs="Arial"/>
                <w:b/>
              </w:rPr>
              <w:t>Variable</w:t>
            </w:r>
          </w:p>
        </w:tc>
        <w:tc>
          <w:tcPr>
            <w:tcW w:w="7486" w:type="dxa"/>
            <w:gridSpan w:val="6"/>
            <w:vAlign w:val="center"/>
          </w:tcPr>
          <w:p w:rsidR="009F7AB8" w:rsidRDefault="009F7AB8" w:rsidP="0073141D">
            <w:pPr>
              <w:keepNext/>
              <w:spacing w:line="240" w:lineRule="auto"/>
              <w:jc w:val="center"/>
              <w:rPr>
                <w:rFonts w:cs="Arial"/>
                <w:b/>
              </w:rPr>
            </w:pPr>
            <w:r w:rsidRPr="00471441">
              <w:rPr>
                <w:rFonts w:cs="Arial"/>
                <w:b/>
              </w:rPr>
              <w:t>Water elevation</w:t>
            </w:r>
            <w:r>
              <w:rPr>
                <w:rFonts w:cs="Arial"/>
                <w:b/>
              </w:rPr>
              <w:t xml:space="preserve"> (m </w:t>
            </w:r>
            <w:r w:rsidRPr="00471441">
              <w:rPr>
                <w:rFonts w:cs="Arial"/>
                <w:b/>
              </w:rPr>
              <w:t>LAT)</w:t>
            </w:r>
            <w:r w:rsidR="00902AC3">
              <w:rPr>
                <w:rFonts w:cs="Arial"/>
                <w:b/>
              </w:rPr>
              <w:t xml:space="preserve"> for port locations</w:t>
            </w:r>
          </w:p>
        </w:tc>
      </w:tr>
      <w:tr w:rsidR="009F7AB8" w:rsidRPr="00963136" w:rsidTr="00C609AB">
        <w:trPr>
          <w:trHeight w:val="510"/>
          <w:tblHeader/>
        </w:trPr>
        <w:tc>
          <w:tcPr>
            <w:tcW w:w="1756" w:type="dxa"/>
            <w:vMerge/>
            <w:shd w:val="clear" w:color="auto" w:fill="FFFFFF" w:themeFill="background1"/>
            <w:vAlign w:val="center"/>
          </w:tcPr>
          <w:p w:rsidR="009F7AB8" w:rsidRPr="00471441" w:rsidRDefault="009F7AB8" w:rsidP="0073141D">
            <w:pPr>
              <w:keepNext/>
              <w:jc w:val="center"/>
              <w:rPr>
                <w:rFonts w:cs="Arial"/>
              </w:rPr>
            </w:pPr>
          </w:p>
        </w:tc>
        <w:tc>
          <w:tcPr>
            <w:tcW w:w="2495" w:type="dxa"/>
            <w:gridSpan w:val="2"/>
            <w:vAlign w:val="center"/>
          </w:tcPr>
          <w:p w:rsidR="009F7AB8" w:rsidRPr="00471441" w:rsidRDefault="009F7AB8" w:rsidP="0073141D">
            <w:pPr>
              <w:keepNext/>
              <w:spacing w:line="240" w:lineRule="auto"/>
              <w:jc w:val="center"/>
              <w:rPr>
                <w:rFonts w:cs="Arial"/>
                <w:b/>
              </w:rPr>
            </w:pPr>
            <w:r>
              <w:rPr>
                <w:rFonts w:cs="Arial"/>
                <w:b/>
              </w:rPr>
              <w:t>Gladstone</w:t>
            </w:r>
          </w:p>
        </w:tc>
        <w:tc>
          <w:tcPr>
            <w:tcW w:w="2495" w:type="dxa"/>
            <w:gridSpan w:val="2"/>
            <w:vAlign w:val="center"/>
          </w:tcPr>
          <w:p w:rsidR="009F7AB8" w:rsidRPr="00471441" w:rsidRDefault="009F7AB8" w:rsidP="0073141D">
            <w:pPr>
              <w:keepNext/>
              <w:spacing w:line="240" w:lineRule="auto"/>
              <w:jc w:val="center"/>
              <w:rPr>
                <w:rFonts w:cs="Arial"/>
                <w:b/>
              </w:rPr>
            </w:pPr>
            <w:r>
              <w:rPr>
                <w:rFonts w:cs="Arial"/>
                <w:b/>
              </w:rPr>
              <w:t>Rosslyn Bay</w:t>
            </w:r>
          </w:p>
        </w:tc>
        <w:tc>
          <w:tcPr>
            <w:tcW w:w="2496" w:type="dxa"/>
            <w:gridSpan w:val="2"/>
            <w:vAlign w:val="center"/>
          </w:tcPr>
          <w:p w:rsidR="009F7AB8" w:rsidRPr="00471441" w:rsidRDefault="009F7AB8" w:rsidP="0073141D">
            <w:pPr>
              <w:keepNext/>
              <w:spacing w:line="240" w:lineRule="auto"/>
              <w:jc w:val="center"/>
              <w:rPr>
                <w:rFonts w:cs="Arial"/>
                <w:b/>
              </w:rPr>
            </w:pPr>
            <w:r>
              <w:rPr>
                <w:rFonts w:cs="Arial"/>
                <w:b/>
              </w:rPr>
              <w:t>Hay Point</w:t>
            </w:r>
          </w:p>
        </w:tc>
      </w:tr>
      <w:tr w:rsidR="009F7AB8" w:rsidTr="00C609AB">
        <w:trPr>
          <w:trHeight w:hRule="exact" w:val="255"/>
          <w:tblHeader/>
        </w:trPr>
        <w:tc>
          <w:tcPr>
            <w:tcW w:w="1756" w:type="dxa"/>
            <w:vMerge/>
            <w:shd w:val="clear" w:color="auto" w:fill="FFFFFF" w:themeFill="background1"/>
            <w:vAlign w:val="center"/>
          </w:tcPr>
          <w:p w:rsidR="009F7AB8" w:rsidRPr="00471441" w:rsidRDefault="009F7AB8" w:rsidP="0073141D">
            <w:pPr>
              <w:keepNext/>
              <w:jc w:val="center"/>
              <w:rPr>
                <w:rFonts w:cs="Arial"/>
                <w:b/>
              </w:rPr>
            </w:pPr>
          </w:p>
        </w:tc>
        <w:tc>
          <w:tcPr>
            <w:tcW w:w="1247" w:type="dxa"/>
            <w:vAlign w:val="center"/>
          </w:tcPr>
          <w:p w:rsidR="009F7AB8" w:rsidRPr="00471441" w:rsidRDefault="009F7AB8" w:rsidP="0073141D">
            <w:pPr>
              <w:keepNext/>
              <w:spacing w:line="240" w:lineRule="auto"/>
              <w:jc w:val="center"/>
              <w:rPr>
                <w:rFonts w:cs="Arial"/>
                <w:i/>
              </w:rPr>
            </w:pPr>
            <w:r>
              <w:rPr>
                <w:rFonts w:cs="Arial"/>
                <w:i/>
              </w:rPr>
              <w:t>Observed</w:t>
            </w:r>
          </w:p>
        </w:tc>
        <w:tc>
          <w:tcPr>
            <w:tcW w:w="1248" w:type="dxa"/>
            <w:vAlign w:val="center"/>
          </w:tcPr>
          <w:p w:rsidR="009F7AB8" w:rsidRPr="00471441" w:rsidRDefault="009F7AB8" w:rsidP="0073141D">
            <w:pPr>
              <w:keepNext/>
              <w:spacing w:line="240" w:lineRule="auto"/>
              <w:jc w:val="center"/>
              <w:rPr>
                <w:rFonts w:cs="Arial"/>
                <w:i/>
              </w:rPr>
            </w:pPr>
            <w:r w:rsidRPr="00471441">
              <w:rPr>
                <w:rFonts w:cs="Arial"/>
                <w:i/>
              </w:rPr>
              <w:t>Predicted</w:t>
            </w:r>
          </w:p>
        </w:tc>
        <w:tc>
          <w:tcPr>
            <w:tcW w:w="1248" w:type="dxa"/>
            <w:vAlign w:val="center"/>
          </w:tcPr>
          <w:p w:rsidR="009F7AB8" w:rsidRPr="00471441" w:rsidRDefault="009F7AB8" w:rsidP="0073141D">
            <w:pPr>
              <w:keepNext/>
              <w:spacing w:line="240" w:lineRule="auto"/>
              <w:jc w:val="center"/>
              <w:rPr>
                <w:rFonts w:cs="Arial"/>
                <w:i/>
              </w:rPr>
            </w:pPr>
            <w:r>
              <w:rPr>
                <w:rFonts w:cs="Arial"/>
                <w:i/>
              </w:rPr>
              <w:t>Observed</w:t>
            </w:r>
          </w:p>
        </w:tc>
        <w:tc>
          <w:tcPr>
            <w:tcW w:w="1247" w:type="dxa"/>
            <w:vAlign w:val="center"/>
          </w:tcPr>
          <w:p w:rsidR="009F7AB8" w:rsidRPr="00471441" w:rsidRDefault="009F7AB8" w:rsidP="0073141D">
            <w:pPr>
              <w:keepNext/>
              <w:spacing w:line="240" w:lineRule="auto"/>
              <w:jc w:val="center"/>
              <w:rPr>
                <w:rFonts w:cs="Arial"/>
                <w:i/>
              </w:rPr>
            </w:pPr>
            <w:r w:rsidRPr="00471441">
              <w:rPr>
                <w:rFonts w:cs="Arial"/>
                <w:i/>
              </w:rPr>
              <w:t>Predicted</w:t>
            </w:r>
          </w:p>
        </w:tc>
        <w:tc>
          <w:tcPr>
            <w:tcW w:w="1248" w:type="dxa"/>
            <w:vAlign w:val="center"/>
          </w:tcPr>
          <w:p w:rsidR="009F7AB8" w:rsidRPr="00471441" w:rsidRDefault="009F7AB8" w:rsidP="0073141D">
            <w:pPr>
              <w:keepNext/>
              <w:spacing w:line="240" w:lineRule="auto"/>
              <w:jc w:val="center"/>
              <w:rPr>
                <w:rFonts w:cs="Arial"/>
                <w:i/>
              </w:rPr>
            </w:pPr>
            <w:r>
              <w:rPr>
                <w:rFonts w:cs="Arial"/>
                <w:i/>
              </w:rPr>
              <w:t>Observed</w:t>
            </w:r>
          </w:p>
        </w:tc>
        <w:tc>
          <w:tcPr>
            <w:tcW w:w="1248" w:type="dxa"/>
            <w:vAlign w:val="center"/>
          </w:tcPr>
          <w:p w:rsidR="009F7AB8" w:rsidRPr="00471441" w:rsidRDefault="009F7AB8" w:rsidP="0073141D">
            <w:pPr>
              <w:keepNext/>
              <w:spacing w:line="240" w:lineRule="auto"/>
              <w:jc w:val="center"/>
              <w:rPr>
                <w:rFonts w:cs="Arial"/>
                <w:i/>
              </w:rPr>
            </w:pPr>
            <w:r w:rsidRPr="00471441">
              <w:rPr>
                <w:rFonts w:cs="Arial"/>
                <w:i/>
              </w:rPr>
              <w:t>Predicted</w:t>
            </w:r>
          </w:p>
        </w:tc>
      </w:tr>
      <w:tr w:rsidR="009F7AB8" w:rsidTr="007860EB">
        <w:trPr>
          <w:trHeight w:hRule="exact" w:val="510"/>
        </w:trPr>
        <w:tc>
          <w:tcPr>
            <w:tcW w:w="1756" w:type="dxa"/>
            <w:vAlign w:val="center"/>
          </w:tcPr>
          <w:p w:rsidR="009F7AB8" w:rsidRPr="00471441" w:rsidRDefault="009F7AB8" w:rsidP="0073141D">
            <w:pPr>
              <w:keepNext/>
              <w:spacing w:line="240" w:lineRule="auto"/>
              <w:jc w:val="center"/>
              <w:rPr>
                <w:rFonts w:cs="Arial"/>
                <w:b/>
              </w:rPr>
            </w:pPr>
            <w:r w:rsidRPr="00471441">
              <w:rPr>
                <w:rFonts w:cs="Arial"/>
                <w:b/>
              </w:rPr>
              <w:t>Maximum</w:t>
            </w:r>
          </w:p>
        </w:tc>
        <w:tc>
          <w:tcPr>
            <w:tcW w:w="1247" w:type="dxa"/>
            <w:vAlign w:val="center"/>
          </w:tcPr>
          <w:p w:rsidR="009F7AB8" w:rsidRPr="00471441" w:rsidRDefault="009F7AB8" w:rsidP="0073141D">
            <w:pPr>
              <w:keepNext/>
              <w:spacing w:line="240" w:lineRule="auto"/>
              <w:jc w:val="center"/>
              <w:rPr>
                <w:rFonts w:cs="Arial"/>
              </w:rPr>
            </w:pPr>
            <w:r>
              <w:rPr>
                <w:rFonts w:cs="Arial"/>
              </w:rPr>
              <w:t>4.65</w:t>
            </w:r>
          </w:p>
        </w:tc>
        <w:tc>
          <w:tcPr>
            <w:tcW w:w="1248" w:type="dxa"/>
            <w:vAlign w:val="center"/>
          </w:tcPr>
          <w:p w:rsidR="009F7AB8" w:rsidRPr="00471441" w:rsidRDefault="009F7AB8" w:rsidP="0073141D">
            <w:pPr>
              <w:keepNext/>
              <w:spacing w:line="240" w:lineRule="auto"/>
              <w:jc w:val="center"/>
              <w:rPr>
                <w:rFonts w:cs="Arial"/>
              </w:rPr>
            </w:pPr>
            <w:r>
              <w:rPr>
                <w:rFonts w:cs="Arial"/>
              </w:rPr>
              <w:t>4.37</w:t>
            </w:r>
          </w:p>
        </w:tc>
        <w:tc>
          <w:tcPr>
            <w:tcW w:w="1248" w:type="dxa"/>
            <w:vAlign w:val="center"/>
          </w:tcPr>
          <w:p w:rsidR="009F7AB8" w:rsidRPr="00471441" w:rsidRDefault="009F7AB8" w:rsidP="0073141D">
            <w:pPr>
              <w:keepNext/>
              <w:spacing w:line="240" w:lineRule="auto"/>
              <w:jc w:val="center"/>
              <w:rPr>
                <w:rFonts w:cs="Arial"/>
              </w:rPr>
            </w:pPr>
            <w:r>
              <w:rPr>
                <w:rFonts w:cs="Arial"/>
              </w:rPr>
              <w:t>4.78</w:t>
            </w:r>
          </w:p>
        </w:tc>
        <w:tc>
          <w:tcPr>
            <w:tcW w:w="1247" w:type="dxa"/>
            <w:vAlign w:val="center"/>
          </w:tcPr>
          <w:p w:rsidR="009F7AB8" w:rsidRPr="00471441" w:rsidRDefault="009F7AB8" w:rsidP="0073141D">
            <w:pPr>
              <w:keepNext/>
              <w:spacing w:line="240" w:lineRule="auto"/>
              <w:jc w:val="center"/>
              <w:rPr>
                <w:rFonts w:cs="Arial"/>
              </w:rPr>
            </w:pPr>
            <w:r>
              <w:rPr>
                <w:rFonts w:cs="Arial"/>
              </w:rPr>
              <w:t>4.89</w:t>
            </w:r>
          </w:p>
        </w:tc>
        <w:tc>
          <w:tcPr>
            <w:tcW w:w="1248" w:type="dxa"/>
            <w:vAlign w:val="center"/>
          </w:tcPr>
          <w:p w:rsidR="009F7AB8" w:rsidRPr="00471441" w:rsidRDefault="009F7AB8" w:rsidP="0073141D">
            <w:pPr>
              <w:keepNext/>
              <w:spacing w:line="240" w:lineRule="auto"/>
              <w:jc w:val="center"/>
              <w:rPr>
                <w:rFonts w:cs="Arial"/>
              </w:rPr>
            </w:pPr>
            <w:r>
              <w:rPr>
                <w:rFonts w:cs="Arial"/>
              </w:rPr>
              <w:t>6.68</w:t>
            </w:r>
          </w:p>
        </w:tc>
        <w:tc>
          <w:tcPr>
            <w:tcW w:w="1248" w:type="dxa"/>
            <w:vAlign w:val="center"/>
          </w:tcPr>
          <w:p w:rsidR="009F7AB8" w:rsidRPr="00471441" w:rsidRDefault="009F7AB8" w:rsidP="0073141D">
            <w:pPr>
              <w:keepNext/>
              <w:spacing w:line="240" w:lineRule="auto"/>
              <w:jc w:val="center"/>
              <w:rPr>
                <w:rFonts w:cs="Arial"/>
              </w:rPr>
            </w:pPr>
            <w:r>
              <w:rPr>
                <w:rFonts w:cs="Arial"/>
              </w:rPr>
              <w:t>6.06</w:t>
            </w:r>
          </w:p>
        </w:tc>
      </w:tr>
      <w:tr w:rsidR="009F7AB8" w:rsidTr="007860EB">
        <w:trPr>
          <w:trHeight w:hRule="exact" w:val="510"/>
        </w:trPr>
        <w:tc>
          <w:tcPr>
            <w:tcW w:w="1756" w:type="dxa"/>
            <w:vAlign w:val="center"/>
          </w:tcPr>
          <w:p w:rsidR="009F7AB8" w:rsidRPr="00471441" w:rsidRDefault="009F7AB8" w:rsidP="0073141D">
            <w:pPr>
              <w:keepNext/>
              <w:spacing w:line="240" w:lineRule="auto"/>
              <w:jc w:val="center"/>
              <w:rPr>
                <w:rFonts w:cs="Arial"/>
                <w:b/>
              </w:rPr>
            </w:pPr>
            <w:r w:rsidRPr="00471441">
              <w:rPr>
                <w:rFonts w:cs="Arial"/>
                <w:b/>
              </w:rPr>
              <w:t>Average</w:t>
            </w:r>
          </w:p>
        </w:tc>
        <w:tc>
          <w:tcPr>
            <w:tcW w:w="1247" w:type="dxa"/>
            <w:vAlign w:val="center"/>
          </w:tcPr>
          <w:p w:rsidR="009F7AB8" w:rsidRPr="00471441" w:rsidRDefault="009F7AB8" w:rsidP="0073141D">
            <w:pPr>
              <w:keepNext/>
              <w:spacing w:line="240" w:lineRule="auto"/>
              <w:jc w:val="center"/>
              <w:rPr>
                <w:rFonts w:cs="Arial"/>
              </w:rPr>
            </w:pPr>
            <w:r>
              <w:rPr>
                <w:rFonts w:cs="Arial"/>
              </w:rPr>
              <w:t>2.34</w:t>
            </w:r>
          </w:p>
        </w:tc>
        <w:tc>
          <w:tcPr>
            <w:tcW w:w="1248" w:type="dxa"/>
            <w:vAlign w:val="center"/>
          </w:tcPr>
          <w:p w:rsidR="009F7AB8" w:rsidRPr="00471441" w:rsidRDefault="009F7AB8" w:rsidP="0073141D">
            <w:pPr>
              <w:keepNext/>
              <w:spacing w:line="240" w:lineRule="auto"/>
              <w:jc w:val="center"/>
              <w:rPr>
                <w:rFonts w:cs="Arial"/>
              </w:rPr>
            </w:pPr>
            <w:r>
              <w:rPr>
                <w:rFonts w:cs="Arial"/>
              </w:rPr>
              <w:t>2.38</w:t>
            </w:r>
          </w:p>
        </w:tc>
        <w:tc>
          <w:tcPr>
            <w:tcW w:w="1248" w:type="dxa"/>
            <w:vAlign w:val="center"/>
          </w:tcPr>
          <w:p w:rsidR="009F7AB8" w:rsidRPr="00471441" w:rsidRDefault="009F7AB8" w:rsidP="0073141D">
            <w:pPr>
              <w:keepNext/>
              <w:spacing w:line="240" w:lineRule="auto"/>
              <w:jc w:val="center"/>
              <w:rPr>
                <w:rFonts w:cs="Arial"/>
              </w:rPr>
            </w:pPr>
            <w:r>
              <w:rPr>
                <w:rFonts w:cs="Arial"/>
              </w:rPr>
              <w:t>2.42</w:t>
            </w:r>
          </w:p>
        </w:tc>
        <w:tc>
          <w:tcPr>
            <w:tcW w:w="1247" w:type="dxa"/>
            <w:vAlign w:val="center"/>
          </w:tcPr>
          <w:p w:rsidR="009F7AB8" w:rsidRPr="00471441" w:rsidRDefault="009F7AB8" w:rsidP="0073141D">
            <w:pPr>
              <w:keepNext/>
              <w:spacing w:line="240" w:lineRule="auto"/>
              <w:jc w:val="center"/>
              <w:rPr>
                <w:rFonts w:cs="Arial"/>
              </w:rPr>
            </w:pPr>
            <w:r>
              <w:rPr>
                <w:rFonts w:cs="Arial"/>
              </w:rPr>
              <w:t>2.46</w:t>
            </w:r>
          </w:p>
        </w:tc>
        <w:tc>
          <w:tcPr>
            <w:tcW w:w="1248" w:type="dxa"/>
            <w:vAlign w:val="center"/>
          </w:tcPr>
          <w:p w:rsidR="009F7AB8" w:rsidRPr="00471441" w:rsidRDefault="009F7AB8" w:rsidP="0073141D">
            <w:pPr>
              <w:keepNext/>
              <w:spacing w:line="240" w:lineRule="auto"/>
              <w:jc w:val="center"/>
              <w:rPr>
                <w:rFonts w:cs="Arial"/>
              </w:rPr>
            </w:pPr>
            <w:r>
              <w:rPr>
                <w:rFonts w:cs="Arial"/>
              </w:rPr>
              <w:t>3.37</w:t>
            </w:r>
          </w:p>
        </w:tc>
        <w:tc>
          <w:tcPr>
            <w:tcW w:w="1248" w:type="dxa"/>
            <w:vAlign w:val="center"/>
          </w:tcPr>
          <w:p w:rsidR="009F7AB8" w:rsidRPr="00471441" w:rsidRDefault="009F7AB8" w:rsidP="0073141D">
            <w:pPr>
              <w:keepNext/>
              <w:spacing w:line="240" w:lineRule="auto"/>
              <w:jc w:val="center"/>
              <w:rPr>
                <w:rFonts w:cs="Arial"/>
              </w:rPr>
            </w:pPr>
            <w:r>
              <w:rPr>
                <w:rFonts w:cs="Arial"/>
              </w:rPr>
              <w:t>3.43</w:t>
            </w:r>
          </w:p>
        </w:tc>
      </w:tr>
      <w:tr w:rsidR="009F7AB8" w:rsidTr="007860EB">
        <w:trPr>
          <w:trHeight w:hRule="exact" w:val="510"/>
        </w:trPr>
        <w:tc>
          <w:tcPr>
            <w:tcW w:w="1756" w:type="dxa"/>
            <w:vAlign w:val="center"/>
          </w:tcPr>
          <w:p w:rsidR="009F7AB8" w:rsidRPr="00471441" w:rsidRDefault="009F7AB8" w:rsidP="0073141D">
            <w:pPr>
              <w:keepNext/>
              <w:spacing w:line="240" w:lineRule="auto"/>
              <w:jc w:val="center"/>
              <w:rPr>
                <w:rFonts w:cs="Arial"/>
                <w:b/>
              </w:rPr>
            </w:pPr>
            <w:r w:rsidRPr="00471441">
              <w:rPr>
                <w:rFonts w:cs="Arial"/>
                <w:b/>
              </w:rPr>
              <w:t>Minimum</w:t>
            </w:r>
          </w:p>
        </w:tc>
        <w:tc>
          <w:tcPr>
            <w:tcW w:w="1247" w:type="dxa"/>
            <w:vAlign w:val="center"/>
          </w:tcPr>
          <w:p w:rsidR="009F7AB8" w:rsidRPr="00471441" w:rsidRDefault="009F7AB8" w:rsidP="0073141D">
            <w:pPr>
              <w:keepNext/>
              <w:spacing w:line="240" w:lineRule="auto"/>
              <w:jc w:val="center"/>
              <w:rPr>
                <w:rFonts w:cs="Arial"/>
              </w:rPr>
            </w:pPr>
            <w:r>
              <w:rPr>
                <w:rFonts w:cs="Arial"/>
              </w:rPr>
              <w:t>0.37</w:t>
            </w:r>
          </w:p>
        </w:tc>
        <w:tc>
          <w:tcPr>
            <w:tcW w:w="1248" w:type="dxa"/>
            <w:vAlign w:val="center"/>
          </w:tcPr>
          <w:p w:rsidR="009F7AB8" w:rsidRPr="00471441" w:rsidRDefault="009F7AB8" w:rsidP="0073141D">
            <w:pPr>
              <w:keepNext/>
              <w:spacing w:line="240" w:lineRule="auto"/>
              <w:jc w:val="center"/>
              <w:rPr>
                <w:rFonts w:cs="Arial"/>
              </w:rPr>
            </w:pPr>
            <w:r>
              <w:rPr>
                <w:rFonts w:cs="Arial"/>
              </w:rPr>
              <w:t>0.61</w:t>
            </w:r>
          </w:p>
        </w:tc>
        <w:tc>
          <w:tcPr>
            <w:tcW w:w="1248" w:type="dxa"/>
            <w:vAlign w:val="center"/>
          </w:tcPr>
          <w:p w:rsidR="009F7AB8" w:rsidRPr="00471441" w:rsidRDefault="009F7AB8" w:rsidP="0073141D">
            <w:pPr>
              <w:keepNext/>
              <w:spacing w:line="240" w:lineRule="auto"/>
              <w:jc w:val="center"/>
              <w:rPr>
                <w:rFonts w:cs="Arial"/>
              </w:rPr>
            </w:pPr>
            <w:r>
              <w:rPr>
                <w:rFonts w:cs="Arial"/>
              </w:rPr>
              <w:t>0.43</w:t>
            </w:r>
          </w:p>
        </w:tc>
        <w:tc>
          <w:tcPr>
            <w:tcW w:w="1247" w:type="dxa"/>
            <w:vAlign w:val="center"/>
          </w:tcPr>
          <w:p w:rsidR="009F7AB8" w:rsidRPr="00471441" w:rsidRDefault="009F7AB8" w:rsidP="0073141D">
            <w:pPr>
              <w:keepNext/>
              <w:spacing w:line="240" w:lineRule="auto"/>
              <w:jc w:val="center"/>
              <w:rPr>
                <w:rFonts w:cs="Arial"/>
              </w:rPr>
            </w:pPr>
            <w:r>
              <w:rPr>
                <w:rFonts w:cs="Arial"/>
              </w:rPr>
              <w:t>0.19</w:t>
            </w:r>
          </w:p>
        </w:tc>
        <w:tc>
          <w:tcPr>
            <w:tcW w:w="1248" w:type="dxa"/>
            <w:vAlign w:val="center"/>
          </w:tcPr>
          <w:p w:rsidR="009F7AB8" w:rsidRPr="00471441" w:rsidRDefault="009F7AB8" w:rsidP="0073141D">
            <w:pPr>
              <w:keepNext/>
              <w:spacing w:line="240" w:lineRule="auto"/>
              <w:jc w:val="center"/>
              <w:rPr>
                <w:rFonts w:cs="Arial"/>
              </w:rPr>
            </w:pPr>
            <w:r>
              <w:rPr>
                <w:rFonts w:cs="Arial"/>
              </w:rPr>
              <w:t>0.45</w:t>
            </w:r>
          </w:p>
        </w:tc>
        <w:tc>
          <w:tcPr>
            <w:tcW w:w="1248" w:type="dxa"/>
            <w:vAlign w:val="center"/>
          </w:tcPr>
          <w:p w:rsidR="009F7AB8" w:rsidRPr="00471441" w:rsidRDefault="009F7AB8" w:rsidP="0073141D">
            <w:pPr>
              <w:keepNext/>
              <w:spacing w:line="240" w:lineRule="auto"/>
              <w:jc w:val="center"/>
              <w:rPr>
                <w:rFonts w:cs="Arial"/>
              </w:rPr>
            </w:pPr>
            <w:r>
              <w:rPr>
                <w:rFonts w:cs="Arial"/>
              </w:rPr>
              <w:t>0.90</w:t>
            </w:r>
          </w:p>
        </w:tc>
      </w:tr>
      <w:tr w:rsidR="009F7AB8" w:rsidTr="007860EB">
        <w:trPr>
          <w:trHeight w:hRule="exact" w:val="696"/>
        </w:trPr>
        <w:tc>
          <w:tcPr>
            <w:tcW w:w="1756" w:type="dxa"/>
            <w:tcBorders>
              <w:bottom w:val="single" w:sz="4" w:space="0" w:color="auto"/>
            </w:tcBorders>
            <w:vAlign w:val="center"/>
          </w:tcPr>
          <w:p w:rsidR="009F7AB8" w:rsidRPr="00471441" w:rsidRDefault="009F7AB8" w:rsidP="00A6519A">
            <w:pPr>
              <w:spacing w:line="240" w:lineRule="auto"/>
              <w:jc w:val="center"/>
              <w:rPr>
                <w:rFonts w:cs="Arial"/>
                <w:b/>
              </w:rPr>
            </w:pPr>
            <w:r w:rsidRPr="00471441">
              <w:rPr>
                <w:rFonts w:cs="Arial"/>
                <w:b/>
              </w:rPr>
              <w:t>Mean absolute error</w:t>
            </w:r>
            <w:r>
              <w:rPr>
                <w:rFonts w:cs="Arial"/>
                <w:b/>
              </w:rPr>
              <w:t xml:space="preserve"> (MAE)</w:t>
            </w:r>
          </w:p>
        </w:tc>
        <w:tc>
          <w:tcPr>
            <w:tcW w:w="2495" w:type="dxa"/>
            <w:gridSpan w:val="2"/>
            <w:vAlign w:val="center"/>
          </w:tcPr>
          <w:p w:rsidR="009F7AB8" w:rsidRPr="00471441" w:rsidRDefault="009F7AB8" w:rsidP="00A6519A">
            <w:pPr>
              <w:spacing w:line="240" w:lineRule="auto"/>
              <w:jc w:val="center"/>
              <w:rPr>
                <w:rFonts w:cs="Arial"/>
              </w:rPr>
            </w:pPr>
            <w:r>
              <w:rPr>
                <w:rFonts w:cs="Arial"/>
              </w:rPr>
              <w:t>0.12</w:t>
            </w:r>
          </w:p>
        </w:tc>
        <w:tc>
          <w:tcPr>
            <w:tcW w:w="2495" w:type="dxa"/>
            <w:gridSpan w:val="2"/>
            <w:vAlign w:val="center"/>
          </w:tcPr>
          <w:p w:rsidR="009F7AB8" w:rsidRPr="00471441" w:rsidRDefault="009F7AB8" w:rsidP="00A6519A">
            <w:pPr>
              <w:spacing w:line="240" w:lineRule="auto"/>
              <w:jc w:val="center"/>
              <w:rPr>
                <w:rFonts w:cs="Arial"/>
              </w:rPr>
            </w:pPr>
            <w:r>
              <w:rPr>
                <w:rFonts w:cs="Arial"/>
              </w:rPr>
              <w:t>0.28</w:t>
            </w:r>
          </w:p>
        </w:tc>
        <w:tc>
          <w:tcPr>
            <w:tcW w:w="2496" w:type="dxa"/>
            <w:gridSpan w:val="2"/>
            <w:vAlign w:val="center"/>
          </w:tcPr>
          <w:p w:rsidR="009F7AB8" w:rsidRPr="00471441" w:rsidRDefault="009F7AB8" w:rsidP="00A6519A">
            <w:pPr>
              <w:spacing w:line="240" w:lineRule="auto"/>
              <w:jc w:val="center"/>
              <w:rPr>
                <w:rFonts w:cs="Arial"/>
              </w:rPr>
            </w:pPr>
            <w:r>
              <w:rPr>
                <w:rFonts w:cs="Arial"/>
              </w:rPr>
              <w:t>0.49</w:t>
            </w:r>
          </w:p>
        </w:tc>
      </w:tr>
    </w:tbl>
    <w:p w:rsidR="009F7AB8" w:rsidRPr="00C05C0B" w:rsidRDefault="009F7AB8" w:rsidP="00A6519A">
      <w:pPr>
        <w:spacing w:line="240" w:lineRule="auto"/>
        <w:jc w:val="left"/>
        <w:rPr>
          <w:rFonts w:asciiTheme="minorHAnsi" w:hAnsiTheme="minorHAnsi" w:cstheme="minorBidi"/>
          <w:color w:val="auto"/>
          <w:szCs w:val="22"/>
        </w:rPr>
      </w:pPr>
    </w:p>
    <w:p w:rsidR="009F7AB8" w:rsidRPr="00C05C0B" w:rsidRDefault="009F7AB8" w:rsidP="00EC0510">
      <w:pPr>
        <w:pStyle w:val="Caption"/>
        <w:spacing w:line="240" w:lineRule="auto"/>
        <w:ind w:left="480" w:hanging="480"/>
        <w:jc w:val="left"/>
        <w:rPr>
          <w:b/>
        </w:rPr>
      </w:pPr>
      <w:bookmarkStart w:id="40" w:name="_Toc360779374"/>
      <w:r w:rsidRPr="006409E3">
        <w:rPr>
          <w:b/>
        </w:rPr>
        <w:t xml:space="preserve">Table </w:t>
      </w:r>
      <w:r w:rsidR="005F6FF5" w:rsidRPr="006409E3">
        <w:rPr>
          <w:b/>
        </w:rPr>
        <w:fldChar w:fldCharType="begin"/>
      </w:r>
      <w:r w:rsidRPr="006409E3">
        <w:rPr>
          <w:b/>
        </w:rPr>
        <w:instrText xml:space="preserve"> SEQ Table \* ARABIC </w:instrText>
      </w:r>
      <w:r w:rsidR="005F6FF5" w:rsidRPr="006409E3">
        <w:rPr>
          <w:b/>
        </w:rPr>
        <w:fldChar w:fldCharType="separate"/>
      </w:r>
      <w:r w:rsidR="00751BC4">
        <w:rPr>
          <w:b/>
          <w:noProof/>
        </w:rPr>
        <w:t>2</w:t>
      </w:r>
      <w:r w:rsidR="005F6FF5" w:rsidRPr="006409E3">
        <w:rPr>
          <w:b/>
          <w:noProof/>
        </w:rPr>
        <w:fldChar w:fldCharType="end"/>
      </w:r>
      <w:r w:rsidRPr="00C05C0B">
        <w:t xml:space="preserve"> Statistical comparison between the measured and predicted water elevation at </w:t>
      </w:r>
      <w:r>
        <w:t xml:space="preserve">Abbott Point, Townsville and Cairns </w:t>
      </w:r>
      <w:r w:rsidRPr="00C05C0B">
        <w:t>from 1</w:t>
      </w:r>
      <w:r w:rsidRPr="00C05C0B">
        <w:rPr>
          <w:vertAlign w:val="superscript"/>
        </w:rPr>
        <w:t xml:space="preserve"> </w:t>
      </w:r>
      <w:r w:rsidRPr="00C05C0B">
        <w:t>to 30 November 2011.</w:t>
      </w:r>
      <w:bookmarkEnd w:id="40"/>
    </w:p>
    <w:tbl>
      <w:tblPr>
        <w:tblStyle w:val="TableGrid"/>
        <w:tblW w:w="9242" w:type="dxa"/>
        <w:tblLook w:val="04A0" w:firstRow="1" w:lastRow="0" w:firstColumn="1" w:lastColumn="0" w:noHBand="0" w:noVBand="1"/>
      </w:tblPr>
      <w:tblGrid>
        <w:gridCol w:w="1756"/>
        <w:gridCol w:w="1247"/>
        <w:gridCol w:w="1248"/>
        <w:gridCol w:w="1248"/>
        <w:gridCol w:w="1247"/>
        <w:gridCol w:w="1248"/>
        <w:gridCol w:w="1248"/>
      </w:tblGrid>
      <w:tr w:rsidR="009F7AB8" w:rsidRPr="00963136" w:rsidTr="00C609AB">
        <w:trPr>
          <w:trHeight w:val="510"/>
          <w:tblHeader/>
        </w:trPr>
        <w:tc>
          <w:tcPr>
            <w:tcW w:w="1756" w:type="dxa"/>
            <w:vMerge w:val="restart"/>
            <w:shd w:val="clear" w:color="auto" w:fill="FFFFFF" w:themeFill="background1"/>
            <w:vAlign w:val="center"/>
          </w:tcPr>
          <w:p w:rsidR="009F7AB8" w:rsidRPr="00471441" w:rsidRDefault="00902AC3" w:rsidP="007860EB">
            <w:pPr>
              <w:jc w:val="center"/>
              <w:rPr>
                <w:rFonts w:cs="Arial"/>
                <w:b/>
              </w:rPr>
            </w:pPr>
            <w:r>
              <w:rPr>
                <w:rFonts w:cs="Arial"/>
                <w:b/>
              </w:rPr>
              <w:t>Variable</w:t>
            </w:r>
          </w:p>
        </w:tc>
        <w:tc>
          <w:tcPr>
            <w:tcW w:w="7486" w:type="dxa"/>
            <w:gridSpan w:val="6"/>
            <w:vAlign w:val="center"/>
          </w:tcPr>
          <w:p w:rsidR="009F7AB8" w:rsidRDefault="009F7AB8" w:rsidP="00A6519A">
            <w:pPr>
              <w:spacing w:line="240" w:lineRule="auto"/>
              <w:jc w:val="center"/>
              <w:rPr>
                <w:rFonts w:cs="Arial"/>
                <w:b/>
              </w:rPr>
            </w:pPr>
            <w:r w:rsidRPr="00471441">
              <w:rPr>
                <w:rFonts w:cs="Arial"/>
                <w:b/>
              </w:rPr>
              <w:t>Water elevation</w:t>
            </w:r>
            <w:r>
              <w:rPr>
                <w:rFonts w:cs="Arial"/>
                <w:b/>
              </w:rPr>
              <w:t xml:space="preserve"> (m </w:t>
            </w:r>
            <w:r w:rsidRPr="00471441">
              <w:rPr>
                <w:rFonts w:cs="Arial"/>
                <w:b/>
              </w:rPr>
              <w:t>LAT)</w:t>
            </w:r>
            <w:r w:rsidR="00902AC3">
              <w:rPr>
                <w:rFonts w:cs="Arial"/>
                <w:b/>
              </w:rPr>
              <w:t xml:space="preserve"> for port locations</w:t>
            </w:r>
          </w:p>
        </w:tc>
      </w:tr>
      <w:tr w:rsidR="009F7AB8" w:rsidRPr="00963136" w:rsidTr="00C609AB">
        <w:trPr>
          <w:trHeight w:val="510"/>
          <w:tblHeader/>
        </w:trPr>
        <w:tc>
          <w:tcPr>
            <w:tcW w:w="1756" w:type="dxa"/>
            <w:vMerge/>
            <w:shd w:val="clear" w:color="auto" w:fill="FFFFFF" w:themeFill="background1"/>
            <w:vAlign w:val="center"/>
          </w:tcPr>
          <w:p w:rsidR="009F7AB8" w:rsidRPr="00471441" w:rsidRDefault="009F7AB8" w:rsidP="007860EB">
            <w:pPr>
              <w:jc w:val="center"/>
              <w:rPr>
                <w:rFonts w:cs="Arial"/>
              </w:rPr>
            </w:pPr>
          </w:p>
        </w:tc>
        <w:tc>
          <w:tcPr>
            <w:tcW w:w="2495" w:type="dxa"/>
            <w:gridSpan w:val="2"/>
            <w:vAlign w:val="center"/>
          </w:tcPr>
          <w:p w:rsidR="009F7AB8" w:rsidRPr="00471441" w:rsidRDefault="009F7AB8" w:rsidP="00A6519A">
            <w:pPr>
              <w:spacing w:line="240" w:lineRule="auto"/>
              <w:jc w:val="center"/>
              <w:rPr>
                <w:rFonts w:cs="Arial"/>
                <w:b/>
              </w:rPr>
            </w:pPr>
            <w:r>
              <w:rPr>
                <w:rFonts w:cs="Arial"/>
                <w:b/>
              </w:rPr>
              <w:t>Abbot Point</w:t>
            </w:r>
          </w:p>
        </w:tc>
        <w:tc>
          <w:tcPr>
            <w:tcW w:w="2495" w:type="dxa"/>
            <w:gridSpan w:val="2"/>
            <w:vAlign w:val="center"/>
          </w:tcPr>
          <w:p w:rsidR="009F7AB8" w:rsidRPr="00471441" w:rsidRDefault="009F7AB8" w:rsidP="00A6519A">
            <w:pPr>
              <w:spacing w:line="240" w:lineRule="auto"/>
              <w:jc w:val="center"/>
              <w:rPr>
                <w:rFonts w:cs="Arial"/>
                <w:b/>
              </w:rPr>
            </w:pPr>
            <w:r>
              <w:rPr>
                <w:rFonts w:cs="Arial"/>
                <w:b/>
              </w:rPr>
              <w:t>Townsville</w:t>
            </w:r>
          </w:p>
        </w:tc>
        <w:tc>
          <w:tcPr>
            <w:tcW w:w="2496" w:type="dxa"/>
            <w:gridSpan w:val="2"/>
            <w:vAlign w:val="center"/>
          </w:tcPr>
          <w:p w:rsidR="009F7AB8" w:rsidRPr="00471441" w:rsidRDefault="009F7AB8" w:rsidP="00A6519A">
            <w:pPr>
              <w:spacing w:line="240" w:lineRule="auto"/>
              <w:jc w:val="center"/>
              <w:rPr>
                <w:rFonts w:cs="Arial"/>
                <w:b/>
              </w:rPr>
            </w:pPr>
            <w:r>
              <w:rPr>
                <w:rFonts w:cs="Arial"/>
                <w:b/>
              </w:rPr>
              <w:t>Cairns</w:t>
            </w:r>
          </w:p>
        </w:tc>
      </w:tr>
      <w:tr w:rsidR="009F7AB8" w:rsidTr="00C609AB">
        <w:trPr>
          <w:trHeight w:hRule="exact" w:val="255"/>
          <w:tblHeader/>
        </w:trPr>
        <w:tc>
          <w:tcPr>
            <w:tcW w:w="1756" w:type="dxa"/>
            <w:vMerge/>
            <w:shd w:val="clear" w:color="auto" w:fill="FFFFFF" w:themeFill="background1"/>
            <w:vAlign w:val="center"/>
          </w:tcPr>
          <w:p w:rsidR="009F7AB8" w:rsidRPr="00471441" w:rsidRDefault="009F7AB8" w:rsidP="007860EB">
            <w:pPr>
              <w:jc w:val="center"/>
              <w:rPr>
                <w:rFonts w:cs="Arial"/>
                <w:b/>
              </w:rPr>
            </w:pPr>
          </w:p>
        </w:tc>
        <w:tc>
          <w:tcPr>
            <w:tcW w:w="1247" w:type="dxa"/>
            <w:vAlign w:val="center"/>
          </w:tcPr>
          <w:p w:rsidR="009F7AB8" w:rsidRPr="00471441" w:rsidRDefault="009F7AB8" w:rsidP="00A6519A">
            <w:pPr>
              <w:spacing w:line="240" w:lineRule="auto"/>
              <w:jc w:val="center"/>
              <w:rPr>
                <w:rFonts w:cs="Arial"/>
                <w:i/>
              </w:rPr>
            </w:pPr>
            <w:r>
              <w:rPr>
                <w:rFonts w:cs="Arial"/>
                <w:i/>
              </w:rPr>
              <w:t>Observed</w:t>
            </w:r>
          </w:p>
        </w:tc>
        <w:tc>
          <w:tcPr>
            <w:tcW w:w="1248" w:type="dxa"/>
            <w:vAlign w:val="center"/>
          </w:tcPr>
          <w:p w:rsidR="009F7AB8" w:rsidRPr="00471441" w:rsidRDefault="009F7AB8" w:rsidP="00A6519A">
            <w:pPr>
              <w:spacing w:line="240" w:lineRule="auto"/>
              <w:jc w:val="center"/>
              <w:rPr>
                <w:rFonts w:cs="Arial"/>
                <w:i/>
              </w:rPr>
            </w:pPr>
            <w:r w:rsidRPr="00471441">
              <w:rPr>
                <w:rFonts w:cs="Arial"/>
                <w:i/>
              </w:rPr>
              <w:t>Predicted</w:t>
            </w:r>
          </w:p>
        </w:tc>
        <w:tc>
          <w:tcPr>
            <w:tcW w:w="1248" w:type="dxa"/>
            <w:vAlign w:val="center"/>
          </w:tcPr>
          <w:p w:rsidR="009F7AB8" w:rsidRPr="00471441" w:rsidRDefault="009F7AB8" w:rsidP="00A6519A">
            <w:pPr>
              <w:spacing w:line="240" w:lineRule="auto"/>
              <w:jc w:val="center"/>
              <w:rPr>
                <w:rFonts w:cs="Arial"/>
                <w:i/>
              </w:rPr>
            </w:pPr>
            <w:r>
              <w:rPr>
                <w:rFonts w:cs="Arial"/>
                <w:i/>
              </w:rPr>
              <w:t>Observed</w:t>
            </w:r>
          </w:p>
        </w:tc>
        <w:tc>
          <w:tcPr>
            <w:tcW w:w="1247" w:type="dxa"/>
            <w:vAlign w:val="center"/>
          </w:tcPr>
          <w:p w:rsidR="009F7AB8" w:rsidRPr="00471441" w:rsidRDefault="009F7AB8" w:rsidP="00A6519A">
            <w:pPr>
              <w:spacing w:line="240" w:lineRule="auto"/>
              <w:jc w:val="center"/>
              <w:rPr>
                <w:rFonts w:cs="Arial"/>
                <w:i/>
              </w:rPr>
            </w:pPr>
            <w:r w:rsidRPr="00471441">
              <w:rPr>
                <w:rFonts w:cs="Arial"/>
                <w:i/>
              </w:rPr>
              <w:t>Predicted</w:t>
            </w:r>
          </w:p>
        </w:tc>
        <w:tc>
          <w:tcPr>
            <w:tcW w:w="1248" w:type="dxa"/>
            <w:vAlign w:val="center"/>
          </w:tcPr>
          <w:p w:rsidR="009F7AB8" w:rsidRPr="00471441" w:rsidRDefault="009F7AB8" w:rsidP="00A6519A">
            <w:pPr>
              <w:spacing w:line="240" w:lineRule="auto"/>
              <w:jc w:val="center"/>
              <w:rPr>
                <w:rFonts w:cs="Arial"/>
                <w:i/>
              </w:rPr>
            </w:pPr>
            <w:r>
              <w:rPr>
                <w:rFonts w:cs="Arial"/>
                <w:i/>
              </w:rPr>
              <w:t>Observed</w:t>
            </w:r>
          </w:p>
        </w:tc>
        <w:tc>
          <w:tcPr>
            <w:tcW w:w="1248" w:type="dxa"/>
            <w:vAlign w:val="center"/>
          </w:tcPr>
          <w:p w:rsidR="009F7AB8" w:rsidRPr="00471441" w:rsidRDefault="009F7AB8" w:rsidP="00A6519A">
            <w:pPr>
              <w:spacing w:line="240" w:lineRule="auto"/>
              <w:jc w:val="center"/>
              <w:rPr>
                <w:rFonts w:cs="Arial"/>
                <w:i/>
              </w:rPr>
            </w:pPr>
            <w:r w:rsidRPr="00471441">
              <w:rPr>
                <w:rFonts w:cs="Arial"/>
                <w:i/>
              </w:rPr>
              <w:t>Predicted</w:t>
            </w:r>
          </w:p>
        </w:tc>
      </w:tr>
      <w:tr w:rsidR="009F7AB8" w:rsidTr="007860EB">
        <w:trPr>
          <w:trHeight w:hRule="exact" w:val="510"/>
        </w:trPr>
        <w:tc>
          <w:tcPr>
            <w:tcW w:w="1756" w:type="dxa"/>
            <w:vAlign w:val="center"/>
          </w:tcPr>
          <w:p w:rsidR="009F7AB8" w:rsidRPr="00471441" w:rsidRDefault="009F7AB8" w:rsidP="00A6519A">
            <w:pPr>
              <w:spacing w:line="240" w:lineRule="auto"/>
              <w:jc w:val="center"/>
              <w:rPr>
                <w:rFonts w:cs="Arial"/>
                <w:b/>
              </w:rPr>
            </w:pPr>
            <w:r w:rsidRPr="00471441">
              <w:rPr>
                <w:rFonts w:cs="Arial"/>
                <w:b/>
              </w:rPr>
              <w:t>Maximum</w:t>
            </w:r>
          </w:p>
        </w:tc>
        <w:tc>
          <w:tcPr>
            <w:tcW w:w="1247" w:type="dxa"/>
            <w:vAlign w:val="center"/>
          </w:tcPr>
          <w:p w:rsidR="009F7AB8" w:rsidRPr="00471441" w:rsidRDefault="009F7AB8" w:rsidP="00A6519A">
            <w:pPr>
              <w:spacing w:line="240" w:lineRule="auto"/>
              <w:jc w:val="center"/>
              <w:rPr>
                <w:rFonts w:cs="Arial"/>
              </w:rPr>
            </w:pPr>
            <w:r>
              <w:rPr>
                <w:rFonts w:cs="Arial"/>
              </w:rPr>
              <w:t>3.27</w:t>
            </w:r>
          </w:p>
        </w:tc>
        <w:tc>
          <w:tcPr>
            <w:tcW w:w="1248" w:type="dxa"/>
            <w:vAlign w:val="center"/>
          </w:tcPr>
          <w:p w:rsidR="009F7AB8" w:rsidRPr="00471441" w:rsidRDefault="009F7AB8" w:rsidP="00A6519A">
            <w:pPr>
              <w:spacing w:line="240" w:lineRule="auto"/>
              <w:jc w:val="center"/>
              <w:rPr>
                <w:rFonts w:cs="Arial"/>
              </w:rPr>
            </w:pPr>
            <w:r>
              <w:rPr>
                <w:rFonts w:cs="Arial"/>
              </w:rPr>
              <w:t>3.18</w:t>
            </w:r>
          </w:p>
        </w:tc>
        <w:tc>
          <w:tcPr>
            <w:tcW w:w="1248" w:type="dxa"/>
            <w:vAlign w:val="center"/>
          </w:tcPr>
          <w:p w:rsidR="009F7AB8" w:rsidRPr="00471441" w:rsidRDefault="009F7AB8" w:rsidP="00A6519A">
            <w:pPr>
              <w:spacing w:line="240" w:lineRule="auto"/>
              <w:jc w:val="center"/>
              <w:rPr>
                <w:rFonts w:cs="Arial"/>
              </w:rPr>
            </w:pPr>
            <w:r>
              <w:rPr>
                <w:rFonts w:cs="Arial"/>
              </w:rPr>
              <w:t>3.72</w:t>
            </w:r>
          </w:p>
        </w:tc>
        <w:tc>
          <w:tcPr>
            <w:tcW w:w="1247" w:type="dxa"/>
            <w:vAlign w:val="center"/>
          </w:tcPr>
          <w:p w:rsidR="009F7AB8" w:rsidRPr="00471441" w:rsidRDefault="009F7AB8" w:rsidP="00A6519A">
            <w:pPr>
              <w:spacing w:line="240" w:lineRule="auto"/>
              <w:jc w:val="center"/>
              <w:rPr>
                <w:rFonts w:cs="Arial"/>
              </w:rPr>
            </w:pPr>
            <w:r>
              <w:rPr>
                <w:rFonts w:cs="Arial"/>
              </w:rPr>
              <w:t>3.73</w:t>
            </w:r>
          </w:p>
        </w:tc>
        <w:tc>
          <w:tcPr>
            <w:tcW w:w="1248" w:type="dxa"/>
            <w:vAlign w:val="center"/>
          </w:tcPr>
          <w:p w:rsidR="009F7AB8" w:rsidRPr="00471441" w:rsidRDefault="009F7AB8" w:rsidP="00A6519A">
            <w:pPr>
              <w:spacing w:line="240" w:lineRule="auto"/>
              <w:jc w:val="center"/>
              <w:rPr>
                <w:rFonts w:cs="Arial"/>
              </w:rPr>
            </w:pPr>
            <w:r>
              <w:rPr>
                <w:rFonts w:cs="Arial"/>
              </w:rPr>
              <w:t>3.05</w:t>
            </w:r>
          </w:p>
        </w:tc>
        <w:tc>
          <w:tcPr>
            <w:tcW w:w="1248" w:type="dxa"/>
            <w:vAlign w:val="center"/>
          </w:tcPr>
          <w:p w:rsidR="009F7AB8" w:rsidRPr="00471441" w:rsidRDefault="009F7AB8" w:rsidP="00A6519A">
            <w:pPr>
              <w:spacing w:line="240" w:lineRule="auto"/>
              <w:jc w:val="center"/>
              <w:rPr>
                <w:rFonts w:cs="Arial"/>
              </w:rPr>
            </w:pPr>
            <w:r>
              <w:rPr>
                <w:rFonts w:cs="Arial"/>
              </w:rPr>
              <w:t>3.00</w:t>
            </w:r>
          </w:p>
        </w:tc>
      </w:tr>
      <w:tr w:rsidR="009F7AB8" w:rsidTr="007860EB">
        <w:trPr>
          <w:trHeight w:hRule="exact" w:val="510"/>
        </w:trPr>
        <w:tc>
          <w:tcPr>
            <w:tcW w:w="1756" w:type="dxa"/>
            <w:vAlign w:val="center"/>
          </w:tcPr>
          <w:p w:rsidR="009F7AB8" w:rsidRPr="00471441" w:rsidRDefault="009F7AB8" w:rsidP="00A6519A">
            <w:pPr>
              <w:spacing w:line="240" w:lineRule="auto"/>
              <w:jc w:val="center"/>
              <w:rPr>
                <w:rFonts w:cs="Arial"/>
                <w:b/>
              </w:rPr>
            </w:pPr>
            <w:r w:rsidRPr="00471441">
              <w:rPr>
                <w:rFonts w:cs="Arial"/>
                <w:b/>
              </w:rPr>
              <w:t>Average</w:t>
            </w:r>
          </w:p>
        </w:tc>
        <w:tc>
          <w:tcPr>
            <w:tcW w:w="1247" w:type="dxa"/>
            <w:vAlign w:val="center"/>
          </w:tcPr>
          <w:p w:rsidR="009F7AB8" w:rsidRPr="00471441" w:rsidRDefault="009F7AB8" w:rsidP="00A6519A">
            <w:pPr>
              <w:spacing w:line="240" w:lineRule="auto"/>
              <w:jc w:val="center"/>
              <w:rPr>
                <w:rFonts w:cs="Arial"/>
              </w:rPr>
            </w:pPr>
            <w:r>
              <w:rPr>
                <w:rFonts w:cs="Arial"/>
              </w:rPr>
              <w:t>1.69</w:t>
            </w:r>
          </w:p>
        </w:tc>
        <w:tc>
          <w:tcPr>
            <w:tcW w:w="1248" w:type="dxa"/>
            <w:vAlign w:val="center"/>
          </w:tcPr>
          <w:p w:rsidR="009F7AB8" w:rsidRPr="00471441" w:rsidRDefault="009F7AB8" w:rsidP="00A6519A">
            <w:pPr>
              <w:spacing w:line="240" w:lineRule="auto"/>
              <w:jc w:val="center"/>
              <w:rPr>
                <w:rFonts w:cs="Arial"/>
              </w:rPr>
            </w:pPr>
            <w:r>
              <w:rPr>
                <w:rFonts w:cs="Arial"/>
              </w:rPr>
              <w:t>1.73</w:t>
            </w:r>
          </w:p>
        </w:tc>
        <w:tc>
          <w:tcPr>
            <w:tcW w:w="1248" w:type="dxa"/>
            <w:vAlign w:val="center"/>
          </w:tcPr>
          <w:p w:rsidR="009F7AB8" w:rsidRPr="00471441" w:rsidRDefault="009F7AB8" w:rsidP="00A6519A">
            <w:pPr>
              <w:spacing w:line="240" w:lineRule="auto"/>
              <w:jc w:val="center"/>
              <w:rPr>
                <w:rFonts w:cs="Arial"/>
              </w:rPr>
            </w:pPr>
            <w:r>
              <w:rPr>
                <w:rFonts w:cs="Arial"/>
              </w:rPr>
              <w:t>1.94</w:t>
            </w:r>
          </w:p>
        </w:tc>
        <w:tc>
          <w:tcPr>
            <w:tcW w:w="1247" w:type="dxa"/>
            <w:vAlign w:val="center"/>
          </w:tcPr>
          <w:p w:rsidR="009F7AB8" w:rsidRPr="00471441" w:rsidRDefault="009F7AB8" w:rsidP="00A6519A">
            <w:pPr>
              <w:spacing w:line="240" w:lineRule="auto"/>
              <w:jc w:val="center"/>
              <w:rPr>
                <w:rFonts w:cs="Arial"/>
              </w:rPr>
            </w:pPr>
            <w:r>
              <w:rPr>
                <w:rFonts w:cs="Arial"/>
              </w:rPr>
              <w:t>2.00</w:t>
            </w:r>
          </w:p>
        </w:tc>
        <w:tc>
          <w:tcPr>
            <w:tcW w:w="1248" w:type="dxa"/>
            <w:vAlign w:val="center"/>
          </w:tcPr>
          <w:p w:rsidR="009F7AB8" w:rsidRPr="00471441" w:rsidRDefault="009F7AB8" w:rsidP="00A6519A">
            <w:pPr>
              <w:spacing w:line="240" w:lineRule="auto"/>
              <w:jc w:val="center"/>
              <w:rPr>
                <w:rFonts w:cs="Arial"/>
              </w:rPr>
            </w:pPr>
            <w:r>
              <w:rPr>
                <w:rFonts w:cs="Arial"/>
              </w:rPr>
              <w:t>1.70</w:t>
            </w:r>
          </w:p>
        </w:tc>
        <w:tc>
          <w:tcPr>
            <w:tcW w:w="1248" w:type="dxa"/>
            <w:vAlign w:val="center"/>
          </w:tcPr>
          <w:p w:rsidR="009F7AB8" w:rsidRPr="00471441" w:rsidRDefault="009F7AB8" w:rsidP="00A6519A">
            <w:pPr>
              <w:spacing w:line="240" w:lineRule="auto"/>
              <w:jc w:val="center"/>
              <w:rPr>
                <w:rFonts w:cs="Arial"/>
              </w:rPr>
            </w:pPr>
            <w:r>
              <w:rPr>
                <w:rFonts w:cs="Arial"/>
              </w:rPr>
              <w:t>1.72</w:t>
            </w:r>
          </w:p>
        </w:tc>
      </w:tr>
      <w:tr w:rsidR="009F7AB8" w:rsidTr="007860EB">
        <w:trPr>
          <w:trHeight w:hRule="exact" w:val="510"/>
        </w:trPr>
        <w:tc>
          <w:tcPr>
            <w:tcW w:w="1756" w:type="dxa"/>
            <w:vAlign w:val="center"/>
          </w:tcPr>
          <w:p w:rsidR="009F7AB8" w:rsidRPr="00471441" w:rsidRDefault="009F7AB8" w:rsidP="00A6519A">
            <w:pPr>
              <w:spacing w:line="240" w:lineRule="auto"/>
              <w:jc w:val="center"/>
              <w:rPr>
                <w:rFonts w:cs="Arial"/>
                <w:b/>
              </w:rPr>
            </w:pPr>
            <w:r w:rsidRPr="00471441">
              <w:rPr>
                <w:rFonts w:cs="Arial"/>
                <w:b/>
              </w:rPr>
              <w:t>Minimum</w:t>
            </w:r>
          </w:p>
        </w:tc>
        <w:tc>
          <w:tcPr>
            <w:tcW w:w="1247" w:type="dxa"/>
            <w:vAlign w:val="center"/>
          </w:tcPr>
          <w:p w:rsidR="009F7AB8" w:rsidRPr="00471441" w:rsidRDefault="009F7AB8" w:rsidP="00A6519A">
            <w:pPr>
              <w:spacing w:line="240" w:lineRule="auto"/>
              <w:jc w:val="center"/>
              <w:rPr>
                <w:rFonts w:cs="Arial"/>
              </w:rPr>
            </w:pPr>
            <w:r>
              <w:rPr>
                <w:rFonts w:cs="Arial"/>
              </w:rPr>
              <w:t>0.22</w:t>
            </w:r>
          </w:p>
        </w:tc>
        <w:tc>
          <w:tcPr>
            <w:tcW w:w="1248" w:type="dxa"/>
            <w:vAlign w:val="center"/>
          </w:tcPr>
          <w:p w:rsidR="009F7AB8" w:rsidRPr="00471441" w:rsidRDefault="009F7AB8" w:rsidP="00A6519A">
            <w:pPr>
              <w:spacing w:line="240" w:lineRule="auto"/>
              <w:jc w:val="center"/>
              <w:rPr>
                <w:rFonts w:cs="Arial"/>
              </w:rPr>
            </w:pPr>
            <w:r>
              <w:rPr>
                <w:rFonts w:cs="Arial"/>
              </w:rPr>
              <w:t>0.29</w:t>
            </w:r>
          </w:p>
        </w:tc>
        <w:tc>
          <w:tcPr>
            <w:tcW w:w="1248" w:type="dxa"/>
            <w:vAlign w:val="center"/>
          </w:tcPr>
          <w:p w:rsidR="009F7AB8" w:rsidRPr="00471441" w:rsidRDefault="009F7AB8" w:rsidP="00A6519A">
            <w:pPr>
              <w:spacing w:line="240" w:lineRule="auto"/>
              <w:jc w:val="center"/>
              <w:rPr>
                <w:rFonts w:cs="Arial"/>
              </w:rPr>
            </w:pPr>
            <w:r>
              <w:rPr>
                <w:rFonts w:cs="Arial"/>
              </w:rPr>
              <w:t>0.27</w:t>
            </w:r>
          </w:p>
        </w:tc>
        <w:tc>
          <w:tcPr>
            <w:tcW w:w="1247" w:type="dxa"/>
            <w:vAlign w:val="center"/>
          </w:tcPr>
          <w:p w:rsidR="009F7AB8" w:rsidRPr="00471441" w:rsidRDefault="009F7AB8" w:rsidP="00A6519A">
            <w:pPr>
              <w:spacing w:line="240" w:lineRule="auto"/>
              <w:jc w:val="center"/>
              <w:rPr>
                <w:rFonts w:cs="Arial"/>
              </w:rPr>
            </w:pPr>
            <w:r>
              <w:rPr>
                <w:rFonts w:cs="Arial"/>
              </w:rPr>
              <w:t>0.23</w:t>
            </w:r>
          </w:p>
        </w:tc>
        <w:tc>
          <w:tcPr>
            <w:tcW w:w="1248" w:type="dxa"/>
            <w:vAlign w:val="center"/>
          </w:tcPr>
          <w:p w:rsidR="009F7AB8" w:rsidRPr="00471441" w:rsidRDefault="009F7AB8" w:rsidP="00A6519A">
            <w:pPr>
              <w:spacing w:line="240" w:lineRule="auto"/>
              <w:jc w:val="center"/>
              <w:rPr>
                <w:rFonts w:cs="Arial"/>
              </w:rPr>
            </w:pPr>
            <w:r>
              <w:rPr>
                <w:rFonts w:cs="Arial"/>
              </w:rPr>
              <w:t>0.26</w:t>
            </w:r>
          </w:p>
        </w:tc>
        <w:tc>
          <w:tcPr>
            <w:tcW w:w="1248" w:type="dxa"/>
            <w:vAlign w:val="center"/>
          </w:tcPr>
          <w:p w:rsidR="009F7AB8" w:rsidRPr="00471441" w:rsidRDefault="009F7AB8" w:rsidP="00A6519A">
            <w:pPr>
              <w:spacing w:line="240" w:lineRule="auto"/>
              <w:jc w:val="center"/>
              <w:rPr>
                <w:rFonts w:cs="Arial"/>
              </w:rPr>
            </w:pPr>
            <w:r>
              <w:rPr>
                <w:rFonts w:cs="Arial"/>
              </w:rPr>
              <w:t>0.39</w:t>
            </w:r>
          </w:p>
        </w:tc>
      </w:tr>
      <w:tr w:rsidR="009F7AB8" w:rsidTr="007860EB">
        <w:trPr>
          <w:trHeight w:hRule="exact" w:val="670"/>
        </w:trPr>
        <w:tc>
          <w:tcPr>
            <w:tcW w:w="1756" w:type="dxa"/>
            <w:tcBorders>
              <w:bottom w:val="single" w:sz="4" w:space="0" w:color="auto"/>
            </w:tcBorders>
            <w:vAlign w:val="center"/>
          </w:tcPr>
          <w:p w:rsidR="009F7AB8" w:rsidRPr="00471441" w:rsidRDefault="009F7AB8" w:rsidP="00A6519A">
            <w:pPr>
              <w:spacing w:line="240" w:lineRule="auto"/>
              <w:jc w:val="center"/>
              <w:rPr>
                <w:rFonts w:cs="Arial"/>
                <w:b/>
              </w:rPr>
            </w:pPr>
            <w:r w:rsidRPr="00471441">
              <w:rPr>
                <w:rFonts w:cs="Arial"/>
                <w:b/>
              </w:rPr>
              <w:t>Mean absolute error</w:t>
            </w:r>
            <w:r>
              <w:rPr>
                <w:rFonts w:cs="Arial"/>
                <w:b/>
              </w:rPr>
              <w:t xml:space="preserve"> (MAE)</w:t>
            </w:r>
          </w:p>
        </w:tc>
        <w:tc>
          <w:tcPr>
            <w:tcW w:w="2495" w:type="dxa"/>
            <w:gridSpan w:val="2"/>
            <w:vAlign w:val="center"/>
          </w:tcPr>
          <w:p w:rsidR="009F7AB8" w:rsidRPr="00471441" w:rsidRDefault="009F7AB8" w:rsidP="00A6519A">
            <w:pPr>
              <w:spacing w:line="240" w:lineRule="auto"/>
              <w:jc w:val="center"/>
              <w:rPr>
                <w:rFonts w:cs="Arial"/>
              </w:rPr>
            </w:pPr>
            <w:r>
              <w:rPr>
                <w:rFonts w:cs="Arial"/>
              </w:rPr>
              <w:t>0.22</w:t>
            </w:r>
          </w:p>
        </w:tc>
        <w:tc>
          <w:tcPr>
            <w:tcW w:w="2495" w:type="dxa"/>
            <w:gridSpan w:val="2"/>
            <w:vAlign w:val="center"/>
          </w:tcPr>
          <w:p w:rsidR="009F7AB8" w:rsidRPr="00471441" w:rsidRDefault="009F7AB8" w:rsidP="00A6519A">
            <w:pPr>
              <w:spacing w:line="240" w:lineRule="auto"/>
              <w:jc w:val="center"/>
              <w:rPr>
                <w:rFonts w:cs="Arial"/>
              </w:rPr>
            </w:pPr>
            <w:r>
              <w:rPr>
                <w:rFonts w:cs="Arial"/>
              </w:rPr>
              <w:t>0.11</w:t>
            </w:r>
          </w:p>
        </w:tc>
        <w:tc>
          <w:tcPr>
            <w:tcW w:w="2496" w:type="dxa"/>
            <w:gridSpan w:val="2"/>
            <w:vAlign w:val="center"/>
          </w:tcPr>
          <w:p w:rsidR="009F7AB8" w:rsidRPr="00471441" w:rsidRDefault="009F7AB8" w:rsidP="00A6519A">
            <w:pPr>
              <w:spacing w:line="240" w:lineRule="auto"/>
              <w:jc w:val="center"/>
              <w:rPr>
                <w:rFonts w:cs="Arial"/>
              </w:rPr>
            </w:pPr>
            <w:r>
              <w:rPr>
                <w:rFonts w:cs="Arial"/>
              </w:rPr>
              <w:t>0.07</w:t>
            </w:r>
          </w:p>
        </w:tc>
      </w:tr>
    </w:tbl>
    <w:p w:rsidR="009F7AB8" w:rsidRDefault="009F7AB8" w:rsidP="00A6519A">
      <w:pPr>
        <w:spacing w:line="240" w:lineRule="auto"/>
        <w:jc w:val="left"/>
        <w:rPr>
          <w:rFonts w:cs="Arial"/>
          <w:color w:val="auto"/>
          <w:szCs w:val="22"/>
          <w:lang w:val="en-AU"/>
        </w:rPr>
      </w:pPr>
    </w:p>
    <w:p w:rsidR="009F7AB8" w:rsidRPr="00C05C0B" w:rsidRDefault="009F7AB8" w:rsidP="00EC0510">
      <w:pPr>
        <w:pStyle w:val="Caption"/>
        <w:keepNext/>
        <w:keepLines/>
        <w:spacing w:line="240" w:lineRule="auto"/>
        <w:ind w:left="601" w:hanging="601"/>
        <w:jc w:val="left"/>
        <w:rPr>
          <w:b/>
        </w:rPr>
      </w:pPr>
      <w:bookmarkStart w:id="41" w:name="_Ref340245132"/>
      <w:bookmarkStart w:id="42" w:name="_Toc360779375"/>
      <w:r w:rsidRPr="006409E3">
        <w:rPr>
          <w:b/>
        </w:rPr>
        <w:t xml:space="preserve">Table </w:t>
      </w:r>
      <w:r w:rsidR="005F6FF5" w:rsidRPr="006409E3">
        <w:rPr>
          <w:b/>
        </w:rPr>
        <w:fldChar w:fldCharType="begin"/>
      </w:r>
      <w:r w:rsidRPr="006409E3">
        <w:rPr>
          <w:b/>
        </w:rPr>
        <w:instrText xml:space="preserve"> SEQ Table \* ARABIC </w:instrText>
      </w:r>
      <w:r w:rsidR="005F6FF5" w:rsidRPr="006409E3">
        <w:rPr>
          <w:b/>
        </w:rPr>
        <w:fldChar w:fldCharType="separate"/>
      </w:r>
      <w:r w:rsidR="00751BC4">
        <w:rPr>
          <w:b/>
          <w:noProof/>
        </w:rPr>
        <w:t>3</w:t>
      </w:r>
      <w:r w:rsidR="005F6FF5" w:rsidRPr="006409E3">
        <w:rPr>
          <w:b/>
          <w:noProof/>
        </w:rPr>
        <w:fldChar w:fldCharType="end"/>
      </w:r>
      <w:bookmarkEnd w:id="41"/>
      <w:r w:rsidRPr="00C05C0B">
        <w:t xml:space="preserve"> Statistical comparison between the measured and predicted water elevation at Cooktown, Pipon Island and Night Island from </w:t>
      </w:r>
      <w:r w:rsidR="00C0603C">
        <w:t>1</w:t>
      </w:r>
      <w:r w:rsidRPr="00C05C0B">
        <w:rPr>
          <w:vertAlign w:val="superscript"/>
        </w:rPr>
        <w:t xml:space="preserve"> </w:t>
      </w:r>
      <w:r w:rsidRPr="00C05C0B">
        <w:t xml:space="preserve">to </w:t>
      </w:r>
      <w:r w:rsidR="00C0603C">
        <w:t>30</w:t>
      </w:r>
      <w:r w:rsidRPr="00C05C0B">
        <w:t xml:space="preserve"> November 2011.</w:t>
      </w:r>
      <w:bookmarkEnd w:id="42"/>
    </w:p>
    <w:tbl>
      <w:tblPr>
        <w:tblStyle w:val="TableGrid"/>
        <w:tblW w:w="9242" w:type="dxa"/>
        <w:tblLook w:val="04A0" w:firstRow="1" w:lastRow="0" w:firstColumn="1" w:lastColumn="0" w:noHBand="0" w:noVBand="1"/>
      </w:tblPr>
      <w:tblGrid>
        <w:gridCol w:w="1756"/>
        <w:gridCol w:w="1247"/>
        <w:gridCol w:w="1248"/>
        <w:gridCol w:w="1248"/>
        <w:gridCol w:w="1247"/>
        <w:gridCol w:w="1248"/>
        <w:gridCol w:w="1248"/>
      </w:tblGrid>
      <w:tr w:rsidR="009F7AB8" w:rsidRPr="00C05C0B" w:rsidTr="00C609AB">
        <w:trPr>
          <w:trHeight w:val="510"/>
          <w:tblHeader/>
        </w:trPr>
        <w:tc>
          <w:tcPr>
            <w:tcW w:w="1756" w:type="dxa"/>
            <w:vMerge w:val="restart"/>
            <w:shd w:val="clear" w:color="auto" w:fill="FFFFFF" w:themeFill="background1"/>
            <w:vAlign w:val="center"/>
          </w:tcPr>
          <w:p w:rsidR="009F7AB8" w:rsidRPr="00C05C0B" w:rsidRDefault="00902AC3" w:rsidP="00AF0050">
            <w:pPr>
              <w:keepNext/>
              <w:keepLines/>
              <w:jc w:val="center"/>
              <w:rPr>
                <w:rFonts w:cs="Arial"/>
                <w:b/>
                <w:color w:val="auto"/>
              </w:rPr>
            </w:pPr>
            <w:r>
              <w:rPr>
                <w:rFonts w:cs="Arial"/>
                <w:b/>
                <w:color w:val="auto"/>
              </w:rPr>
              <w:t>Variable</w:t>
            </w:r>
          </w:p>
        </w:tc>
        <w:tc>
          <w:tcPr>
            <w:tcW w:w="7486" w:type="dxa"/>
            <w:gridSpan w:val="6"/>
            <w:vAlign w:val="center"/>
          </w:tcPr>
          <w:p w:rsidR="009F7AB8" w:rsidRPr="00C05C0B" w:rsidRDefault="009F7AB8" w:rsidP="00A6519A">
            <w:pPr>
              <w:keepNext/>
              <w:keepLines/>
              <w:spacing w:line="240" w:lineRule="auto"/>
              <w:jc w:val="center"/>
              <w:rPr>
                <w:rFonts w:cs="Arial"/>
                <w:b/>
                <w:color w:val="auto"/>
              </w:rPr>
            </w:pPr>
            <w:r w:rsidRPr="00C05C0B">
              <w:rPr>
                <w:rFonts w:cs="Arial"/>
                <w:b/>
                <w:color w:val="auto"/>
              </w:rPr>
              <w:t>Water elevation (m LAT)</w:t>
            </w:r>
            <w:r w:rsidR="00902AC3">
              <w:rPr>
                <w:rFonts w:cs="Arial"/>
                <w:b/>
                <w:color w:val="auto"/>
              </w:rPr>
              <w:t xml:space="preserve"> for port locations</w:t>
            </w:r>
          </w:p>
        </w:tc>
      </w:tr>
      <w:tr w:rsidR="009F7AB8" w:rsidRPr="00C05C0B" w:rsidTr="00C609AB">
        <w:trPr>
          <w:trHeight w:val="510"/>
          <w:tblHeader/>
        </w:trPr>
        <w:tc>
          <w:tcPr>
            <w:tcW w:w="1756" w:type="dxa"/>
            <w:vMerge/>
            <w:shd w:val="clear" w:color="auto" w:fill="FFFFFF" w:themeFill="background1"/>
            <w:vAlign w:val="center"/>
          </w:tcPr>
          <w:p w:rsidR="009F7AB8" w:rsidRPr="00C05C0B" w:rsidRDefault="009F7AB8" w:rsidP="00AF0050">
            <w:pPr>
              <w:keepNext/>
              <w:keepLines/>
              <w:jc w:val="center"/>
              <w:rPr>
                <w:rFonts w:cs="Arial"/>
                <w:color w:val="auto"/>
              </w:rPr>
            </w:pPr>
          </w:p>
        </w:tc>
        <w:tc>
          <w:tcPr>
            <w:tcW w:w="2495" w:type="dxa"/>
            <w:gridSpan w:val="2"/>
            <w:vAlign w:val="center"/>
          </w:tcPr>
          <w:p w:rsidR="009F7AB8" w:rsidRPr="00C05C0B" w:rsidRDefault="009F7AB8" w:rsidP="00A6519A">
            <w:pPr>
              <w:keepNext/>
              <w:keepLines/>
              <w:spacing w:line="240" w:lineRule="auto"/>
              <w:jc w:val="center"/>
              <w:rPr>
                <w:rFonts w:cs="Arial"/>
                <w:b/>
                <w:color w:val="auto"/>
              </w:rPr>
            </w:pPr>
            <w:r w:rsidRPr="00C05C0B">
              <w:rPr>
                <w:rFonts w:cs="Arial"/>
                <w:b/>
                <w:color w:val="auto"/>
              </w:rPr>
              <w:t>Cooktown</w:t>
            </w:r>
          </w:p>
        </w:tc>
        <w:tc>
          <w:tcPr>
            <w:tcW w:w="2495" w:type="dxa"/>
            <w:gridSpan w:val="2"/>
            <w:vAlign w:val="center"/>
          </w:tcPr>
          <w:p w:rsidR="009F7AB8" w:rsidRPr="00C05C0B" w:rsidRDefault="009F7AB8" w:rsidP="00A6519A">
            <w:pPr>
              <w:keepNext/>
              <w:keepLines/>
              <w:spacing w:line="240" w:lineRule="auto"/>
              <w:jc w:val="center"/>
              <w:rPr>
                <w:rFonts w:cs="Arial"/>
                <w:b/>
                <w:color w:val="auto"/>
              </w:rPr>
            </w:pPr>
            <w:r w:rsidRPr="00C05C0B">
              <w:rPr>
                <w:rFonts w:cs="Arial"/>
                <w:b/>
                <w:color w:val="auto"/>
              </w:rPr>
              <w:t>Pipon Island</w:t>
            </w:r>
          </w:p>
        </w:tc>
        <w:tc>
          <w:tcPr>
            <w:tcW w:w="2496" w:type="dxa"/>
            <w:gridSpan w:val="2"/>
            <w:vAlign w:val="center"/>
          </w:tcPr>
          <w:p w:rsidR="009F7AB8" w:rsidRPr="00C05C0B" w:rsidRDefault="009F7AB8" w:rsidP="00A6519A">
            <w:pPr>
              <w:keepNext/>
              <w:keepLines/>
              <w:spacing w:line="240" w:lineRule="auto"/>
              <w:jc w:val="center"/>
              <w:rPr>
                <w:rFonts w:cs="Arial"/>
                <w:b/>
                <w:color w:val="auto"/>
              </w:rPr>
            </w:pPr>
            <w:r w:rsidRPr="00C05C0B">
              <w:rPr>
                <w:rFonts w:cs="Arial"/>
                <w:b/>
                <w:color w:val="auto"/>
              </w:rPr>
              <w:t>Night Island</w:t>
            </w:r>
          </w:p>
        </w:tc>
      </w:tr>
      <w:tr w:rsidR="009F7AB8" w:rsidRPr="00C05C0B" w:rsidTr="00C609AB">
        <w:trPr>
          <w:trHeight w:hRule="exact" w:val="255"/>
          <w:tblHeader/>
        </w:trPr>
        <w:tc>
          <w:tcPr>
            <w:tcW w:w="1756" w:type="dxa"/>
            <w:vMerge/>
            <w:shd w:val="clear" w:color="auto" w:fill="FFFFFF" w:themeFill="background1"/>
            <w:vAlign w:val="center"/>
          </w:tcPr>
          <w:p w:rsidR="009F7AB8" w:rsidRPr="00C05C0B" w:rsidRDefault="009F7AB8" w:rsidP="00AF0050">
            <w:pPr>
              <w:keepNext/>
              <w:keepLines/>
              <w:jc w:val="center"/>
              <w:rPr>
                <w:rFonts w:cs="Arial"/>
                <w:b/>
                <w:color w:val="auto"/>
              </w:rPr>
            </w:pPr>
          </w:p>
        </w:tc>
        <w:tc>
          <w:tcPr>
            <w:tcW w:w="1247" w:type="dxa"/>
            <w:vAlign w:val="center"/>
          </w:tcPr>
          <w:p w:rsidR="009F7AB8" w:rsidRPr="00C05C0B" w:rsidRDefault="009F7AB8" w:rsidP="00A6519A">
            <w:pPr>
              <w:keepNext/>
              <w:keepLines/>
              <w:spacing w:line="240" w:lineRule="auto"/>
              <w:jc w:val="center"/>
              <w:rPr>
                <w:rFonts w:cs="Arial"/>
                <w:i/>
                <w:color w:val="auto"/>
              </w:rPr>
            </w:pPr>
            <w:r w:rsidRPr="00C05C0B">
              <w:rPr>
                <w:rFonts w:cs="Arial"/>
                <w:i/>
                <w:color w:val="auto"/>
              </w:rPr>
              <w:t>Observed</w:t>
            </w:r>
          </w:p>
        </w:tc>
        <w:tc>
          <w:tcPr>
            <w:tcW w:w="1248" w:type="dxa"/>
            <w:vAlign w:val="center"/>
          </w:tcPr>
          <w:p w:rsidR="009F7AB8" w:rsidRPr="00C05C0B" w:rsidRDefault="009F7AB8" w:rsidP="00A6519A">
            <w:pPr>
              <w:keepNext/>
              <w:keepLines/>
              <w:spacing w:line="240" w:lineRule="auto"/>
              <w:jc w:val="center"/>
              <w:rPr>
                <w:rFonts w:cs="Arial"/>
                <w:i/>
                <w:color w:val="auto"/>
              </w:rPr>
            </w:pPr>
            <w:r w:rsidRPr="00C05C0B">
              <w:rPr>
                <w:rFonts w:cs="Arial"/>
                <w:i/>
                <w:color w:val="auto"/>
              </w:rPr>
              <w:t>Predicted</w:t>
            </w:r>
          </w:p>
        </w:tc>
        <w:tc>
          <w:tcPr>
            <w:tcW w:w="1248" w:type="dxa"/>
            <w:vAlign w:val="center"/>
          </w:tcPr>
          <w:p w:rsidR="009F7AB8" w:rsidRPr="00C05C0B" w:rsidRDefault="009F7AB8" w:rsidP="00A6519A">
            <w:pPr>
              <w:keepNext/>
              <w:keepLines/>
              <w:spacing w:line="240" w:lineRule="auto"/>
              <w:jc w:val="center"/>
              <w:rPr>
                <w:rFonts w:cs="Arial"/>
                <w:i/>
                <w:color w:val="auto"/>
              </w:rPr>
            </w:pPr>
            <w:r w:rsidRPr="00C05C0B">
              <w:rPr>
                <w:rFonts w:cs="Arial"/>
                <w:i/>
                <w:color w:val="auto"/>
              </w:rPr>
              <w:t>Observed</w:t>
            </w:r>
          </w:p>
        </w:tc>
        <w:tc>
          <w:tcPr>
            <w:tcW w:w="1247" w:type="dxa"/>
            <w:vAlign w:val="center"/>
          </w:tcPr>
          <w:p w:rsidR="009F7AB8" w:rsidRPr="00C05C0B" w:rsidRDefault="009F7AB8" w:rsidP="00A6519A">
            <w:pPr>
              <w:keepNext/>
              <w:keepLines/>
              <w:spacing w:line="240" w:lineRule="auto"/>
              <w:jc w:val="center"/>
              <w:rPr>
                <w:rFonts w:cs="Arial"/>
                <w:i/>
                <w:color w:val="auto"/>
              </w:rPr>
            </w:pPr>
            <w:r w:rsidRPr="00C05C0B">
              <w:rPr>
                <w:rFonts w:cs="Arial"/>
                <w:i/>
                <w:color w:val="auto"/>
              </w:rPr>
              <w:t>Predicted</w:t>
            </w:r>
          </w:p>
        </w:tc>
        <w:tc>
          <w:tcPr>
            <w:tcW w:w="1248" w:type="dxa"/>
            <w:vAlign w:val="center"/>
          </w:tcPr>
          <w:p w:rsidR="009F7AB8" w:rsidRPr="00C05C0B" w:rsidRDefault="009F7AB8" w:rsidP="00A6519A">
            <w:pPr>
              <w:keepNext/>
              <w:keepLines/>
              <w:spacing w:line="240" w:lineRule="auto"/>
              <w:jc w:val="center"/>
              <w:rPr>
                <w:rFonts w:cs="Arial"/>
                <w:i/>
                <w:color w:val="auto"/>
              </w:rPr>
            </w:pPr>
            <w:r w:rsidRPr="00C05C0B">
              <w:rPr>
                <w:rFonts w:cs="Arial"/>
                <w:i/>
                <w:color w:val="auto"/>
              </w:rPr>
              <w:t>Observed</w:t>
            </w:r>
          </w:p>
        </w:tc>
        <w:tc>
          <w:tcPr>
            <w:tcW w:w="1248" w:type="dxa"/>
            <w:vAlign w:val="center"/>
          </w:tcPr>
          <w:p w:rsidR="009F7AB8" w:rsidRPr="00C05C0B" w:rsidRDefault="009F7AB8" w:rsidP="00A6519A">
            <w:pPr>
              <w:keepNext/>
              <w:keepLines/>
              <w:spacing w:line="240" w:lineRule="auto"/>
              <w:jc w:val="center"/>
              <w:rPr>
                <w:rFonts w:cs="Arial"/>
                <w:i/>
                <w:color w:val="auto"/>
              </w:rPr>
            </w:pPr>
            <w:r w:rsidRPr="00C05C0B">
              <w:rPr>
                <w:rFonts w:cs="Arial"/>
                <w:i/>
                <w:color w:val="auto"/>
              </w:rPr>
              <w:t>Predicted</w:t>
            </w:r>
          </w:p>
        </w:tc>
      </w:tr>
      <w:tr w:rsidR="009F7AB8" w:rsidRPr="00C05C0B" w:rsidTr="007860EB">
        <w:trPr>
          <w:trHeight w:hRule="exact" w:val="510"/>
        </w:trPr>
        <w:tc>
          <w:tcPr>
            <w:tcW w:w="1756" w:type="dxa"/>
            <w:vAlign w:val="center"/>
          </w:tcPr>
          <w:p w:rsidR="009F7AB8" w:rsidRPr="00C05C0B" w:rsidRDefault="009F7AB8" w:rsidP="00A6519A">
            <w:pPr>
              <w:keepNext/>
              <w:keepLines/>
              <w:spacing w:line="240" w:lineRule="auto"/>
              <w:jc w:val="center"/>
              <w:rPr>
                <w:rFonts w:cs="Arial"/>
                <w:b/>
                <w:color w:val="auto"/>
              </w:rPr>
            </w:pPr>
            <w:r w:rsidRPr="00C05C0B">
              <w:rPr>
                <w:rFonts w:cs="Arial"/>
                <w:b/>
                <w:color w:val="auto"/>
              </w:rPr>
              <w:t>Maximum</w:t>
            </w:r>
          </w:p>
        </w:tc>
        <w:tc>
          <w:tcPr>
            <w:tcW w:w="1247"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2.77</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2.80</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2.71</w:t>
            </w:r>
          </w:p>
        </w:tc>
        <w:tc>
          <w:tcPr>
            <w:tcW w:w="1247"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2.72</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2.75</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2.69</w:t>
            </w:r>
          </w:p>
        </w:tc>
      </w:tr>
      <w:tr w:rsidR="009F7AB8" w:rsidRPr="00C05C0B" w:rsidTr="007860EB">
        <w:trPr>
          <w:trHeight w:hRule="exact" w:val="510"/>
        </w:trPr>
        <w:tc>
          <w:tcPr>
            <w:tcW w:w="1756" w:type="dxa"/>
            <w:vAlign w:val="center"/>
          </w:tcPr>
          <w:p w:rsidR="009F7AB8" w:rsidRPr="00C05C0B" w:rsidRDefault="009F7AB8" w:rsidP="00A6519A">
            <w:pPr>
              <w:keepNext/>
              <w:keepLines/>
              <w:spacing w:line="240" w:lineRule="auto"/>
              <w:jc w:val="center"/>
              <w:rPr>
                <w:rFonts w:cs="Arial"/>
                <w:b/>
                <w:color w:val="auto"/>
              </w:rPr>
            </w:pPr>
            <w:r w:rsidRPr="00C05C0B">
              <w:rPr>
                <w:rFonts w:cs="Arial"/>
                <w:b/>
                <w:color w:val="auto"/>
              </w:rPr>
              <w:t>Average</w:t>
            </w:r>
          </w:p>
        </w:tc>
        <w:tc>
          <w:tcPr>
            <w:tcW w:w="1247"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1.49</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1.55</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1.48</w:t>
            </w:r>
          </w:p>
        </w:tc>
        <w:tc>
          <w:tcPr>
            <w:tcW w:w="1247"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1.51</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1.50</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1.51</w:t>
            </w:r>
          </w:p>
        </w:tc>
      </w:tr>
      <w:tr w:rsidR="009F7AB8" w:rsidRPr="00C05C0B" w:rsidTr="007860EB">
        <w:trPr>
          <w:trHeight w:hRule="exact" w:val="510"/>
        </w:trPr>
        <w:tc>
          <w:tcPr>
            <w:tcW w:w="1756" w:type="dxa"/>
            <w:vAlign w:val="center"/>
          </w:tcPr>
          <w:p w:rsidR="009F7AB8" w:rsidRPr="00C05C0B" w:rsidRDefault="009F7AB8" w:rsidP="00A6519A">
            <w:pPr>
              <w:keepNext/>
              <w:keepLines/>
              <w:spacing w:line="240" w:lineRule="auto"/>
              <w:jc w:val="center"/>
              <w:rPr>
                <w:rFonts w:cs="Arial"/>
                <w:b/>
                <w:color w:val="auto"/>
              </w:rPr>
            </w:pPr>
            <w:r w:rsidRPr="00C05C0B">
              <w:rPr>
                <w:rFonts w:cs="Arial"/>
                <w:b/>
                <w:color w:val="auto"/>
              </w:rPr>
              <w:t>Minimum</w:t>
            </w:r>
          </w:p>
        </w:tc>
        <w:tc>
          <w:tcPr>
            <w:tcW w:w="1247"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0.20</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0.25</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0.53</w:t>
            </w:r>
          </w:p>
        </w:tc>
        <w:tc>
          <w:tcPr>
            <w:tcW w:w="1247"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0.23</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0.44</w:t>
            </w:r>
          </w:p>
        </w:tc>
        <w:tc>
          <w:tcPr>
            <w:tcW w:w="1248" w:type="dxa"/>
            <w:vAlign w:val="center"/>
          </w:tcPr>
          <w:p w:rsidR="009F7AB8" w:rsidRPr="00C05C0B" w:rsidRDefault="009F7AB8" w:rsidP="00A6519A">
            <w:pPr>
              <w:keepNext/>
              <w:keepLines/>
              <w:spacing w:line="240" w:lineRule="auto"/>
              <w:jc w:val="center"/>
              <w:rPr>
                <w:rFonts w:cs="Arial"/>
                <w:color w:val="auto"/>
              </w:rPr>
            </w:pPr>
            <w:r w:rsidRPr="00C05C0B">
              <w:rPr>
                <w:rFonts w:cs="Arial"/>
                <w:color w:val="auto"/>
              </w:rPr>
              <w:t>0.27</w:t>
            </w:r>
          </w:p>
        </w:tc>
      </w:tr>
      <w:tr w:rsidR="009F7AB8" w:rsidRPr="00C05C0B" w:rsidTr="007860EB">
        <w:trPr>
          <w:trHeight w:hRule="exact" w:val="687"/>
        </w:trPr>
        <w:tc>
          <w:tcPr>
            <w:tcW w:w="1756" w:type="dxa"/>
            <w:tcBorders>
              <w:bottom w:val="single" w:sz="4" w:space="0" w:color="auto"/>
            </w:tcBorders>
            <w:vAlign w:val="center"/>
          </w:tcPr>
          <w:p w:rsidR="009F7AB8" w:rsidRPr="00C05C0B" w:rsidRDefault="009F7AB8" w:rsidP="00A6519A">
            <w:pPr>
              <w:keepLines/>
              <w:spacing w:line="240" w:lineRule="auto"/>
              <w:jc w:val="center"/>
              <w:rPr>
                <w:rFonts w:cs="Arial"/>
                <w:b/>
                <w:color w:val="auto"/>
              </w:rPr>
            </w:pPr>
            <w:r w:rsidRPr="00C05C0B">
              <w:rPr>
                <w:rFonts w:cs="Arial"/>
                <w:b/>
                <w:color w:val="auto"/>
              </w:rPr>
              <w:t>Mean absolute error (MAE)</w:t>
            </w:r>
          </w:p>
        </w:tc>
        <w:tc>
          <w:tcPr>
            <w:tcW w:w="2495" w:type="dxa"/>
            <w:gridSpan w:val="2"/>
            <w:vAlign w:val="center"/>
          </w:tcPr>
          <w:p w:rsidR="009F7AB8" w:rsidRPr="00C05C0B" w:rsidRDefault="009F7AB8" w:rsidP="00A6519A">
            <w:pPr>
              <w:keepLines/>
              <w:spacing w:line="240" w:lineRule="auto"/>
              <w:jc w:val="center"/>
              <w:rPr>
                <w:rFonts w:cs="Arial"/>
                <w:color w:val="auto"/>
              </w:rPr>
            </w:pPr>
            <w:r w:rsidRPr="00C05C0B">
              <w:rPr>
                <w:rFonts w:cs="Arial"/>
                <w:color w:val="auto"/>
              </w:rPr>
              <w:t>0.08</w:t>
            </w:r>
          </w:p>
        </w:tc>
        <w:tc>
          <w:tcPr>
            <w:tcW w:w="2495" w:type="dxa"/>
            <w:gridSpan w:val="2"/>
            <w:vAlign w:val="center"/>
          </w:tcPr>
          <w:p w:rsidR="009F7AB8" w:rsidRPr="00C05C0B" w:rsidRDefault="009F7AB8" w:rsidP="00A6519A">
            <w:pPr>
              <w:keepLines/>
              <w:spacing w:line="240" w:lineRule="auto"/>
              <w:jc w:val="center"/>
              <w:rPr>
                <w:rFonts w:cs="Arial"/>
                <w:color w:val="auto"/>
              </w:rPr>
            </w:pPr>
            <w:r w:rsidRPr="00C05C0B">
              <w:rPr>
                <w:rFonts w:cs="Arial"/>
                <w:color w:val="auto"/>
              </w:rPr>
              <w:t>0.17</w:t>
            </w:r>
          </w:p>
        </w:tc>
        <w:tc>
          <w:tcPr>
            <w:tcW w:w="2496" w:type="dxa"/>
            <w:gridSpan w:val="2"/>
            <w:vAlign w:val="center"/>
          </w:tcPr>
          <w:p w:rsidR="009F7AB8" w:rsidRPr="00C05C0B" w:rsidRDefault="009F7AB8" w:rsidP="00A6519A">
            <w:pPr>
              <w:keepLines/>
              <w:spacing w:line="240" w:lineRule="auto"/>
              <w:jc w:val="center"/>
              <w:rPr>
                <w:rFonts w:cs="Arial"/>
                <w:color w:val="auto"/>
              </w:rPr>
            </w:pPr>
            <w:r w:rsidRPr="00C05C0B">
              <w:rPr>
                <w:rFonts w:cs="Arial"/>
                <w:color w:val="auto"/>
              </w:rPr>
              <w:t>0.15</w:t>
            </w:r>
          </w:p>
        </w:tc>
      </w:tr>
    </w:tbl>
    <w:p w:rsidR="009F7AB8" w:rsidRPr="007D6EB4" w:rsidRDefault="009F7AB8" w:rsidP="00A6519A">
      <w:pPr>
        <w:spacing w:line="240" w:lineRule="auto"/>
        <w:jc w:val="left"/>
        <w:rPr>
          <w:rFonts w:cs="Arial"/>
          <w:color w:val="auto"/>
          <w:szCs w:val="22"/>
          <w:lang w:val="en-AU"/>
        </w:rPr>
      </w:pPr>
    </w:p>
    <w:p w:rsidR="002E4AA7" w:rsidRPr="007D6EB4" w:rsidRDefault="009B2E78" w:rsidP="00EC0510">
      <w:pPr>
        <w:pStyle w:val="StyleLeft"/>
        <w:rPr>
          <w:lang w:val="en-AU"/>
        </w:rPr>
      </w:pPr>
      <w:r w:rsidRPr="006A22FE">
        <w:rPr>
          <w:noProof/>
          <w:bdr w:val="single" w:sz="4" w:space="0" w:color="auto"/>
          <w:lang w:val="en-AU" w:eastAsia="en-AU"/>
        </w:rPr>
        <w:lastRenderedPageBreak/>
        <w:drawing>
          <wp:inline distT="0" distB="0" distL="0" distR="0" wp14:anchorId="20E6D4C7" wp14:editId="527DA591">
            <wp:extent cx="5400675" cy="4048125"/>
            <wp:effectExtent l="0" t="0" r="0" b="0"/>
            <wp:docPr id="72" name="Picture 72" descr="Figure 10 shows that the HYDROMAP model was accurately predicting the propagation of the tidal elevations over the grid for Gladstone, Rosslyn Bay and Hay Point. The model accurately reproduced the phase and amplitudes throughout the spring and neap tidal cycles at all tide stations, including the inequalities in the semidiurnal and mixed phase tidal patterns" title="Figure 10. Comparison between the predicted (red line) and observed (blue line) water elevations at Gladstone (upper image), Rosslyn Bay (middle image) and Hay Point (lower image), 1-30 November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Q:\Projects\Q0110 GBRMPA-SKM QLD disposal site selection\8. Figures\Validation_Plots\Tides_Validation\SOUTHERN_NOV11_Tide Validation.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400675" cy="4048125"/>
                    </a:xfrm>
                    <a:prstGeom prst="rect">
                      <a:avLst/>
                    </a:prstGeom>
                    <a:noFill/>
                    <a:ln>
                      <a:noFill/>
                    </a:ln>
                  </pic:spPr>
                </pic:pic>
              </a:graphicData>
            </a:graphic>
          </wp:inline>
        </w:drawing>
      </w:r>
    </w:p>
    <w:p w:rsidR="002E4AA7" w:rsidRPr="007D6EB4" w:rsidRDefault="002E4AA7" w:rsidP="00A6519A">
      <w:pPr>
        <w:pStyle w:val="Caption"/>
        <w:spacing w:line="240" w:lineRule="auto"/>
        <w:ind w:left="480" w:hanging="480"/>
        <w:jc w:val="left"/>
        <w:rPr>
          <w:color w:val="auto"/>
          <w:lang w:val="en-AU"/>
        </w:rPr>
      </w:pPr>
      <w:bookmarkStart w:id="43" w:name="_Ref338344466"/>
      <w:bookmarkStart w:id="44" w:name="_Toc338242167"/>
      <w:bookmarkStart w:id="45" w:name="_Toc361651493"/>
      <w:r w:rsidRPr="007D6EB4">
        <w:rPr>
          <w:b/>
          <w:color w:val="auto"/>
          <w:lang w:val="en-AU"/>
        </w:rPr>
        <w:t xml:space="preserve">Figure </w:t>
      </w:r>
      <w:r w:rsidR="005F6FF5" w:rsidRPr="007D6EB4">
        <w:rPr>
          <w:b/>
          <w:color w:val="auto"/>
          <w:lang w:val="en-AU"/>
        </w:rPr>
        <w:fldChar w:fldCharType="begin"/>
      </w:r>
      <w:r w:rsidR="00031C1F" w:rsidRPr="007D6EB4">
        <w:rPr>
          <w:b/>
          <w:color w:val="auto"/>
          <w:lang w:val="en-AU"/>
        </w:rPr>
        <w:instrText xml:space="preserve"> SEQ Figure \* ARABIC </w:instrText>
      </w:r>
      <w:r w:rsidR="005F6FF5" w:rsidRPr="007D6EB4">
        <w:rPr>
          <w:b/>
          <w:color w:val="auto"/>
          <w:lang w:val="en-AU"/>
        </w:rPr>
        <w:fldChar w:fldCharType="separate"/>
      </w:r>
      <w:r w:rsidR="00751BC4">
        <w:rPr>
          <w:b/>
          <w:noProof/>
          <w:color w:val="auto"/>
          <w:lang w:val="en-AU"/>
        </w:rPr>
        <w:t>10</w:t>
      </w:r>
      <w:r w:rsidR="005F6FF5" w:rsidRPr="007D6EB4">
        <w:rPr>
          <w:b/>
          <w:color w:val="auto"/>
          <w:lang w:val="en-AU"/>
        </w:rPr>
        <w:fldChar w:fldCharType="end"/>
      </w:r>
      <w:bookmarkEnd w:id="43"/>
      <w:r w:rsidR="00E5277F">
        <w:rPr>
          <w:b/>
          <w:color w:val="auto"/>
          <w:lang w:val="en-AU"/>
        </w:rPr>
        <w:t>.</w:t>
      </w:r>
      <w:r w:rsidRPr="007D6EB4">
        <w:rPr>
          <w:color w:val="auto"/>
          <w:lang w:val="en-AU"/>
        </w:rPr>
        <w:t xml:space="preserve"> Comparison between the predicted (red line) and observed (blue line) water elevations at </w:t>
      </w:r>
      <w:r w:rsidR="001A3FEE">
        <w:rPr>
          <w:color w:val="auto"/>
          <w:lang w:val="en-AU"/>
        </w:rPr>
        <w:t>Gladstone</w:t>
      </w:r>
      <w:r w:rsidRPr="007D6EB4">
        <w:rPr>
          <w:color w:val="auto"/>
          <w:lang w:val="en-AU"/>
        </w:rPr>
        <w:t xml:space="preserve"> (upper image), </w:t>
      </w:r>
      <w:r w:rsidR="00DE74C2">
        <w:rPr>
          <w:color w:val="auto"/>
          <w:lang w:val="en-AU"/>
        </w:rPr>
        <w:t>Rosslyn</w:t>
      </w:r>
      <w:r w:rsidRPr="007D6EB4">
        <w:rPr>
          <w:color w:val="auto"/>
          <w:lang w:val="en-AU"/>
        </w:rPr>
        <w:t xml:space="preserve"> Bay (middle image) and </w:t>
      </w:r>
      <w:r w:rsidR="001A3FEE">
        <w:rPr>
          <w:color w:val="auto"/>
          <w:lang w:val="en-AU"/>
        </w:rPr>
        <w:t>Hay Point</w:t>
      </w:r>
      <w:r w:rsidRPr="007D6EB4">
        <w:rPr>
          <w:color w:val="auto"/>
          <w:lang w:val="en-AU"/>
        </w:rPr>
        <w:t xml:space="preserve"> (lower image), 1-30 November 2011.</w:t>
      </w:r>
      <w:bookmarkEnd w:id="44"/>
      <w:bookmarkEnd w:id="45"/>
    </w:p>
    <w:p w:rsidR="002E4AA7" w:rsidRPr="007D6EB4" w:rsidRDefault="002E4AA7" w:rsidP="00617543">
      <w:pPr>
        <w:pStyle w:val="Para0"/>
        <w:rPr>
          <w:lang w:val="en-AU"/>
        </w:rPr>
      </w:pPr>
    </w:p>
    <w:p w:rsidR="002E4AA7" w:rsidRPr="007D6EB4" w:rsidRDefault="009B2E78" w:rsidP="00EC0510">
      <w:pPr>
        <w:pStyle w:val="StyleLeft"/>
        <w:rPr>
          <w:lang w:val="en-AU"/>
        </w:rPr>
      </w:pPr>
      <w:r w:rsidRPr="006A22FE">
        <w:rPr>
          <w:noProof/>
          <w:bdr w:val="single" w:sz="4" w:space="0" w:color="auto"/>
          <w:lang w:val="en-AU" w:eastAsia="en-AU"/>
        </w:rPr>
        <w:lastRenderedPageBreak/>
        <w:drawing>
          <wp:inline distT="0" distB="0" distL="0" distR="0" wp14:anchorId="39458C42" wp14:editId="3C229EFC">
            <wp:extent cx="5400675" cy="4048125"/>
            <wp:effectExtent l="0" t="0" r="0" b="0"/>
            <wp:docPr id="73" name="Picture 73" descr="Figure 11 shows that the HYDROMAP model was accurately predicting the propagation of the tidal elevations over the grid for Abbot Point, Townsville and Cairns. The model accurately reproduced the phase and amplitudes throughout the spring and neap tidal cycles at all tide stations, including the inequalities in the semidiurnal and mixed phase tidal patterns" title="Figure 11. Comparison between the predicted (red line) and observed (blue line) water elevations at Abbot Point (upper image), Townsville (middle image) and Cairns (lower image), 1-30 November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Q:\Projects\Q0110 GBRMPA-SKM QLD disposal site selection\8. Figures\Validation_Plots\Tides_Validation\CENTRAL_NOV11_Tide Validation.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400675" cy="4048125"/>
                    </a:xfrm>
                    <a:prstGeom prst="rect">
                      <a:avLst/>
                    </a:prstGeom>
                    <a:noFill/>
                    <a:ln>
                      <a:noFill/>
                    </a:ln>
                  </pic:spPr>
                </pic:pic>
              </a:graphicData>
            </a:graphic>
          </wp:inline>
        </w:drawing>
      </w:r>
    </w:p>
    <w:p w:rsidR="002E4AA7" w:rsidRPr="007D6EB4" w:rsidRDefault="002E4AA7" w:rsidP="00EC0510">
      <w:pPr>
        <w:pStyle w:val="Caption"/>
        <w:spacing w:line="240" w:lineRule="auto"/>
        <w:ind w:left="480" w:hanging="480"/>
        <w:jc w:val="left"/>
        <w:rPr>
          <w:lang w:val="en-AU"/>
        </w:rPr>
      </w:pPr>
      <w:bookmarkStart w:id="46" w:name="_Ref338344463"/>
      <w:bookmarkStart w:id="47" w:name="_Toc338242166"/>
      <w:bookmarkStart w:id="48" w:name="_Toc361651494"/>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11</w:t>
      </w:r>
      <w:r w:rsidR="005F6FF5" w:rsidRPr="007D6EB4">
        <w:rPr>
          <w:b/>
          <w:lang w:val="en-AU"/>
        </w:rPr>
        <w:fldChar w:fldCharType="end"/>
      </w:r>
      <w:bookmarkEnd w:id="46"/>
      <w:r w:rsidR="00E5277F">
        <w:rPr>
          <w:b/>
          <w:lang w:val="en-AU"/>
        </w:rPr>
        <w:t>.</w:t>
      </w:r>
      <w:r w:rsidRPr="007D6EB4">
        <w:rPr>
          <w:lang w:val="en-AU"/>
        </w:rPr>
        <w:t xml:space="preserve"> Comparison between the predicted (red line) and observed (blue line) water elevations at </w:t>
      </w:r>
      <w:r w:rsidR="001A3FEE" w:rsidRPr="007D6EB4">
        <w:rPr>
          <w:lang w:val="en-AU"/>
        </w:rPr>
        <w:t xml:space="preserve">Abbot Point </w:t>
      </w:r>
      <w:r w:rsidRPr="007D6EB4">
        <w:rPr>
          <w:lang w:val="en-AU"/>
        </w:rPr>
        <w:t xml:space="preserve">(upper image), Townsville (middle image) and </w:t>
      </w:r>
      <w:r w:rsidR="001A3FEE">
        <w:rPr>
          <w:lang w:val="en-AU"/>
        </w:rPr>
        <w:t xml:space="preserve">Cairns </w:t>
      </w:r>
      <w:r w:rsidRPr="007D6EB4">
        <w:rPr>
          <w:lang w:val="en-AU"/>
        </w:rPr>
        <w:t>(lower image), 1-30 November 2011.</w:t>
      </w:r>
      <w:bookmarkEnd w:id="47"/>
      <w:bookmarkEnd w:id="48"/>
    </w:p>
    <w:p w:rsidR="00A477E9" w:rsidRPr="007D6EB4" w:rsidRDefault="009B2E78" w:rsidP="00617543">
      <w:pPr>
        <w:pStyle w:val="Para0"/>
        <w:rPr>
          <w:lang w:val="en-AU"/>
        </w:rPr>
      </w:pPr>
      <w:r w:rsidRPr="006A22FE">
        <w:rPr>
          <w:noProof/>
          <w:bdr w:val="single" w:sz="4" w:space="0" w:color="auto"/>
          <w:lang w:val="en-AU" w:eastAsia="en-AU"/>
        </w:rPr>
        <w:lastRenderedPageBreak/>
        <w:drawing>
          <wp:inline distT="0" distB="0" distL="0" distR="0" wp14:anchorId="173A0FAD" wp14:editId="2978296E">
            <wp:extent cx="5400675" cy="4048125"/>
            <wp:effectExtent l="0" t="0" r="0" b="0"/>
            <wp:docPr id="74" name="Picture 74" descr="Figure 12 shows that the HYDROMAP model was accurately predicting the propagation of the tidal elevations over the grid for Cooktown, Pipon Island and Night Island.  The model accurately reproduced the phase and amplitudes throughout the spring and neap tidal cycles at all tide stations, including the inequalities in the semidiurnal and mixed phase tidal patterns" title="Figure 12. Comparison between the predicted (red line) and observed (blue line) water elevations at Cooktown (upper image), Pipon Island (middle image) and Night Island (lower image), 1-30 November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Q:\Projects\Q0110 GBRMPA-SKM QLD disposal site selection\8. Figures\Validation_Plots\Tides_Validation\NORTHERN_NOV11_Tide Validation.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400675" cy="4048125"/>
                    </a:xfrm>
                    <a:prstGeom prst="rect">
                      <a:avLst/>
                    </a:prstGeom>
                    <a:noFill/>
                    <a:ln>
                      <a:noFill/>
                    </a:ln>
                  </pic:spPr>
                </pic:pic>
              </a:graphicData>
            </a:graphic>
          </wp:inline>
        </w:drawing>
      </w:r>
    </w:p>
    <w:p w:rsidR="00DB5DDF" w:rsidRPr="007D6EB4" w:rsidRDefault="00DB5DDF" w:rsidP="00EC0510">
      <w:pPr>
        <w:pStyle w:val="Caption"/>
        <w:spacing w:line="240" w:lineRule="auto"/>
        <w:ind w:left="480" w:hanging="480"/>
        <w:jc w:val="left"/>
        <w:rPr>
          <w:lang w:val="en-AU"/>
        </w:rPr>
      </w:pPr>
      <w:bookmarkStart w:id="49" w:name="_Ref338426952"/>
      <w:bookmarkStart w:id="50" w:name="_Toc361651495"/>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12</w:t>
      </w:r>
      <w:r w:rsidR="005F6FF5" w:rsidRPr="007D6EB4">
        <w:rPr>
          <w:b/>
          <w:lang w:val="en-AU"/>
        </w:rPr>
        <w:fldChar w:fldCharType="end"/>
      </w:r>
      <w:bookmarkEnd w:id="49"/>
      <w:r w:rsidR="00E5277F">
        <w:rPr>
          <w:b/>
          <w:lang w:val="en-AU"/>
        </w:rPr>
        <w:t>.</w:t>
      </w:r>
      <w:r w:rsidRPr="007D6EB4">
        <w:rPr>
          <w:lang w:val="en-AU"/>
        </w:rPr>
        <w:t xml:space="preserve"> Comparison between the predicted (red line) and observed (blue line) water elevations at </w:t>
      </w:r>
      <w:r w:rsidR="001A3FEE" w:rsidRPr="007D6EB4">
        <w:rPr>
          <w:lang w:val="en-AU"/>
        </w:rPr>
        <w:t xml:space="preserve">Cooktown </w:t>
      </w:r>
      <w:r w:rsidRPr="007D6EB4">
        <w:rPr>
          <w:lang w:val="en-AU"/>
        </w:rPr>
        <w:t xml:space="preserve">(upper image), </w:t>
      </w:r>
      <w:r w:rsidR="00E82FB6" w:rsidRPr="007D6EB4">
        <w:rPr>
          <w:lang w:val="en-AU"/>
        </w:rPr>
        <w:t>Pipon Island</w:t>
      </w:r>
      <w:r w:rsidRPr="007D6EB4">
        <w:rPr>
          <w:lang w:val="en-AU"/>
        </w:rPr>
        <w:t xml:space="preserve"> (middle image) and </w:t>
      </w:r>
      <w:r w:rsidR="001A3FEE" w:rsidRPr="007D6EB4">
        <w:rPr>
          <w:lang w:val="en-AU"/>
        </w:rPr>
        <w:t xml:space="preserve">Night Island </w:t>
      </w:r>
      <w:r w:rsidRPr="007D6EB4">
        <w:rPr>
          <w:lang w:val="en-AU"/>
        </w:rPr>
        <w:t>(lower image), 1-30 November 2011.</w:t>
      </w:r>
      <w:bookmarkEnd w:id="50"/>
    </w:p>
    <w:p w:rsidR="002E4AA7" w:rsidRPr="007D6EB4" w:rsidRDefault="002E4AA7" w:rsidP="00617543">
      <w:pPr>
        <w:pStyle w:val="Para0"/>
        <w:rPr>
          <w:lang w:val="en-AU"/>
        </w:rPr>
      </w:pPr>
    </w:p>
    <w:p w:rsidR="00A07D7D" w:rsidRPr="007D6EB4" w:rsidRDefault="00A07D7D" w:rsidP="00EC0510">
      <w:pPr>
        <w:pStyle w:val="StyleLeft"/>
        <w:rPr>
          <w:lang w:val="en-AU"/>
        </w:rPr>
      </w:pPr>
      <w:r w:rsidRPr="007D6EB4">
        <w:rPr>
          <w:lang w:val="en-AU"/>
        </w:rPr>
        <w:t>To account for the wind influence</w:t>
      </w:r>
      <w:r w:rsidR="000423FF" w:rsidRPr="007D6EB4">
        <w:rPr>
          <w:lang w:val="en-AU"/>
        </w:rPr>
        <w:t xml:space="preserve"> on coastal circulation</w:t>
      </w:r>
      <w:r w:rsidRPr="007D6EB4">
        <w:rPr>
          <w:lang w:val="en-AU"/>
        </w:rPr>
        <w:t xml:space="preserve">, </w:t>
      </w:r>
      <w:r w:rsidR="000423FF" w:rsidRPr="007D6EB4">
        <w:rPr>
          <w:lang w:val="en-AU"/>
        </w:rPr>
        <w:t xml:space="preserve">measurements made </w:t>
      </w:r>
      <w:r w:rsidRPr="007D6EB4">
        <w:rPr>
          <w:lang w:val="en-AU"/>
        </w:rPr>
        <w:t xml:space="preserve">along the coastline by the Bureau of Meteorology </w:t>
      </w:r>
      <w:r w:rsidR="00597E87">
        <w:rPr>
          <w:lang w:val="en-AU"/>
        </w:rPr>
        <w:t xml:space="preserve">(BOM) </w:t>
      </w:r>
      <w:r w:rsidRPr="007D6EB4">
        <w:rPr>
          <w:lang w:val="en-AU"/>
        </w:rPr>
        <w:t xml:space="preserve">were combined with reanalysed data </w:t>
      </w:r>
      <w:r w:rsidR="007D6EB4" w:rsidRPr="007D6EB4">
        <w:rPr>
          <w:lang w:val="en-AU"/>
        </w:rPr>
        <w:t>sourced</w:t>
      </w:r>
      <w:r w:rsidRPr="007D6EB4">
        <w:rPr>
          <w:lang w:val="en-AU"/>
        </w:rPr>
        <w:t xml:space="preserve"> from </w:t>
      </w:r>
      <w:r w:rsidR="00CC4847">
        <w:rPr>
          <w:lang w:val="en-AU"/>
        </w:rPr>
        <w:t xml:space="preserve">the </w:t>
      </w:r>
      <w:r w:rsidR="000423FF" w:rsidRPr="007D6EB4">
        <w:rPr>
          <w:lang w:val="en-AU"/>
        </w:rPr>
        <w:t xml:space="preserve">atmospheric model </w:t>
      </w:r>
      <w:r w:rsidRPr="007D6EB4">
        <w:rPr>
          <w:lang w:val="en-AU"/>
        </w:rPr>
        <w:t>Global Forecast System (GFS)</w:t>
      </w:r>
      <w:r w:rsidR="000423FF" w:rsidRPr="007D6EB4">
        <w:rPr>
          <w:lang w:val="en-AU"/>
        </w:rPr>
        <w:t xml:space="preserve"> </w:t>
      </w:r>
      <w:r w:rsidRPr="007D6EB4">
        <w:rPr>
          <w:lang w:val="en-AU"/>
        </w:rPr>
        <w:t xml:space="preserve">run by the </w:t>
      </w:r>
      <w:r w:rsidRPr="007D6EB4">
        <w:rPr>
          <w:rStyle w:val="Emphasis"/>
          <w:i w:val="0"/>
          <w:lang w:val="en-AU"/>
        </w:rPr>
        <w:t>National Centre for Environmental Predictions (NCEP).</w:t>
      </w:r>
      <w:r w:rsidR="0043422D">
        <w:rPr>
          <w:rStyle w:val="Emphasis"/>
          <w:i w:val="0"/>
          <w:lang w:val="en-AU"/>
        </w:rPr>
        <w:t xml:space="preserve"> </w:t>
      </w:r>
      <w:r w:rsidRPr="007D6EB4">
        <w:rPr>
          <w:rStyle w:val="Emphasis"/>
          <w:i w:val="0"/>
          <w:lang w:val="en-AU"/>
        </w:rPr>
        <w:t xml:space="preserve">The </w:t>
      </w:r>
      <w:r w:rsidR="00CC4847">
        <w:rPr>
          <w:rStyle w:val="Emphasis"/>
          <w:i w:val="0"/>
          <w:lang w:val="en-AU"/>
        </w:rPr>
        <w:t xml:space="preserve">GFS </w:t>
      </w:r>
      <w:r w:rsidRPr="007D6EB4">
        <w:rPr>
          <w:rStyle w:val="Emphasis"/>
          <w:i w:val="0"/>
          <w:lang w:val="en-AU"/>
        </w:rPr>
        <w:t xml:space="preserve">wind data </w:t>
      </w:r>
      <w:r w:rsidRPr="007D6EB4">
        <w:rPr>
          <w:lang w:val="en-AU"/>
        </w:rPr>
        <w:t>integrat</w:t>
      </w:r>
      <w:r w:rsidR="000423FF" w:rsidRPr="007D6EB4">
        <w:rPr>
          <w:lang w:val="en-AU"/>
        </w:rPr>
        <w:t>es</w:t>
      </w:r>
      <w:r w:rsidRPr="007D6EB4">
        <w:rPr>
          <w:lang w:val="en-AU"/>
        </w:rPr>
        <w:t xml:space="preserve"> extensive </w:t>
      </w:r>
      <w:r w:rsidR="00B17B4E" w:rsidRPr="007D6EB4">
        <w:rPr>
          <w:lang w:val="en-AU"/>
        </w:rPr>
        <w:t xml:space="preserve">atmospheric data </w:t>
      </w:r>
      <w:r w:rsidR="000423FF" w:rsidRPr="007D6EB4">
        <w:rPr>
          <w:lang w:val="en-AU"/>
        </w:rPr>
        <w:t xml:space="preserve">measurements </w:t>
      </w:r>
      <w:r w:rsidR="00C84E9F">
        <w:rPr>
          <w:lang w:val="en-AU"/>
        </w:rPr>
        <w:t>using</w:t>
      </w:r>
      <w:r w:rsidRPr="007D6EB4">
        <w:rPr>
          <w:lang w:val="en-AU"/>
        </w:rPr>
        <w:t xml:space="preserve"> state-of-the-art model</w:t>
      </w:r>
      <w:r w:rsidR="00B17B4E">
        <w:rPr>
          <w:lang w:val="en-AU"/>
        </w:rPr>
        <w:t>ling</w:t>
      </w:r>
      <w:r w:rsidR="000423FF" w:rsidRPr="007D6EB4">
        <w:rPr>
          <w:lang w:val="en-AU"/>
        </w:rPr>
        <w:t xml:space="preserve"> and is available </w:t>
      </w:r>
      <w:r w:rsidR="00B17B4E" w:rsidRPr="007D6EB4">
        <w:rPr>
          <w:lang w:val="en-AU"/>
        </w:rPr>
        <w:t xml:space="preserve">at </w:t>
      </w:r>
      <w:r w:rsidR="00C77241">
        <w:rPr>
          <w:lang w:val="en-AU"/>
        </w:rPr>
        <w:t>three</w:t>
      </w:r>
      <w:r w:rsidR="00C77241" w:rsidRPr="007D6EB4">
        <w:rPr>
          <w:lang w:val="en-AU"/>
        </w:rPr>
        <w:t> </w:t>
      </w:r>
      <w:r w:rsidR="00B17B4E" w:rsidRPr="007D6EB4">
        <w:rPr>
          <w:lang w:val="en-AU"/>
        </w:rPr>
        <w:t>hourly time steps for stations spaced at ~ 55 km apart</w:t>
      </w:r>
      <w:r w:rsidR="000423FF" w:rsidRPr="007D6EB4">
        <w:rPr>
          <w:lang w:val="en-AU"/>
        </w:rPr>
        <w:t>.</w:t>
      </w:r>
      <w:r w:rsidR="0043422D">
        <w:rPr>
          <w:lang w:val="en-AU"/>
        </w:rPr>
        <w:t xml:space="preserve"> </w:t>
      </w:r>
      <w:r w:rsidRPr="007D6EB4">
        <w:rPr>
          <w:lang w:val="en-AU"/>
        </w:rPr>
        <w:t xml:space="preserve">Data from 2011 </w:t>
      </w:r>
      <w:r w:rsidR="003510FE">
        <w:rPr>
          <w:lang w:val="en-AU"/>
        </w:rPr>
        <w:t>were</w:t>
      </w:r>
      <w:r w:rsidR="00B17B4E" w:rsidRPr="007D6EB4">
        <w:rPr>
          <w:lang w:val="en-AU"/>
        </w:rPr>
        <w:t xml:space="preserve"> </w:t>
      </w:r>
      <w:r w:rsidRPr="007D6EB4">
        <w:rPr>
          <w:lang w:val="en-AU"/>
        </w:rPr>
        <w:t xml:space="preserve">extracted </w:t>
      </w:r>
      <w:r w:rsidR="00B17B4E">
        <w:rPr>
          <w:lang w:val="en-AU"/>
        </w:rPr>
        <w:t>for the same</w:t>
      </w:r>
      <w:r w:rsidRPr="007D6EB4">
        <w:rPr>
          <w:lang w:val="en-AU"/>
        </w:rPr>
        <w:t xml:space="preserve"> extent as the </w:t>
      </w:r>
      <w:r w:rsidRPr="007D6EB4">
        <w:rPr>
          <w:color w:val="auto"/>
          <w:lang w:val="en-AU"/>
        </w:rPr>
        <w:t>coastal current model grids</w:t>
      </w:r>
      <w:r w:rsidRPr="007D6EB4">
        <w:rPr>
          <w:lang w:val="en-AU"/>
        </w:rPr>
        <w:t>.</w:t>
      </w:r>
      <w:r w:rsidR="0043422D">
        <w:rPr>
          <w:lang w:val="en-AU"/>
        </w:rPr>
        <w:t xml:space="preserve"> </w:t>
      </w:r>
    </w:p>
    <w:p w:rsidR="0039405F" w:rsidRPr="007D6EB4" w:rsidRDefault="0039405F" w:rsidP="00617543">
      <w:pPr>
        <w:spacing w:after="0" w:line="240" w:lineRule="auto"/>
        <w:jc w:val="left"/>
        <w:rPr>
          <w:lang w:val="en-AU"/>
        </w:rPr>
      </w:pPr>
      <w:r w:rsidRPr="007D6EB4">
        <w:rPr>
          <w:lang w:val="en-AU"/>
        </w:rPr>
        <w:br w:type="page"/>
      </w:r>
    </w:p>
    <w:p w:rsidR="0039405F" w:rsidRPr="007D6EB4" w:rsidRDefault="0039405F" w:rsidP="00E46224">
      <w:pPr>
        <w:pStyle w:val="Heading4"/>
      </w:pPr>
      <w:r w:rsidRPr="007D6EB4">
        <w:lastRenderedPageBreak/>
        <w:t>Validation of combined current estimates</w:t>
      </w:r>
    </w:p>
    <w:p w:rsidR="0039405F" w:rsidRPr="007D6EB4" w:rsidRDefault="00C10444" w:rsidP="00EC0510">
      <w:pPr>
        <w:pStyle w:val="StyleLeft"/>
        <w:rPr>
          <w:lang w:val="en-AU"/>
        </w:rPr>
      </w:pPr>
      <w:r w:rsidRPr="00C10444">
        <w:rPr>
          <w:lang w:val="en-AU"/>
        </w:rPr>
        <w:t xml:space="preserve"> </w:t>
      </w:r>
      <w:r>
        <w:rPr>
          <w:lang w:val="en-AU"/>
        </w:rPr>
        <w:t xml:space="preserve">The HYCOM daily </w:t>
      </w:r>
      <w:r w:rsidRPr="007D6EB4">
        <w:rPr>
          <w:lang w:val="en-AU"/>
        </w:rPr>
        <w:t xml:space="preserve">oceanic currents were combined with </w:t>
      </w:r>
      <w:r>
        <w:rPr>
          <w:lang w:val="en-AU"/>
        </w:rPr>
        <w:t xml:space="preserve">the hourly HYDROMAP </w:t>
      </w:r>
      <w:r w:rsidRPr="007D6EB4">
        <w:rPr>
          <w:lang w:val="en-AU"/>
        </w:rPr>
        <w:t>coastal currents</w:t>
      </w:r>
      <w:r>
        <w:rPr>
          <w:lang w:val="en-AU"/>
        </w:rPr>
        <w:t xml:space="preserve"> </w:t>
      </w:r>
      <w:r w:rsidR="0039405F" w:rsidRPr="007D6EB4">
        <w:rPr>
          <w:lang w:val="en-AU"/>
        </w:rPr>
        <w:t xml:space="preserve">by addition of the vectors calculated from each </w:t>
      </w:r>
      <w:r w:rsidR="009715DB" w:rsidRPr="007D6EB4">
        <w:rPr>
          <w:lang w:val="en-AU"/>
        </w:rPr>
        <w:t>source:</w:t>
      </w:r>
      <w:r w:rsidR="0039405F" w:rsidRPr="007D6EB4">
        <w:rPr>
          <w:lang w:val="en-AU"/>
        </w:rPr>
        <w:t xml:space="preserve"> (HYCOM and HYDROMAP) after temporal interpolation of the HYCOM drift current data at an hourly scale. </w:t>
      </w:r>
    </w:p>
    <w:p w:rsidR="00C52031" w:rsidRPr="007D6EB4" w:rsidRDefault="00A07D7D" w:rsidP="00EC0510">
      <w:pPr>
        <w:pStyle w:val="StyleLeft"/>
        <w:rPr>
          <w:lang w:val="en-AU"/>
        </w:rPr>
      </w:pPr>
      <w:r w:rsidRPr="007D6EB4">
        <w:rPr>
          <w:lang w:val="en-AU"/>
        </w:rPr>
        <w:t>T</w:t>
      </w:r>
      <w:r w:rsidR="00C52031" w:rsidRPr="007D6EB4">
        <w:rPr>
          <w:lang w:val="en-AU"/>
        </w:rPr>
        <w:t xml:space="preserve">o confirm the suitability </w:t>
      </w:r>
      <w:r w:rsidR="00307B61">
        <w:rPr>
          <w:lang w:val="en-AU"/>
        </w:rPr>
        <w:t>of the combined currents</w:t>
      </w:r>
      <w:r w:rsidR="00C52031" w:rsidRPr="007D6EB4">
        <w:rPr>
          <w:lang w:val="en-AU"/>
        </w:rPr>
        <w:t xml:space="preserve">, </w:t>
      </w:r>
      <w:r w:rsidR="00DD4674" w:rsidRPr="007D6EB4">
        <w:rPr>
          <w:lang w:val="en-AU"/>
        </w:rPr>
        <w:t xml:space="preserve">the </w:t>
      </w:r>
      <w:r w:rsidR="00307B61">
        <w:rPr>
          <w:lang w:val="en-AU"/>
        </w:rPr>
        <w:t xml:space="preserve">predictions were compared </w:t>
      </w:r>
      <w:r w:rsidR="006E5450">
        <w:rPr>
          <w:lang w:val="en-AU"/>
        </w:rPr>
        <w:t>with</w:t>
      </w:r>
      <w:r w:rsidR="00307B61">
        <w:rPr>
          <w:lang w:val="en-AU"/>
        </w:rPr>
        <w:t xml:space="preserve"> actual </w:t>
      </w:r>
      <w:r w:rsidR="00DD4674" w:rsidRPr="007D6EB4">
        <w:rPr>
          <w:lang w:val="en-AU"/>
        </w:rPr>
        <w:t xml:space="preserve">measurements collected adjacent </w:t>
      </w:r>
      <w:r w:rsidR="0063467C" w:rsidRPr="007D6EB4">
        <w:rPr>
          <w:lang w:val="en-AU"/>
        </w:rPr>
        <w:t xml:space="preserve">to the </w:t>
      </w:r>
      <w:r w:rsidR="00C84E9F">
        <w:rPr>
          <w:lang w:val="en-AU"/>
        </w:rPr>
        <w:t xml:space="preserve">existing material placement sites at </w:t>
      </w:r>
      <w:r w:rsidR="007F2C56" w:rsidRPr="007D6EB4">
        <w:rPr>
          <w:lang w:val="en-AU"/>
        </w:rPr>
        <w:t>Townsville</w:t>
      </w:r>
      <w:r w:rsidR="006E5450">
        <w:rPr>
          <w:lang w:val="en-AU"/>
        </w:rPr>
        <w:t xml:space="preserve"> (January 2011)</w:t>
      </w:r>
      <w:r w:rsidR="007F2C56" w:rsidRPr="007D6EB4">
        <w:rPr>
          <w:lang w:val="en-AU"/>
        </w:rPr>
        <w:t xml:space="preserve"> and </w:t>
      </w:r>
      <w:r w:rsidR="00685C48" w:rsidRPr="007D6EB4">
        <w:rPr>
          <w:lang w:val="en-AU"/>
        </w:rPr>
        <w:t xml:space="preserve">Hay </w:t>
      </w:r>
      <w:r w:rsidR="007F2C56" w:rsidRPr="007D6EB4">
        <w:rPr>
          <w:lang w:val="en-AU"/>
        </w:rPr>
        <w:t xml:space="preserve">Point </w:t>
      </w:r>
      <w:r w:rsidR="006E5450">
        <w:rPr>
          <w:lang w:val="en-AU"/>
        </w:rPr>
        <w:t>(November 2011</w:t>
      </w:r>
      <w:r w:rsidR="006E5450" w:rsidRPr="00BF07E9">
        <w:rPr>
          <w:lang w:val="en-AU"/>
        </w:rPr>
        <w:t xml:space="preserve">; </w:t>
      </w:r>
      <w:r w:rsidR="00BF07E9" w:rsidRPr="00BF07E9">
        <w:fldChar w:fldCharType="begin"/>
      </w:r>
      <w:r w:rsidR="00BF07E9" w:rsidRPr="00BF07E9">
        <w:instrText xml:space="preserve"> REF  _Ref338675896 \* Lower \h  \* MERGEFORMAT </w:instrText>
      </w:r>
      <w:r w:rsidR="00BF07E9" w:rsidRPr="00BF07E9">
        <w:fldChar w:fldCharType="separate"/>
      </w:r>
      <w:r w:rsidR="00751BC4" w:rsidRPr="00751BC4">
        <w:rPr>
          <w:lang w:val="en-AU"/>
        </w:rPr>
        <w:t xml:space="preserve">figure </w:t>
      </w:r>
      <w:r w:rsidR="00751BC4" w:rsidRPr="00751BC4">
        <w:rPr>
          <w:noProof/>
          <w:lang w:val="en-AU"/>
        </w:rPr>
        <w:t>13</w:t>
      </w:r>
      <w:r w:rsidR="00BF07E9" w:rsidRPr="00BF07E9">
        <w:fldChar w:fldCharType="end"/>
      </w:r>
      <w:r w:rsidR="0039405F" w:rsidRPr="00BF07E9">
        <w:rPr>
          <w:lang w:val="en-AU"/>
        </w:rPr>
        <w:t>)</w:t>
      </w:r>
      <w:r w:rsidR="007755E2" w:rsidRPr="00BF07E9">
        <w:rPr>
          <w:lang w:val="en-AU"/>
        </w:rPr>
        <w:t>.</w:t>
      </w:r>
      <w:r w:rsidR="007755E2" w:rsidRPr="007D6EB4">
        <w:rPr>
          <w:lang w:val="en-AU"/>
        </w:rPr>
        <w:t xml:space="preserve"> </w:t>
      </w:r>
      <w:r w:rsidR="00900071">
        <w:rPr>
          <w:lang w:val="en-AU"/>
        </w:rPr>
        <w:t>The data throughout the water column w</w:t>
      </w:r>
      <w:r w:rsidR="003510FE">
        <w:rPr>
          <w:lang w:val="en-AU"/>
        </w:rPr>
        <w:t>ere</w:t>
      </w:r>
      <w:r w:rsidR="00900071">
        <w:rPr>
          <w:lang w:val="en-AU"/>
        </w:rPr>
        <w:t xml:space="preserve"> collected using bottom mounted Acoustic Doppler Current Profilers (ADCPs). </w:t>
      </w:r>
      <w:r w:rsidR="00DD4674" w:rsidRPr="007D6EB4">
        <w:rPr>
          <w:lang w:val="en-AU"/>
        </w:rPr>
        <w:t xml:space="preserve">Comparisons were made </w:t>
      </w:r>
      <w:r w:rsidR="00C10444">
        <w:rPr>
          <w:lang w:val="en-AU"/>
        </w:rPr>
        <w:t>between the predicted and measured</w:t>
      </w:r>
      <w:r w:rsidR="006E5450">
        <w:rPr>
          <w:lang w:val="en-AU"/>
        </w:rPr>
        <w:t xml:space="preserve"> currents</w:t>
      </w:r>
      <w:r w:rsidR="00C10444">
        <w:rPr>
          <w:lang w:val="en-AU"/>
        </w:rPr>
        <w:t xml:space="preserve"> </w:t>
      </w:r>
      <w:r w:rsidR="006E5450">
        <w:rPr>
          <w:lang w:val="en-AU"/>
        </w:rPr>
        <w:t>in the</w:t>
      </w:r>
      <w:r w:rsidR="00C10444">
        <w:rPr>
          <w:lang w:val="en-AU"/>
        </w:rPr>
        <w:t xml:space="preserve"> </w:t>
      </w:r>
      <w:r w:rsidR="00DD4674" w:rsidRPr="007D6EB4">
        <w:rPr>
          <w:lang w:val="en-AU"/>
        </w:rPr>
        <w:t>surface and bottom</w:t>
      </w:r>
      <w:r w:rsidR="00C10444">
        <w:rPr>
          <w:lang w:val="en-AU"/>
        </w:rPr>
        <w:t xml:space="preserve"> layers</w:t>
      </w:r>
      <w:r w:rsidR="00DD4674" w:rsidRPr="007D6EB4">
        <w:rPr>
          <w:lang w:val="en-AU"/>
        </w:rPr>
        <w:t>. Depths</w:t>
      </w:r>
      <w:r w:rsidR="00685C48" w:rsidRPr="007D6EB4">
        <w:rPr>
          <w:lang w:val="en-AU"/>
        </w:rPr>
        <w:t xml:space="preserve"> of</w:t>
      </w:r>
      <w:r w:rsidR="004C50CF" w:rsidRPr="007D6EB4">
        <w:rPr>
          <w:lang w:val="en-AU"/>
        </w:rPr>
        <w:t xml:space="preserve"> </w:t>
      </w:r>
      <w:r w:rsidR="00FB2624" w:rsidRPr="007D6EB4">
        <w:rPr>
          <w:lang w:val="en-AU"/>
        </w:rPr>
        <w:t xml:space="preserve">water </w:t>
      </w:r>
      <w:r w:rsidR="00DD4674" w:rsidRPr="007D6EB4">
        <w:rPr>
          <w:lang w:val="en-AU"/>
        </w:rPr>
        <w:t xml:space="preserve">at the measurement sites </w:t>
      </w:r>
      <w:r w:rsidR="00FB2624" w:rsidRPr="007D6EB4">
        <w:rPr>
          <w:lang w:val="en-AU"/>
        </w:rPr>
        <w:t>w</w:t>
      </w:r>
      <w:r w:rsidR="00DD4674" w:rsidRPr="007D6EB4">
        <w:rPr>
          <w:lang w:val="en-AU"/>
        </w:rPr>
        <w:t>er</w:t>
      </w:r>
      <w:r w:rsidR="00BA53EB" w:rsidRPr="007D6EB4">
        <w:rPr>
          <w:lang w:val="en-AU"/>
        </w:rPr>
        <w:t>e</w:t>
      </w:r>
      <w:r w:rsidR="00FB2624" w:rsidRPr="007D6EB4">
        <w:rPr>
          <w:lang w:val="en-AU"/>
        </w:rPr>
        <w:t xml:space="preserve"> </w:t>
      </w:r>
      <w:r w:rsidR="00685C48" w:rsidRPr="007D6EB4">
        <w:rPr>
          <w:lang w:val="en-AU"/>
        </w:rPr>
        <w:t xml:space="preserve">11.5 m (LAT) and </w:t>
      </w:r>
      <w:r w:rsidR="00C46B49" w:rsidRPr="007D6EB4">
        <w:rPr>
          <w:color w:val="auto"/>
          <w:lang w:val="en-AU"/>
        </w:rPr>
        <w:t>14.</w:t>
      </w:r>
      <w:r w:rsidR="00DD4674" w:rsidRPr="007D6EB4">
        <w:rPr>
          <w:color w:val="auto"/>
          <w:lang w:val="en-AU"/>
        </w:rPr>
        <w:t>5 </w:t>
      </w:r>
      <w:r w:rsidR="004C50CF" w:rsidRPr="007D6EB4">
        <w:rPr>
          <w:lang w:val="en-AU"/>
        </w:rPr>
        <w:t xml:space="preserve">m </w:t>
      </w:r>
      <w:r w:rsidR="00685C48" w:rsidRPr="007D6EB4">
        <w:rPr>
          <w:lang w:val="en-AU"/>
        </w:rPr>
        <w:t xml:space="preserve">(LAT) </w:t>
      </w:r>
      <w:r w:rsidR="004C50CF" w:rsidRPr="007D6EB4">
        <w:rPr>
          <w:lang w:val="en-AU"/>
        </w:rPr>
        <w:t xml:space="preserve">at </w:t>
      </w:r>
      <w:r w:rsidR="00DD4674" w:rsidRPr="007D6EB4">
        <w:rPr>
          <w:lang w:val="en-AU"/>
        </w:rPr>
        <w:t xml:space="preserve">Hay Point and </w:t>
      </w:r>
      <w:r w:rsidR="004C50CF" w:rsidRPr="007D6EB4">
        <w:rPr>
          <w:lang w:val="en-AU"/>
        </w:rPr>
        <w:t>Townsville</w:t>
      </w:r>
      <w:r w:rsidR="00DD4674" w:rsidRPr="007D6EB4">
        <w:rPr>
          <w:lang w:val="en-AU"/>
        </w:rPr>
        <w:t>, respectively</w:t>
      </w:r>
      <w:r w:rsidR="004C50CF" w:rsidRPr="007D6EB4">
        <w:rPr>
          <w:lang w:val="en-AU"/>
        </w:rPr>
        <w:t>.</w:t>
      </w:r>
      <w:r w:rsidR="000A3111" w:rsidRPr="007D6EB4">
        <w:rPr>
          <w:lang w:val="en-AU"/>
        </w:rPr>
        <w:t xml:space="preserve"> </w:t>
      </w:r>
      <w:r w:rsidR="00FB2624" w:rsidRPr="007D6EB4">
        <w:rPr>
          <w:lang w:val="en-AU"/>
        </w:rPr>
        <w:t xml:space="preserve">Additionally, the model results were compared </w:t>
      </w:r>
      <w:r w:rsidR="006E5450">
        <w:rPr>
          <w:lang w:val="en-AU"/>
        </w:rPr>
        <w:t>with</w:t>
      </w:r>
      <w:r w:rsidR="00FB2624" w:rsidRPr="007D6EB4">
        <w:rPr>
          <w:lang w:val="en-AU"/>
        </w:rPr>
        <w:t xml:space="preserve"> measured </w:t>
      </w:r>
      <w:r w:rsidR="0041351D">
        <w:rPr>
          <w:lang w:val="en-AU"/>
        </w:rPr>
        <w:t>water elevation</w:t>
      </w:r>
      <w:r w:rsidR="00FB2624" w:rsidRPr="007D6EB4">
        <w:rPr>
          <w:lang w:val="en-AU"/>
        </w:rPr>
        <w:t>s at both sites.</w:t>
      </w:r>
    </w:p>
    <w:p w:rsidR="0039405F" w:rsidRPr="007D6EB4" w:rsidRDefault="0039405F" w:rsidP="00EC0510">
      <w:pPr>
        <w:pStyle w:val="StyleLeft"/>
        <w:rPr>
          <w:lang w:val="en-AU"/>
        </w:rPr>
      </w:pPr>
      <w:r w:rsidRPr="006A22FE">
        <w:rPr>
          <w:noProof/>
          <w:bdr w:val="single" w:sz="4" w:space="0" w:color="auto"/>
          <w:lang w:val="en-AU" w:eastAsia="en-AU"/>
        </w:rPr>
        <w:drawing>
          <wp:inline distT="0" distB="0" distL="0" distR="0" wp14:anchorId="01DA22AD" wp14:editId="287105CA">
            <wp:extent cx="5351145" cy="3235960"/>
            <wp:effectExtent l="0" t="0" r="0" b="0"/>
            <wp:docPr id="35" name="Picture 35" descr="Figure 13 shows the locations of the bottom mounted Acoustic Doppler Current Profiler instruments used to measure currents throughout the water column adjacent to the Townsville (left hand image) and Hay Point (right hand image) existing material placement sites in January and November 2011, respectively" title="Figure 13. Locations of the bottom mounted Acoustic Doppler Current Profilers (ADCPs) instruments used to measure currents throughout water column adjacent to the Townsville and Hay Point existing material placement sites in January and November 2011, respective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Projects\Q0110 GBRMPA-SKM QLD disposal site selection\10. Presentations\Figures\Location Maps\ADCP_Location.tif"/>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351145" cy="3235960"/>
                    </a:xfrm>
                    <a:prstGeom prst="rect">
                      <a:avLst/>
                    </a:prstGeom>
                    <a:noFill/>
                    <a:ln>
                      <a:noFill/>
                    </a:ln>
                  </pic:spPr>
                </pic:pic>
              </a:graphicData>
            </a:graphic>
          </wp:inline>
        </w:drawing>
      </w:r>
    </w:p>
    <w:p w:rsidR="0039405F" w:rsidRPr="007D6EB4" w:rsidRDefault="0039405F" w:rsidP="00EC0510">
      <w:pPr>
        <w:pStyle w:val="Caption"/>
        <w:spacing w:line="240" w:lineRule="auto"/>
        <w:ind w:left="480" w:hanging="480"/>
        <w:jc w:val="left"/>
        <w:rPr>
          <w:b/>
          <w:lang w:val="en-AU"/>
        </w:rPr>
      </w:pPr>
      <w:bookmarkStart w:id="51" w:name="_Ref338675896"/>
      <w:bookmarkStart w:id="52" w:name="_Toc361651496"/>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13</w:t>
      </w:r>
      <w:r w:rsidR="005F6FF5" w:rsidRPr="007D6EB4">
        <w:rPr>
          <w:b/>
          <w:lang w:val="en-AU"/>
        </w:rPr>
        <w:fldChar w:fldCharType="end"/>
      </w:r>
      <w:bookmarkEnd w:id="51"/>
      <w:r w:rsidR="00E5277F">
        <w:rPr>
          <w:b/>
          <w:lang w:val="en-AU"/>
        </w:rPr>
        <w:t>.</w:t>
      </w:r>
      <w:r w:rsidRPr="007D6EB4">
        <w:rPr>
          <w:lang w:val="en-AU"/>
        </w:rPr>
        <w:t xml:space="preserve"> Locations of the </w:t>
      </w:r>
      <w:r w:rsidR="00900071">
        <w:rPr>
          <w:lang w:val="en-AU"/>
        </w:rPr>
        <w:t xml:space="preserve">bottom mounted </w:t>
      </w:r>
      <w:r w:rsidRPr="007D6EB4">
        <w:rPr>
          <w:lang w:val="en-AU"/>
        </w:rPr>
        <w:t>Acoustic Doppler Current Profilers (ADCPs)</w:t>
      </w:r>
      <w:r w:rsidR="00307B61">
        <w:rPr>
          <w:lang w:val="en-AU"/>
        </w:rPr>
        <w:t xml:space="preserve"> instruments used to measure current</w:t>
      </w:r>
      <w:r w:rsidR="00900071">
        <w:rPr>
          <w:lang w:val="en-AU"/>
        </w:rPr>
        <w:t>s</w:t>
      </w:r>
      <w:r w:rsidR="00307B61">
        <w:rPr>
          <w:lang w:val="en-AU"/>
        </w:rPr>
        <w:t xml:space="preserve"> </w:t>
      </w:r>
      <w:r w:rsidR="00900071">
        <w:rPr>
          <w:lang w:val="en-AU"/>
        </w:rPr>
        <w:t xml:space="preserve">throughout water column </w:t>
      </w:r>
      <w:r w:rsidRPr="007D6EB4">
        <w:rPr>
          <w:lang w:val="en-AU"/>
        </w:rPr>
        <w:t xml:space="preserve">adjacent to the </w:t>
      </w:r>
      <w:r w:rsidR="00307B61">
        <w:rPr>
          <w:lang w:val="en-AU"/>
        </w:rPr>
        <w:t>Townsville and Hay Point existing material placement sites</w:t>
      </w:r>
      <w:r w:rsidR="00900071">
        <w:rPr>
          <w:lang w:val="en-AU"/>
        </w:rPr>
        <w:t xml:space="preserve"> in January and November 2011, respectively.</w:t>
      </w:r>
      <w:bookmarkEnd w:id="52"/>
    </w:p>
    <w:p w:rsidR="00AD433D" w:rsidRPr="007D6EB4" w:rsidRDefault="00693B03" w:rsidP="00EC0510">
      <w:pPr>
        <w:pStyle w:val="StyleLeft"/>
        <w:rPr>
          <w:lang w:val="en-AU"/>
        </w:rPr>
      </w:pPr>
      <w:r>
        <w:fldChar w:fldCharType="begin"/>
      </w:r>
      <w:r>
        <w:instrText xml:space="preserve"> REF _Ref338429475 \h  \* MERGEFORMAT </w:instrText>
      </w:r>
      <w:r>
        <w:fldChar w:fldCharType="separate"/>
      </w:r>
      <w:r w:rsidR="00751BC4" w:rsidRPr="00751BC4">
        <w:rPr>
          <w:lang w:val="en-AU"/>
        </w:rPr>
        <w:t xml:space="preserve">Figure </w:t>
      </w:r>
      <w:r w:rsidR="00751BC4" w:rsidRPr="00751BC4">
        <w:rPr>
          <w:noProof/>
          <w:lang w:val="en-AU"/>
        </w:rPr>
        <w:t>14</w:t>
      </w:r>
      <w:r>
        <w:fldChar w:fldCharType="end"/>
      </w:r>
      <w:r w:rsidR="00AD433D" w:rsidRPr="007D6EB4">
        <w:rPr>
          <w:lang w:val="en-AU"/>
        </w:rPr>
        <w:t xml:space="preserve"> and </w:t>
      </w:r>
      <w:r w:rsidR="00BF07E9" w:rsidRPr="00BF07E9">
        <w:fldChar w:fldCharType="begin"/>
      </w:r>
      <w:r w:rsidR="00BF07E9" w:rsidRPr="00BF07E9">
        <w:instrText xml:space="preserve"> REF  _Ref338429477 \* Lower \h  \* MERGEFORMAT </w:instrText>
      </w:r>
      <w:r w:rsidR="00BF07E9" w:rsidRPr="00BF07E9">
        <w:fldChar w:fldCharType="separate"/>
      </w:r>
      <w:r w:rsidR="00751BC4" w:rsidRPr="00751BC4">
        <w:rPr>
          <w:lang w:val="en-AU"/>
        </w:rPr>
        <w:t xml:space="preserve">figure </w:t>
      </w:r>
      <w:r w:rsidR="00751BC4" w:rsidRPr="00751BC4">
        <w:rPr>
          <w:noProof/>
          <w:lang w:val="en-AU"/>
        </w:rPr>
        <w:t>15</w:t>
      </w:r>
      <w:r w:rsidR="00BF07E9" w:rsidRPr="00BF07E9">
        <w:fldChar w:fldCharType="end"/>
      </w:r>
      <w:r w:rsidR="00AD433D" w:rsidRPr="007D6EB4">
        <w:rPr>
          <w:lang w:val="en-AU"/>
        </w:rPr>
        <w:t xml:space="preserve"> show the comparisons between the measured and predicted currents in the surface and bottom layers at Hay Point and Townsville, respectively. Comparisons at both locations show a good agreement between the </w:t>
      </w:r>
      <w:r w:rsidR="00B84F3C">
        <w:rPr>
          <w:lang w:val="en-AU"/>
        </w:rPr>
        <w:t xml:space="preserve">model predictions and measurements </w:t>
      </w:r>
      <w:r w:rsidR="00AD433D" w:rsidRPr="007D6EB4">
        <w:rPr>
          <w:lang w:val="en-AU"/>
        </w:rPr>
        <w:t>for both the surface and bottom layers.</w:t>
      </w:r>
      <w:r w:rsidR="0043422D">
        <w:rPr>
          <w:lang w:val="en-AU"/>
        </w:rPr>
        <w:t xml:space="preserve"> </w:t>
      </w:r>
      <w:r w:rsidR="00AD433D" w:rsidRPr="007D6EB4">
        <w:rPr>
          <w:lang w:val="en-AU"/>
        </w:rPr>
        <w:t xml:space="preserve">For the surface </w:t>
      </w:r>
      <w:r w:rsidR="00B84F3C">
        <w:rPr>
          <w:lang w:val="en-AU"/>
        </w:rPr>
        <w:t>layer</w:t>
      </w:r>
      <w:r w:rsidR="00AD433D" w:rsidRPr="007D6EB4">
        <w:rPr>
          <w:lang w:val="en-AU"/>
        </w:rPr>
        <w:t xml:space="preserve">, both tidal-scale and large-scale fluctuations in currents were well reproduced at a similar magnitude and timing at both sites. Analysis of the Townsville measured data indicated </w:t>
      </w:r>
      <w:r w:rsidR="00B84F3C">
        <w:rPr>
          <w:lang w:val="en-AU"/>
        </w:rPr>
        <w:t xml:space="preserve">persistently strong </w:t>
      </w:r>
      <w:r w:rsidR="00AD433D" w:rsidRPr="007D6EB4">
        <w:rPr>
          <w:lang w:val="en-AU"/>
        </w:rPr>
        <w:t xml:space="preserve">surface currents </w:t>
      </w:r>
      <w:r w:rsidR="00893FBC" w:rsidRPr="007D6EB4">
        <w:rPr>
          <w:lang w:val="en-AU"/>
        </w:rPr>
        <w:t xml:space="preserve">and that tidal variations were less significant </w:t>
      </w:r>
      <w:r w:rsidR="00B84F3C" w:rsidRPr="007D6EB4">
        <w:rPr>
          <w:lang w:val="en-AU"/>
        </w:rPr>
        <w:t>between 9</w:t>
      </w:r>
      <w:r w:rsidR="00B84F3C">
        <w:rPr>
          <w:lang w:val="en-AU"/>
        </w:rPr>
        <w:t>-</w:t>
      </w:r>
      <w:r w:rsidR="00B84F3C" w:rsidRPr="007D6EB4">
        <w:rPr>
          <w:lang w:val="en-AU"/>
        </w:rPr>
        <w:t>16 and 21</w:t>
      </w:r>
      <w:r w:rsidR="00B84F3C">
        <w:rPr>
          <w:lang w:val="en-AU"/>
        </w:rPr>
        <w:t>-</w:t>
      </w:r>
      <w:r w:rsidR="00B84F3C" w:rsidRPr="007D6EB4">
        <w:rPr>
          <w:lang w:val="en-AU"/>
        </w:rPr>
        <w:t>24 January 2011</w:t>
      </w:r>
      <w:r w:rsidR="004F566A">
        <w:rPr>
          <w:lang w:val="en-AU"/>
        </w:rPr>
        <w:t xml:space="preserve">. </w:t>
      </w:r>
      <w:r w:rsidR="00893FBC">
        <w:rPr>
          <w:lang w:val="en-AU"/>
        </w:rPr>
        <w:t xml:space="preserve">This would be attributable to </w:t>
      </w:r>
      <w:r w:rsidR="00B84F3C">
        <w:rPr>
          <w:lang w:val="en-AU"/>
        </w:rPr>
        <w:t xml:space="preserve">sustained </w:t>
      </w:r>
      <w:r w:rsidR="00AD433D" w:rsidRPr="007D6EB4">
        <w:rPr>
          <w:lang w:val="en-AU"/>
        </w:rPr>
        <w:t>south-easterly trade winds.</w:t>
      </w:r>
      <w:r w:rsidR="0043422D">
        <w:rPr>
          <w:lang w:val="en-AU"/>
        </w:rPr>
        <w:t xml:space="preserve"> </w:t>
      </w:r>
      <w:r w:rsidR="00AD433D" w:rsidRPr="007D6EB4">
        <w:rPr>
          <w:lang w:val="en-AU"/>
        </w:rPr>
        <w:t xml:space="preserve">The model predictions </w:t>
      </w:r>
      <w:r w:rsidR="00893FBC">
        <w:rPr>
          <w:lang w:val="en-AU"/>
        </w:rPr>
        <w:t xml:space="preserve">agreed well with the measured data. </w:t>
      </w:r>
      <w:r w:rsidR="00AD433D" w:rsidRPr="007D6EB4">
        <w:rPr>
          <w:lang w:val="en-AU"/>
        </w:rPr>
        <w:t xml:space="preserve">Of greater importance for the study is the close comparison between the measured and predicted current data for the bottom layer at both sites, as these would have a larger influence on the transportation of sediments that are mobilized from the seabed. Lastly, </w:t>
      </w:r>
      <w:r>
        <w:fldChar w:fldCharType="begin"/>
      </w:r>
      <w:r>
        <w:instrText xml:space="preserve"> REF _Ref338429475 \h  \* MERGEFORMAT </w:instrText>
      </w:r>
      <w:r>
        <w:fldChar w:fldCharType="separate"/>
      </w:r>
      <w:r w:rsidR="00751BC4" w:rsidRPr="00751BC4">
        <w:rPr>
          <w:lang w:val="en-AU"/>
        </w:rPr>
        <w:t xml:space="preserve">Figure </w:t>
      </w:r>
      <w:r w:rsidR="00751BC4" w:rsidRPr="00751BC4">
        <w:rPr>
          <w:noProof/>
          <w:lang w:val="en-AU"/>
        </w:rPr>
        <w:t>14</w:t>
      </w:r>
      <w:r>
        <w:fldChar w:fldCharType="end"/>
      </w:r>
      <w:r w:rsidR="00AD433D" w:rsidRPr="007D6EB4">
        <w:rPr>
          <w:lang w:val="en-AU"/>
        </w:rPr>
        <w:t xml:space="preserve"> and </w:t>
      </w:r>
      <w:r w:rsidR="00BF07E9" w:rsidRPr="00BF07E9">
        <w:fldChar w:fldCharType="begin"/>
      </w:r>
      <w:r w:rsidR="00BF07E9" w:rsidRPr="00BF07E9">
        <w:instrText xml:space="preserve"> REF  _Ref338429477 \* Lower \h  \* MERGEFORMAT </w:instrText>
      </w:r>
      <w:r w:rsidR="00BF07E9" w:rsidRPr="00BF07E9">
        <w:fldChar w:fldCharType="separate"/>
      </w:r>
      <w:r w:rsidR="00751BC4" w:rsidRPr="00751BC4">
        <w:rPr>
          <w:lang w:val="en-AU"/>
        </w:rPr>
        <w:t xml:space="preserve">figure </w:t>
      </w:r>
      <w:r w:rsidR="00751BC4" w:rsidRPr="00751BC4">
        <w:rPr>
          <w:noProof/>
          <w:lang w:val="en-AU"/>
        </w:rPr>
        <w:t>15</w:t>
      </w:r>
      <w:r w:rsidR="00BF07E9" w:rsidRPr="00BF07E9">
        <w:fldChar w:fldCharType="end"/>
      </w:r>
      <w:r w:rsidR="00AD433D" w:rsidRPr="00BF07E9">
        <w:rPr>
          <w:lang w:val="en-AU"/>
        </w:rPr>
        <w:t xml:space="preserve"> show</w:t>
      </w:r>
      <w:r w:rsidR="00AD433D" w:rsidRPr="007D6EB4">
        <w:rPr>
          <w:lang w:val="en-AU"/>
        </w:rPr>
        <w:t xml:space="preserve"> that the model was also capable of accurately predicting </w:t>
      </w:r>
      <w:r w:rsidR="00AD433D" w:rsidRPr="007D6EB4">
        <w:rPr>
          <w:lang w:val="en-AU"/>
        </w:rPr>
        <w:lastRenderedPageBreak/>
        <w:t xml:space="preserve">the </w:t>
      </w:r>
      <w:r w:rsidR="00893FBC">
        <w:rPr>
          <w:lang w:val="en-AU"/>
        </w:rPr>
        <w:t>water</w:t>
      </w:r>
      <w:r w:rsidR="00893FBC" w:rsidRPr="007D6EB4">
        <w:rPr>
          <w:lang w:val="en-AU"/>
        </w:rPr>
        <w:t xml:space="preserve"> </w:t>
      </w:r>
      <w:r w:rsidR="00AD433D" w:rsidRPr="007D6EB4">
        <w:rPr>
          <w:lang w:val="en-AU"/>
        </w:rPr>
        <w:t>elevations at both sites.</w:t>
      </w:r>
      <w:r w:rsidR="0043422D">
        <w:rPr>
          <w:lang w:val="en-AU"/>
        </w:rPr>
        <w:t xml:space="preserve"> </w:t>
      </w:r>
      <w:r w:rsidR="00AD433D" w:rsidRPr="007D6EB4">
        <w:rPr>
          <w:lang w:val="en-AU"/>
        </w:rPr>
        <w:t xml:space="preserve">It is important to note also that the tidal range at Hay Point is up to </w:t>
      </w:r>
      <w:r w:rsidR="00C77241">
        <w:rPr>
          <w:lang w:val="en-AU"/>
        </w:rPr>
        <w:t>eight</w:t>
      </w:r>
      <w:r w:rsidR="00AD433D" w:rsidRPr="007D6EB4">
        <w:rPr>
          <w:lang w:val="en-AU"/>
        </w:rPr>
        <w:t xml:space="preserve"> m</w:t>
      </w:r>
      <w:r w:rsidR="00C77241">
        <w:rPr>
          <w:lang w:val="en-AU"/>
        </w:rPr>
        <w:t>etres</w:t>
      </w:r>
      <w:r w:rsidR="00AD433D" w:rsidRPr="007D6EB4">
        <w:rPr>
          <w:lang w:val="en-AU"/>
        </w:rPr>
        <w:t xml:space="preserve"> (peak to trough) compared </w:t>
      </w:r>
      <w:r w:rsidR="006E5450">
        <w:rPr>
          <w:lang w:val="en-AU"/>
        </w:rPr>
        <w:t>with</w:t>
      </w:r>
      <w:r w:rsidR="00AD433D" w:rsidRPr="007D6EB4">
        <w:rPr>
          <w:lang w:val="en-AU"/>
        </w:rPr>
        <w:t xml:space="preserve"> </w:t>
      </w:r>
      <w:r w:rsidR="00C77241">
        <w:rPr>
          <w:lang w:val="en-AU"/>
        </w:rPr>
        <w:t>four</w:t>
      </w:r>
      <w:r w:rsidR="00C77241" w:rsidRPr="007D6EB4">
        <w:rPr>
          <w:lang w:val="en-AU"/>
        </w:rPr>
        <w:t> </w:t>
      </w:r>
      <w:r w:rsidR="00AD433D" w:rsidRPr="007D6EB4">
        <w:rPr>
          <w:lang w:val="en-AU"/>
        </w:rPr>
        <w:t>m</w:t>
      </w:r>
      <w:r w:rsidR="00C77241">
        <w:rPr>
          <w:lang w:val="en-AU"/>
        </w:rPr>
        <w:t>etres</w:t>
      </w:r>
      <w:r w:rsidR="00AD433D" w:rsidRPr="007D6EB4">
        <w:rPr>
          <w:lang w:val="en-AU"/>
        </w:rPr>
        <w:t xml:space="preserve"> at Townsville.</w:t>
      </w:r>
    </w:p>
    <w:p w:rsidR="00893FBC" w:rsidRPr="00462939" w:rsidRDefault="00693B03" w:rsidP="00A6519A">
      <w:pPr>
        <w:pStyle w:val="Para0"/>
        <w:rPr>
          <w:lang w:val="en-AU"/>
        </w:rPr>
      </w:pPr>
      <w:r w:rsidRPr="00462939">
        <w:fldChar w:fldCharType="begin"/>
      </w:r>
      <w:r w:rsidRPr="00462939">
        <w:instrText xml:space="preserve"> REF _Ref340239072 \h  \* MERGEFORMAT </w:instrText>
      </w:r>
      <w:r w:rsidRPr="00462939">
        <w:fldChar w:fldCharType="separate"/>
      </w:r>
      <w:r w:rsidR="00751BC4" w:rsidRPr="00751BC4">
        <w:t>Table 4</w:t>
      </w:r>
      <w:r w:rsidRPr="00462939">
        <w:fldChar w:fldCharType="end"/>
      </w:r>
      <w:r w:rsidR="00893FBC" w:rsidRPr="00462939">
        <w:t xml:space="preserve"> and </w:t>
      </w:r>
      <w:r w:rsidR="00383842" w:rsidRPr="00383842">
        <w:fldChar w:fldCharType="begin"/>
      </w:r>
      <w:r w:rsidR="00383842" w:rsidRPr="00383842">
        <w:instrText xml:space="preserve"> REF  _Ref340239074 \* Lower \h  \* MERGEFORMAT </w:instrText>
      </w:r>
      <w:r w:rsidR="00383842" w:rsidRPr="00383842">
        <w:fldChar w:fldCharType="separate"/>
      </w:r>
      <w:r w:rsidR="00751BC4" w:rsidRPr="00751BC4">
        <w:t xml:space="preserve">table </w:t>
      </w:r>
      <w:r w:rsidR="00751BC4" w:rsidRPr="00751BC4">
        <w:rPr>
          <w:noProof/>
        </w:rPr>
        <w:t>5</w:t>
      </w:r>
      <w:r w:rsidR="00383842" w:rsidRPr="00383842">
        <w:fldChar w:fldCharType="end"/>
      </w:r>
      <w:r w:rsidR="00893FBC" w:rsidRPr="00462939">
        <w:t xml:space="preserve"> provide an indication of the agreement between the measured and predicted surface and bottom currents at </w:t>
      </w:r>
      <w:r w:rsidR="006E5450" w:rsidRPr="00462939">
        <w:t xml:space="preserve">the </w:t>
      </w:r>
      <w:r w:rsidR="00893FBC" w:rsidRPr="00462939">
        <w:t xml:space="preserve">Port of </w:t>
      </w:r>
      <w:r w:rsidR="00893FBC" w:rsidRPr="00462939">
        <w:rPr>
          <w:lang w:val="en-AU"/>
        </w:rPr>
        <w:t xml:space="preserve">Hay Point and </w:t>
      </w:r>
      <w:r w:rsidR="006E5450" w:rsidRPr="00462939">
        <w:rPr>
          <w:lang w:val="en-AU"/>
        </w:rPr>
        <w:t xml:space="preserve">the </w:t>
      </w:r>
      <w:r w:rsidR="00893FBC" w:rsidRPr="00462939">
        <w:rPr>
          <w:lang w:val="en-AU"/>
        </w:rPr>
        <w:t xml:space="preserve">Port of Townsville, respectively. Both tables illustrate that the maximum, average and minimum predicted current speeds are comparable to the measured currents at the two locations, respectively. </w:t>
      </w:r>
    </w:p>
    <w:p w:rsidR="00893FBC" w:rsidRDefault="00893FBC" w:rsidP="00A6519A">
      <w:pPr>
        <w:pStyle w:val="Para0"/>
        <w:rPr>
          <w:lang w:val="en-US"/>
        </w:rPr>
      </w:pPr>
      <w:r w:rsidRPr="00462939">
        <w:rPr>
          <w:lang w:val="en-AU"/>
        </w:rPr>
        <w:t xml:space="preserve">As shown in </w:t>
      </w:r>
      <w:r w:rsidR="00383842" w:rsidRPr="00383842">
        <w:fldChar w:fldCharType="begin"/>
      </w:r>
      <w:r w:rsidR="00383842" w:rsidRPr="00383842">
        <w:instrText xml:space="preserve"> REF  _Ref340239072 \* Lower \h  \* MERGEFORMAT </w:instrText>
      </w:r>
      <w:r w:rsidR="00383842" w:rsidRPr="00383842">
        <w:fldChar w:fldCharType="separate"/>
      </w:r>
      <w:r w:rsidR="00751BC4" w:rsidRPr="00751BC4">
        <w:t xml:space="preserve">table </w:t>
      </w:r>
      <w:r w:rsidR="00751BC4" w:rsidRPr="00751BC4">
        <w:rPr>
          <w:noProof/>
        </w:rPr>
        <w:t>4</w:t>
      </w:r>
      <w:r w:rsidR="00383842" w:rsidRPr="00383842">
        <w:fldChar w:fldCharType="end"/>
      </w:r>
      <w:r w:rsidR="006E5450" w:rsidRPr="00462939">
        <w:t>,</w:t>
      </w:r>
      <w:r w:rsidRPr="00462939">
        <w:t xml:space="preserve"> </w:t>
      </w:r>
      <w:r w:rsidR="008C6952" w:rsidRPr="00462939">
        <w:rPr>
          <w:lang w:val="en-US"/>
        </w:rPr>
        <w:t>the me</w:t>
      </w:r>
      <w:r w:rsidR="008C6952" w:rsidRPr="00E27780">
        <w:rPr>
          <w:lang w:val="en-US"/>
        </w:rPr>
        <w:t xml:space="preserve">asured surface current speeds </w:t>
      </w:r>
      <w:r w:rsidR="008C6952">
        <w:rPr>
          <w:lang w:val="en-US"/>
        </w:rPr>
        <w:t xml:space="preserve">at Hay Point </w:t>
      </w:r>
      <w:r w:rsidR="008C6952" w:rsidRPr="00E27780">
        <w:rPr>
          <w:lang w:val="en-US"/>
        </w:rPr>
        <w:t>reached a maximum of 0.</w:t>
      </w:r>
      <w:r w:rsidR="008C6952">
        <w:rPr>
          <w:lang w:val="en-US"/>
        </w:rPr>
        <w:t>59</w:t>
      </w:r>
      <w:r w:rsidR="008C6952" w:rsidRPr="00E27780">
        <w:rPr>
          <w:lang w:val="en-US"/>
        </w:rPr>
        <w:t xml:space="preserve"> m/s compared </w:t>
      </w:r>
      <w:r w:rsidR="006E5450">
        <w:rPr>
          <w:lang w:val="en-US"/>
        </w:rPr>
        <w:t>with</w:t>
      </w:r>
      <w:r w:rsidR="008C6952" w:rsidRPr="00E27780">
        <w:rPr>
          <w:lang w:val="en-US"/>
        </w:rPr>
        <w:t xml:space="preserve"> 0.</w:t>
      </w:r>
      <w:r w:rsidR="008C6952">
        <w:rPr>
          <w:lang w:val="en-US"/>
        </w:rPr>
        <w:t>53</w:t>
      </w:r>
      <w:r w:rsidR="008C6952" w:rsidRPr="00E27780">
        <w:rPr>
          <w:lang w:val="en-US"/>
        </w:rPr>
        <w:t xml:space="preserve"> m/s for the predicted</w:t>
      </w:r>
      <w:r w:rsidR="006E5450">
        <w:rPr>
          <w:lang w:val="en-US"/>
        </w:rPr>
        <w:t xml:space="preserve"> current speed</w:t>
      </w:r>
      <w:r w:rsidR="004F566A">
        <w:rPr>
          <w:lang w:val="en-US"/>
        </w:rPr>
        <w:t xml:space="preserve">. </w:t>
      </w:r>
      <w:r w:rsidR="008C6952" w:rsidRPr="00E27780">
        <w:rPr>
          <w:lang w:val="en-US"/>
        </w:rPr>
        <w:t xml:space="preserve">The bottom maximum measured and predicted currents were </w:t>
      </w:r>
      <w:r w:rsidR="008C6952">
        <w:rPr>
          <w:lang w:val="en-US"/>
        </w:rPr>
        <w:t>0.31</w:t>
      </w:r>
      <w:r w:rsidR="008C6952" w:rsidRPr="00E27780">
        <w:rPr>
          <w:lang w:val="en-US"/>
        </w:rPr>
        <w:t xml:space="preserve"> m/s and 0.</w:t>
      </w:r>
      <w:r w:rsidR="008C6952">
        <w:rPr>
          <w:lang w:val="en-US"/>
        </w:rPr>
        <w:t>26</w:t>
      </w:r>
      <w:r w:rsidR="008C6952" w:rsidRPr="00E27780">
        <w:rPr>
          <w:lang w:val="en-US"/>
        </w:rPr>
        <w:t> m/s, respectively</w:t>
      </w:r>
      <w:r w:rsidR="008C6952">
        <w:rPr>
          <w:lang w:val="en-US"/>
        </w:rPr>
        <w:t xml:space="preserve">. The maximum measured water elevation was 6.73 m and the predicted was 6.05 m. </w:t>
      </w:r>
    </w:p>
    <w:p w:rsidR="008C6952" w:rsidRPr="008C6952" w:rsidRDefault="008C6952" w:rsidP="00A6519A">
      <w:pPr>
        <w:pStyle w:val="Para0"/>
        <w:rPr>
          <w:lang w:val="en-US"/>
        </w:rPr>
      </w:pPr>
      <w:r>
        <w:rPr>
          <w:lang w:val="en-US"/>
        </w:rPr>
        <w:t>While at Townsville, the measured surface currents peaked at 0.99 m/s with the model results indicated a maximum speed of 1.12 m/s)</w:t>
      </w:r>
      <w:r w:rsidR="004F566A">
        <w:rPr>
          <w:lang w:val="en-US"/>
        </w:rPr>
        <w:t xml:space="preserve">. </w:t>
      </w:r>
      <w:r>
        <w:rPr>
          <w:lang w:val="en-US"/>
        </w:rPr>
        <w:t xml:space="preserve">The average measured and predicted bottom currents speeds were near identical (0.10 m/s and 0.11 m/s, respectively). </w:t>
      </w:r>
    </w:p>
    <w:p w:rsidR="00893FBC" w:rsidRDefault="008C6952" w:rsidP="00A6519A">
      <w:pPr>
        <w:pStyle w:val="Para0"/>
        <w:rPr>
          <w:lang w:val="en-AU"/>
        </w:rPr>
      </w:pPr>
      <w:r>
        <w:rPr>
          <w:lang w:val="en-AU"/>
        </w:rPr>
        <w:t>The s</w:t>
      </w:r>
      <w:r w:rsidR="00893FBC">
        <w:rPr>
          <w:lang w:val="en-AU"/>
        </w:rPr>
        <w:t>urface current speeds at Port of Hay Point and Townsville were characterised by mean absolute errors (MAE)</w:t>
      </w:r>
      <w:r w:rsidR="00893FBC">
        <w:rPr>
          <w:rStyle w:val="FootnoteReference"/>
          <w:color w:val="auto"/>
          <w:lang w:val="en-AU"/>
        </w:rPr>
        <w:footnoteReference w:id="2"/>
      </w:r>
      <w:r w:rsidR="00893FBC">
        <w:rPr>
          <w:lang w:val="en-AU"/>
        </w:rPr>
        <w:t xml:space="preserve"> of 0.07 m/s and 0.16 m/s, respectively, while bottom currents at both locations demonstrated MAE values of 0.04 m/s. </w:t>
      </w:r>
    </w:p>
    <w:p w:rsidR="007865F5" w:rsidRDefault="007865F5">
      <w:pPr>
        <w:spacing w:after="0" w:line="240" w:lineRule="auto"/>
        <w:jc w:val="left"/>
      </w:pPr>
      <w:r>
        <w:br w:type="page"/>
      </w:r>
    </w:p>
    <w:p w:rsidR="00893FBC" w:rsidRDefault="00893FBC" w:rsidP="00A6519A">
      <w:pPr>
        <w:spacing w:line="240" w:lineRule="auto"/>
        <w:jc w:val="left"/>
      </w:pPr>
    </w:p>
    <w:p w:rsidR="00893FBC" w:rsidRPr="005D10E9" w:rsidRDefault="00893FBC" w:rsidP="00EC0510">
      <w:pPr>
        <w:pStyle w:val="Caption"/>
        <w:spacing w:line="240" w:lineRule="auto"/>
        <w:ind w:left="480" w:hanging="480"/>
        <w:jc w:val="left"/>
        <w:rPr>
          <w:b/>
        </w:rPr>
      </w:pPr>
      <w:bookmarkStart w:id="53" w:name="_Ref340239072"/>
      <w:bookmarkStart w:id="54" w:name="_Toc334099154"/>
      <w:bookmarkStart w:id="55" w:name="_Toc360779376"/>
      <w:r w:rsidRPr="006409E3">
        <w:rPr>
          <w:b/>
        </w:rPr>
        <w:t xml:space="preserve">Table </w:t>
      </w:r>
      <w:r w:rsidR="005F6FF5" w:rsidRPr="006409E3">
        <w:rPr>
          <w:b/>
        </w:rPr>
        <w:fldChar w:fldCharType="begin"/>
      </w:r>
      <w:r w:rsidRPr="006409E3">
        <w:rPr>
          <w:b/>
        </w:rPr>
        <w:instrText xml:space="preserve"> SEQ Table \* ARABIC </w:instrText>
      </w:r>
      <w:r w:rsidR="005F6FF5" w:rsidRPr="006409E3">
        <w:rPr>
          <w:b/>
        </w:rPr>
        <w:fldChar w:fldCharType="separate"/>
      </w:r>
      <w:r w:rsidR="00751BC4">
        <w:rPr>
          <w:b/>
          <w:noProof/>
        </w:rPr>
        <w:t>4</w:t>
      </w:r>
      <w:r w:rsidR="005F6FF5" w:rsidRPr="006409E3">
        <w:rPr>
          <w:b/>
          <w:noProof/>
        </w:rPr>
        <w:fldChar w:fldCharType="end"/>
      </w:r>
      <w:bookmarkEnd w:id="53"/>
      <w:r w:rsidRPr="006409E3">
        <w:rPr>
          <w:b/>
        </w:rPr>
        <w:t xml:space="preserve"> </w:t>
      </w:r>
      <w:r w:rsidRPr="005D10E9">
        <w:t xml:space="preserve">Statistical comparison between measured </w:t>
      </w:r>
      <w:r>
        <w:t xml:space="preserve">and predicted </w:t>
      </w:r>
      <w:r w:rsidRPr="005D10E9">
        <w:t xml:space="preserve">surface and bottom currents </w:t>
      </w:r>
      <w:r w:rsidR="008C6952">
        <w:t xml:space="preserve">adjacent to the </w:t>
      </w:r>
      <w:r>
        <w:t>Port of Hay Point</w:t>
      </w:r>
      <w:r w:rsidRPr="005D10E9">
        <w:t xml:space="preserve"> </w:t>
      </w:r>
      <w:r>
        <w:t xml:space="preserve">material placement site </w:t>
      </w:r>
      <w:r w:rsidRPr="005D10E9">
        <w:t xml:space="preserve">from </w:t>
      </w:r>
      <w:r w:rsidR="00C0603C">
        <w:t>1</w:t>
      </w:r>
      <w:r w:rsidRPr="005D10E9">
        <w:rPr>
          <w:vertAlign w:val="superscript"/>
        </w:rPr>
        <w:t xml:space="preserve"> </w:t>
      </w:r>
      <w:r w:rsidRPr="005D10E9">
        <w:t xml:space="preserve">to </w:t>
      </w:r>
      <w:r w:rsidR="00C0603C">
        <w:t>30</w:t>
      </w:r>
      <w:r>
        <w:t xml:space="preserve"> November</w:t>
      </w:r>
      <w:r w:rsidR="006409E3">
        <w:t xml:space="preserve"> </w:t>
      </w:r>
      <w:r>
        <w:t>2011</w:t>
      </w:r>
      <w:r w:rsidRPr="005D10E9">
        <w:t>.</w:t>
      </w:r>
      <w:bookmarkEnd w:id="54"/>
      <w:bookmarkEnd w:id="55"/>
    </w:p>
    <w:tbl>
      <w:tblPr>
        <w:tblStyle w:val="TableGrid"/>
        <w:tblW w:w="9242" w:type="dxa"/>
        <w:tblLook w:val="04A0" w:firstRow="1" w:lastRow="0" w:firstColumn="1" w:lastColumn="0" w:noHBand="0" w:noVBand="1"/>
      </w:tblPr>
      <w:tblGrid>
        <w:gridCol w:w="1756"/>
        <w:gridCol w:w="1247"/>
        <w:gridCol w:w="1248"/>
        <w:gridCol w:w="1248"/>
        <w:gridCol w:w="1247"/>
        <w:gridCol w:w="1248"/>
        <w:gridCol w:w="1248"/>
      </w:tblGrid>
      <w:tr w:rsidR="00893FBC" w:rsidTr="00C609AB">
        <w:trPr>
          <w:trHeight w:val="510"/>
          <w:tblHeader/>
        </w:trPr>
        <w:tc>
          <w:tcPr>
            <w:tcW w:w="175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93FBC" w:rsidRPr="00902AC3" w:rsidRDefault="00902AC3" w:rsidP="00893FBC">
            <w:pPr>
              <w:spacing w:after="0" w:line="240" w:lineRule="auto"/>
              <w:jc w:val="center"/>
              <w:rPr>
                <w:rFonts w:cs="Arial"/>
                <w:b/>
                <w:szCs w:val="22"/>
              </w:rPr>
            </w:pPr>
            <w:r w:rsidRPr="00902AC3">
              <w:rPr>
                <w:rFonts w:cs="Arial"/>
                <w:b/>
                <w:szCs w:val="22"/>
              </w:rPr>
              <w:t>Variable</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Surface current speed (m/s)</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Bottom current speed (m/s)</w:t>
            </w:r>
          </w:p>
        </w:tc>
        <w:tc>
          <w:tcPr>
            <w:tcW w:w="2496"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rPr>
            </w:pPr>
            <w:r>
              <w:rPr>
                <w:rFonts w:cs="Arial"/>
                <w:b/>
              </w:rPr>
              <w:t>Water elevation</w:t>
            </w:r>
          </w:p>
          <w:p w:rsidR="00893FBC" w:rsidRDefault="00893FBC" w:rsidP="00893FBC">
            <w:pPr>
              <w:spacing w:after="0" w:line="240" w:lineRule="auto"/>
              <w:jc w:val="center"/>
              <w:rPr>
                <w:rFonts w:cs="Arial"/>
                <w:b/>
                <w:szCs w:val="22"/>
              </w:rPr>
            </w:pPr>
            <w:r>
              <w:rPr>
                <w:rFonts w:cs="Arial"/>
                <w:b/>
              </w:rPr>
              <w:t>(m LAT)</w:t>
            </w:r>
          </w:p>
        </w:tc>
      </w:tr>
      <w:tr w:rsidR="00893FBC" w:rsidTr="00C609AB">
        <w:trPr>
          <w:trHeight w:hRule="exact" w:val="255"/>
          <w:tblHeader/>
        </w:trP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893FBC" w:rsidRDefault="00893FBC" w:rsidP="00893FBC">
            <w:pPr>
              <w:spacing w:after="0" w:line="240" w:lineRule="auto"/>
              <w:rPr>
                <w:rFonts w:cs="Arial"/>
                <w:szCs w:val="22"/>
              </w:rPr>
            </w:pP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i/>
                <w:szCs w:val="22"/>
              </w:rPr>
            </w:pPr>
            <w:r>
              <w:rPr>
                <w:rFonts w:cs="Arial"/>
                <w:i/>
              </w:rPr>
              <w:t>Measured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i/>
                <w:szCs w:val="22"/>
              </w:rPr>
            </w:pPr>
            <w:r>
              <w:rPr>
                <w:rFonts w:cs="Arial"/>
                <w:i/>
              </w:rPr>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i/>
                <w:szCs w:val="22"/>
              </w:rPr>
            </w:pPr>
            <w:r>
              <w:rPr>
                <w:rFonts w:cs="Arial"/>
                <w:i/>
              </w:rPr>
              <w:t>Measured</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i/>
                <w:szCs w:val="22"/>
              </w:rPr>
            </w:pPr>
            <w:r>
              <w:rPr>
                <w:rFonts w:cs="Arial"/>
                <w:i/>
              </w:rPr>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i/>
                <w:szCs w:val="22"/>
              </w:rPr>
            </w:pPr>
            <w:r>
              <w:rPr>
                <w:rFonts w:cs="Arial"/>
                <w:i/>
              </w:rPr>
              <w:t>Measured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i/>
                <w:szCs w:val="22"/>
              </w:rPr>
            </w:pPr>
            <w:r>
              <w:rPr>
                <w:rFonts w:cs="Arial"/>
                <w:i/>
              </w:rPr>
              <w:t>Predicted</w:t>
            </w:r>
          </w:p>
        </w:tc>
      </w:tr>
      <w:tr w:rsidR="00893FBC" w:rsidTr="00893FBC">
        <w:trPr>
          <w:trHeight w:hRule="exact" w:val="510"/>
        </w:trPr>
        <w:tc>
          <w:tcPr>
            <w:tcW w:w="1756"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Maximum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0.59</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0.53</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0.31</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0.26</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6.73</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6.05</w:t>
            </w:r>
          </w:p>
        </w:tc>
      </w:tr>
      <w:tr w:rsidR="00893FBC" w:rsidTr="00893FBC">
        <w:trPr>
          <w:trHeight w:hRule="exact" w:val="510"/>
        </w:trPr>
        <w:tc>
          <w:tcPr>
            <w:tcW w:w="1756"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Average</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0.30</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0.30</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0.15</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0.17</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3.38</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3.43</w:t>
            </w:r>
          </w:p>
        </w:tc>
      </w:tr>
      <w:tr w:rsidR="00893FBC" w:rsidTr="00893FBC">
        <w:trPr>
          <w:trHeight w:hRule="exact" w:val="510"/>
        </w:trPr>
        <w:tc>
          <w:tcPr>
            <w:tcW w:w="1756"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Minimum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0.10</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0.08</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0.05</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0.06</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0.24</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0.90</w:t>
            </w:r>
          </w:p>
        </w:tc>
      </w:tr>
      <w:tr w:rsidR="00893FBC" w:rsidTr="00893FBC">
        <w:trPr>
          <w:trHeight w:hRule="exact" w:val="510"/>
        </w:trPr>
        <w:tc>
          <w:tcPr>
            <w:tcW w:w="1756"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Mean absolute error (MAE)</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0.07</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0.04</w:t>
            </w:r>
          </w:p>
        </w:tc>
        <w:tc>
          <w:tcPr>
            <w:tcW w:w="2496"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0.32</w:t>
            </w:r>
          </w:p>
        </w:tc>
      </w:tr>
    </w:tbl>
    <w:p w:rsidR="00893FBC" w:rsidRDefault="00893FBC" w:rsidP="00A6519A">
      <w:pPr>
        <w:spacing w:line="240" w:lineRule="auto"/>
        <w:jc w:val="left"/>
        <w:rPr>
          <w:rFonts w:asciiTheme="minorHAnsi" w:hAnsiTheme="minorHAnsi" w:cstheme="minorBidi"/>
          <w:szCs w:val="22"/>
        </w:rPr>
      </w:pPr>
    </w:p>
    <w:p w:rsidR="00893FBC" w:rsidRPr="005D10E9" w:rsidRDefault="00893FBC" w:rsidP="00EC0510">
      <w:pPr>
        <w:pStyle w:val="Caption"/>
        <w:spacing w:line="240" w:lineRule="auto"/>
        <w:ind w:left="480" w:hanging="480"/>
        <w:jc w:val="left"/>
        <w:rPr>
          <w:b/>
        </w:rPr>
      </w:pPr>
      <w:bookmarkStart w:id="56" w:name="_Ref340239074"/>
      <w:bookmarkStart w:id="57" w:name="_Toc360779377"/>
      <w:r w:rsidRPr="006409E3">
        <w:rPr>
          <w:b/>
        </w:rPr>
        <w:t xml:space="preserve">Table </w:t>
      </w:r>
      <w:r w:rsidR="005F6FF5" w:rsidRPr="006409E3">
        <w:rPr>
          <w:b/>
        </w:rPr>
        <w:fldChar w:fldCharType="begin"/>
      </w:r>
      <w:r w:rsidRPr="006409E3">
        <w:rPr>
          <w:b/>
        </w:rPr>
        <w:instrText xml:space="preserve"> SEQ Table \* ARABIC </w:instrText>
      </w:r>
      <w:r w:rsidR="005F6FF5" w:rsidRPr="006409E3">
        <w:rPr>
          <w:b/>
        </w:rPr>
        <w:fldChar w:fldCharType="separate"/>
      </w:r>
      <w:r w:rsidR="00751BC4">
        <w:rPr>
          <w:b/>
          <w:noProof/>
        </w:rPr>
        <w:t>5</w:t>
      </w:r>
      <w:r w:rsidR="005F6FF5" w:rsidRPr="006409E3">
        <w:rPr>
          <w:b/>
          <w:noProof/>
        </w:rPr>
        <w:fldChar w:fldCharType="end"/>
      </w:r>
      <w:bookmarkEnd w:id="56"/>
      <w:r w:rsidRPr="008A71C0">
        <w:t xml:space="preserve"> </w:t>
      </w:r>
      <w:r w:rsidR="008C6952" w:rsidRPr="005D10E9">
        <w:t xml:space="preserve">Statistical comparison between measured </w:t>
      </w:r>
      <w:r w:rsidR="008C6952">
        <w:t xml:space="preserve">and predicted </w:t>
      </w:r>
      <w:r w:rsidR="008C6952" w:rsidRPr="005D10E9">
        <w:t xml:space="preserve">surface and bottom currents </w:t>
      </w:r>
      <w:r w:rsidR="008C6952">
        <w:t>adjacent to the Port of Townsville material placement site</w:t>
      </w:r>
      <w:r w:rsidR="008C6952" w:rsidRPr="005D10E9">
        <w:t xml:space="preserve"> </w:t>
      </w:r>
      <w:r w:rsidRPr="005D10E9">
        <w:t xml:space="preserve">from </w:t>
      </w:r>
      <w:r w:rsidR="00C0603C">
        <w:t>1</w:t>
      </w:r>
      <w:r w:rsidRPr="005D10E9">
        <w:rPr>
          <w:vertAlign w:val="superscript"/>
        </w:rPr>
        <w:t xml:space="preserve"> </w:t>
      </w:r>
      <w:r w:rsidRPr="005D10E9">
        <w:t xml:space="preserve">to </w:t>
      </w:r>
      <w:r w:rsidR="00C0603C">
        <w:t>29</w:t>
      </w:r>
      <w:r>
        <w:t xml:space="preserve"> January 2011</w:t>
      </w:r>
      <w:r w:rsidRPr="005D10E9">
        <w:t>.</w:t>
      </w:r>
      <w:bookmarkEnd w:id="57"/>
    </w:p>
    <w:tbl>
      <w:tblPr>
        <w:tblStyle w:val="TableGrid"/>
        <w:tblW w:w="9242" w:type="dxa"/>
        <w:tblLook w:val="04A0" w:firstRow="1" w:lastRow="0" w:firstColumn="1" w:lastColumn="0" w:noHBand="0" w:noVBand="1"/>
      </w:tblPr>
      <w:tblGrid>
        <w:gridCol w:w="1756"/>
        <w:gridCol w:w="1247"/>
        <w:gridCol w:w="1248"/>
        <w:gridCol w:w="1248"/>
        <w:gridCol w:w="1247"/>
        <w:gridCol w:w="1248"/>
        <w:gridCol w:w="1248"/>
      </w:tblGrid>
      <w:tr w:rsidR="00893FBC" w:rsidTr="00C609AB">
        <w:trPr>
          <w:trHeight w:val="510"/>
          <w:tblHeader/>
        </w:trPr>
        <w:tc>
          <w:tcPr>
            <w:tcW w:w="175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93FBC" w:rsidRPr="00902AC3" w:rsidRDefault="00902AC3" w:rsidP="00893FBC">
            <w:pPr>
              <w:spacing w:after="0" w:line="240" w:lineRule="auto"/>
              <w:jc w:val="center"/>
              <w:rPr>
                <w:rFonts w:cs="Arial"/>
                <w:b/>
                <w:szCs w:val="22"/>
              </w:rPr>
            </w:pPr>
            <w:r>
              <w:rPr>
                <w:rFonts w:cs="Arial"/>
                <w:b/>
                <w:szCs w:val="22"/>
              </w:rPr>
              <w:t>Variable</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Surface current speed (m/s)</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Bottom current speed (m/s)</w:t>
            </w:r>
          </w:p>
        </w:tc>
        <w:tc>
          <w:tcPr>
            <w:tcW w:w="2496"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rPr>
            </w:pPr>
            <w:r>
              <w:rPr>
                <w:rFonts w:cs="Arial"/>
                <w:b/>
              </w:rPr>
              <w:t>Water elevation</w:t>
            </w:r>
          </w:p>
          <w:p w:rsidR="00893FBC" w:rsidRDefault="00893FBC" w:rsidP="00893FBC">
            <w:pPr>
              <w:spacing w:after="0" w:line="240" w:lineRule="auto"/>
              <w:jc w:val="center"/>
              <w:rPr>
                <w:rFonts w:cs="Arial"/>
                <w:b/>
                <w:szCs w:val="22"/>
              </w:rPr>
            </w:pPr>
            <w:r>
              <w:rPr>
                <w:rFonts w:cs="Arial"/>
                <w:b/>
              </w:rPr>
              <w:t>(m LAT)</w:t>
            </w:r>
          </w:p>
        </w:tc>
      </w:tr>
      <w:tr w:rsidR="00893FBC" w:rsidTr="00C609AB">
        <w:trPr>
          <w:trHeight w:hRule="exact" w:val="255"/>
          <w:tblHeader/>
        </w:trPr>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893FBC" w:rsidRDefault="00893FBC" w:rsidP="00A6519A">
            <w:pPr>
              <w:spacing w:after="0" w:line="240" w:lineRule="auto"/>
              <w:jc w:val="left"/>
              <w:rPr>
                <w:rFonts w:cs="Arial"/>
                <w:szCs w:val="22"/>
              </w:rPr>
            </w:pP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A6519A">
            <w:pPr>
              <w:spacing w:after="0" w:line="240" w:lineRule="auto"/>
              <w:jc w:val="left"/>
              <w:rPr>
                <w:rFonts w:cs="Arial"/>
                <w:i/>
                <w:szCs w:val="22"/>
              </w:rPr>
            </w:pPr>
            <w:r>
              <w:rPr>
                <w:rFonts w:cs="Arial"/>
                <w:i/>
              </w:rPr>
              <w:t>Measured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A6519A">
            <w:pPr>
              <w:spacing w:after="0" w:line="240" w:lineRule="auto"/>
              <w:jc w:val="left"/>
              <w:rPr>
                <w:rFonts w:cs="Arial"/>
                <w:i/>
                <w:szCs w:val="22"/>
              </w:rPr>
            </w:pPr>
            <w:r>
              <w:rPr>
                <w:rFonts w:cs="Arial"/>
                <w:i/>
              </w:rPr>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A6519A">
            <w:pPr>
              <w:spacing w:after="0" w:line="240" w:lineRule="auto"/>
              <w:jc w:val="left"/>
              <w:rPr>
                <w:rFonts w:cs="Arial"/>
                <w:i/>
                <w:szCs w:val="22"/>
              </w:rPr>
            </w:pPr>
            <w:r>
              <w:rPr>
                <w:rFonts w:cs="Arial"/>
                <w:i/>
              </w:rPr>
              <w:t>Measured</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A6519A">
            <w:pPr>
              <w:spacing w:after="0" w:line="240" w:lineRule="auto"/>
              <w:jc w:val="left"/>
              <w:rPr>
                <w:rFonts w:cs="Arial"/>
                <w:i/>
                <w:szCs w:val="22"/>
              </w:rPr>
            </w:pPr>
            <w:r>
              <w:rPr>
                <w:rFonts w:cs="Arial"/>
                <w:i/>
              </w:rPr>
              <w:t>Predicted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A6519A">
            <w:pPr>
              <w:spacing w:after="0" w:line="240" w:lineRule="auto"/>
              <w:jc w:val="left"/>
              <w:rPr>
                <w:rFonts w:cs="Arial"/>
                <w:i/>
                <w:szCs w:val="22"/>
              </w:rPr>
            </w:pPr>
            <w:r>
              <w:rPr>
                <w:rFonts w:cs="Arial"/>
                <w:i/>
              </w:rPr>
              <w:t>Measured</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A6519A">
            <w:pPr>
              <w:spacing w:after="0" w:line="240" w:lineRule="auto"/>
              <w:jc w:val="left"/>
              <w:rPr>
                <w:rFonts w:cs="Arial"/>
                <w:i/>
                <w:szCs w:val="22"/>
              </w:rPr>
            </w:pPr>
            <w:r>
              <w:rPr>
                <w:rFonts w:cs="Arial"/>
                <w:i/>
              </w:rPr>
              <w:t>Predicted</w:t>
            </w:r>
          </w:p>
        </w:tc>
      </w:tr>
      <w:tr w:rsidR="00893FBC" w:rsidTr="00893FBC">
        <w:trPr>
          <w:trHeight w:hRule="exact" w:val="510"/>
        </w:trPr>
        <w:tc>
          <w:tcPr>
            <w:tcW w:w="1756"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Maximum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0.99</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1.12</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0.43</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0.27</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3.76</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3.67</w:t>
            </w:r>
          </w:p>
        </w:tc>
      </w:tr>
      <w:tr w:rsidR="00893FBC" w:rsidTr="00893FBC">
        <w:trPr>
          <w:trHeight w:hRule="exact" w:val="510"/>
        </w:trPr>
        <w:tc>
          <w:tcPr>
            <w:tcW w:w="1756"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Average</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0.25</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0.35</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0.10</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0.11</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1.91</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1.99</w:t>
            </w:r>
          </w:p>
        </w:tc>
      </w:tr>
      <w:tr w:rsidR="00893FBC" w:rsidTr="00893FBC">
        <w:trPr>
          <w:trHeight w:hRule="exact" w:val="510"/>
        </w:trPr>
        <w:tc>
          <w:tcPr>
            <w:tcW w:w="1756"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Minimum</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0.00</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0.01</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0.01</w:t>
            </w:r>
          </w:p>
        </w:tc>
        <w:tc>
          <w:tcPr>
            <w:tcW w:w="1247"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0.00</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0.15</w:t>
            </w:r>
          </w:p>
        </w:tc>
        <w:tc>
          <w:tcPr>
            <w:tcW w:w="1248"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0.34</w:t>
            </w:r>
          </w:p>
        </w:tc>
      </w:tr>
      <w:tr w:rsidR="00893FBC" w:rsidTr="00893FBC">
        <w:trPr>
          <w:trHeight w:hRule="exact" w:val="510"/>
        </w:trPr>
        <w:tc>
          <w:tcPr>
            <w:tcW w:w="1756" w:type="dxa"/>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b/>
                <w:szCs w:val="22"/>
              </w:rPr>
            </w:pPr>
            <w:r>
              <w:rPr>
                <w:rFonts w:cs="Arial"/>
                <w:b/>
              </w:rPr>
              <w:t>Mean absolute error (MAE)</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0.16</w:t>
            </w:r>
          </w:p>
        </w:tc>
        <w:tc>
          <w:tcPr>
            <w:tcW w:w="2495"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0.04</w:t>
            </w:r>
          </w:p>
        </w:tc>
        <w:tc>
          <w:tcPr>
            <w:tcW w:w="2496" w:type="dxa"/>
            <w:gridSpan w:val="2"/>
            <w:tcBorders>
              <w:top w:val="single" w:sz="4" w:space="0" w:color="auto"/>
              <w:left w:val="single" w:sz="4" w:space="0" w:color="auto"/>
              <w:bottom w:val="single" w:sz="4" w:space="0" w:color="auto"/>
              <w:right w:val="single" w:sz="4" w:space="0" w:color="auto"/>
            </w:tcBorders>
            <w:vAlign w:val="center"/>
            <w:hideMark/>
          </w:tcPr>
          <w:p w:rsidR="00893FBC" w:rsidRDefault="00893FBC" w:rsidP="00893FBC">
            <w:pPr>
              <w:spacing w:after="0" w:line="240" w:lineRule="auto"/>
              <w:jc w:val="center"/>
              <w:rPr>
                <w:rFonts w:cs="Arial"/>
                <w:szCs w:val="22"/>
              </w:rPr>
            </w:pPr>
            <w:r>
              <w:rPr>
                <w:rFonts w:cs="Arial"/>
              </w:rPr>
              <w:t>0.16</w:t>
            </w:r>
          </w:p>
        </w:tc>
      </w:tr>
    </w:tbl>
    <w:p w:rsidR="00893FBC" w:rsidRDefault="00893FBC" w:rsidP="00A6519A">
      <w:pPr>
        <w:spacing w:line="240" w:lineRule="auto"/>
        <w:jc w:val="left"/>
        <w:rPr>
          <w:rFonts w:asciiTheme="minorHAnsi" w:hAnsiTheme="minorHAnsi" w:cstheme="minorBidi"/>
          <w:szCs w:val="22"/>
        </w:rPr>
      </w:pPr>
    </w:p>
    <w:p w:rsidR="00893FBC" w:rsidRDefault="00893FBC" w:rsidP="00A6519A">
      <w:pPr>
        <w:spacing w:line="240" w:lineRule="auto"/>
        <w:jc w:val="left"/>
        <w:rPr>
          <w:rFonts w:eastAsiaTheme="minorEastAsia"/>
        </w:rPr>
      </w:pPr>
    </w:p>
    <w:p w:rsidR="008E3A54" w:rsidRPr="007D6EB4" w:rsidRDefault="008223F3" w:rsidP="00A6519A">
      <w:pPr>
        <w:spacing w:line="240" w:lineRule="auto"/>
        <w:jc w:val="left"/>
        <w:rPr>
          <w:color w:val="auto"/>
          <w:lang w:val="en-AU"/>
        </w:rPr>
      </w:pPr>
      <w:r w:rsidRPr="006A22FE">
        <w:rPr>
          <w:noProof/>
          <w:color w:val="auto"/>
          <w:lang w:val="en-AU" w:eastAsia="en-AU"/>
        </w:rPr>
        <w:lastRenderedPageBreak/>
        <w:drawing>
          <wp:inline distT="0" distB="0" distL="0" distR="0" wp14:anchorId="12F7E00B" wp14:editId="4A5ABF51">
            <wp:extent cx="5400675" cy="6743700"/>
            <wp:effectExtent l="0" t="0" r="0" b="0"/>
            <wp:docPr id="76" name="Picture 76" descr="Figure 14 shows the comparisons between the measured and predicted currents in the surface and bottom layers at Hay Point. Comparisons show a good agreement between the model predictions and measurements for both the surface and bottom layers. For the surface layer, both tidal-scale and large-scale fluctuations in currents were well reproduced at a similar magnitude and timing. There is a close comparison between the measured and predicted current data for the bottom layer, which would have a larger influence (than the surface layer) on the transportation of sediments that are mobilized from the seabed. This figure also shows that the model was capable of accurately predicting the water elevations at Hay Point. It is important to note also that the tidal range at Hay Point is up to 8 m (peak to trough) compared with 4 m at Townsville" title="Figure 14. Comparison of the predicted and measured surface and bottom current speeds (upper images) and directions (lower images) and water elevations adjacent to the existing Hay Point disposal site (1-30 November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Q:\Projects\Q0110 GBRMPA-SKM QLD disposal site selection\8. Figures\Validation_Plots\ADCP_Validation\Hay Point ADCP-Nov2011_Validation.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400675" cy="6743700"/>
                    </a:xfrm>
                    <a:prstGeom prst="rect">
                      <a:avLst/>
                    </a:prstGeom>
                    <a:noFill/>
                    <a:ln>
                      <a:noFill/>
                    </a:ln>
                  </pic:spPr>
                </pic:pic>
              </a:graphicData>
            </a:graphic>
          </wp:inline>
        </w:drawing>
      </w:r>
    </w:p>
    <w:p w:rsidR="00831BE8" w:rsidRPr="007D6EB4" w:rsidRDefault="00831BE8" w:rsidP="00EC0510">
      <w:pPr>
        <w:pStyle w:val="Caption"/>
        <w:spacing w:line="240" w:lineRule="auto"/>
        <w:ind w:left="480" w:hanging="480"/>
        <w:jc w:val="left"/>
        <w:rPr>
          <w:b/>
          <w:lang w:val="en-AU"/>
        </w:rPr>
      </w:pPr>
      <w:bookmarkStart w:id="58" w:name="_Ref317679122"/>
      <w:bookmarkStart w:id="59" w:name="_Ref338429475"/>
      <w:bookmarkStart w:id="60" w:name="_Toc318101327"/>
      <w:bookmarkStart w:id="61" w:name="_Toc325470251"/>
      <w:bookmarkStart w:id="62" w:name="_Toc361651497"/>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14</w:t>
      </w:r>
      <w:r w:rsidR="005F6FF5" w:rsidRPr="007D6EB4">
        <w:rPr>
          <w:b/>
          <w:lang w:val="en-AU"/>
        </w:rPr>
        <w:fldChar w:fldCharType="end"/>
      </w:r>
      <w:bookmarkEnd w:id="58"/>
      <w:bookmarkEnd w:id="59"/>
      <w:r w:rsidR="00E5277F">
        <w:rPr>
          <w:b/>
          <w:lang w:val="en-AU"/>
        </w:rPr>
        <w:t>.</w:t>
      </w:r>
      <w:r w:rsidRPr="007D6EB4">
        <w:rPr>
          <w:lang w:val="en-AU"/>
        </w:rPr>
        <w:t xml:space="preserve"> Comparison of the predicted and measured surface and bottom current speeds </w:t>
      </w:r>
      <w:r w:rsidR="00EC00AA" w:rsidRPr="007D6EB4">
        <w:rPr>
          <w:lang w:val="en-AU"/>
        </w:rPr>
        <w:t xml:space="preserve">(upper images) </w:t>
      </w:r>
      <w:r w:rsidRPr="007D6EB4">
        <w:rPr>
          <w:lang w:val="en-AU"/>
        </w:rPr>
        <w:t xml:space="preserve">and directions </w:t>
      </w:r>
      <w:r w:rsidR="00EC00AA" w:rsidRPr="007D6EB4">
        <w:rPr>
          <w:lang w:val="en-AU"/>
        </w:rPr>
        <w:t xml:space="preserve">(lower images) and </w:t>
      </w:r>
      <w:r w:rsidR="0041351D">
        <w:rPr>
          <w:lang w:val="en-AU"/>
        </w:rPr>
        <w:t>water elevations</w:t>
      </w:r>
      <w:r w:rsidR="00EC00AA" w:rsidRPr="007D6EB4">
        <w:rPr>
          <w:lang w:val="en-AU"/>
        </w:rPr>
        <w:t xml:space="preserve"> </w:t>
      </w:r>
      <w:r w:rsidRPr="007D6EB4">
        <w:rPr>
          <w:lang w:val="en-AU"/>
        </w:rPr>
        <w:t>adjacent to the existing Hay Point disposal site (</w:t>
      </w:r>
      <w:r w:rsidR="004C50CF" w:rsidRPr="007D6EB4">
        <w:rPr>
          <w:lang w:val="en-AU"/>
        </w:rPr>
        <w:t xml:space="preserve">1-30 </w:t>
      </w:r>
      <w:r w:rsidRPr="007D6EB4">
        <w:rPr>
          <w:lang w:val="en-AU"/>
        </w:rPr>
        <w:t>November 2011).</w:t>
      </w:r>
      <w:bookmarkEnd w:id="60"/>
      <w:bookmarkEnd w:id="61"/>
      <w:bookmarkEnd w:id="62"/>
    </w:p>
    <w:p w:rsidR="00831BE8" w:rsidRPr="007D6EB4" w:rsidRDefault="00831BE8" w:rsidP="00617543">
      <w:pPr>
        <w:pStyle w:val="Para0"/>
        <w:rPr>
          <w:lang w:val="en-AU"/>
        </w:rPr>
      </w:pPr>
    </w:p>
    <w:p w:rsidR="00EB2682" w:rsidRPr="007D6EB4" w:rsidRDefault="00EB2682" w:rsidP="00617543">
      <w:pPr>
        <w:pStyle w:val="Para0"/>
        <w:rPr>
          <w:lang w:val="en-AU"/>
        </w:rPr>
      </w:pPr>
    </w:p>
    <w:p w:rsidR="00EB2682" w:rsidRPr="007D6EB4" w:rsidRDefault="008223F3" w:rsidP="00617543">
      <w:pPr>
        <w:pStyle w:val="Para0"/>
        <w:rPr>
          <w:lang w:val="en-AU"/>
        </w:rPr>
      </w:pPr>
      <w:r>
        <w:rPr>
          <w:noProof/>
          <w:lang w:val="en-AU" w:eastAsia="en-AU"/>
        </w:rPr>
        <w:lastRenderedPageBreak/>
        <w:drawing>
          <wp:inline distT="0" distB="0" distL="0" distR="0" wp14:anchorId="166A5E8B" wp14:editId="09B9C55A">
            <wp:extent cx="5400675" cy="6743700"/>
            <wp:effectExtent l="0" t="0" r="0" b="0"/>
            <wp:docPr id="75" name="Picture 75" descr="Figure 15 shows the comparisons between the measured and predicted currents in the surface and bottom layers at Townsville.  Comparisons show a good agreement between the model predictions and measurements for both the surface and bottom layers. For the surface layer, both tidal-scale and large-scale fluctuations in currents were well reproduced at a similar magnitude and timing. Analysis of the Townsville measured data indicated persistently strong surface currents and that tidal variations were less significant between 9-16 and 21-24 January 2011. This would be attributable to sustained south-easterly trade winds. The model predictions agreed well with the measured data. There is a close comparison between the measured and predicted current data for the bottom layer which would have a larger influence (compared with the surface layer) on the transportation of sediments that are mobilized from the seabed. This figure also shows that the model was capable of accurately predicting the water elevations at Townsville. It is important to note also that the tidal range at Hay Point is up to 8 m (peak to trough) compared with 4 m at Townsville." title="Figure 15. Comparison of the predicted and measured surface and bottom current speeds (upper panels) and directions (lower images) and water elevations adjacent to the existing Townsville disposal site (1-29 Januar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Q:\Projects\Q0110 GBRMPA-SKM QLD disposal site selection\8. Figures\Validation_Plots\ADCP_Validation\Townsville ADCP-Jan2011_Validation.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400675" cy="6743700"/>
                    </a:xfrm>
                    <a:prstGeom prst="rect">
                      <a:avLst/>
                    </a:prstGeom>
                    <a:noFill/>
                    <a:ln>
                      <a:noFill/>
                    </a:ln>
                  </pic:spPr>
                </pic:pic>
              </a:graphicData>
            </a:graphic>
          </wp:inline>
        </w:drawing>
      </w:r>
    </w:p>
    <w:p w:rsidR="00EB2682" w:rsidRPr="007D6EB4" w:rsidRDefault="00EB2682" w:rsidP="00EC0510">
      <w:pPr>
        <w:pStyle w:val="Caption"/>
        <w:spacing w:line="240" w:lineRule="auto"/>
        <w:ind w:left="480" w:hanging="480"/>
        <w:jc w:val="left"/>
        <w:rPr>
          <w:b/>
          <w:color w:val="auto"/>
          <w:lang w:val="en-AU"/>
        </w:rPr>
      </w:pPr>
      <w:bookmarkStart w:id="63" w:name="_Ref338429477"/>
      <w:bookmarkStart w:id="64" w:name="_Toc338242168"/>
      <w:bookmarkStart w:id="65" w:name="_Toc361651498"/>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15</w:t>
      </w:r>
      <w:r w:rsidR="005F6FF5" w:rsidRPr="007D6EB4">
        <w:rPr>
          <w:b/>
          <w:lang w:val="en-AU"/>
        </w:rPr>
        <w:fldChar w:fldCharType="end"/>
      </w:r>
      <w:bookmarkEnd w:id="63"/>
      <w:r w:rsidR="00E5277F">
        <w:rPr>
          <w:b/>
          <w:lang w:val="en-AU"/>
        </w:rPr>
        <w:t>.</w:t>
      </w:r>
      <w:r w:rsidRPr="007D6EB4">
        <w:rPr>
          <w:lang w:val="en-AU"/>
        </w:rPr>
        <w:t xml:space="preserve"> </w:t>
      </w:r>
      <w:r w:rsidR="00EC00AA" w:rsidRPr="007D6EB4">
        <w:rPr>
          <w:lang w:val="en-AU"/>
        </w:rPr>
        <w:t xml:space="preserve">Comparison of the predicted and measured surface and bottom current </w:t>
      </w:r>
      <w:r w:rsidR="00EC00AA" w:rsidRPr="007D6EB4">
        <w:rPr>
          <w:color w:val="auto"/>
          <w:lang w:val="en-AU"/>
        </w:rPr>
        <w:t>speeds (upper</w:t>
      </w:r>
      <w:r w:rsidR="00476222" w:rsidRPr="007D6EB4">
        <w:rPr>
          <w:color w:val="auto"/>
          <w:lang w:val="en-AU"/>
        </w:rPr>
        <w:t xml:space="preserve"> panels</w:t>
      </w:r>
      <w:r w:rsidR="00EC00AA" w:rsidRPr="007D6EB4">
        <w:rPr>
          <w:color w:val="auto"/>
          <w:lang w:val="en-AU"/>
        </w:rPr>
        <w:t xml:space="preserve">) and directions (lower images) and </w:t>
      </w:r>
      <w:r w:rsidR="0041351D">
        <w:rPr>
          <w:color w:val="auto"/>
          <w:lang w:val="en-AU"/>
        </w:rPr>
        <w:t>water elevations</w:t>
      </w:r>
      <w:r w:rsidR="00EC00AA" w:rsidRPr="007D6EB4">
        <w:rPr>
          <w:color w:val="auto"/>
          <w:lang w:val="en-AU"/>
        </w:rPr>
        <w:t xml:space="preserve"> adjacent to the existing Townsville disposal site (1-</w:t>
      </w:r>
      <w:r w:rsidR="008C6952">
        <w:rPr>
          <w:color w:val="auto"/>
          <w:lang w:val="en-AU"/>
        </w:rPr>
        <w:t>29</w:t>
      </w:r>
      <w:r w:rsidR="008C6952" w:rsidRPr="007D6EB4">
        <w:rPr>
          <w:color w:val="auto"/>
          <w:lang w:val="en-AU"/>
        </w:rPr>
        <w:t xml:space="preserve"> </w:t>
      </w:r>
      <w:r w:rsidR="008C6952">
        <w:rPr>
          <w:color w:val="auto"/>
          <w:lang w:val="en-AU"/>
        </w:rPr>
        <w:t>January</w:t>
      </w:r>
      <w:r w:rsidR="00EC00AA" w:rsidRPr="007D6EB4">
        <w:rPr>
          <w:color w:val="auto"/>
          <w:lang w:val="en-AU"/>
        </w:rPr>
        <w:t xml:space="preserve"> 2011)</w:t>
      </w:r>
      <w:r w:rsidRPr="007D6EB4">
        <w:rPr>
          <w:color w:val="auto"/>
          <w:lang w:val="en-AU"/>
        </w:rPr>
        <w:t>.</w:t>
      </w:r>
      <w:bookmarkEnd w:id="64"/>
      <w:bookmarkEnd w:id="65"/>
    </w:p>
    <w:p w:rsidR="00073B38" w:rsidRPr="007D6EB4" w:rsidRDefault="00073B38" w:rsidP="00A6519A">
      <w:pPr>
        <w:spacing w:line="240" w:lineRule="auto"/>
        <w:jc w:val="left"/>
        <w:rPr>
          <w:color w:val="auto"/>
          <w:lang w:val="en-AU"/>
        </w:rPr>
      </w:pPr>
    </w:p>
    <w:p w:rsidR="00031C1F" w:rsidRPr="007D6EB4" w:rsidRDefault="00031C1F" w:rsidP="00A6519A">
      <w:pPr>
        <w:spacing w:line="240" w:lineRule="auto"/>
        <w:jc w:val="left"/>
        <w:rPr>
          <w:color w:val="auto"/>
          <w:lang w:val="en-AU"/>
        </w:rPr>
        <w:sectPr w:rsidR="00031C1F" w:rsidRPr="007D6EB4" w:rsidSect="00363EB9">
          <w:pgSz w:w="11907" w:h="16840" w:code="9"/>
          <w:pgMar w:top="1418" w:right="1701" w:bottom="1418" w:left="1701" w:header="567" w:footer="567" w:gutter="0"/>
          <w:cols w:space="720"/>
          <w:formProt w:val="0"/>
          <w:docGrid w:linePitch="299"/>
        </w:sectPr>
      </w:pPr>
    </w:p>
    <w:p w:rsidR="00EB2682" w:rsidRPr="007D6EB4" w:rsidRDefault="00830895" w:rsidP="00E46224">
      <w:pPr>
        <w:pStyle w:val="Heading2"/>
      </w:pPr>
      <w:bookmarkStart w:id="66" w:name="_Toc361929983"/>
      <w:r w:rsidRPr="007D6EB4">
        <w:lastRenderedPageBreak/>
        <w:t xml:space="preserve">Modelling of </w:t>
      </w:r>
      <w:r w:rsidR="005F7C41" w:rsidRPr="007D6EB4">
        <w:t xml:space="preserve">Wave </w:t>
      </w:r>
      <w:r w:rsidRPr="007D6EB4">
        <w:t>Conditions</w:t>
      </w:r>
      <w:bookmarkEnd w:id="66"/>
    </w:p>
    <w:p w:rsidR="00832E91" w:rsidRPr="007D6EB4" w:rsidRDefault="00832E91" w:rsidP="00EC0510">
      <w:pPr>
        <w:pStyle w:val="StyleLeft"/>
        <w:rPr>
          <w:lang w:val="en-AU"/>
        </w:rPr>
      </w:pPr>
      <w:r w:rsidRPr="007D6EB4">
        <w:rPr>
          <w:lang w:val="en-AU"/>
        </w:rPr>
        <w:t xml:space="preserve">The wave </w:t>
      </w:r>
      <w:r w:rsidR="00B17B4E">
        <w:rPr>
          <w:lang w:val="en-AU"/>
        </w:rPr>
        <w:t>climate</w:t>
      </w:r>
      <w:r w:rsidR="00D70C99" w:rsidRPr="007D6EB4">
        <w:rPr>
          <w:lang w:val="en-AU"/>
        </w:rPr>
        <w:t xml:space="preserve"> </w:t>
      </w:r>
      <w:r w:rsidR="006E5450">
        <w:rPr>
          <w:lang w:val="en-AU"/>
        </w:rPr>
        <w:t>was</w:t>
      </w:r>
      <w:r w:rsidRPr="007D6EB4">
        <w:rPr>
          <w:lang w:val="en-AU"/>
        </w:rPr>
        <w:t xml:space="preserve"> reproduced using a spectral phase-averaging wave model, SWAN, developed by the Delft University of Technology (</w:t>
      </w:r>
      <w:r w:rsidR="00B747BB" w:rsidRPr="007D6EB4">
        <w:rPr>
          <w:lang w:val="en-AU"/>
        </w:rPr>
        <w:t>Booij et al. 1996, 1999; Holthuijsen et al. 1997</w:t>
      </w:r>
      <w:r w:rsidRPr="007D6EB4">
        <w:rPr>
          <w:lang w:val="en-AU"/>
        </w:rPr>
        <w:t>).</w:t>
      </w:r>
      <w:r w:rsidR="0043422D">
        <w:rPr>
          <w:lang w:val="en-AU"/>
        </w:rPr>
        <w:t xml:space="preserve"> </w:t>
      </w:r>
      <w:r w:rsidRPr="007D6EB4">
        <w:rPr>
          <w:lang w:val="en-AU"/>
        </w:rPr>
        <w:t>The SWAN model is a numerical model for simulating realistic estimates of wave parameters in coastal areas for given wind, bottom and current conditions. The model is a third</w:t>
      </w:r>
      <w:r w:rsidR="0012372D">
        <w:rPr>
          <w:lang w:val="en-AU"/>
        </w:rPr>
        <w:t>-</w:t>
      </w:r>
      <w:r w:rsidRPr="007D6EB4">
        <w:rPr>
          <w:lang w:val="en-AU"/>
        </w:rPr>
        <w:t>generation model based on the energy balance equation</w:t>
      </w:r>
      <w:r w:rsidR="00F75AAC" w:rsidRPr="007D6EB4">
        <w:rPr>
          <w:lang w:val="en-AU"/>
        </w:rPr>
        <w:t xml:space="preserve"> (Holthuijsen et al. 1997)</w:t>
      </w:r>
      <w:r w:rsidRPr="007D6EB4">
        <w:rPr>
          <w:lang w:val="en-AU"/>
        </w:rPr>
        <w:t>.</w:t>
      </w:r>
      <w:r w:rsidR="0043422D">
        <w:rPr>
          <w:lang w:val="en-AU"/>
        </w:rPr>
        <w:t xml:space="preserve"> </w:t>
      </w:r>
    </w:p>
    <w:p w:rsidR="00832E91" w:rsidRPr="007D6EB4" w:rsidRDefault="00832E91" w:rsidP="00EC0510">
      <w:pPr>
        <w:pStyle w:val="StyleLeft"/>
        <w:rPr>
          <w:lang w:val="en-AU"/>
        </w:rPr>
      </w:pPr>
      <w:r w:rsidRPr="007D6EB4">
        <w:rPr>
          <w:lang w:val="en-AU"/>
        </w:rPr>
        <w:t>The SWAN model includes algorithms for the following wave propagation processes: propagation through geographic space, refraction due to bottom and current variations, shoaling due to bottom and current variations, blocking and reflections by opposing currents, and transmission through or blockage by obstacles. The model also accounts for the dissipation effects due to white-capping, bottom friction and wave breaking as well as non-linear wave-wave interactions. The model is fully spectral (in all directions and frequencies) and computes the evolution of wind waves in coastal regions with shallow water depths and ambient currents.</w:t>
      </w:r>
    </w:p>
    <w:p w:rsidR="00832E91" w:rsidRPr="007D6EB4" w:rsidRDefault="003510FE" w:rsidP="00EC0510">
      <w:pPr>
        <w:pStyle w:val="StyleLeft"/>
        <w:rPr>
          <w:lang w:val="en-AU"/>
        </w:rPr>
      </w:pPr>
      <w:r>
        <w:rPr>
          <w:lang w:val="en-AU"/>
        </w:rPr>
        <w:t>F</w:t>
      </w:r>
      <w:r w:rsidR="00830895" w:rsidRPr="007D6EB4">
        <w:rPr>
          <w:lang w:val="en-AU"/>
        </w:rPr>
        <w:t xml:space="preserve">our separate overlapping </w:t>
      </w:r>
      <w:r>
        <w:rPr>
          <w:lang w:val="en-AU"/>
        </w:rPr>
        <w:t xml:space="preserve">wave model </w:t>
      </w:r>
      <w:r w:rsidR="00830895" w:rsidRPr="007D6EB4">
        <w:rPr>
          <w:lang w:val="en-AU"/>
        </w:rPr>
        <w:t>grid</w:t>
      </w:r>
      <w:r w:rsidR="00C10444">
        <w:rPr>
          <w:lang w:val="en-AU"/>
        </w:rPr>
        <w:t>s</w:t>
      </w:r>
      <w:r w:rsidR="00C77A72" w:rsidRPr="007D6EB4">
        <w:rPr>
          <w:lang w:val="en-AU"/>
        </w:rPr>
        <w:t xml:space="preserve"> </w:t>
      </w:r>
      <w:r w:rsidR="00830895" w:rsidRPr="007D6EB4">
        <w:rPr>
          <w:lang w:val="en-AU"/>
        </w:rPr>
        <w:t xml:space="preserve">were generated, </w:t>
      </w:r>
      <w:r w:rsidR="00F6496C" w:rsidRPr="007D6EB4">
        <w:rPr>
          <w:lang w:val="en-AU"/>
        </w:rPr>
        <w:t xml:space="preserve">referred to as southern GBR, </w:t>
      </w:r>
      <w:r w:rsidR="008218DC" w:rsidRPr="007D6EB4">
        <w:rPr>
          <w:lang w:val="en-AU"/>
        </w:rPr>
        <w:t xml:space="preserve">southern </w:t>
      </w:r>
      <w:r w:rsidR="00F6496C" w:rsidRPr="007D6EB4">
        <w:rPr>
          <w:lang w:val="en-AU"/>
        </w:rPr>
        <w:t>cen</w:t>
      </w:r>
      <w:r w:rsidR="00F6496C" w:rsidRPr="00BF07E9">
        <w:rPr>
          <w:lang w:val="en-AU"/>
        </w:rPr>
        <w:t>tral GBR</w:t>
      </w:r>
      <w:r w:rsidR="008218DC" w:rsidRPr="00BF07E9">
        <w:rPr>
          <w:lang w:val="en-AU"/>
        </w:rPr>
        <w:t>, northern central GBR</w:t>
      </w:r>
      <w:r w:rsidR="00F6496C" w:rsidRPr="00BF07E9">
        <w:rPr>
          <w:lang w:val="en-AU"/>
        </w:rPr>
        <w:t xml:space="preserve"> and northern GBR grids</w:t>
      </w:r>
      <w:r w:rsidR="008218DC" w:rsidRPr="00BF07E9">
        <w:rPr>
          <w:lang w:val="en-AU"/>
        </w:rPr>
        <w:t xml:space="preserve"> (see </w:t>
      </w:r>
      <w:r w:rsidR="00BF07E9" w:rsidRPr="00BF07E9">
        <w:fldChar w:fldCharType="begin"/>
      </w:r>
      <w:r w:rsidR="00BF07E9" w:rsidRPr="00BF07E9">
        <w:instrText xml:space="preserve"> REF  _Ref338497294 \* Lower \h  \* MERGEFORMAT </w:instrText>
      </w:r>
      <w:r w:rsidR="00BF07E9" w:rsidRPr="00BF07E9">
        <w:fldChar w:fldCharType="separate"/>
      </w:r>
      <w:r w:rsidR="00751BC4" w:rsidRPr="00751BC4">
        <w:rPr>
          <w:lang w:val="en-AU"/>
        </w:rPr>
        <w:t xml:space="preserve">figure </w:t>
      </w:r>
      <w:r w:rsidR="00751BC4" w:rsidRPr="00751BC4">
        <w:rPr>
          <w:noProof/>
          <w:lang w:val="en-AU"/>
        </w:rPr>
        <w:t>16</w:t>
      </w:r>
      <w:r w:rsidR="00BF07E9" w:rsidRPr="00BF07E9">
        <w:fldChar w:fldCharType="end"/>
      </w:r>
      <w:r w:rsidR="008218DC" w:rsidRPr="00BF07E9">
        <w:rPr>
          <w:lang w:val="en-AU"/>
        </w:rPr>
        <w:t xml:space="preserve"> to </w:t>
      </w:r>
      <w:r w:rsidR="00BF07E9" w:rsidRPr="00BF07E9">
        <w:fldChar w:fldCharType="begin"/>
      </w:r>
      <w:r w:rsidR="00BF07E9" w:rsidRPr="00BF07E9">
        <w:instrText xml:space="preserve"> REF  _Ref338497297 \* Lower \h  \* MERGEFORMAT </w:instrText>
      </w:r>
      <w:r w:rsidR="00BF07E9" w:rsidRPr="00BF07E9">
        <w:fldChar w:fldCharType="separate"/>
      </w:r>
      <w:r w:rsidR="00751BC4" w:rsidRPr="00751BC4">
        <w:rPr>
          <w:lang w:val="en-AU"/>
        </w:rPr>
        <w:t xml:space="preserve">figure </w:t>
      </w:r>
      <w:r w:rsidR="00751BC4" w:rsidRPr="00751BC4">
        <w:rPr>
          <w:noProof/>
          <w:lang w:val="en-AU"/>
        </w:rPr>
        <w:t>19</w:t>
      </w:r>
      <w:r w:rsidR="00BF07E9" w:rsidRPr="00BF07E9">
        <w:fldChar w:fldCharType="end"/>
      </w:r>
      <w:r w:rsidR="008218DC" w:rsidRPr="00BF07E9">
        <w:rPr>
          <w:lang w:val="en-AU"/>
        </w:rPr>
        <w:t>)</w:t>
      </w:r>
      <w:r w:rsidR="00F6496C" w:rsidRPr="00BF07E9">
        <w:rPr>
          <w:lang w:val="en-AU"/>
        </w:rPr>
        <w:t>.</w:t>
      </w:r>
      <w:r w:rsidR="00830895" w:rsidRPr="007D6EB4">
        <w:rPr>
          <w:lang w:val="en-AU"/>
        </w:rPr>
        <w:t xml:space="preserve"> </w:t>
      </w:r>
      <w:r w:rsidR="00832E91" w:rsidRPr="007D6EB4">
        <w:rPr>
          <w:lang w:val="en-AU"/>
        </w:rPr>
        <w:t xml:space="preserve">The model </w:t>
      </w:r>
      <w:r w:rsidR="002E1FC8" w:rsidRPr="007D6EB4">
        <w:rPr>
          <w:lang w:val="en-AU"/>
        </w:rPr>
        <w:t xml:space="preserve">grid </w:t>
      </w:r>
      <w:r w:rsidR="00832E91" w:rsidRPr="007D6EB4">
        <w:rPr>
          <w:lang w:val="en-AU"/>
        </w:rPr>
        <w:t>requirements included a high</w:t>
      </w:r>
      <w:r w:rsidR="002E1FC8" w:rsidRPr="007D6EB4">
        <w:rPr>
          <w:lang w:val="en-AU"/>
        </w:rPr>
        <w:t>e</w:t>
      </w:r>
      <w:r w:rsidR="002E1FC8" w:rsidRPr="006E5450">
        <w:rPr>
          <w:rFonts w:cs="Arial"/>
          <w:szCs w:val="22"/>
        </w:rPr>
        <w:t>r</w:t>
      </w:r>
      <w:r w:rsidR="00832E91" w:rsidRPr="006E5450">
        <w:rPr>
          <w:rFonts w:cs="Arial"/>
          <w:szCs w:val="22"/>
        </w:rPr>
        <w:t xml:space="preserve"> spatial resolution</w:t>
      </w:r>
      <w:r w:rsidR="002E1FC8" w:rsidRPr="006E5450">
        <w:rPr>
          <w:rFonts w:cs="Arial"/>
          <w:szCs w:val="22"/>
        </w:rPr>
        <w:t xml:space="preserve"> (~700</w:t>
      </w:r>
      <w:r w:rsidR="00C77241">
        <w:rPr>
          <w:rFonts w:cs="Arial"/>
          <w:szCs w:val="22"/>
        </w:rPr>
        <w:t> </w:t>
      </w:r>
      <w:r w:rsidR="002E1FC8" w:rsidRPr="006E5450">
        <w:rPr>
          <w:rFonts w:cs="Arial"/>
          <w:szCs w:val="22"/>
        </w:rPr>
        <w:t>m) within 50</w:t>
      </w:r>
      <w:r w:rsidR="002C4A81" w:rsidRPr="006E5450">
        <w:rPr>
          <w:rFonts w:cs="Arial"/>
          <w:szCs w:val="22"/>
        </w:rPr>
        <w:t xml:space="preserve"> </w:t>
      </w:r>
      <w:r w:rsidR="002E1FC8" w:rsidRPr="006E5450">
        <w:rPr>
          <w:rFonts w:cs="Arial"/>
          <w:szCs w:val="22"/>
        </w:rPr>
        <w:t xml:space="preserve">km of the ports </w:t>
      </w:r>
      <w:r w:rsidR="00832E91" w:rsidRPr="006E5450">
        <w:rPr>
          <w:rFonts w:cs="Arial"/>
          <w:szCs w:val="22"/>
        </w:rPr>
        <w:t>to appropriately represent local variations</w:t>
      </w:r>
      <w:r w:rsidR="004F566A">
        <w:rPr>
          <w:rFonts w:cs="Arial"/>
          <w:szCs w:val="22"/>
        </w:rPr>
        <w:t xml:space="preserve">. </w:t>
      </w:r>
      <w:r w:rsidR="00C10444" w:rsidRPr="006E5450">
        <w:rPr>
          <w:rFonts w:cs="Arial"/>
          <w:szCs w:val="22"/>
        </w:rPr>
        <w:t>Again, i</w:t>
      </w:r>
      <w:r w:rsidR="00C10444" w:rsidRPr="00B61445">
        <w:rPr>
          <w:rFonts w:cs="Arial"/>
          <w:szCs w:val="22"/>
        </w:rPr>
        <w:t xml:space="preserve">t is important to </w:t>
      </w:r>
      <w:r w:rsidR="00597E87">
        <w:rPr>
          <w:rFonts w:cs="Arial"/>
          <w:szCs w:val="22"/>
        </w:rPr>
        <w:t xml:space="preserve">point out </w:t>
      </w:r>
      <w:r w:rsidR="00C10444" w:rsidRPr="00B61445">
        <w:rPr>
          <w:rFonts w:cs="Arial"/>
          <w:szCs w:val="22"/>
        </w:rPr>
        <w:t xml:space="preserve">that the datasets created and used in this study </w:t>
      </w:r>
      <w:r w:rsidR="00C10444" w:rsidRPr="006E5450">
        <w:rPr>
          <w:rFonts w:cs="Arial"/>
          <w:szCs w:val="22"/>
        </w:rPr>
        <w:t>could not be to the standard of a detailed Environmental Impact Assessment</w:t>
      </w:r>
      <w:r w:rsidR="006E5450">
        <w:rPr>
          <w:rFonts w:cs="Arial"/>
          <w:szCs w:val="22"/>
        </w:rPr>
        <w:t>,</w:t>
      </w:r>
      <w:r w:rsidR="00C10444" w:rsidRPr="00B61445">
        <w:rPr>
          <w:rFonts w:cs="Arial"/>
          <w:szCs w:val="22"/>
        </w:rPr>
        <w:t xml:space="preserve"> as the focus was on the navigable waters of the GBR including inshore waters and within Port limits.</w:t>
      </w:r>
    </w:p>
    <w:p w:rsidR="002A0287" w:rsidRPr="007D6EB4" w:rsidRDefault="002A0287" w:rsidP="00EC0510">
      <w:pPr>
        <w:pStyle w:val="StyleLeft"/>
        <w:rPr>
          <w:lang w:val="en-AU"/>
        </w:rPr>
      </w:pPr>
      <w:r w:rsidRPr="007D6EB4">
        <w:rPr>
          <w:lang w:val="en-AU"/>
        </w:rPr>
        <w:t>Active offshore boundary conditions were assigned to the southern, eastern and northern boundaries of each model domain. Parametric spectral inputs (offshore boundary condition) were generated using a standard JONSWAP spectrum.</w:t>
      </w:r>
      <w:r w:rsidR="0043422D">
        <w:rPr>
          <w:lang w:val="en-AU"/>
        </w:rPr>
        <w:t xml:space="preserve"> </w:t>
      </w:r>
      <w:r w:rsidRPr="007D6EB4">
        <w:rPr>
          <w:lang w:val="en-AU"/>
        </w:rPr>
        <w:t>The wave parameters that govern the spectral shape of the JONSWAP spectrum applied at the open boundary are significant wave height (H</w:t>
      </w:r>
      <w:r w:rsidRPr="007D6EB4">
        <w:rPr>
          <w:vertAlign w:val="subscript"/>
          <w:lang w:val="en-AU"/>
        </w:rPr>
        <w:t>s</w:t>
      </w:r>
      <w:r w:rsidRPr="007D6EB4">
        <w:rPr>
          <w:lang w:val="en-AU"/>
        </w:rPr>
        <w:t>), peak wave period (T</w:t>
      </w:r>
      <w:r w:rsidRPr="007D6EB4">
        <w:rPr>
          <w:vertAlign w:val="subscript"/>
          <w:lang w:val="en-AU"/>
        </w:rPr>
        <w:t>p</w:t>
      </w:r>
      <w:r w:rsidRPr="007D6EB4">
        <w:rPr>
          <w:lang w:val="en-AU"/>
        </w:rPr>
        <w:t>), peak wave direction (Dir) and the directional spreading of waves (i.e. how ‘focussed’ the swell conditions are).</w:t>
      </w:r>
      <w:r w:rsidR="0043422D">
        <w:rPr>
          <w:lang w:val="en-AU"/>
        </w:rPr>
        <w:t xml:space="preserve"> </w:t>
      </w:r>
    </w:p>
    <w:p w:rsidR="00832E91" w:rsidRPr="007D6EB4" w:rsidRDefault="002A0287" w:rsidP="00EC0510">
      <w:pPr>
        <w:pStyle w:val="StyleLeft"/>
        <w:rPr>
          <w:lang w:val="en-AU"/>
        </w:rPr>
      </w:pPr>
      <w:r w:rsidRPr="007D6EB4">
        <w:rPr>
          <w:lang w:val="en-AU"/>
        </w:rPr>
        <w:t xml:space="preserve">Regionally specific </w:t>
      </w:r>
      <w:r w:rsidR="00832E91" w:rsidRPr="007D6EB4">
        <w:rPr>
          <w:lang w:val="en-AU"/>
        </w:rPr>
        <w:t>boundary condition</w:t>
      </w:r>
      <w:r w:rsidR="002E1FC8" w:rsidRPr="007D6EB4">
        <w:rPr>
          <w:lang w:val="en-AU"/>
        </w:rPr>
        <w:t>s were</w:t>
      </w:r>
      <w:r w:rsidR="00832E91" w:rsidRPr="007D6EB4">
        <w:rPr>
          <w:lang w:val="en-AU"/>
        </w:rPr>
        <w:t xml:space="preserve"> defined by using deep-water wave parameters</w:t>
      </w:r>
      <w:r w:rsidR="007C0AA7">
        <w:rPr>
          <w:lang w:val="en-AU"/>
        </w:rPr>
        <w:t xml:space="preserve"> obtained from the National Centre</w:t>
      </w:r>
      <w:r w:rsidR="00832E91" w:rsidRPr="007D6EB4">
        <w:rPr>
          <w:lang w:val="en-AU"/>
        </w:rPr>
        <w:t xml:space="preserve"> for Environmental Prediction (NCEP/NOAA) WAVEWATCH III (WW3) global wave model</w:t>
      </w:r>
      <w:r w:rsidR="00873C51" w:rsidRPr="007D6EB4">
        <w:rPr>
          <w:lang w:val="en-AU"/>
        </w:rPr>
        <w:t xml:space="preserve"> </w:t>
      </w:r>
      <w:r w:rsidR="00CF2F8A" w:rsidRPr="007D6EB4">
        <w:rPr>
          <w:lang w:val="en-AU"/>
        </w:rPr>
        <w:t xml:space="preserve">(Chu et al. 2004; Tolman 2009). </w:t>
      </w:r>
      <w:r w:rsidR="00294C64">
        <w:rPr>
          <w:lang w:val="en-AU"/>
        </w:rPr>
        <w:t>Hind-cast</w:t>
      </w:r>
      <w:r w:rsidR="00832E91" w:rsidRPr="007D6EB4">
        <w:rPr>
          <w:lang w:val="en-AU"/>
        </w:rPr>
        <w:t xml:space="preserve"> wave data is available on a 3</w:t>
      </w:r>
      <w:r w:rsidR="002C4A81">
        <w:rPr>
          <w:lang w:val="en-AU"/>
        </w:rPr>
        <w:t>-</w:t>
      </w:r>
      <w:r w:rsidR="00832E91" w:rsidRPr="007D6EB4">
        <w:rPr>
          <w:lang w:val="en-AU"/>
        </w:rPr>
        <w:t>hour time step over a global ocean grid over the range 77°S to 77°N with a longitude x latitude resolution of 1.25° x 1°. Care was taken to test the boundaries to avoid the propagation of any errors into the area of interest.</w:t>
      </w:r>
    </w:p>
    <w:p w:rsidR="00714D2F" w:rsidRPr="007D6EB4" w:rsidRDefault="00A07D7D" w:rsidP="00EC0510">
      <w:pPr>
        <w:pStyle w:val="StyleLeft"/>
        <w:rPr>
          <w:lang w:val="en-AU"/>
        </w:rPr>
      </w:pPr>
      <w:r w:rsidRPr="007D6EB4">
        <w:rPr>
          <w:lang w:val="en-AU"/>
        </w:rPr>
        <w:t xml:space="preserve">To account for the wind influence, </w:t>
      </w:r>
      <w:r w:rsidR="00597E87">
        <w:rPr>
          <w:lang w:val="en-AU"/>
        </w:rPr>
        <w:t>hourly</w:t>
      </w:r>
      <w:r w:rsidR="00597E87" w:rsidRPr="007D6EB4">
        <w:rPr>
          <w:lang w:val="en-AU"/>
        </w:rPr>
        <w:t xml:space="preserve"> </w:t>
      </w:r>
      <w:r w:rsidR="009A7CCA" w:rsidRPr="007D6EB4">
        <w:rPr>
          <w:lang w:val="en-AU"/>
        </w:rPr>
        <w:t xml:space="preserve">measured </w:t>
      </w:r>
      <w:r w:rsidR="00597E87">
        <w:rPr>
          <w:lang w:val="en-AU"/>
        </w:rPr>
        <w:t xml:space="preserve">winds </w:t>
      </w:r>
      <w:r w:rsidR="009A7CCA" w:rsidRPr="007D6EB4">
        <w:rPr>
          <w:lang w:val="en-AU"/>
        </w:rPr>
        <w:t xml:space="preserve">by </w:t>
      </w:r>
      <w:r w:rsidR="00597E87">
        <w:rPr>
          <w:lang w:val="en-AU"/>
        </w:rPr>
        <w:t>BOM</w:t>
      </w:r>
      <w:r w:rsidRPr="007D6EB4">
        <w:rPr>
          <w:lang w:val="en-AU"/>
        </w:rPr>
        <w:t xml:space="preserve"> </w:t>
      </w:r>
      <w:r w:rsidR="009A7CCA" w:rsidRPr="007D6EB4">
        <w:rPr>
          <w:lang w:val="en-AU"/>
        </w:rPr>
        <w:t xml:space="preserve">along the coastline </w:t>
      </w:r>
      <w:r w:rsidRPr="007D6EB4">
        <w:rPr>
          <w:lang w:val="en-AU"/>
        </w:rPr>
        <w:t xml:space="preserve">were combined with reanalysed wind data </w:t>
      </w:r>
      <w:r w:rsidR="001D0872" w:rsidRPr="007D6EB4">
        <w:rPr>
          <w:lang w:val="en-AU"/>
        </w:rPr>
        <w:t>source</w:t>
      </w:r>
      <w:r w:rsidRPr="007D6EB4">
        <w:rPr>
          <w:lang w:val="en-AU"/>
        </w:rPr>
        <w:t>d from the</w:t>
      </w:r>
      <w:r w:rsidR="009A7CCA" w:rsidRPr="007D6EB4">
        <w:rPr>
          <w:lang w:val="en-AU"/>
        </w:rPr>
        <w:t xml:space="preserve"> GFS model</w:t>
      </w:r>
      <w:r w:rsidRPr="007D6EB4">
        <w:rPr>
          <w:rStyle w:val="Emphasis"/>
          <w:i w:val="0"/>
          <w:lang w:val="en-AU"/>
        </w:rPr>
        <w:t>.</w:t>
      </w:r>
      <w:r w:rsidR="0043422D">
        <w:rPr>
          <w:rStyle w:val="Emphasis"/>
          <w:i w:val="0"/>
          <w:lang w:val="en-AU"/>
        </w:rPr>
        <w:t xml:space="preserve"> </w:t>
      </w:r>
      <w:r w:rsidRPr="007D6EB4">
        <w:rPr>
          <w:lang w:val="en-AU"/>
        </w:rPr>
        <w:t xml:space="preserve">The GFS model data </w:t>
      </w:r>
      <w:r w:rsidR="007C0AA7">
        <w:rPr>
          <w:lang w:val="en-AU"/>
        </w:rPr>
        <w:t>were</w:t>
      </w:r>
      <w:r w:rsidR="00597E87">
        <w:rPr>
          <w:lang w:val="en-AU"/>
        </w:rPr>
        <w:t xml:space="preserve"> </w:t>
      </w:r>
      <w:r w:rsidRPr="007D6EB4">
        <w:rPr>
          <w:lang w:val="en-AU"/>
        </w:rPr>
        <w:t xml:space="preserve">at </w:t>
      </w:r>
      <w:r w:rsidR="00C77241">
        <w:rPr>
          <w:lang w:val="en-AU"/>
        </w:rPr>
        <w:t xml:space="preserve">three </w:t>
      </w:r>
      <w:r w:rsidRPr="007D6EB4">
        <w:rPr>
          <w:lang w:val="en-AU"/>
        </w:rPr>
        <w:t xml:space="preserve">hourly </w:t>
      </w:r>
      <w:r w:rsidR="00597E87">
        <w:rPr>
          <w:lang w:val="en-AU"/>
        </w:rPr>
        <w:t xml:space="preserve">intervals </w:t>
      </w:r>
      <w:r w:rsidR="007C0AA7">
        <w:rPr>
          <w:lang w:val="en-AU"/>
        </w:rPr>
        <w:t>for stations spaced</w:t>
      </w:r>
      <w:r w:rsidRPr="007D6EB4">
        <w:rPr>
          <w:lang w:val="en-AU"/>
        </w:rPr>
        <w:t xml:space="preserve"> </w:t>
      </w:r>
      <w:r w:rsidR="00476222" w:rsidRPr="007D6EB4">
        <w:rPr>
          <w:lang w:val="en-AU"/>
        </w:rPr>
        <w:t>125</w:t>
      </w:r>
      <w:r w:rsidRPr="007D6EB4">
        <w:rPr>
          <w:lang w:val="en-AU"/>
        </w:rPr>
        <w:t xml:space="preserve"> km apart.</w:t>
      </w:r>
      <w:r w:rsidR="00476222" w:rsidRPr="007D6EB4">
        <w:rPr>
          <w:lang w:val="en-AU"/>
        </w:rPr>
        <w:t xml:space="preserve"> For each grid</w:t>
      </w:r>
      <w:r w:rsidR="002C4A81">
        <w:rPr>
          <w:lang w:val="en-AU"/>
        </w:rPr>
        <w:t>,</w:t>
      </w:r>
      <w:r w:rsidR="00476222" w:rsidRPr="007D6EB4">
        <w:rPr>
          <w:lang w:val="en-AU"/>
        </w:rPr>
        <w:t xml:space="preserve"> up to </w:t>
      </w:r>
      <w:r w:rsidR="00714D2F" w:rsidRPr="007D6EB4">
        <w:rPr>
          <w:lang w:val="en-AU"/>
        </w:rPr>
        <w:t xml:space="preserve">20 wind </w:t>
      </w:r>
      <w:r w:rsidR="00476222" w:rsidRPr="007D6EB4">
        <w:rPr>
          <w:lang w:val="en-AU"/>
        </w:rPr>
        <w:t xml:space="preserve">stations were used </w:t>
      </w:r>
      <w:r w:rsidR="00714D2F" w:rsidRPr="007D6EB4">
        <w:rPr>
          <w:lang w:val="en-AU"/>
        </w:rPr>
        <w:t xml:space="preserve">to represent the regional wind patterns, and thus influences on the wave climate. </w:t>
      </w:r>
    </w:p>
    <w:p w:rsidR="00597E87" w:rsidRDefault="00597E87" w:rsidP="00EC0510">
      <w:pPr>
        <w:pStyle w:val="StyleLeft"/>
        <w:rPr>
          <w:lang w:val="en-AU"/>
        </w:rPr>
      </w:pPr>
      <w:r>
        <w:rPr>
          <w:lang w:val="en-AU"/>
        </w:rPr>
        <w:t xml:space="preserve">The model </w:t>
      </w:r>
      <w:r w:rsidRPr="007D6EB4">
        <w:rPr>
          <w:lang w:val="en-AU"/>
        </w:rPr>
        <w:t>bathymetr</w:t>
      </w:r>
      <w:r>
        <w:rPr>
          <w:lang w:val="en-AU"/>
        </w:rPr>
        <w:t>y</w:t>
      </w:r>
      <w:r w:rsidRPr="007D6EB4">
        <w:rPr>
          <w:lang w:val="en-AU"/>
        </w:rPr>
        <w:t xml:space="preserve"> </w:t>
      </w:r>
      <w:r>
        <w:rPr>
          <w:lang w:val="en-AU"/>
        </w:rPr>
        <w:t>was a compilation of the</w:t>
      </w:r>
      <w:r w:rsidR="004126D1" w:rsidRPr="007D6EB4">
        <w:rPr>
          <w:lang w:val="en-AU"/>
        </w:rPr>
        <w:t xml:space="preserve"> latest hydrographic charts and Geoscience Australia digital elevation data </w:t>
      </w:r>
      <w:r w:rsidR="003510FE">
        <w:rPr>
          <w:lang w:val="en-AU"/>
        </w:rPr>
        <w:t>were</w:t>
      </w:r>
      <w:r w:rsidR="004126D1" w:rsidRPr="007D6EB4">
        <w:rPr>
          <w:lang w:val="en-AU"/>
        </w:rPr>
        <w:t xml:space="preserve"> spatially interpolated to fill the entire model domain.</w:t>
      </w:r>
    </w:p>
    <w:p w:rsidR="000977FA" w:rsidRPr="007D6EB4" w:rsidRDefault="00AF5954" w:rsidP="00EC0510">
      <w:pPr>
        <w:pStyle w:val="StyleLeft"/>
        <w:rPr>
          <w:lang w:val="en-AU"/>
        </w:rPr>
      </w:pPr>
      <w:r>
        <w:rPr>
          <w:noProof/>
          <w:lang w:val="en-AU" w:eastAsia="en-AU"/>
        </w:rPr>
        <w:lastRenderedPageBreak/>
        <w:drawing>
          <wp:inline distT="0" distB="0" distL="0" distR="0" wp14:anchorId="36D4D2C8" wp14:editId="1DA70844">
            <wp:extent cx="5306667" cy="3780000"/>
            <wp:effectExtent l="19050" t="19050" r="8890" b="0"/>
            <wp:docPr id="81" name="Picture 81" descr="Figure 16 shows the extent of the southern GBR wave model grid. The model grid requirements included a higher spatial resolution (~700 m) within 50 km of the ports to appropriately represent local variations. Again, it is important to point out that the datasets created and used in this study could not be to the standard of a detailed Environmental Impact Assessment, as the focus was on the navigable waters of the GBR including inshore waters and within Port limits.Active offshore boundary conditions were assigned to the southern, eastern and northern boundaries of each model domain. Parametric spectral inputs (offshore boundary condition) were generated using a standard JONSWAP spectrum. The wave parameters that govern the spectral shape of the JONSWAP spectrum applied at the open boundary are significant wave height (Hs), peak wave period (Tp), peak wave direction (Dir) and the directional spreading of waves (i.e. how ‘focussed’ the swell conditions are). Regionally specific boundary conditions were defined by using deep-water wave parameters obtained from the National Centre for Environmental Prediction WAVEWATCH III (WW3) global wave model. Hind-cast wave data is available on a 3-hour time step over a global ocean grid over the range 77°S to 77°N with a longitude x latitude resolution of 1.25° x 1°. Care was taken to test the boundaries to avoid the propagation of any errors into the area of interest. To account for the wind influence, hourly measured winds by BOM along the coastline were combined with reanalysed wind data sourced from the GFS model. The GFS model data were at 3-hourly intervals for stations spaced 125 km apart. For each grid, up to 20 wind stations were used to represent the regional wind patterns, and thus influences on the wave climate. The model bathymetry was a compilation of the latest hydrographic charts and Geoscience Australia digital elevation data were spatially interpolated to fill the entire model domain" title="Figure 16. Extent of the southern GBR wave model grid. The size of the individual triangles represent the varying mesh resolution and the colour coding the water depth (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Projects\Q0110 GBRMPA-SKM QLD disposal site selection\8. Figures\SWAN_Grids\With Place Names\SGBR_GRID_BATHY_SWANMODEL2.tif"/>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306667" cy="3780000"/>
                    </a:xfrm>
                    <a:prstGeom prst="rect">
                      <a:avLst/>
                    </a:prstGeom>
                    <a:noFill/>
                    <a:ln>
                      <a:solidFill>
                        <a:schemeClr val="tx1"/>
                      </a:solidFill>
                    </a:ln>
                  </pic:spPr>
                </pic:pic>
              </a:graphicData>
            </a:graphic>
          </wp:inline>
        </w:drawing>
      </w:r>
    </w:p>
    <w:p w:rsidR="0073141D" w:rsidRDefault="00F06F6D">
      <w:pPr>
        <w:spacing w:after="0" w:line="240" w:lineRule="auto"/>
        <w:jc w:val="left"/>
        <w:rPr>
          <w:lang w:val="en-AU"/>
        </w:rPr>
      </w:pPr>
      <w:bookmarkStart w:id="67" w:name="_Ref338497294"/>
      <w:bookmarkStart w:id="68" w:name="_Toc361651499"/>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16</w:t>
      </w:r>
      <w:r w:rsidR="005F6FF5" w:rsidRPr="007D6EB4">
        <w:rPr>
          <w:b/>
          <w:lang w:val="en-AU"/>
        </w:rPr>
        <w:fldChar w:fldCharType="end"/>
      </w:r>
      <w:bookmarkEnd w:id="67"/>
      <w:r w:rsidR="00E5277F">
        <w:rPr>
          <w:b/>
          <w:lang w:val="en-AU"/>
        </w:rPr>
        <w:t>.</w:t>
      </w:r>
      <w:r w:rsidRPr="007D6EB4">
        <w:rPr>
          <w:lang w:val="en-AU"/>
        </w:rPr>
        <w:t xml:space="preserve"> Extent of the southern GBR wave model grid. The </w:t>
      </w:r>
      <w:r w:rsidR="00597E87">
        <w:rPr>
          <w:lang w:val="en-AU"/>
        </w:rPr>
        <w:t xml:space="preserve">size of the individual triangles represent the varying mesh resolution and the </w:t>
      </w:r>
      <w:r w:rsidRPr="007D6EB4">
        <w:rPr>
          <w:lang w:val="en-AU"/>
        </w:rPr>
        <w:t xml:space="preserve">colour coding </w:t>
      </w:r>
      <w:r w:rsidR="00597E87">
        <w:rPr>
          <w:lang w:val="en-AU"/>
        </w:rPr>
        <w:t xml:space="preserve">the </w:t>
      </w:r>
      <w:r w:rsidRPr="007D6EB4">
        <w:rPr>
          <w:lang w:val="en-AU"/>
        </w:rPr>
        <w:t>water depth (m).</w:t>
      </w:r>
      <w:bookmarkEnd w:id="68"/>
      <w:r w:rsidR="0073141D">
        <w:rPr>
          <w:lang w:val="en-AU"/>
        </w:rPr>
        <w:br w:type="page"/>
      </w:r>
    </w:p>
    <w:p w:rsidR="00CF502B" w:rsidRPr="007D6EB4" w:rsidRDefault="00CF502B" w:rsidP="00EC0510">
      <w:pPr>
        <w:pStyle w:val="Caption"/>
        <w:spacing w:line="240" w:lineRule="auto"/>
        <w:ind w:left="480" w:hanging="480"/>
        <w:jc w:val="left"/>
        <w:rPr>
          <w:color w:val="auto"/>
          <w:lang w:val="en-AU"/>
        </w:rPr>
      </w:pPr>
    </w:p>
    <w:p w:rsidR="000977FA" w:rsidRPr="007D6EB4" w:rsidRDefault="00AF5954" w:rsidP="00EC0510">
      <w:pPr>
        <w:pStyle w:val="StyleLeft"/>
        <w:rPr>
          <w:lang w:val="en-AU"/>
        </w:rPr>
      </w:pPr>
      <w:r>
        <w:rPr>
          <w:noProof/>
          <w:lang w:val="en-AU" w:eastAsia="en-AU"/>
        </w:rPr>
        <w:drawing>
          <wp:inline distT="0" distB="0" distL="0" distR="0" wp14:anchorId="2BF4E8BA" wp14:editId="6D91011B">
            <wp:extent cx="5286667" cy="3780000"/>
            <wp:effectExtent l="19050" t="19050" r="0" b="0"/>
            <wp:docPr id="82" name="Picture 82" descr="Figure 17 shows the extent of the southern central GBR wave model grid. The model grid requirements included a higher spatial resolution (~700 m) within 50 km of the ports to appropriately represent local variations. Again, it is important to point out that the datasets created and used in this study could not be to the standard of a detailed Environmental Impact Assessment, as the focus was on the navigable waters of the GBR including inshore waters and within Port limits. Active offshore boundary conditions were assigned to the southern, eastern and northern boundaries of each model domain. Parametric spectral inputs (offshore boundary condition) were generated using a standard JONSWAP spectrum. The wave parameters that govern the spectral shape of the JONSWAP spectrum applied at the open boundary are significant wave height (Hs), peak wave period (Tp), peak wave direction (Dir) and the directional spreading of waves (i.e. how ‘focussed’ the swell conditions are).  Regionally specific boundary conditions were defined by using deep-water wave parameters obtained from the National Centre for Environmental Prediction WAVEWATCH III (WW3) global wave model. Hind-cast wave data is available on a 3-hour time step over a global ocean grid over the range 77°S to 77°N with a longitude x latitude resolution of 1.25° x 1°. Care was taken to test the boundaries to avoid the propagation of any errors into the area of interest.To account for the wind influence, hourly measured winds by BOM along the coastline were combined with reanalysed wind data sourced from the GFS model. The GFS model data were at 3-hourly intervals for stations spaced 125 km apart. For each grid, up to 20 wind stations were used to represent the regional wind patterns, and thus influences on the wave climate. The model bathymetry was a compilation of the latest hydrographic charts and Geoscience Australia digital elevation data were spatially interpolated to fill the entire model domain" title="Figure 17. Extent of the southern central GBR wave model grid. The size of the individual triangles represent the varying mesh resolution and the colour coding the water depth (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Projects\Q0110 GBRMPA-SKM QLD disposal site selection\8. Figures\SWAN_Grids\With Place Names\CGBR_SOUTH_GRID_BATHY_SWANMODEL2.tif"/>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286667" cy="3780000"/>
                    </a:xfrm>
                    <a:prstGeom prst="rect">
                      <a:avLst/>
                    </a:prstGeom>
                    <a:noFill/>
                    <a:ln>
                      <a:solidFill>
                        <a:schemeClr val="tx1"/>
                      </a:solidFill>
                    </a:ln>
                  </pic:spPr>
                </pic:pic>
              </a:graphicData>
            </a:graphic>
          </wp:inline>
        </w:drawing>
      </w:r>
    </w:p>
    <w:p w:rsidR="00597E87" w:rsidRPr="007D6EB4" w:rsidRDefault="00F06F6D" w:rsidP="00EC0510">
      <w:pPr>
        <w:pStyle w:val="Caption"/>
        <w:spacing w:line="240" w:lineRule="auto"/>
        <w:ind w:left="480" w:hanging="480"/>
        <w:jc w:val="left"/>
        <w:rPr>
          <w:color w:val="auto"/>
          <w:lang w:val="en-AU"/>
        </w:rPr>
      </w:pPr>
      <w:bookmarkStart w:id="69" w:name="_Toc361651500"/>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17</w:t>
      </w:r>
      <w:r w:rsidR="005F6FF5" w:rsidRPr="007D6EB4">
        <w:rPr>
          <w:b/>
          <w:lang w:val="en-AU"/>
        </w:rPr>
        <w:fldChar w:fldCharType="end"/>
      </w:r>
      <w:r w:rsidR="00E5277F">
        <w:rPr>
          <w:b/>
          <w:lang w:val="en-AU"/>
        </w:rPr>
        <w:t>.</w:t>
      </w:r>
      <w:r w:rsidRPr="007D6EB4">
        <w:rPr>
          <w:lang w:val="en-AU"/>
        </w:rPr>
        <w:t xml:space="preserve"> Extent of the southern central GBR wave model grid. </w:t>
      </w:r>
      <w:r w:rsidR="00597E87" w:rsidRPr="007D6EB4">
        <w:rPr>
          <w:lang w:val="en-AU"/>
        </w:rPr>
        <w:t xml:space="preserve">The </w:t>
      </w:r>
      <w:r w:rsidR="00597E87">
        <w:rPr>
          <w:lang w:val="en-AU"/>
        </w:rPr>
        <w:t xml:space="preserve">size of the individual triangles represent the varying mesh resolution and the </w:t>
      </w:r>
      <w:r w:rsidR="00597E87" w:rsidRPr="007D6EB4">
        <w:rPr>
          <w:lang w:val="en-AU"/>
        </w:rPr>
        <w:t xml:space="preserve">colour coding </w:t>
      </w:r>
      <w:r w:rsidR="00597E87">
        <w:rPr>
          <w:lang w:val="en-AU"/>
        </w:rPr>
        <w:t xml:space="preserve">the </w:t>
      </w:r>
      <w:r w:rsidR="00597E87" w:rsidRPr="007D6EB4">
        <w:rPr>
          <w:lang w:val="en-AU"/>
        </w:rPr>
        <w:t>water depth (m).</w:t>
      </w:r>
      <w:bookmarkEnd w:id="69"/>
    </w:p>
    <w:p w:rsidR="00F06F6D" w:rsidRPr="007D6EB4" w:rsidRDefault="00F06F6D" w:rsidP="00A6519A">
      <w:pPr>
        <w:pStyle w:val="Caption"/>
        <w:spacing w:line="240" w:lineRule="auto"/>
        <w:jc w:val="left"/>
        <w:rPr>
          <w:lang w:val="en-AU"/>
        </w:rPr>
      </w:pPr>
    </w:p>
    <w:p w:rsidR="00CF502B" w:rsidRPr="007D6EB4" w:rsidRDefault="00CF502B" w:rsidP="00617543">
      <w:pPr>
        <w:spacing w:after="0" w:line="240" w:lineRule="auto"/>
        <w:jc w:val="left"/>
        <w:rPr>
          <w:lang w:val="en-AU"/>
        </w:rPr>
      </w:pPr>
      <w:r w:rsidRPr="007D6EB4">
        <w:rPr>
          <w:lang w:val="en-AU"/>
        </w:rPr>
        <w:br w:type="page"/>
      </w:r>
    </w:p>
    <w:p w:rsidR="000977FA" w:rsidRPr="007D6EB4" w:rsidRDefault="00AF5954" w:rsidP="00EC0510">
      <w:pPr>
        <w:pStyle w:val="StyleLeft"/>
        <w:rPr>
          <w:lang w:val="en-AU"/>
        </w:rPr>
      </w:pPr>
      <w:r>
        <w:rPr>
          <w:noProof/>
          <w:lang w:val="en-AU" w:eastAsia="en-AU"/>
        </w:rPr>
        <w:lastRenderedPageBreak/>
        <w:drawing>
          <wp:inline distT="0" distB="0" distL="0" distR="0" wp14:anchorId="6EE46B55" wp14:editId="4BF685E7">
            <wp:extent cx="5300000" cy="3780000"/>
            <wp:effectExtent l="19050" t="19050" r="0" b="0"/>
            <wp:docPr id="105" name="Picture 105" descr="Figure 18 shows the extent of the northern central GBR wave model grid. The model grid requirements included a higher spatial resolution (~700 m) within 50 km of the ports to appropriately represent local variations. Again, it is important to point out that the datasets created and used in this study could not be to the standard of a detailed Environmental Impact Assessment, as the focus was on the navigable waters of the GBR including inshore waters and within Port limits.Active offshore boundary conditions were assigned to the southern, eastern and northern boundaries of each model domain. Parametric spectral inputs (offshore boundary condition) were generated using a standard JONSWAP spectrum. The wave parameters that govern the spectral shape of the JONSWAP spectrum applied at the open boundary are significant wave height (Hs), peak wave period (Tp), peak wave direction (Dir) and the directional spreading of waves (i.e. how ‘focussed’ the swell conditions are). Regionally specific boundary conditions were defined by using deep-water wave parameters obtained from the National Centre for Environmental Prediction WAVEWATCH III (WW3) global wave model. Hind-cast wave data is available on a 3-hour time step over a global ocean grid over the range 77°S to 77°N with a longitude x latitude resolution of 1.25° x 1°. Care was taken to test the boundaries to avoid the propagation of any errors into the area of interest.To account for the wind influence, hourly measured winds by BOM along the coastline were combined with reanalysed wind data sourced from the GFS model. The GFS model data were at 3-hourly intervals for stations spaced 125 km apart. For each grid, up to 20 wind stations were used to represent the regional wind patterns, and thus influences on the wave climate. The model bathymetry was a compilation of the latest hydrographic charts and Geoscience Australia digital elevation data were spatially interpolated to fill the entire model domain" title="Figure 18. Extent of the northern central GBR wave model grid. The size of the individual triangles represent the varying mesh resolution and the colour coding the water depth (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Projects\Q0110 GBRMPA-SKM QLD disposal site selection\8. Figures\SWAN_Grids\With Place Names\CGBR_NORTH_GRID_BATHY_SWANMODEL2.tif"/>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300000" cy="3780000"/>
                    </a:xfrm>
                    <a:prstGeom prst="rect">
                      <a:avLst/>
                    </a:prstGeom>
                    <a:noFill/>
                    <a:ln>
                      <a:solidFill>
                        <a:schemeClr val="tx1"/>
                      </a:solidFill>
                    </a:ln>
                  </pic:spPr>
                </pic:pic>
              </a:graphicData>
            </a:graphic>
          </wp:inline>
        </w:drawing>
      </w:r>
    </w:p>
    <w:p w:rsidR="00597E87" w:rsidRPr="007D6EB4" w:rsidRDefault="00F06F6D" w:rsidP="00EC0510">
      <w:pPr>
        <w:pStyle w:val="Caption"/>
        <w:spacing w:line="240" w:lineRule="auto"/>
        <w:ind w:left="480" w:hanging="480"/>
        <w:jc w:val="left"/>
        <w:rPr>
          <w:color w:val="auto"/>
          <w:lang w:val="en-AU"/>
        </w:rPr>
      </w:pPr>
      <w:bookmarkStart w:id="70" w:name="_Toc361651501"/>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18</w:t>
      </w:r>
      <w:r w:rsidR="005F6FF5" w:rsidRPr="007D6EB4">
        <w:rPr>
          <w:b/>
          <w:lang w:val="en-AU"/>
        </w:rPr>
        <w:fldChar w:fldCharType="end"/>
      </w:r>
      <w:r w:rsidR="00E5277F">
        <w:rPr>
          <w:b/>
          <w:lang w:val="en-AU"/>
        </w:rPr>
        <w:t>.</w:t>
      </w:r>
      <w:r w:rsidRPr="007D6EB4">
        <w:rPr>
          <w:lang w:val="en-AU"/>
        </w:rPr>
        <w:t xml:space="preserve"> Extent of the northern central GBR wave model grid. </w:t>
      </w:r>
      <w:r w:rsidR="00597E87" w:rsidRPr="007D6EB4">
        <w:rPr>
          <w:lang w:val="en-AU"/>
        </w:rPr>
        <w:t xml:space="preserve">The </w:t>
      </w:r>
      <w:r w:rsidR="00597E87">
        <w:rPr>
          <w:lang w:val="en-AU"/>
        </w:rPr>
        <w:t xml:space="preserve">size of the individual triangles represent the varying mesh resolution and the </w:t>
      </w:r>
      <w:r w:rsidR="00597E87" w:rsidRPr="007D6EB4">
        <w:rPr>
          <w:lang w:val="en-AU"/>
        </w:rPr>
        <w:t xml:space="preserve">colour coding </w:t>
      </w:r>
      <w:r w:rsidR="00597E87">
        <w:rPr>
          <w:lang w:val="en-AU"/>
        </w:rPr>
        <w:t xml:space="preserve">the </w:t>
      </w:r>
      <w:r w:rsidR="00597E87" w:rsidRPr="007D6EB4">
        <w:rPr>
          <w:lang w:val="en-AU"/>
        </w:rPr>
        <w:t>water depth (m).</w:t>
      </w:r>
      <w:bookmarkEnd w:id="70"/>
    </w:p>
    <w:p w:rsidR="00CF502B" w:rsidRPr="007D6EB4" w:rsidRDefault="00CF502B" w:rsidP="00A6519A">
      <w:pPr>
        <w:pStyle w:val="Caption"/>
        <w:spacing w:line="240" w:lineRule="auto"/>
        <w:jc w:val="left"/>
        <w:rPr>
          <w:lang w:val="en-AU"/>
        </w:rPr>
      </w:pPr>
    </w:p>
    <w:p w:rsidR="00CF502B" w:rsidRPr="007D6EB4" w:rsidRDefault="00CF502B" w:rsidP="00617543">
      <w:pPr>
        <w:pStyle w:val="Para0"/>
        <w:rPr>
          <w:color w:val="auto"/>
          <w:lang w:val="en-AU"/>
        </w:rPr>
      </w:pPr>
      <w:r w:rsidRPr="007D6EB4">
        <w:rPr>
          <w:lang w:val="en-AU"/>
        </w:rPr>
        <w:br w:type="page"/>
      </w:r>
    </w:p>
    <w:p w:rsidR="000977FA" w:rsidRPr="007D6EB4" w:rsidRDefault="00AF5954" w:rsidP="00EC0510">
      <w:pPr>
        <w:pStyle w:val="StyleLeft"/>
        <w:rPr>
          <w:lang w:val="en-AU"/>
        </w:rPr>
      </w:pPr>
      <w:r>
        <w:rPr>
          <w:noProof/>
          <w:lang w:val="en-AU" w:eastAsia="en-AU"/>
        </w:rPr>
        <w:lastRenderedPageBreak/>
        <w:drawing>
          <wp:inline distT="0" distB="0" distL="0" distR="0" wp14:anchorId="4B7BC9A8" wp14:editId="66F40A98">
            <wp:extent cx="5266667" cy="3780000"/>
            <wp:effectExtent l="19050" t="19050" r="0" b="0"/>
            <wp:docPr id="106" name="Picture 106" descr="Figure 19 shows the extent of the northern GBR wave model grid. The model grid requirements included a higher spatial resolution (~700 m) within 50 km of the ports to appropriately represent local variations. Again, it is important to point out that the datasets created and used in this study could not be to the standard of a detailed Environmental Impact Assessment, as the focus was on the navigable waters of the GBR including inshore waters and within Port limits.Active offshore boundary conditions were assigned to the southern, eastern and northern boundaries of each model domain. Parametric spectral inputs (offshore boundary condition) were generated using a standard JONSWAP spectrum. The wave parameters that govern the spectral shape of the JONSWAP spectrum applied at the open boundary are significant wave height (Hs), peak wave period (Tp), peak wave direction (Dir) and the directional spreading of waves (i.e. how ‘focussed’ the swell conditions are). Regionally specific boundary conditions were defined by using deep-water wave parameters obtained from the National Centre for Environmental Prediction WAVEWATCH III (WW3) global wave model. Hind-cast wave data is available on a 3-hour time step over a global ocean grid over the range 77°S to 77°N with a longitude x latitude resolution of 1.25° x 1°. Care was taken to test the boundaries to avoid the propagation of any errors into the area of interest. To account for the wind influence, hourly measured winds by BOM along the coastline were combined with reanalysed wind data sourced from the GFS model. The GFS model data were at 3-hourly intervals for stations spaced 125 km apart. For each grid, up to 20 wind stations were used to represent the regional wind patterns, and thus influences on the wave climate. The model bathymetry was a compilation of the latest hydrographic charts and Geoscience Australia digital elevation data were spatially interpolated to fill the entire model domain" title="Figure 19. Extent of the northern GBR wave model grid. The size of the individual triangles represent the varying mesh resolution and the colour coding the water depth (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Q:\Projects\Q0110 GBRMPA-SKM QLD disposal site selection\8. Figures\SWAN_Grids\With Place Names\NGBR_GRID_BATHY_SWANMODEL2.tif"/>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66667" cy="3780000"/>
                    </a:xfrm>
                    <a:prstGeom prst="rect">
                      <a:avLst/>
                    </a:prstGeom>
                    <a:noFill/>
                    <a:ln>
                      <a:solidFill>
                        <a:schemeClr val="tx1"/>
                      </a:solidFill>
                    </a:ln>
                  </pic:spPr>
                </pic:pic>
              </a:graphicData>
            </a:graphic>
          </wp:inline>
        </w:drawing>
      </w:r>
    </w:p>
    <w:p w:rsidR="00597E87" w:rsidRPr="007D6EB4" w:rsidRDefault="00F06F6D" w:rsidP="00EC0510">
      <w:pPr>
        <w:pStyle w:val="Caption"/>
        <w:spacing w:line="240" w:lineRule="auto"/>
        <w:ind w:left="480" w:hanging="480"/>
        <w:jc w:val="left"/>
        <w:rPr>
          <w:color w:val="auto"/>
          <w:lang w:val="en-AU"/>
        </w:rPr>
      </w:pPr>
      <w:bookmarkStart w:id="71" w:name="_Ref338497297"/>
      <w:bookmarkStart w:id="72" w:name="_Toc361651502"/>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19</w:t>
      </w:r>
      <w:r w:rsidR="005F6FF5" w:rsidRPr="007D6EB4">
        <w:rPr>
          <w:b/>
          <w:lang w:val="en-AU"/>
        </w:rPr>
        <w:fldChar w:fldCharType="end"/>
      </w:r>
      <w:bookmarkEnd w:id="71"/>
      <w:r w:rsidR="00E5277F">
        <w:rPr>
          <w:b/>
          <w:lang w:val="en-AU"/>
        </w:rPr>
        <w:t>.</w:t>
      </w:r>
      <w:r w:rsidRPr="007D6EB4">
        <w:rPr>
          <w:lang w:val="en-AU"/>
        </w:rPr>
        <w:t xml:space="preserve"> Extent of the northern GBR wave model grid. </w:t>
      </w:r>
      <w:r w:rsidR="00597E87" w:rsidRPr="007D6EB4">
        <w:rPr>
          <w:lang w:val="en-AU"/>
        </w:rPr>
        <w:t xml:space="preserve">The </w:t>
      </w:r>
      <w:r w:rsidR="00597E87">
        <w:rPr>
          <w:lang w:val="en-AU"/>
        </w:rPr>
        <w:t xml:space="preserve">size of the individual triangles represent the varying mesh resolution and the </w:t>
      </w:r>
      <w:r w:rsidR="00597E87" w:rsidRPr="007D6EB4">
        <w:rPr>
          <w:lang w:val="en-AU"/>
        </w:rPr>
        <w:t xml:space="preserve">colour coding </w:t>
      </w:r>
      <w:r w:rsidR="00597E87">
        <w:rPr>
          <w:lang w:val="en-AU"/>
        </w:rPr>
        <w:t xml:space="preserve">the </w:t>
      </w:r>
      <w:r w:rsidR="00597E87" w:rsidRPr="007D6EB4">
        <w:rPr>
          <w:lang w:val="en-AU"/>
        </w:rPr>
        <w:t>water depth (m).</w:t>
      </w:r>
      <w:bookmarkEnd w:id="72"/>
    </w:p>
    <w:p w:rsidR="00C7091F" w:rsidRPr="007D6EB4" w:rsidRDefault="00C7091F" w:rsidP="00E46224">
      <w:pPr>
        <w:pStyle w:val="Heading3"/>
      </w:pPr>
      <w:bookmarkStart w:id="73" w:name="_Toc361929984"/>
      <w:r w:rsidRPr="007D6EB4">
        <w:t>Validation of Wave Conditions</w:t>
      </w:r>
      <w:bookmarkEnd w:id="73"/>
    </w:p>
    <w:p w:rsidR="00213137" w:rsidRPr="007D6EB4" w:rsidRDefault="00C7091F" w:rsidP="00EC0510">
      <w:pPr>
        <w:pStyle w:val="StyleLeft"/>
        <w:rPr>
          <w:lang w:val="en-AU"/>
        </w:rPr>
      </w:pPr>
      <w:r w:rsidRPr="007D6EB4">
        <w:rPr>
          <w:lang w:val="en-AU"/>
        </w:rPr>
        <w:t xml:space="preserve">Following </w:t>
      </w:r>
      <w:r w:rsidR="00213137" w:rsidRPr="007D6EB4">
        <w:rPr>
          <w:lang w:val="en-AU"/>
        </w:rPr>
        <w:t xml:space="preserve">the </w:t>
      </w:r>
      <w:r w:rsidR="00EA30A2" w:rsidRPr="007D6EB4">
        <w:rPr>
          <w:lang w:val="en-AU"/>
        </w:rPr>
        <w:t xml:space="preserve">establishment of each model grid and accompanying </w:t>
      </w:r>
      <w:r w:rsidR="00213137" w:rsidRPr="007D6EB4">
        <w:rPr>
          <w:lang w:val="en-AU"/>
        </w:rPr>
        <w:t>boundary and spatial wind input data</w:t>
      </w:r>
      <w:r w:rsidR="00EA30A2" w:rsidRPr="007D6EB4">
        <w:rPr>
          <w:lang w:val="en-AU"/>
        </w:rPr>
        <w:t xml:space="preserve">, </w:t>
      </w:r>
      <w:r w:rsidR="00620ED5" w:rsidRPr="007D6EB4">
        <w:rPr>
          <w:lang w:val="en-AU"/>
        </w:rPr>
        <w:t xml:space="preserve">a series of simulations </w:t>
      </w:r>
      <w:r w:rsidR="002C78DC">
        <w:rPr>
          <w:lang w:val="en-AU"/>
        </w:rPr>
        <w:t>was</w:t>
      </w:r>
      <w:r w:rsidR="002C78DC" w:rsidRPr="007D6EB4">
        <w:rPr>
          <w:lang w:val="en-AU"/>
        </w:rPr>
        <w:t xml:space="preserve"> </w:t>
      </w:r>
      <w:r w:rsidR="00CF502B" w:rsidRPr="007D6EB4">
        <w:rPr>
          <w:lang w:val="en-AU"/>
        </w:rPr>
        <w:t xml:space="preserve">completed </w:t>
      </w:r>
      <w:r w:rsidR="00620ED5" w:rsidRPr="007D6EB4">
        <w:rPr>
          <w:lang w:val="en-AU"/>
        </w:rPr>
        <w:t xml:space="preserve">using a variety of input parameters, as a sensitivity analysis approach. This initial trialling phase </w:t>
      </w:r>
      <w:r w:rsidRPr="007D6EB4">
        <w:rPr>
          <w:lang w:val="en-AU"/>
        </w:rPr>
        <w:t xml:space="preserve">focussed primarily on determining the physical parameters and formulations (e.g. bottom friction, white-capping coefficients) </w:t>
      </w:r>
      <w:r w:rsidR="00213137" w:rsidRPr="007D6EB4">
        <w:rPr>
          <w:lang w:val="en-AU"/>
        </w:rPr>
        <w:t>that best represent</w:t>
      </w:r>
      <w:r w:rsidR="00620ED5" w:rsidRPr="007D6EB4">
        <w:rPr>
          <w:lang w:val="en-AU"/>
        </w:rPr>
        <w:t xml:space="preserve"> the regional wave climate</w:t>
      </w:r>
      <w:r w:rsidR="00213137" w:rsidRPr="007D6EB4">
        <w:rPr>
          <w:lang w:val="en-AU"/>
        </w:rPr>
        <w:t>.</w:t>
      </w:r>
      <w:r w:rsidR="0043422D">
        <w:rPr>
          <w:lang w:val="en-AU"/>
        </w:rPr>
        <w:t xml:space="preserve"> </w:t>
      </w:r>
    </w:p>
    <w:p w:rsidR="00213137" w:rsidRPr="007D6EB4" w:rsidRDefault="00213137" w:rsidP="00EC0510">
      <w:pPr>
        <w:pStyle w:val="StyleLeft"/>
        <w:rPr>
          <w:lang w:val="en-AU"/>
        </w:rPr>
      </w:pPr>
      <w:r w:rsidRPr="007D6EB4">
        <w:rPr>
          <w:szCs w:val="22"/>
          <w:lang w:val="en-AU"/>
        </w:rPr>
        <w:t xml:space="preserve">The model accuracy was verified using wave data </w:t>
      </w:r>
      <w:r w:rsidR="00B50FE5" w:rsidRPr="007D6EB4">
        <w:rPr>
          <w:szCs w:val="22"/>
          <w:lang w:val="en-AU"/>
        </w:rPr>
        <w:t xml:space="preserve">measured </w:t>
      </w:r>
      <w:r w:rsidRPr="007D6EB4">
        <w:rPr>
          <w:szCs w:val="22"/>
          <w:lang w:val="en-AU"/>
        </w:rPr>
        <w:t xml:space="preserve">by the </w:t>
      </w:r>
      <w:r w:rsidRPr="007D6EB4">
        <w:rPr>
          <w:lang w:val="en-AU"/>
        </w:rPr>
        <w:t xml:space="preserve">Department of Environment and Heritage Protection </w:t>
      </w:r>
      <w:r w:rsidR="001A5FA2" w:rsidRPr="007D6EB4">
        <w:rPr>
          <w:lang w:val="en-AU"/>
        </w:rPr>
        <w:t>(</w:t>
      </w:r>
      <w:r w:rsidRPr="007D6EB4">
        <w:rPr>
          <w:lang w:val="en-AU"/>
        </w:rPr>
        <w:t>as part of the Waverider system</w:t>
      </w:r>
      <w:r w:rsidR="001A5FA2" w:rsidRPr="007D6EB4">
        <w:rPr>
          <w:lang w:val="en-AU"/>
        </w:rPr>
        <w:t xml:space="preserve">) between January and March 2011, </w:t>
      </w:r>
      <w:r w:rsidRPr="007D6EB4">
        <w:rPr>
          <w:lang w:val="en-AU"/>
        </w:rPr>
        <w:t xml:space="preserve">at </w:t>
      </w:r>
      <w:r w:rsidR="001A5FA2" w:rsidRPr="007D6EB4">
        <w:rPr>
          <w:lang w:val="en-AU"/>
        </w:rPr>
        <w:t>five</w:t>
      </w:r>
      <w:r w:rsidRPr="007D6EB4">
        <w:rPr>
          <w:lang w:val="en-AU"/>
        </w:rPr>
        <w:t xml:space="preserve"> waverider buoy locations </w:t>
      </w:r>
      <w:r w:rsidR="001A5FA2" w:rsidRPr="007D6EB4">
        <w:rPr>
          <w:lang w:val="en-AU"/>
        </w:rPr>
        <w:t>(</w:t>
      </w:r>
      <w:r w:rsidRPr="007D6EB4">
        <w:rPr>
          <w:lang w:val="en-AU"/>
        </w:rPr>
        <w:t>Gladstone, Emu Park, Mackay, Townsville and Cairns</w:t>
      </w:r>
      <w:r w:rsidR="00CF502B" w:rsidRPr="007D6EB4">
        <w:rPr>
          <w:lang w:val="en-AU"/>
        </w:rPr>
        <w:t xml:space="preserve">; </w:t>
      </w:r>
      <w:r w:rsidRPr="00BF07E9">
        <w:rPr>
          <w:lang w:val="en-AU"/>
        </w:rPr>
        <w:t xml:space="preserve">see </w:t>
      </w:r>
      <w:r w:rsidR="00BF07E9" w:rsidRPr="00BF07E9">
        <w:fldChar w:fldCharType="begin"/>
      </w:r>
      <w:r w:rsidR="00BF07E9" w:rsidRPr="00BF07E9">
        <w:instrText xml:space="preserve"> REF  _Ref338501853 \* Lower \h  \* MERGEFORMAT </w:instrText>
      </w:r>
      <w:r w:rsidR="00BF07E9" w:rsidRPr="00BF07E9">
        <w:fldChar w:fldCharType="separate"/>
      </w:r>
      <w:r w:rsidR="00751BC4" w:rsidRPr="00751BC4">
        <w:rPr>
          <w:lang w:val="en-AU"/>
        </w:rPr>
        <w:t xml:space="preserve">figure </w:t>
      </w:r>
      <w:r w:rsidR="00751BC4" w:rsidRPr="00751BC4">
        <w:rPr>
          <w:noProof/>
          <w:lang w:val="en-AU"/>
        </w:rPr>
        <w:t>20</w:t>
      </w:r>
      <w:r w:rsidR="00BF07E9" w:rsidRPr="00BF07E9">
        <w:fldChar w:fldCharType="end"/>
      </w:r>
      <w:r w:rsidR="001A5FA2" w:rsidRPr="00BF07E9">
        <w:rPr>
          <w:lang w:val="en-AU"/>
        </w:rPr>
        <w:t>)</w:t>
      </w:r>
      <w:r w:rsidRPr="00BF07E9">
        <w:rPr>
          <w:lang w:val="en-AU"/>
        </w:rPr>
        <w:t>.</w:t>
      </w:r>
      <w:r w:rsidR="0043422D">
        <w:rPr>
          <w:lang w:val="en-AU"/>
        </w:rPr>
        <w:t xml:space="preserve"> </w:t>
      </w:r>
      <w:r w:rsidRPr="007D6EB4">
        <w:rPr>
          <w:lang w:val="en-AU"/>
        </w:rPr>
        <w:t xml:space="preserve">Note </w:t>
      </w:r>
      <w:r w:rsidR="00CF502B" w:rsidRPr="007D6EB4">
        <w:rPr>
          <w:lang w:val="en-AU"/>
        </w:rPr>
        <w:t xml:space="preserve">that </w:t>
      </w:r>
      <w:r w:rsidRPr="007D6EB4">
        <w:rPr>
          <w:lang w:val="en-AU"/>
        </w:rPr>
        <w:t xml:space="preserve">the waverider buoy </w:t>
      </w:r>
      <w:r w:rsidR="00CF502B" w:rsidRPr="007D6EB4">
        <w:rPr>
          <w:lang w:val="en-AU"/>
        </w:rPr>
        <w:t xml:space="preserve">at Cairns </w:t>
      </w:r>
      <w:r w:rsidRPr="007D6EB4">
        <w:rPr>
          <w:lang w:val="en-AU"/>
        </w:rPr>
        <w:t xml:space="preserve">is non-directional, hence </w:t>
      </w:r>
      <w:r w:rsidR="00CF502B" w:rsidRPr="007D6EB4">
        <w:rPr>
          <w:lang w:val="en-AU"/>
        </w:rPr>
        <w:t xml:space="preserve">only </w:t>
      </w:r>
      <w:r w:rsidRPr="007D6EB4">
        <w:rPr>
          <w:lang w:val="en-AU"/>
        </w:rPr>
        <w:t xml:space="preserve">significant wave heights and peak wave period </w:t>
      </w:r>
      <w:r w:rsidR="002C78DC">
        <w:rPr>
          <w:lang w:val="en-AU"/>
        </w:rPr>
        <w:t>are</w:t>
      </w:r>
      <w:r w:rsidRPr="007D6EB4">
        <w:rPr>
          <w:lang w:val="en-AU"/>
        </w:rPr>
        <w:t xml:space="preserve"> shown.</w:t>
      </w:r>
    </w:p>
    <w:p w:rsidR="009B567A" w:rsidRPr="007D6EB4" w:rsidRDefault="009B567A" w:rsidP="00EC0510">
      <w:pPr>
        <w:pStyle w:val="StyleLeft"/>
        <w:rPr>
          <w:color w:val="auto"/>
          <w:lang w:val="en-AU"/>
        </w:rPr>
      </w:pPr>
      <w:r w:rsidRPr="007D6EB4">
        <w:rPr>
          <w:color w:val="auto"/>
          <w:lang w:val="en-AU"/>
        </w:rPr>
        <w:t xml:space="preserve">Comparison between the model and measured validation results are shown below </w:t>
      </w:r>
      <w:r w:rsidR="00DB7C6C" w:rsidRPr="006B5BBA">
        <w:rPr>
          <w:color w:val="auto"/>
          <w:lang w:val="en-AU"/>
        </w:rPr>
        <w:t>(</w:t>
      </w:r>
      <w:r w:rsidR="006B5BBA" w:rsidRPr="006B5BBA">
        <w:fldChar w:fldCharType="begin"/>
      </w:r>
      <w:r w:rsidR="006B5BBA" w:rsidRPr="006B5BBA">
        <w:instrText xml:space="preserve"> REF  _Ref318704653 \* Lower \h  \* MERGEFORMAT </w:instrText>
      </w:r>
      <w:r w:rsidR="006B5BBA" w:rsidRPr="006B5BBA">
        <w:fldChar w:fldCharType="separate"/>
      </w:r>
      <w:r w:rsidR="00751BC4" w:rsidRPr="00751BC4">
        <w:rPr>
          <w:lang w:val="en-AU"/>
        </w:rPr>
        <w:t xml:space="preserve">figure </w:t>
      </w:r>
      <w:r w:rsidR="00751BC4" w:rsidRPr="00751BC4">
        <w:rPr>
          <w:noProof/>
          <w:lang w:val="en-AU"/>
        </w:rPr>
        <w:t>21</w:t>
      </w:r>
      <w:r w:rsidR="006B5BBA" w:rsidRPr="006B5BBA">
        <w:fldChar w:fldCharType="end"/>
      </w:r>
      <w:r w:rsidR="00DB7C6C" w:rsidRPr="006B5BBA">
        <w:rPr>
          <w:color w:val="auto"/>
          <w:lang w:val="en-AU"/>
        </w:rPr>
        <w:t xml:space="preserve"> </w:t>
      </w:r>
      <w:r w:rsidR="001A1145" w:rsidRPr="006B5BBA">
        <w:rPr>
          <w:color w:val="auto"/>
          <w:lang w:val="en-AU"/>
        </w:rPr>
        <w:t>to</w:t>
      </w:r>
      <w:r w:rsidR="00DB7C6C" w:rsidRPr="006B5BBA">
        <w:rPr>
          <w:color w:val="auto"/>
          <w:lang w:val="en-AU"/>
        </w:rPr>
        <w:t xml:space="preserve"> </w:t>
      </w:r>
      <w:r w:rsidR="006D4E6A" w:rsidRPr="006D4E6A">
        <w:fldChar w:fldCharType="begin"/>
      </w:r>
      <w:r w:rsidR="006D4E6A" w:rsidRPr="006D4E6A">
        <w:instrText xml:space="preserve"> REF  _Ref361658987 \* Lower \h  \* MERGEFORMAT </w:instrText>
      </w:r>
      <w:r w:rsidR="006D4E6A" w:rsidRPr="006D4E6A">
        <w:fldChar w:fldCharType="separate"/>
      </w:r>
      <w:r w:rsidR="00751BC4" w:rsidRPr="00751BC4">
        <w:rPr>
          <w:lang w:val="en-AU"/>
        </w:rPr>
        <w:t xml:space="preserve">figure </w:t>
      </w:r>
      <w:r w:rsidR="00751BC4" w:rsidRPr="00751BC4">
        <w:rPr>
          <w:noProof/>
          <w:lang w:val="en-AU"/>
        </w:rPr>
        <w:t>25</w:t>
      </w:r>
      <w:r w:rsidR="006D4E6A" w:rsidRPr="006D4E6A">
        <w:fldChar w:fldCharType="end"/>
      </w:r>
      <w:r w:rsidR="00DB7C6C" w:rsidRPr="006B5BBA">
        <w:rPr>
          <w:color w:val="auto"/>
          <w:lang w:val="en-AU"/>
        </w:rPr>
        <w:t>)</w:t>
      </w:r>
      <w:r w:rsidR="00DB7C6C" w:rsidRPr="007D6EB4">
        <w:rPr>
          <w:color w:val="auto"/>
          <w:lang w:val="en-AU"/>
        </w:rPr>
        <w:t xml:space="preserve"> </w:t>
      </w:r>
      <w:r w:rsidRPr="007D6EB4">
        <w:rPr>
          <w:color w:val="auto"/>
          <w:lang w:val="en-AU"/>
        </w:rPr>
        <w:t xml:space="preserve">as both (i) </w:t>
      </w:r>
      <w:r w:rsidR="00DB7C6C" w:rsidRPr="007D6EB4">
        <w:rPr>
          <w:color w:val="auto"/>
          <w:lang w:val="en-AU"/>
        </w:rPr>
        <w:t xml:space="preserve">time series </w:t>
      </w:r>
      <w:r w:rsidRPr="007D6EB4">
        <w:rPr>
          <w:lang w:val="en-AU"/>
        </w:rPr>
        <w:t>plots and (ii) histograms.</w:t>
      </w:r>
      <w:r w:rsidR="0043422D">
        <w:rPr>
          <w:lang w:val="en-AU"/>
        </w:rPr>
        <w:t xml:space="preserve"> </w:t>
      </w:r>
      <w:r w:rsidRPr="007D6EB4">
        <w:rPr>
          <w:color w:val="auto"/>
          <w:lang w:val="en-AU"/>
        </w:rPr>
        <w:t xml:space="preserve">The </w:t>
      </w:r>
      <w:r w:rsidR="00DB7C6C" w:rsidRPr="007D6EB4">
        <w:rPr>
          <w:color w:val="auto"/>
          <w:lang w:val="en-AU"/>
        </w:rPr>
        <w:t>comparisons</w:t>
      </w:r>
      <w:r w:rsidRPr="007D6EB4">
        <w:rPr>
          <w:color w:val="auto"/>
          <w:lang w:val="en-AU"/>
        </w:rPr>
        <w:t xml:space="preserve"> demonstrate that the</w:t>
      </w:r>
      <w:r w:rsidR="00DB7C6C" w:rsidRPr="007D6EB4">
        <w:rPr>
          <w:color w:val="auto"/>
          <w:lang w:val="en-AU"/>
        </w:rPr>
        <w:t xml:space="preserve"> model was capable of capturing</w:t>
      </w:r>
      <w:r w:rsidRPr="007D6EB4">
        <w:rPr>
          <w:color w:val="auto"/>
          <w:lang w:val="en-AU"/>
        </w:rPr>
        <w:t xml:space="preserve"> the trend of increasing and decreasing</w:t>
      </w:r>
      <w:r w:rsidR="00F94B3B" w:rsidRPr="007D6EB4">
        <w:rPr>
          <w:color w:val="auto"/>
          <w:lang w:val="en-AU"/>
        </w:rPr>
        <w:t xml:space="preserve"> wave heights</w:t>
      </w:r>
      <w:r w:rsidRPr="007D6EB4">
        <w:rPr>
          <w:color w:val="auto"/>
          <w:lang w:val="en-AU"/>
        </w:rPr>
        <w:t>, and frequency of the peak wave conditions (</w:t>
      </w:r>
      <w:r w:rsidR="00F94B3B" w:rsidRPr="007D6EB4">
        <w:rPr>
          <w:color w:val="auto"/>
          <w:lang w:val="en-AU"/>
        </w:rPr>
        <w:t>significant wave height</w:t>
      </w:r>
      <w:r w:rsidRPr="007D6EB4">
        <w:rPr>
          <w:color w:val="auto"/>
          <w:lang w:val="en-AU"/>
        </w:rPr>
        <w:t>) in addition to peak wave period and direction</w:t>
      </w:r>
      <w:r w:rsidR="002C2BEC" w:rsidRPr="007D6EB4">
        <w:rPr>
          <w:color w:val="auto"/>
          <w:lang w:val="en-AU"/>
        </w:rPr>
        <w:t xml:space="preserve"> at the five locations</w:t>
      </w:r>
      <w:r w:rsidRPr="007D6EB4">
        <w:rPr>
          <w:color w:val="auto"/>
          <w:lang w:val="en-AU"/>
        </w:rPr>
        <w:t>.</w:t>
      </w:r>
      <w:r w:rsidR="0043422D">
        <w:rPr>
          <w:color w:val="auto"/>
          <w:lang w:val="en-AU"/>
        </w:rPr>
        <w:t xml:space="preserve"> </w:t>
      </w:r>
    </w:p>
    <w:p w:rsidR="00714D2F" w:rsidRPr="007D6EB4" w:rsidRDefault="00714D2F" w:rsidP="00EC0510">
      <w:pPr>
        <w:pStyle w:val="StyleLeft"/>
        <w:rPr>
          <w:lang w:val="en-AU"/>
        </w:rPr>
      </w:pPr>
    </w:p>
    <w:p w:rsidR="005F7C41" w:rsidRPr="007D6EB4" w:rsidRDefault="009B567A" w:rsidP="00EC0510">
      <w:pPr>
        <w:pStyle w:val="StyleLeft"/>
        <w:rPr>
          <w:lang w:val="en-AU"/>
        </w:rPr>
      </w:pPr>
      <w:r w:rsidRPr="006A22FE">
        <w:rPr>
          <w:noProof/>
          <w:bdr w:val="single" w:sz="4" w:space="0" w:color="auto"/>
          <w:lang w:val="en-AU" w:eastAsia="en-AU"/>
        </w:rPr>
        <w:lastRenderedPageBreak/>
        <w:drawing>
          <wp:inline distT="0" distB="0" distL="0" distR="0" wp14:anchorId="33B245DF" wp14:editId="592F5088">
            <wp:extent cx="5351145" cy="3235960"/>
            <wp:effectExtent l="0" t="0" r="0" b="0"/>
            <wp:docPr id="64" name="Picture 64" descr="Figure 20 shows that the HYDROMAP model accuracy was verified using wave data measured by the Department of Environment and Heritage Protection (as part of the Waverider system) between January and March 2011, at five waverider buoy locations (Gladstone, Emu Park, Mackay, Townsville and Cairns). The waverider buoy at Cairns is non-directional, hence only significant wave heights and peak wave period are shown" title="Figure 20. Locations of the waverider buoys used to measure wave climate by the Department of Environment and Heritage Prot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Q:\Projects\Q0110 GBRMPA-SKM QLD disposal site selection\10. Presentations\Figures\Location Maps\CAIRNS WRB.tif"/>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351145" cy="3235960"/>
                    </a:xfrm>
                    <a:prstGeom prst="rect">
                      <a:avLst/>
                    </a:prstGeom>
                    <a:noFill/>
                    <a:ln>
                      <a:noFill/>
                    </a:ln>
                  </pic:spPr>
                </pic:pic>
              </a:graphicData>
            </a:graphic>
          </wp:inline>
        </w:drawing>
      </w:r>
    </w:p>
    <w:p w:rsidR="005F7C41" w:rsidRPr="007D6EB4" w:rsidRDefault="00F06F6D" w:rsidP="00EC0510">
      <w:pPr>
        <w:pStyle w:val="Caption"/>
        <w:spacing w:line="240" w:lineRule="auto"/>
        <w:ind w:left="480" w:hanging="480"/>
        <w:jc w:val="left"/>
        <w:rPr>
          <w:b/>
          <w:lang w:val="en-AU"/>
        </w:rPr>
      </w:pPr>
      <w:bookmarkStart w:id="74" w:name="_Ref338501853"/>
      <w:bookmarkStart w:id="75" w:name="_Toc361651503"/>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20</w:t>
      </w:r>
      <w:r w:rsidR="005F6FF5" w:rsidRPr="007D6EB4">
        <w:rPr>
          <w:b/>
          <w:lang w:val="en-AU"/>
        </w:rPr>
        <w:fldChar w:fldCharType="end"/>
      </w:r>
      <w:bookmarkEnd w:id="74"/>
      <w:r w:rsidR="00E5277F">
        <w:rPr>
          <w:b/>
          <w:lang w:val="en-AU"/>
        </w:rPr>
        <w:t>.</w:t>
      </w:r>
      <w:r w:rsidRPr="007D6EB4">
        <w:rPr>
          <w:lang w:val="en-AU"/>
        </w:rPr>
        <w:t xml:space="preserve"> Locations of the waverider buoys </w:t>
      </w:r>
      <w:r w:rsidR="00FA6E78" w:rsidRPr="007D6EB4">
        <w:rPr>
          <w:lang w:val="en-AU"/>
        </w:rPr>
        <w:t>used to</w:t>
      </w:r>
      <w:r w:rsidRPr="007D6EB4">
        <w:rPr>
          <w:lang w:val="en-AU"/>
        </w:rPr>
        <w:t xml:space="preserve"> measure </w:t>
      </w:r>
      <w:r w:rsidR="00FA6E78" w:rsidRPr="007D6EB4">
        <w:rPr>
          <w:lang w:val="en-AU"/>
        </w:rPr>
        <w:t xml:space="preserve">wave climate </w:t>
      </w:r>
      <w:r w:rsidR="00FA6E78" w:rsidRPr="007D6EB4">
        <w:rPr>
          <w:szCs w:val="22"/>
          <w:lang w:val="en-AU"/>
        </w:rPr>
        <w:t xml:space="preserve">by the </w:t>
      </w:r>
      <w:r w:rsidR="00FA6E78" w:rsidRPr="007D6EB4">
        <w:rPr>
          <w:lang w:val="en-AU"/>
        </w:rPr>
        <w:t>Department of Environment and Heritage Protection</w:t>
      </w:r>
      <w:r w:rsidR="00D8222B" w:rsidRPr="007D6EB4">
        <w:rPr>
          <w:lang w:val="en-AU"/>
        </w:rPr>
        <w:t>.</w:t>
      </w:r>
      <w:bookmarkEnd w:id="75"/>
    </w:p>
    <w:p w:rsidR="00C967AD" w:rsidRPr="007D6EB4" w:rsidRDefault="00090ACE" w:rsidP="00617543">
      <w:pPr>
        <w:spacing w:after="0" w:line="240" w:lineRule="auto"/>
        <w:jc w:val="left"/>
        <w:rPr>
          <w:lang w:val="en-AU"/>
        </w:rPr>
      </w:pPr>
      <w:r w:rsidRPr="007D6EB4">
        <w:rPr>
          <w:lang w:val="en-AU"/>
        </w:rPr>
        <w:br w:type="page"/>
      </w:r>
    </w:p>
    <w:p w:rsidR="00090ACE" w:rsidRPr="007D6EB4" w:rsidRDefault="00C967AD" w:rsidP="00617543">
      <w:pPr>
        <w:spacing w:after="0" w:line="240" w:lineRule="auto"/>
        <w:jc w:val="left"/>
        <w:rPr>
          <w:lang w:val="en-AU"/>
        </w:rPr>
      </w:pPr>
      <w:r w:rsidRPr="00C967AD">
        <w:rPr>
          <w:noProof/>
          <w:lang w:val="en-AU" w:eastAsia="en-AU"/>
        </w:rPr>
        <w:lastRenderedPageBreak/>
        <w:drawing>
          <wp:inline distT="0" distB="0" distL="0" distR="0" wp14:anchorId="0731470E" wp14:editId="087F88CE">
            <wp:extent cx="5538439" cy="5590478"/>
            <wp:effectExtent l="0" t="0" r="0" b="0"/>
            <wp:docPr id="83" name="Picture 83" descr="&#10;Figure 21 shows the comparison between the model and measured validation results at the Gladstone waverider buoy as both (i) time series plots and (ii) histograms. The comparisons demonstrate that the model was capable of capturing the trend of increasing and decreasing wave heights, and frequency of the peak wave conditions (significant wave height) in addition to peak wave period and direction.&#10;" title="Figure 21. Comparison of predicted (blue) and measured (green) waves at the Gladstone waverider buoy, January to March 2011. The top panel shows the significant wave height, the middle panel shows the peak wave period and the bottom panel shows the peak wave direction comparisons. The histograms provide an inter-comparison of the frequency distributions between the observed and predic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543222" cy="5595306"/>
                    </a:xfrm>
                    <a:prstGeom prst="rect">
                      <a:avLst/>
                    </a:prstGeom>
                    <a:noFill/>
                    <a:ln>
                      <a:noFill/>
                    </a:ln>
                  </pic:spPr>
                </pic:pic>
              </a:graphicData>
            </a:graphic>
          </wp:inline>
        </w:drawing>
      </w:r>
    </w:p>
    <w:p w:rsidR="00476222" w:rsidRPr="007D6EB4" w:rsidRDefault="00476222" w:rsidP="00EC0510">
      <w:pPr>
        <w:pStyle w:val="Caption"/>
        <w:spacing w:line="240" w:lineRule="auto"/>
        <w:ind w:left="480" w:hanging="480"/>
        <w:jc w:val="left"/>
        <w:rPr>
          <w:lang w:val="en-AU"/>
        </w:rPr>
      </w:pPr>
      <w:bookmarkStart w:id="76" w:name="_Ref318704653"/>
      <w:bookmarkStart w:id="77" w:name="_Toc320823765"/>
      <w:bookmarkStart w:id="78" w:name="_Toc361651504"/>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21</w:t>
      </w:r>
      <w:r w:rsidR="005F6FF5" w:rsidRPr="007D6EB4">
        <w:rPr>
          <w:b/>
          <w:lang w:val="en-AU"/>
        </w:rPr>
        <w:fldChar w:fldCharType="end"/>
      </w:r>
      <w:bookmarkEnd w:id="76"/>
      <w:r w:rsidR="00E5277F">
        <w:rPr>
          <w:b/>
          <w:lang w:val="en-AU"/>
        </w:rPr>
        <w:t>.</w:t>
      </w:r>
      <w:r w:rsidRPr="007D6EB4">
        <w:rPr>
          <w:lang w:val="en-AU"/>
        </w:rPr>
        <w:t xml:space="preserve"> Comparison of predicted (blue) and measured (green) waves at the Gladstone waverider buoy, January to March 2011.</w:t>
      </w:r>
      <w:r w:rsidR="0043422D">
        <w:rPr>
          <w:lang w:val="en-AU"/>
        </w:rPr>
        <w:t xml:space="preserve"> </w:t>
      </w:r>
      <w:r w:rsidRPr="007D6EB4">
        <w:rPr>
          <w:lang w:val="en-AU"/>
        </w:rPr>
        <w:t>The top panel shows the significant wave height, the middle panel shows the peak wave period and the bottom panel shows the peak wave direction comparisons.</w:t>
      </w:r>
      <w:bookmarkEnd w:id="77"/>
      <w:r w:rsidR="0043422D">
        <w:rPr>
          <w:lang w:val="en-AU"/>
        </w:rPr>
        <w:t xml:space="preserve"> </w:t>
      </w:r>
      <w:r w:rsidR="001A5FA2" w:rsidRPr="007D6EB4">
        <w:rPr>
          <w:lang w:val="en-AU"/>
        </w:rPr>
        <w:t>The histograms provide an inter-comparison of the frequency distributions between the observed and predicted.</w:t>
      </w:r>
      <w:bookmarkEnd w:id="78"/>
    </w:p>
    <w:p w:rsidR="000821A2" w:rsidRPr="007D6EB4" w:rsidRDefault="000821A2" w:rsidP="00617543">
      <w:pPr>
        <w:pStyle w:val="Para0"/>
        <w:rPr>
          <w:lang w:val="en-AU"/>
        </w:rPr>
      </w:pPr>
    </w:p>
    <w:p w:rsidR="009B567A" w:rsidRPr="007D6EB4" w:rsidRDefault="009B567A" w:rsidP="00617543">
      <w:pPr>
        <w:spacing w:after="0" w:line="240" w:lineRule="auto"/>
        <w:jc w:val="left"/>
        <w:rPr>
          <w:lang w:val="en-AU"/>
        </w:rPr>
      </w:pPr>
      <w:r w:rsidRPr="007D6EB4">
        <w:rPr>
          <w:lang w:val="en-AU"/>
        </w:rPr>
        <w:br w:type="page"/>
      </w:r>
    </w:p>
    <w:p w:rsidR="00C609AB" w:rsidRDefault="006857B5" w:rsidP="00EC0510">
      <w:pPr>
        <w:pStyle w:val="Caption"/>
        <w:spacing w:line="240" w:lineRule="auto"/>
        <w:ind w:left="480" w:hanging="480"/>
        <w:jc w:val="left"/>
        <w:rPr>
          <w:b/>
          <w:lang w:val="en-AU"/>
        </w:rPr>
      </w:pPr>
      <w:r w:rsidRPr="006857B5">
        <w:rPr>
          <w:noProof/>
          <w:lang w:val="en-AU" w:eastAsia="en-AU"/>
        </w:rPr>
        <w:lastRenderedPageBreak/>
        <w:drawing>
          <wp:inline distT="0" distB="0" distL="0" distR="0" wp14:anchorId="1FAFFA77" wp14:editId="3D28607A">
            <wp:extent cx="5642517" cy="5151863"/>
            <wp:effectExtent l="0" t="0" r="0" b="0"/>
            <wp:docPr id="84" name="Picture 84" descr="Figure 22 shows the comparison between the model and measured validation results at the Emu Park waverider buoy as both (i) time series plots and (ii) histograms. The comparisons demonstrate that the model was capable of capturing the trend of increasing and decreasing wave heights, and frequency of the peak wave conditions (significant wave height) in addition to peak wave period and direction." title="Figure 22. Comparison of predicted (blue) and measured (green) waves at the Emu Park waverider buoy, January to March 2011. The top panel shows the significant wave height, the middle panel shows the peak wave period and the bottom panel shows the peak wave direction comparisons. The histograms provide an inter-comparison of the frequency distributions between the observed and predic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646161" cy="5155190"/>
                    </a:xfrm>
                    <a:prstGeom prst="rect">
                      <a:avLst/>
                    </a:prstGeom>
                    <a:noFill/>
                    <a:ln>
                      <a:noFill/>
                    </a:ln>
                  </pic:spPr>
                </pic:pic>
              </a:graphicData>
            </a:graphic>
          </wp:inline>
        </w:drawing>
      </w:r>
    </w:p>
    <w:p w:rsidR="00D202E8" w:rsidRPr="007D6EB4" w:rsidRDefault="00D202E8" w:rsidP="00EC0510">
      <w:pPr>
        <w:pStyle w:val="Caption"/>
        <w:spacing w:line="240" w:lineRule="auto"/>
        <w:ind w:left="480" w:hanging="480"/>
        <w:jc w:val="left"/>
        <w:rPr>
          <w:lang w:val="en-AU"/>
        </w:rPr>
      </w:pPr>
      <w:bookmarkStart w:id="79" w:name="_Toc361651505"/>
      <w:r w:rsidRPr="002C78DC">
        <w:rPr>
          <w:b/>
          <w:lang w:val="en-AU"/>
        </w:rPr>
        <w:t xml:space="preserve">Figure </w:t>
      </w:r>
      <w:r w:rsidR="005F6FF5" w:rsidRPr="002C78DC">
        <w:rPr>
          <w:b/>
          <w:lang w:val="en-AU"/>
        </w:rPr>
        <w:fldChar w:fldCharType="begin"/>
      </w:r>
      <w:r w:rsidR="00031C1F" w:rsidRPr="002C78DC">
        <w:rPr>
          <w:b/>
          <w:lang w:val="en-AU"/>
        </w:rPr>
        <w:instrText xml:space="preserve"> SEQ Figure \* ARABIC </w:instrText>
      </w:r>
      <w:r w:rsidR="005F6FF5" w:rsidRPr="002C78DC">
        <w:rPr>
          <w:b/>
          <w:lang w:val="en-AU"/>
        </w:rPr>
        <w:fldChar w:fldCharType="separate"/>
      </w:r>
      <w:r w:rsidR="00751BC4">
        <w:rPr>
          <w:b/>
          <w:noProof/>
          <w:lang w:val="en-AU"/>
        </w:rPr>
        <w:t>22</w:t>
      </w:r>
      <w:r w:rsidR="005F6FF5" w:rsidRPr="002C78DC">
        <w:rPr>
          <w:b/>
          <w:lang w:val="en-AU"/>
        </w:rPr>
        <w:fldChar w:fldCharType="end"/>
      </w:r>
      <w:r w:rsidR="00E5277F">
        <w:rPr>
          <w:b/>
          <w:lang w:val="en-AU"/>
        </w:rPr>
        <w:t>.</w:t>
      </w:r>
      <w:r w:rsidRPr="007D6EB4">
        <w:rPr>
          <w:lang w:val="en-AU"/>
        </w:rPr>
        <w:t xml:space="preserve"> Comparison of predicted (blue) and measured (green) waves at the Emu Park waverider buoy, January to March 2011.</w:t>
      </w:r>
      <w:r w:rsidR="0043422D">
        <w:rPr>
          <w:lang w:val="en-AU"/>
        </w:rPr>
        <w:t xml:space="preserve"> </w:t>
      </w:r>
      <w:r w:rsidRPr="007D6EB4">
        <w:rPr>
          <w:lang w:val="en-AU"/>
        </w:rPr>
        <w:t xml:space="preserve">The top panel shows the significant wave height, the middle panel shows the peak wave period and the bottom panel shows the peak wave direction comparisons. </w:t>
      </w:r>
      <w:r w:rsidR="001A5FA2" w:rsidRPr="007D6EB4">
        <w:rPr>
          <w:lang w:val="en-AU"/>
        </w:rPr>
        <w:t>The histograms provide an inter-comparison of the frequency distributions between the observed and predicted.</w:t>
      </w:r>
      <w:bookmarkEnd w:id="79"/>
    </w:p>
    <w:p w:rsidR="000821A2" w:rsidRPr="007D6EB4" w:rsidRDefault="000821A2" w:rsidP="00617543">
      <w:pPr>
        <w:pStyle w:val="Para0"/>
        <w:rPr>
          <w:lang w:val="en-AU"/>
        </w:rPr>
      </w:pPr>
    </w:p>
    <w:p w:rsidR="00001FDE" w:rsidRPr="007D6EB4" w:rsidRDefault="00001FDE" w:rsidP="00617543">
      <w:pPr>
        <w:spacing w:after="0" w:line="240" w:lineRule="auto"/>
        <w:jc w:val="left"/>
        <w:rPr>
          <w:lang w:val="en-AU"/>
        </w:rPr>
      </w:pPr>
      <w:r w:rsidRPr="007D6EB4">
        <w:rPr>
          <w:lang w:val="en-AU"/>
        </w:rPr>
        <w:br w:type="page"/>
      </w:r>
    </w:p>
    <w:p w:rsidR="00C609AB" w:rsidRDefault="00FF2B68" w:rsidP="00EC0510">
      <w:pPr>
        <w:pStyle w:val="Caption"/>
        <w:spacing w:line="240" w:lineRule="auto"/>
        <w:ind w:left="480" w:hanging="480"/>
        <w:jc w:val="left"/>
        <w:rPr>
          <w:b/>
          <w:lang w:val="en-AU"/>
        </w:rPr>
      </w:pPr>
      <w:r w:rsidRPr="00FF2B68">
        <w:rPr>
          <w:noProof/>
          <w:lang w:val="en-AU" w:eastAsia="en-AU"/>
        </w:rPr>
        <w:lastRenderedPageBreak/>
        <w:drawing>
          <wp:inline distT="0" distB="0" distL="0" distR="0" wp14:anchorId="5109F978" wp14:editId="06B43F92">
            <wp:extent cx="5679688" cy="5319833"/>
            <wp:effectExtent l="0" t="0" r="0" b="0"/>
            <wp:docPr id="63" name="Picture 63" descr="Figure 23 shows the comparison between the model and measured validation results at the Mackay waverider buoy as both (i) time series plots and (ii) histograms. The comparisons demonstrate that the model was capable of capturing the trend of increasing and decreasing wave heights, and frequency of the peak wave conditions (significant wave height) in addition to peak wave period and direction." title="Figure 23. Comparison of predicted (blue) and measured (green) waves at the Mackay waverider buoy, January to March 2011. The top panel shows the significant wave height, the middle panel shows the peak wave period and the bottom panel shows the peak wave direction comparisons. The histograms provide an inter-comparison of the frequency distributions between the observed and predic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683372" cy="5323284"/>
                    </a:xfrm>
                    <a:prstGeom prst="rect">
                      <a:avLst/>
                    </a:prstGeom>
                    <a:noFill/>
                    <a:ln>
                      <a:noFill/>
                    </a:ln>
                  </pic:spPr>
                </pic:pic>
              </a:graphicData>
            </a:graphic>
          </wp:inline>
        </w:drawing>
      </w:r>
    </w:p>
    <w:p w:rsidR="00001FDE" w:rsidRPr="007D6EB4" w:rsidRDefault="00001FDE" w:rsidP="00EC0510">
      <w:pPr>
        <w:pStyle w:val="Caption"/>
        <w:spacing w:line="240" w:lineRule="auto"/>
        <w:ind w:left="480" w:hanging="480"/>
        <w:jc w:val="left"/>
        <w:rPr>
          <w:lang w:val="en-AU"/>
        </w:rPr>
      </w:pPr>
      <w:bookmarkStart w:id="80" w:name="_Toc361651506"/>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23</w:t>
      </w:r>
      <w:r w:rsidR="005F6FF5" w:rsidRPr="007D6EB4">
        <w:rPr>
          <w:b/>
          <w:lang w:val="en-AU"/>
        </w:rPr>
        <w:fldChar w:fldCharType="end"/>
      </w:r>
      <w:r w:rsidR="00E5277F">
        <w:rPr>
          <w:b/>
          <w:lang w:val="en-AU"/>
        </w:rPr>
        <w:t>.</w:t>
      </w:r>
      <w:r w:rsidRPr="007D6EB4">
        <w:rPr>
          <w:lang w:val="en-AU"/>
        </w:rPr>
        <w:t xml:space="preserve"> Comparison of predicted (blue) and measured (green) waves at the </w:t>
      </w:r>
      <w:r w:rsidR="00AE03A5" w:rsidRPr="007D6EB4">
        <w:rPr>
          <w:lang w:val="en-AU"/>
        </w:rPr>
        <w:t xml:space="preserve">Mackay </w:t>
      </w:r>
      <w:r w:rsidRPr="007D6EB4">
        <w:rPr>
          <w:lang w:val="en-AU"/>
        </w:rPr>
        <w:t>waverider buoy, January to March 2011.</w:t>
      </w:r>
      <w:r w:rsidR="0043422D">
        <w:rPr>
          <w:lang w:val="en-AU"/>
        </w:rPr>
        <w:t xml:space="preserve"> </w:t>
      </w:r>
      <w:r w:rsidRPr="007D6EB4">
        <w:rPr>
          <w:lang w:val="en-AU"/>
        </w:rPr>
        <w:t xml:space="preserve">The top panel shows the significant wave height, the middle panel shows the peak wave period and the bottom panel shows the peak wave direction comparisons. </w:t>
      </w:r>
      <w:r w:rsidR="001A5FA2" w:rsidRPr="007D6EB4">
        <w:rPr>
          <w:lang w:val="en-AU"/>
        </w:rPr>
        <w:t>The histograms provide an inter-comparison of the frequency distributions between the observed and predicted.</w:t>
      </w:r>
      <w:bookmarkEnd w:id="80"/>
    </w:p>
    <w:p w:rsidR="00AE03A5" w:rsidRPr="007D6EB4" w:rsidRDefault="00AE03A5" w:rsidP="00617543">
      <w:pPr>
        <w:spacing w:after="0" w:line="240" w:lineRule="auto"/>
        <w:jc w:val="left"/>
        <w:rPr>
          <w:lang w:val="en-AU"/>
        </w:rPr>
      </w:pPr>
      <w:r w:rsidRPr="007D6EB4">
        <w:rPr>
          <w:lang w:val="en-AU"/>
        </w:rPr>
        <w:br w:type="page"/>
      </w:r>
    </w:p>
    <w:p w:rsidR="00C609AB" w:rsidRDefault="006857B5" w:rsidP="00EC0510">
      <w:pPr>
        <w:pStyle w:val="Caption"/>
        <w:spacing w:line="240" w:lineRule="auto"/>
        <w:ind w:left="480" w:hanging="480"/>
        <w:jc w:val="left"/>
        <w:rPr>
          <w:b/>
          <w:lang w:val="en-AU"/>
        </w:rPr>
      </w:pPr>
      <w:r w:rsidRPr="006857B5">
        <w:rPr>
          <w:noProof/>
          <w:lang w:val="en-AU" w:eastAsia="en-AU"/>
        </w:rPr>
        <w:lastRenderedPageBreak/>
        <w:drawing>
          <wp:inline distT="0" distB="0" distL="0" distR="0" wp14:anchorId="4BF788BF" wp14:editId="7245F6E1">
            <wp:extent cx="5405112" cy="5062653"/>
            <wp:effectExtent l="0" t="0" r="0" b="0"/>
            <wp:docPr id="87" name="Picture 87" descr="&#10;Figure 24 shows the comparison between the model and measured validation results at the Townsville waverider buoy as both (i) time series plots and (ii) histograms. The comparisons demonstrate that the model was capable of capturing the trend of increasing and decreasing wave heights, and frequency of the peak wave conditions (significant wave height) in addition to peak wave period and direction.&#10;" title="Figure 24. Comparison of predicted (blue) and measured (green) waves at the Townsville waverider buoy, January to February 2011. The top panel shows the significant wave height, the middle panel shows the peak wave period and the bottom panel shows the peak wave direction comparisons. The histograms provide an inter-comparison of the frequency distributions between the observed and predic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410365" cy="5067573"/>
                    </a:xfrm>
                    <a:prstGeom prst="rect">
                      <a:avLst/>
                    </a:prstGeom>
                    <a:noFill/>
                    <a:ln>
                      <a:noFill/>
                    </a:ln>
                  </pic:spPr>
                </pic:pic>
              </a:graphicData>
            </a:graphic>
          </wp:inline>
        </w:drawing>
      </w:r>
    </w:p>
    <w:p w:rsidR="00AE03A5" w:rsidRPr="007D6EB4" w:rsidRDefault="00AE03A5" w:rsidP="00EC0510">
      <w:pPr>
        <w:pStyle w:val="Caption"/>
        <w:spacing w:line="240" w:lineRule="auto"/>
        <w:ind w:left="480" w:hanging="480"/>
        <w:jc w:val="left"/>
        <w:rPr>
          <w:lang w:val="en-AU"/>
        </w:rPr>
      </w:pPr>
      <w:bookmarkStart w:id="81" w:name="_Toc361651507"/>
      <w:r w:rsidRPr="002C78DC">
        <w:rPr>
          <w:b/>
          <w:lang w:val="en-AU"/>
        </w:rPr>
        <w:t xml:space="preserve">Figure </w:t>
      </w:r>
      <w:r w:rsidR="005F6FF5" w:rsidRPr="002C78DC">
        <w:rPr>
          <w:b/>
          <w:lang w:val="en-AU"/>
        </w:rPr>
        <w:fldChar w:fldCharType="begin"/>
      </w:r>
      <w:r w:rsidR="00031C1F" w:rsidRPr="002C78DC">
        <w:rPr>
          <w:b/>
          <w:lang w:val="en-AU"/>
        </w:rPr>
        <w:instrText xml:space="preserve"> SEQ Figure \* ARABIC </w:instrText>
      </w:r>
      <w:r w:rsidR="005F6FF5" w:rsidRPr="002C78DC">
        <w:rPr>
          <w:b/>
          <w:lang w:val="en-AU"/>
        </w:rPr>
        <w:fldChar w:fldCharType="separate"/>
      </w:r>
      <w:r w:rsidR="00751BC4">
        <w:rPr>
          <w:b/>
          <w:noProof/>
          <w:lang w:val="en-AU"/>
        </w:rPr>
        <w:t>24</w:t>
      </w:r>
      <w:r w:rsidR="005F6FF5" w:rsidRPr="002C78DC">
        <w:rPr>
          <w:b/>
          <w:lang w:val="en-AU"/>
        </w:rPr>
        <w:fldChar w:fldCharType="end"/>
      </w:r>
      <w:r w:rsidR="00E5277F">
        <w:rPr>
          <w:lang w:val="en-AU"/>
        </w:rPr>
        <w:t>.</w:t>
      </w:r>
      <w:r w:rsidRPr="007D6EB4">
        <w:rPr>
          <w:lang w:val="en-AU"/>
        </w:rPr>
        <w:t xml:space="preserve"> Comparison of predicted (blue) and measured (green) waves at the Townsville waverider buoy, January to </w:t>
      </w:r>
      <w:r w:rsidR="001A5FA2" w:rsidRPr="007D6EB4">
        <w:rPr>
          <w:lang w:val="en-AU"/>
        </w:rPr>
        <w:t xml:space="preserve">February </w:t>
      </w:r>
      <w:r w:rsidRPr="007D6EB4">
        <w:rPr>
          <w:lang w:val="en-AU"/>
        </w:rPr>
        <w:t>2011.</w:t>
      </w:r>
      <w:r w:rsidR="0043422D">
        <w:rPr>
          <w:lang w:val="en-AU"/>
        </w:rPr>
        <w:t xml:space="preserve"> </w:t>
      </w:r>
      <w:r w:rsidRPr="007D6EB4">
        <w:rPr>
          <w:lang w:val="en-AU"/>
        </w:rPr>
        <w:t xml:space="preserve">The top panel shows the significant wave height, the middle panel shows the peak wave period and the bottom panel shows the peak wave direction comparisons. </w:t>
      </w:r>
      <w:r w:rsidR="001A5FA2" w:rsidRPr="007D6EB4">
        <w:rPr>
          <w:lang w:val="en-AU"/>
        </w:rPr>
        <w:t>The histograms provide an inter-comparison of the frequency distributions between the observed and predicted.</w:t>
      </w:r>
      <w:bookmarkEnd w:id="81"/>
    </w:p>
    <w:p w:rsidR="001A5FA2" w:rsidRPr="007D6EB4" w:rsidRDefault="001A5FA2" w:rsidP="00617543">
      <w:pPr>
        <w:spacing w:after="0" w:line="240" w:lineRule="auto"/>
        <w:jc w:val="left"/>
        <w:rPr>
          <w:lang w:val="en-AU"/>
        </w:rPr>
      </w:pPr>
      <w:r w:rsidRPr="007D6EB4">
        <w:rPr>
          <w:lang w:val="en-AU"/>
        </w:rPr>
        <w:br w:type="page"/>
      </w:r>
    </w:p>
    <w:p w:rsidR="00C609AB" w:rsidRDefault="006857B5" w:rsidP="00EC0510">
      <w:pPr>
        <w:pStyle w:val="Caption"/>
        <w:spacing w:line="240" w:lineRule="auto"/>
        <w:ind w:left="480" w:hanging="480"/>
        <w:jc w:val="left"/>
        <w:rPr>
          <w:b/>
          <w:lang w:val="en-AU"/>
        </w:rPr>
      </w:pPr>
      <w:bookmarkStart w:id="82" w:name="_Ref338677862"/>
      <w:r w:rsidRPr="006857B5">
        <w:rPr>
          <w:noProof/>
          <w:lang w:val="en-AU" w:eastAsia="en-AU"/>
        </w:rPr>
        <w:lastRenderedPageBreak/>
        <w:drawing>
          <wp:inline distT="0" distB="0" distL="0" distR="0" wp14:anchorId="011CFA5F" wp14:editId="4FBDBFE4">
            <wp:extent cx="5426927" cy="5083086"/>
            <wp:effectExtent l="0" t="0" r="0" b="0"/>
            <wp:docPr id="88" name="Picture 88" descr="&#10;Figure 25 shows the comparison between the model and measured validation results at the Cairns waverider buoy as both (i) time series plots and (ii) histograms. The comparisons demonstrate that the model was capable of capturing the trend of increasing and decreasing wave heights, and frequency of the peak wave conditions (significant wave height) in addition to peak wave period and direction.&#10;" title="Figure 25. Comparison of predicted (blue) and measured (green) waves at the Cairns waverider buoy, January to February 2011. The top panel shows the significant wave height and the bottom panel shows the peak wave period. The histograms provide an inter-comparison of the frequency distributions between the observed and predic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431884" cy="5087729"/>
                    </a:xfrm>
                    <a:prstGeom prst="rect">
                      <a:avLst/>
                    </a:prstGeom>
                    <a:noFill/>
                    <a:ln>
                      <a:noFill/>
                    </a:ln>
                  </pic:spPr>
                </pic:pic>
              </a:graphicData>
            </a:graphic>
          </wp:inline>
        </w:drawing>
      </w:r>
    </w:p>
    <w:p w:rsidR="001A5FA2" w:rsidRDefault="001A5FA2" w:rsidP="00EC0510">
      <w:pPr>
        <w:pStyle w:val="Caption"/>
        <w:spacing w:line="240" w:lineRule="auto"/>
        <w:ind w:left="480" w:hanging="480"/>
        <w:jc w:val="left"/>
        <w:rPr>
          <w:lang w:val="en-AU"/>
        </w:rPr>
      </w:pPr>
      <w:bookmarkStart w:id="83" w:name="_Ref361658987"/>
      <w:bookmarkStart w:id="84" w:name="_Toc361651508"/>
      <w:r w:rsidRPr="007D6EB4">
        <w:rPr>
          <w:b/>
          <w:lang w:val="en-AU"/>
        </w:rPr>
        <w:t xml:space="preserve">Figure </w:t>
      </w:r>
      <w:r w:rsidR="005F6FF5" w:rsidRPr="007D6EB4">
        <w:rPr>
          <w:b/>
          <w:lang w:val="en-AU"/>
        </w:rPr>
        <w:fldChar w:fldCharType="begin"/>
      </w:r>
      <w:r w:rsidR="00031C1F" w:rsidRPr="007D6EB4">
        <w:rPr>
          <w:b/>
          <w:lang w:val="en-AU"/>
        </w:rPr>
        <w:instrText xml:space="preserve"> SEQ Figure \* ARABIC </w:instrText>
      </w:r>
      <w:r w:rsidR="005F6FF5" w:rsidRPr="007D6EB4">
        <w:rPr>
          <w:b/>
          <w:lang w:val="en-AU"/>
        </w:rPr>
        <w:fldChar w:fldCharType="separate"/>
      </w:r>
      <w:r w:rsidR="00751BC4">
        <w:rPr>
          <w:b/>
          <w:noProof/>
          <w:lang w:val="en-AU"/>
        </w:rPr>
        <w:t>25</w:t>
      </w:r>
      <w:r w:rsidR="005F6FF5" w:rsidRPr="007D6EB4">
        <w:rPr>
          <w:b/>
          <w:lang w:val="en-AU"/>
        </w:rPr>
        <w:fldChar w:fldCharType="end"/>
      </w:r>
      <w:bookmarkEnd w:id="82"/>
      <w:bookmarkEnd w:id="83"/>
      <w:r w:rsidR="00E5277F">
        <w:rPr>
          <w:b/>
          <w:lang w:val="en-AU"/>
        </w:rPr>
        <w:t>.</w:t>
      </w:r>
      <w:r w:rsidRPr="007D6EB4">
        <w:rPr>
          <w:lang w:val="en-AU"/>
        </w:rPr>
        <w:t xml:space="preserve"> Comparison of predicted (blue) and measured (green) waves at the Cairns waverider buoy, January to February 2011.</w:t>
      </w:r>
      <w:r w:rsidR="0043422D">
        <w:rPr>
          <w:lang w:val="en-AU"/>
        </w:rPr>
        <w:t xml:space="preserve"> </w:t>
      </w:r>
      <w:r w:rsidRPr="007D6EB4">
        <w:rPr>
          <w:lang w:val="en-AU"/>
        </w:rPr>
        <w:t>The top panel shows the significant wave height and the bottom panel shows the peak wave period. The histograms provide an inter-comparison of the frequency distributions between the observed and predicted.</w:t>
      </w:r>
      <w:bookmarkEnd w:id="84"/>
    </w:p>
    <w:p w:rsidR="000821A2" w:rsidRPr="007D6EB4" w:rsidRDefault="00597E87" w:rsidP="00E46224">
      <w:pPr>
        <w:pStyle w:val="Heading2"/>
      </w:pPr>
      <w:bookmarkStart w:id="85" w:name="_Toc361929985"/>
      <w:r>
        <w:t xml:space="preserve">Bed </w:t>
      </w:r>
      <w:r w:rsidR="00F7576C">
        <w:t>Shear-stress</w:t>
      </w:r>
      <w:r w:rsidR="000821A2" w:rsidRPr="007D6EB4">
        <w:t xml:space="preserve"> Calculations</w:t>
      </w:r>
      <w:bookmarkEnd w:id="85"/>
    </w:p>
    <w:p w:rsidR="00CC639F" w:rsidRPr="007D6EB4" w:rsidRDefault="000821A2" w:rsidP="00EC0510">
      <w:pPr>
        <w:pStyle w:val="StyleLeft"/>
        <w:rPr>
          <w:sz w:val="24"/>
          <w:lang w:val="en-AU"/>
        </w:rPr>
      </w:pPr>
      <w:r w:rsidRPr="007D6EB4">
        <w:rPr>
          <w:lang w:val="en-AU"/>
        </w:rPr>
        <w:t>Estimat</w:t>
      </w:r>
      <w:r w:rsidR="003A2909" w:rsidRPr="007D6EB4">
        <w:rPr>
          <w:lang w:val="en-AU"/>
        </w:rPr>
        <w:t>es</w:t>
      </w:r>
      <w:r w:rsidR="00FA6E78" w:rsidRPr="007D6EB4">
        <w:rPr>
          <w:lang w:val="en-AU"/>
        </w:rPr>
        <w:t xml:space="preserve"> </w:t>
      </w:r>
      <w:r w:rsidR="003A2909" w:rsidRPr="007D6EB4">
        <w:rPr>
          <w:lang w:val="en-AU"/>
        </w:rPr>
        <w:t xml:space="preserve">of </w:t>
      </w:r>
      <w:r w:rsidRPr="007D6EB4">
        <w:rPr>
          <w:lang w:val="en-AU"/>
        </w:rPr>
        <w:t xml:space="preserve">bed shear-stress </w:t>
      </w:r>
      <w:r w:rsidR="003A2909" w:rsidRPr="007D6EB4">
        <w:rPr>
          <w:lang w:val="en-AU"/>
        </w:rPr>
        <w:t>(</w:t>
      </w:r>
      <w:r w:rsidR="00597E87">
        <w:rPr>
          <w:lang w:val="en-AU"/>
        </w:rPr>
        <w:t xml:space="preserve">or </w:t>
      </w:r>
      <w:r w:rsidR="003A2909" w:rsidRPr="007D6EB4">
        <w:rPr>
          <w:lang w:val="en-AU"/>
        </w:rPr>
        <w:t xml:space="preserve">bottom stress) were calculated for each grid cell at hourly time steps </w:t>
      </w:r>
      <w:r w:rsidRPr="007D6EB4">
        <w:rPr>
          <w:lang w:val="en-AU"/>
        </w:rPr>
        <w:t xml:space="preserve">for both current and wave forces using the empirical formulation described in Soulsby (1997). This method </w:t>
      </w:r>
      <w:r w:rsidR="009C1458" w:rsidRPr="007D6EB4">
        <w:rPr>
          <w:lang w:val="en-AU"/>
        </w:rPr>
        <w:t xml:space="preserve">is appropriate for estimating </w:t>
      </w:r>
      <w:r w:rsidR="00BB4796" w:rsidRPr="007D6EB4">
        <w:rPr>
          <w:lang w:val="en-AU"/>
        </w:rPr>
        <w:t>combine</w:t>
      </w:r>
      <w:r w:rsidR="009C1458" w:rsidRPr="007D6EB4">
        <w:rPr>
          <w:lang w:val="en-AU"/>
        </w:rPr>
        <w:t xml:space="preserve">d </w:t>
      </w:r>
      <w:r w:rsidR="00F7576C">
        <w:rPr>
          <w:lang w:val="en-AU"/>
        </w:rPr>
        <w:t>shear-stress</w:t>
      </w:r>
      <w:r w:rsidR="009C1458" w:rsidRPr="007D6EB4">
        <w:rPr>
          <w:lang w:val="en-AU"/>
        </w:rPr>
        <w:t>es at the seabed due to</w:t>
      </w:r>
      <w:r w:rsidR="00BB4796" w:rsidRPr="007D6EB4">
        <w:rPr>
          <w:lang w:val="en-AU"/>
        </w:rPr>
        <w:t xml:space="preserve"> </w:t>
      </w:r>
      <w:r w:rsidR="003A2909" w:rsidRPr="007D6EB4">
        <w:rPr>
          <w:lang w:val="en-AU"/>
        </w:rPr>
        <w:t xml:space="preserve">current and wave components </w:t>
      </w:r>
      <w:r w:rsidR="009C1458" w:rsidRPr="007D6EB4">
        <w:rPr>
          <w:lang w:val="en-AU"/>
        </w:rPr>
        <w:t xml:space="preserve">acting </w:t>
      </w:r>
      <w:r w:rsidR="003A2909" w:rsidRPr="007D6EB4">
        <w:rPr>
          <w:lang w:val="en-AU"/>
        </w:rPr>
        <w:t>over non-cohesive</w:t>
      </w:r>
      <w:r w:rsidR="00BB4796" w:rsidRPr="007D6EB4">
        <w:rPr>
          <w:lang w:val="en-AU"/>
        </w:rPr>
        <w:t>,</w:t>
      </w:r>
      <w:r w:rsidR="003A2909" w:rsidRPr="007D6EB4">
        <w:rPr>
          <w:lang w:val="en-AU"/>
        </w:rPr>
        <w:t xml:space="preserve"> rough (</w:t>
      </w:r>
      <w:r w:rsidR="007D6EB4">
        <w:rPr>
          <w:lang w:val="en-AU"/>
        </w:rPr>
        <w:t>e.g.</w:t>
      </w:r>
      <w:r w:rsidR="003A2909" w:rsidRPr="007D6EB4">
        <w:rPr>
          <w:lang w:val="en-AU"/>
        </w:rPr>
        <w:t xml:space="preserve"> bioturbated) sediments under non-breaking waves.</w:t>
      </w:r>
      <w:r w:rsidR="003A2909" w:rsidRPr="007D6EB4">
        <w:rPr>
          <w:sz w:val="24"/>
          <w:lang w:val="en-AU"/>
        </w:rPr>
        <w:t xml:space="preserve"> </w:t>
      </w:r>
    </w:p>
    <w:p w:rsidR="001B24A0" w:rsidRPr="007D6EB4" w:rsidRDefault="003510FE" w:rsidP="00EC0510">
      <w:pPr>
        <w:pStyle w:val="StyleLeft"/>
        <w:rPr>
          <w:lang w:val="en-AU"/>
        </w:rPr>
      </w:pPr>
      <w:r>
        <w:rPr>
          <w:szCs w:val="22"/>
          <w:lang w:val="en-AU"/>
        </w:rPr>
        <w:t>The c</w:t>
      </w:r>
      <w:r w:rsidR="00CC639F" w:rsidRPr="002C78DC">
        <w:rPr>
          <w:szCs w:val="22"/>
          <w:lang w:val="en-AU"/>
        </w:rPr>
        <w:t>alculations</w:t>
      </w:r>
      <w:r w:rsidR="00CC639F" w:rsidRPr="007D6EB4">
        <w:rPr>
          <w:sz w:val="24"/>
          <w:lang w:val="en-AU"/>
        </w:rPr>
        <w:t xml:space="preserve"> </w:t>
      </w:r>
      <w:r w:rsidR="003A2909" w:rsidRPr="007D6EB4">
        <w:rPr>
          <w:lang w:val="en-AU" w:eastAsia="en-AU"/>
        </w:rPr>
        <w:t>required</w:t>
      </w:r>
      <w:r w:rsidR="000821A2" w:rsidRPr="007D6EB4">
        <w:rPr>
          <w:lang w:val="en-AU" w:eastAsia="en-AU"/>
        </w:rPr>
        <w:t xml:space="preserve"> </w:t>
      </w:r>
      <w:r>
        <w:rPr>
          <w:lang w:val="en-AU" w:eastAsia="en-AU"/>
        </w:rPr>
        <w:t xml:space="preserve">the </w:t>
      </w:r>
      <w:r w:rsidR="00CC639F" w:rsidRPr="007D6EB4">
        <w:rPr>
          <w:lang w:val="en-AU" w:eastAsia="en-AU"/>
        </w:rPr>
        <w:t xml:space="preserve">input </w:t>
      </w:r>
      <w:r w:rsidR="000821A2" w:rsidRPr="007D6EB4">
        <w:rPr>
          <w:lang w:val="en-AU" w:eastAsia="en-AU"/>
        </w:rPr>
        <w:t xml:space="preserve">of time and </w:t>
      </w:r>
      <w:r w:rsidR="00BB4796" w:rsidRPr="007D6EB4">
        <w:rPr>
          <w:lang w:val="en-AU" w:eastAsia="en-AU"/>
        </w:rPr>
        <w:t>spa</w:t>
      </w:r>
      <w:r w:rsidR="00CC639F" w:rsidRPr="007D6EB4">
        <w:rPr>
          <w:lang w:val="en-AU" w:eastAsia="en-AU"/>
        </w:rPr>
        <w:t xml:space="preserve">ce – varying </w:t>
      </w:r>
      <w:r w:rsidR="000821A2" w:rsidRPr="007D6EB4">
        <w:rPr>
          <w:lang w:val="en-AU" w:eastAsia="en-AU"/>
        </w:rPr>
        <w:t>current speed</w:t>
      </w:r>
      <w:r w:rsidR="00CC639F" w:rsidRPr="007D6EB4">
        <w:rPr>
          <w:lang w:val="en-AU" w:eastAsia="en-AU"/>
        </w:rPr>
        <w:t xml:space="preserve">s and directions at seabed level, which were derived from the combined current data, as well as time and space – varying </w:t>
      </w:r>
      <w:r w:rsidR="000821A2" w:rsidRPr="007D6EB4">
        <w:rPr>
          <w:lang w:val="en-AU" w:eastAsia="en-AU"/>
        </w:rPr>
        <w:t>wave variables</w:t>
      </w:r>
      <w:r w:rsidR="00A418D0" w:rsidRPr="007D6EB4">
        <w:rPr>
          <w:lang w:val="en-AU" w:eastAsia="en-AU"/>
        </w:rPr>
        <w:t xml:space="preserve"> </w:t>
      </w:r>
      <w:r w:rsidR="000821A2" w:rsidRPr="007D6EB4">
        <w:rPr>
          <w:lang w:val="en-AU" w:eastAsia="en-AU"/>
        </w:rPr>
        <w:t>including significant wave height</w:t>
      </w:r>
      <w:r w:rsidR="00BB4796" w:rsidRPr="007D6EB4">
        <w:rPr>
          <w:lang w:val="en-AU" w:eastAsia="en-AU"/>
        </w:rPr>
        <w:t>s</w:t>
      </w:r>
      <w:r w:rsidR="000821A2" w:rsidRPr="007D6EB4">
        <w:rPr>
          <w:lang w:val="en-AU" w:eastAsia="en-AU"/>
        </w:rPr>
        <w:t>, mean wave period</w:t>
      </w:r>
      <w:r w:rsidR="00BB4796" w:rsidRPr="007D6EB4">
        <w:rPr>
          <w:lang w:val="en-AU" w:eastAsia="en-AU"/>
        </w:rPr>
        <w:t>s</w:t>
      </w:r>
      <w:r w:rsidR="000821A2" w:rsidRPr="007D6EB4">
        <w:rPr>
          <w:lang w:val="en-AU" w:eastAsia="en-AU"/>
        </w:rPr>
        <w:t>, mean wave direction</w:t>
      </w:r>
      <w:r w:rsidR="00BB4796" w:rsidRPr="007D6EB4">
        <w:rPr>
          <w:lang w:val="en-AU" w:eastAsia="en-AU"/>
        </w:rPr>
        <w:t xml:space="preserve">s and </w:t>
      </w:r>
      <w:r w:rsidR="000821A2" w:rsidRPr="007D6EB4">
        <w:rPr>
          <w:lang w:val="en-AU" w:eastAsia="en-AU"/>
        </w:rPr>
        <w:t xml:space="preserve">maximum bottom orbital </w:t>
      </w:r>
      <w:r w:rsidR="00BB4796" w:rsidRPr="007D6EB4">
        <w:rPr>
          <w:lang w:val="en-AU" w:eastAsia="en-AU"/>
        </w:rPr>
        <w:t>velocities</w:t>
      </w:r>
      <w:r w:rsidR="00CC639F" w:rsidRPr="007D6EB4">
        <w:rPr>
          <w:lang w:val="en-AU" w:eastAsia="en-AU"/>
        </w:rPr>
        <w:t>, which were derived from the wave modelling</w:t>
      </w:r>
      <w:r w:rsidR="00597E87">
        <w:rPr>
          <w:lang w:val="en-AU" w:eastAsia="en-AU"/>
        </w:rPr>
        <w:t xml:space="preserve"> results</w:t>
      </w:r>
      <w:r w:rsidR="00CC639F" w:rsidRPr="007D6EB4">
        <w:rPr>
          <w:lang w:val="en-AU" w:eastAsia="en-AU"/>
        </w:rPr>
        <w:t xml:space="preserve">. Allowances for </w:t>
      </w:r>
      <w:r w:rsidR="000821A2" w:rsidRPr="007D6EB4">
        <w:rPr>
          <w:lang w:val="en-AU" w:eastAsia="en-AU"/>
        </w:rPr>
        <w:t>seabed roughness</w:t>
      </w:r>
      <w:r w:rsidR="00CC639F" w:rsidRPr="007D6EB4">
        <w:rPr>
          <w:lang w:val="en-AU" w:eastAsia="en-AU"/>
        </w:rPr>
        <w:t xml:space="preserve"> assumed </w:t>
      </w:r>
      <w:r w:rsidR="001B24A0" w:rsidRPr="007D6EB4">
        <w:rPr>
          <w:lang w:val="en-AU" w:eastAsia="en-AU"/>
        </w:rPr>
        <w:t xml:space="preserve">fine sediments over the inshore regions extending offshore to </w:t>
      </w:r>
      <w:r w:rsidR="00CC639F" w:rsidRPr="007D6EB4">
        <w:rPr>
          <w:lang w:val="en-AU" w:eastAsia="en-AU"/>
        </w:rPr>
        <w:t xml:space="preserve">coarse sand </w:t>
      </w:r>
      <w:r w:rsidR="001B24A0" w:rsidRPr="007D6EB4">
        <w:rPr>
          <w:lang w:val="en-AU" w:eastAsia="en-AU"/>
        </w:rPr>
        <w:t>affected by</w:t>
      </w:r>
      <w:r w:rsidR="00CC639F" w:rsidRPr="007D6EB4">
        <w:rPr>
          <w:lang w:val="en-AU" w:eastAsia="en-AU"/>
        </w:rPr>
        <w:t xml:space="preserve"> wave ripples</w:t>
      </w:r>
      <w:r w:rsidR="007C0AA7">
        <w:rPr>
          <w:lang w:val="en-AU" w:eastAsia="en-AU"/>
        </w:rPr>
        <w:t>,</w:t>
      </w:r>
      <w:r w:rsidR="00CC639F" w:rsidRPr="007D6EB4">
        <w:rPr>
          <w:lang w:val="en-AU" w:eastAsia="en-AU"/>
        </w:rPr>
        <w:t xml:space="preserve"> following empirical observations (e.g. </w:t>
      </w:r>
      <w:r w:rsidR="001B24A0" w:rsidRPr="007D6EB4">
        <w:rPr>
          <w:lang w:val="en-AU"/>
        </w:rPr>
        <w:t xml:space="preserve">King </w:t>
      </w:r>
      <w:r w:rsidR="00C0603C">
        <w:rPr>
          <w:lang w:val="en-AU"/>
        </w:rPr>
        <w:t>&amp;</w:t>
      </w:r>
      <w:r w:rsidR="001B24A0" w:rsidRPr="007D6EB4">
        <w:rPr>
          <w:lang w:val="en-AU"/>
        </w:rPr>
        <w:t xml:space="preserve"> Wolanski</w:t>
      </w:r>
      <w:r w:rsidR="007D6EB4">
        <w:rPr>
          <w:lang w:val="en-AU"/>
        </w:rPr>
        <w:t xml:space="preserve"> </w:t>
      </w:r>
      <w:r w:rsidR="001B24A0" w:rsidRPr="007D6EB4">
        <w:rPr>
          <w:lang w:val="en-AU"/>
        </w:rPr>
        <w:t>1992; Wolanski et</w:t>
      </w:r>
      <w:r w:rsidR="001B24A0" w:rsidRPr="007D6EB4">
        <w:rPr>
          <w:i/>
          <w:lang w:val="en-AU"/>
        </w:rPr>
        <w:t xml:space="preserve"> </w:t>
      </w:r>
      <w:r w:rsidR="001B24A0" w:rsidRPr="007D6EB4">
        <w:rPr>
          <w:lang w:val="en-AU"/>
        </w:rPr>
        <w:t>al</w:t>
      </w:r>
      <w:r w:rsidR="001B24A0" w:rsidRPr="007D6EB4">
        <w:rPr>
          <w:i/>
          <w:lang w:val="en-AU"/>
        </w:rPr>
        <w:t>.</w:t>
      </w:r>
      <w:r w:rsidR="001B24A0" w:rsidRPr="007D6EB4">
        <w:rPr>
          <w:lang w:val="en-AU"/>
        </w:rPr>
        <w:t xml:space="preserve"> 1992; </w:t>
      </w:r>
      <w:r w:rsidR="001B24A0" w:rsidRPr="007D6EB4">
        <w:rPr>
          <w:color w:val="auto"/>
          <w:lang w:val="en-AU"/>
        </w:rPr>
        <w:t>Lambrechts</w:t>
      </w:r>
      <w:r w:rsidR="001B24A0" w:rsidRPr="007D6EB4">
        <w:rPr>
          <w:lang w:val="en-AU"/>
        </w:rPr>
        <w:t xml:space="preserve"> et al</w:t>
      </w:r>
      <w:r w:rsidR="002C2BEC" w:rsidRPr="007D6EB4">
        <w:rPr>
          <w:lang w:val="en-AU"/>
        </w:rPr>
        <w:t xml:space="preserve">. </w:t>
      </w:r>
      <w:r w:rsidR="001B24A0" w:rsidRPr="007D6EB4">
        <w:rPr>
          <w:lang w:val="en-AU"/>
        </w:rPr>
        <w:t xml:space="preserve">2010). </w:t>
      </w:r>
    </w:p>
    <w:p w:rsidR="00182180" w:rsidRDefault="00A418D0" w:rsidP="00EC0510">
      <w:pPr>
        <w:pStyle w:val="StyleLeft"/>
        <w:rPr>
          <w:rFonts w:cs="Arial"/>
          <w:szCs w:val="22"/>
          <w:lang w:val="en-AU" w:eastAsia="en-AU"/>
        </w:rPr>
      </w:pPr>
      <w:r w:rsidRPr="007D6EB4">
        <w:rPr>
          <w:lang w:val="en-AU" w:eastAsia="en-AU"/>
        </w:rPr>
        <w:lastRenderedPageBreak/>
        <w:t xml:space="preserve">Estimates for the combined </w:t>
      </w:r>
      <w:r w:rsidR="00F7576C">
        <w:rPr>
          <w:lang w:val="en-AU" w:eastAsia="en-AU"/>
        </w:rPr>
        <w:t>shear-stress</w:t>
      </w:r>
      <w:r w:rsidRPr="007D6EB4">
        <w:rPr>
          <w:lang w:val="en-AU" w:eastAsia="en-AU"/>
        </w:rPr>
        <w:t xml:space="preserve"> at each </w:t>
      </w:r>
      <w:r w:rsidR="003510FE">
        <w:rPr>
          <w:lang w:val="en-AU" w:eastAsia="en-AU"/>
        </w:rPr>
        <w:t>grid cell</w:t>
      </w:r>
      <w:r w:rsidRPr="007D6EB4">
        <w:rPr>
          <w:lang w:val="en-AU" w:eastAsia="en-AU"/>
        </w:rPr>
        <w:t xml:space="preserve"> were analysed to define the 50</w:t>
      </w:r>
      <w:r w:rsidRPr="007D6EB4">
        <w:rPr>
          <w:vertAlign w:val="superscript"/>
          <w:lang w:val="en-AU" w:eastAsia="en-AU"/>
        </w:rPr>
        <w:t>th</w:t>
      </w:r>
      <w:r w:rsidRPr="007D6EB4">
        <w:rPr>
          <w:lang w:val="en-AU" w:eastAsia="en-AU"/>
        </w:rPr>
        <w:t xml:space="preserve"> (median) and the 95</w:t>
      </w:r>
      <w:r w:rsidRPr="007D6EB4">
        <w:rPr>
          <w:vertAlign w:val="superscript"/>
          <w:lang w:val="en-AU" w:eastAsia="en-AU"/>
        </w:rPr>
        <w:t>th</w:t>
      </w:r>
      <w:r w:rsidRPr="007D6EB4">
        <w:rPr>
          <w:lang w:val="en-AU" w:eastAsia="en-AU"/>
        </w:rPr>
        <w:t xml:space="preserve"> percentile</w:t>
      </w:r>
      <w:r w:rsidR="00077D9C">
        <w:rPr>
          <w:lang w:val="en-AU" w:eastAsia="en-AU"/>
        </w:rPr>
        <w:t xml:space="preserve"> levels</w:t>
      </w:r>
      <w:r w:rsidR="003510FE">
        <w:rPr>
          <w:lang w:val="en-AU" w:eastAsia="en-AU"/>
        </w:rPr>
        <w:t xml:space="preserve"> over the full year of the data</w:t>
      </w:r>
      <w:r w:rsidRPr="007D6EB4">
        <w:rPr>
          <w:lang w:val="en-AU" w:eastAsia="en-AU"/>
        </w:rPr>
        <w:t xml:space="preserve">. The median </w:t>
      </w:r>
      <w:r w:rsidR="00182180">
        <w:rPr>
          <w:lang w:val="en-AU" w:eastAsia="en-AU"/>
        </w:rPr>
        <w:t>results provide an</w:t>
      </w:r>
      <w:r w:rsidRPr="007D6EB4">
        <w:rPr>
          <w:lang w:val="en-AU" w:eastAsia="en-AU"/>
        </w:rPr>
        <w:t xml:space="preserve"> indicat</w:t>
      </w:r>
      <w:r w:rsidR="00182180">
        <w:rPr>
          <w:lang w:val="en-AU" w:eastAsia="en-AU"/>
        </w:rPr>
        <w:t>ion of</w:t>
      </w:r>
      <w:r w:rsidRPr="007D6EB4">
        <w:rPr>
          <w:lang w:val="en-AU" w:eastAsia="en-AU"/>
        </w:rPr>
        <w:t xml:space="preserve"> the </w:t>
      </w:r>
      <w:r w:rsidR="00182180">
        <w:rPr>
          <w:lang w:val="en-AU" w:eastAsia="en-AU"/>
        </w:rPr>
        <w:t>average conditions,</w:t>
      </w:r>
      <w:r w:rsidRPr="007D6EB4">
        <w:rPr>
          <w:lang w:val="en-AU" w:eastAsia="en-AU"/>
        </w:rPr>
        <w:t xml:space="preserve"> while the 95</w:t>
      </w:r>
      <w:r w:rsidRPr="007D6EB4">
        <w:rPr>
          <w:vertAlign w:val="superscript"/>
          <w:lang w:val="en-AU" w:eastAsia="en-AU"/>
        </w:rPr>
        <w:t>th</w:t>
      </w:r>
      <w:r w:rsidRPr="007D6EB4">
        <w:rPr>
          <w:lang w:val="en-AU" w:eastAsia="en-AU"/>
        </w:rPr>
        <w:t xml:space="preserve"> percentile </w:t>
      </w:r>
      <w:r w:rsidR="00182180">
        <w:rPr>
          <w:lang w:val="en-AU" w:eastAsia="en-AU"/>
        </w:rPr>
        <w:t xml:space="preserve">results </w:t>
      </w:r>
      <w:r w:rsidR="007C0AA7">
        <w:rPr>
          <w:lang w:val="en-AU" w:eastAsia="en-AU"/>
        </w:rPr>
        <w:t>were</w:t>
      </w:r>
      <w:r w:rsidR="00B17654" w:rsidRPr="007D6EB4">
        <w:rPr>
          <w:lang w:val="en-AU" w:eastAsia="en-AU"/>
        </w:rPr>
        <w:t xml:space="preserve"> used</w:t>
      </w:r>
      <w:r w:rsidRPr="007D6EB4">
        <w:rPr>
          <w:lang w:val="en-AU" w:eastAsia="en-AU"/>
        </w:rPr>
        <w:t xml:space="preserve"> to </w:t>
      </w:r>
      <w:r w:rsidR="00182180">
        <w:rPr>
          <w:lang w:val="en-AU" w:eastAsia="en-AU"/>
        </w:rPr>
        <w:t xml:space="preserve">portray the </w:t>
      </w:r>
      <w:r w:rsidRPr="007D6EB4">
        <w:rPr>
          <w:lang w:val="en-AU" w:eastAsia="en-AU"/>
        </w:rPr>
        <w:t xml:space="preserve">more extreme </w:t>
      </w:r>
      <w:r w:rsidR="00182180">
        <w:rPr>
          <w:lang w:val="en-AU" w:eastAsia="en-AU"/>
        </w:rPr>
        <w:t>conditions</w:t>
      </w:r>
      <w:r w:rsidRPr="007D6EB4">
        <w:rPr>
          <w:lang w:val="en-AU" w:eastAsia="en-AU"/>
        </w:rPr>
        <w:t xml:space="preserve">. The </w:t>
      </w:r>
      <w:r w:rsidR="00FB1100">
        <w:rPr>
          <w:lang w:val="en-AU" w:eastAsia="en-AU"/>
        </w:rPr>
        <w:t xml:space="preserve">estimates </w:t>
      </w:r>
      <w:r w:rsidRPr="007D6EB4">
        <w:rPr>
          <w:lang w:val="en-AU" w:eastAsia="en-AU"/>
        </w:rPr>
        <w:t>were then map</w:t>
      </w:r>
      <w:r w:rsidR="00182180">
        <w:rPr>
          <w:lang w:val="en-AU" w:eastAsia="en-AU"/>
        </w:rPr>
        <w:t>ped</w:t>
      </w:r>
      <w:r w:rsidRPr="007D6EB4">
        <w:rPr>
          <w:lang w:val="en-AU" w:eastAsia="en-AU"/>
        </w:rPr>
        <w:t xml:space="preserve"> out over the full extents of the coastal model grids</w:t>
      </w:r>
      <w:r w:rsidR="00182180">
        <w:rPr>
          <w:lang w:val="en-AU" w:eastAsia="en-AU"/>
        </w:rPr>
        <w:t xml:space="preserve"> (see </w:t>
      </w:r>
      <w:r w:rsidR="005F6FF5">
        <w:rPr>
          <w:lang w:val="en-AU" w:eastAsia="en-AU"/>
        </w:rPr>
        <w:fldChar w:fldCharType="begin"/>
      </w:r>
      <w:r w:rsidR="00182180">
        <w:rPr>
          <w:lang w:val="en-AU" w:eastAsia="en-AU"/>
        </w:rPr>
        <w:instrText xml:space="preserve"> REF _Ref340234880 \h </w:instrText>
      </w:r>
      <w:r w:rsidR="005F6FF5">
        <w:rPr>
          <w:lang w:val="en-AU" w:eastAsia="en-AU"/>
        </w:rPr>
      </w:r>
      <w:r w:rsidR="005F6FF5">
        <w:rPr>
          <w:lang w:val="en-AU" w:eastAsia="en-AU"/>
        </w:rPr>
        <w:fldChar w:fldCharType="separate"/>
      </w:r>
      <w:r w:rsidR="00751BC4" w:rsidRPr="007D6EB4">
        <w:t>Coastal currents</w:t>
      </w:r>
      <w:r w:rsidR="005F6FF5">
        <w:rPr>
          <w:lang w:val="en-AU" w:eastAsia="en-AU"/>
        </w:rPr>
        <w:fldChar w:fldCharType="end"/>
      </w:r>
      <w:r w:rsidR="00182180">
        <w:rPr>
          <w:lang w:val="en-AU" w:eastAsia="en-AU"/>
        </w:rPr>
        <w:t>)</w:t>
      </w:r>
      <w:r w:rsidRPr="007D6EB4">
        <w:rPr>
          <w:lang w:val="en-AU" w:eastAsia="en-AU"/>
        </w:rPr>
        <w:t>.</w:t>
      </w:r>
      <w:r w:rsidRPr="007D6EB4">
        <w:rPr>
          <w:rFonts w:cs="Arial"/>
          <w:szCs w:val="22"/>
          <w:lang w:val="en-AU"/>
        </w:rPr>
        <w:t xml:space="preserve"> </w:t>
      </w:r>
      <w:r w:rsidR="006727F0" w:rsidRPr="007D6EB4">
        <w:rPr>
          <w:rFonts w:cs="Arial"/>
          <w:szCs w:val="22"/>
          <w:lang w:val="en-AU"/>
        </w:rPr>
        <w:t>The</w:t>
      </w:r>
      <w:r w:rsidRPr="007D6EB4">
        <w:rPr>
          <w:rFonts w:cs="Arial"/>
          <w:szCs w:val="22"/>
          <w:lang w:val="en-AU"/>
        </w:rPr>
        <w:t>se</w:t>
      </w:r>
      <w:r w:rsidR="006727F0" w:rsidRPr="007D6EB4">
        <w:rPr>
          <w:rFonts w:cs="Arial"/>
          <w:szCs w:val="22"/>
          <w:lang w:val="en-AU"/>
        </w:rPr>
        <w:t xml:space="preserve"> maps </w:t>
      </w:r>
      <w:r w:rsidRPr="007D6EB4">
        <w:rPr>
          <w:rFonts w:cs="Arial"/>
          <w:szCs w:val="22"/>
          <w:lang w:val="en-AU"/>
        </w:rPr>
        <w:t xml:space="preserve">provide </w:t>
      </w:r>
      <w:r w:rsidR="00182180">
        <w:rPr>
          <w:rFonts w:cs="Arial"/>
          <w:szCs w:val="22"/>
          <w:lang w:val="en-AU"/>
        </w:rPr>
        <w:t>a visual interpretation</w:t>
      </w:r>
      <w:r w:rsidR="00182180" w:rsidRPr="007D6EB4">
        <w:rPr>
          <w:rFonts w:cs="Arial"/>
          <w:szCs w:val="22"/>
          <w:lang w:val="en-AU"/>
        </w:rPr>
        <w:t xml:space="preserve"> </w:t>
      </w:r>
      <w:r w:rsidR="006727F0" w:rsidRPr="007D6EB4">
        <w:rPr>
          <w:rFonts w:cs="Arial"/>
          <w:szCs w:val="22"/>
          <w:lang w:val="en-AU" w:eastAsia="en-AU"/>
        </w:rPr>
        <w:t xml:space="preserve">to </w:t>
      </w:r>
      <w:r w:rsidRPr="007D6EB4">
        <w:rPr>
          <w:rFonts w:cs="Arial"/>
          <w:szCs w:val="22"/>
          <w:lang w:val="en-AU" w:eastAsia="en-AU"/>
        </w:rPr>
        <w:t xml:space="preserve">varying levels of exposure </w:t>
      </w:r>
      <w:r w:rsidR="00182180">
        <w:rPr>
          <w:rFonts w:cs="Arial"/>
          <w:szCs w:val="22"/>
          <w:lang w:val="en-AU" w:eastAsia="en-AU"/>
        </w:rPr>
        <w:t xml:space="preserve">from the combined </w:t>
      </w:r>
      <w:r w:rsidR="00544AEF" w:rsidRPr="007D6EB4">
        <w:rPr>
          <w:rFonts w:cs="Arial"/>
          <w:szCs w:val="22"/>
          <w:lang w:val="en-AU" w:eastAsia="en-AU"/>
        </w:rPr>
        <w:t xml:space="preserve">current and </w:t>
      </w:r>
      <w:r w:rsidR="006727F0" w:rsidRPr="007D6EB4">
        <w:rPr>
          <w:rFonts w:cs="Arial"/>
          <w:szCs w:val="22"/>
          <w:lang w:val="en-AU" w:eastAsia="en-AU"/>
        </w:rPr>
        <w:t>wave</w:t>
      </w:r>
      <w:r w:rsidR="00544AEF" w:rsidRPr="007D6EB4">
        <w:rPr>
          <w:rFonts w:cs="Arial"/>
          <w:szCs w:val="22"/>
          <w:lang w:val="en-AU" w:eastAsia="en-AU"/>
        </w:rPr>
        <w:t xml:space="preserve"> forcing over time, hence are useful </w:t>
      </w:r>
      <w:r w:rsidR="00182180">
        <w:rPr>
          <w:rFonts w:cs="Arial"/>
          <w:szCs w:val="22"/>
          <w:lang w:val="en-AU" w:eastAsia="en-AU"/>
        </w:rPr>
        <w:t xml:space="preserve">screening process </w:t>
      </w:r>
      <w:r w:rsidR="00544AEF" w:rsidRPr="007D6EB4">
        <w:rPr>
          <w:rFonts w:cs="Arial"/>
          <w:szCs w:val="22"/>
          <w:lang w:val="en-AU" w:eastAsia="en-AU"/>
        </w:rPr>
        <w:t xml:space="preserve">for </w:t>
      </w:r>
      <w:r w:rsidR="00182180">
        <w:rPr>
          <w:rFonts w:cs="Arial"/>
          <w:szCs w:val="22"/>
          <w:lang w:val="en-AU" w:eastAsia="en-AU"/>
        </w:rPr>
        <w:t>denoting the retentive and dispersive areas</w:t>
      </w:r>
      <w:r w:rsidR="006727F0" w:rsidRPr="007D6EB4">
        <w:rPr>
          <w:rFonts w:cs="Arial"/>
          <w:szCs w:val="22"/>
          <w:lang w:val="en-AU" w:eastAsia="en-AU"/>
        </w:rPr>
        <w:t>.</w:t>
      </w:r>
      <w:r w:rsidR="0043422D">
        <w:rPr>
          <w:rFonts w:cs="Arial"/>
          <w:szCs w:val="22"/>
          <w:lang w:val="en-AU" w:eastAsia="en-AU"/>
        </w:rPr>
        <w:t xml:space="preserve"> </w:t>
      </w:r>
    </w:p>
    <w:p w:rsidR="00A418D0" w:rsidRDefault="006727F0" w:rsidP="00EC0510">
      <w:pPr>
        <w:pStyle w:val="StyleLeft"/>
        <w:rPr>
          <w:lang w:val="en-AU"/>
        </w:rPr>
      </w:pPr>
      <w:r w:rsidRPr="007D6EB4">
        <w:rPr>
          <w:rFonts w:cs="Arial"/>
          <w:lang w:val="en-AU" w:eastAsia="en-AU"/>
        </w:rPr>
        <w:t>Furthermore, t</w:t>
      </w:r>
      <w:r w:rsidRPr="007D6EB4">
        <w:rPr>
          <w:rFonts w:cs="Arial"/>
          <w:lang w:val="en-AU"/>
        </w:rPr>
        <w:t>he</w:t>
      </w:r>
      <w:r w:rsidR="00182180">
        <w:rPr>
          <w:rFonts w:cs="Arial"/>
          <w:lang w:val="en-AU"/>
        </w:rPr>
        <w:t xml:space="preserve"> bed</w:t>
      </w:r>
      <w:r w:rsidRPr="007D6EB4">
        <w:rPr>
          <w:rFonts w:cs="Arial"/>
          <w:lang w:val="en-AU"/>
        </w:rPr>
        <w:t xml:space="preserve"> </w:t>
      </w:r>
      <w:r w:rsidR="00F7576C">
        <w:rPr>
          <w:rFonts w:cs="Arial"/>
          <w:lang w:val="en-AU"/>
        </w:rPr>
        <w:t>shear-stress</w:t>
      </w:r>
      <w:r w:rsidRPr="007D6EB4">
        <w:rPr>
          <w:rFonts w:cs="Arial"/>
          <w:lang w:val="en-AU"/>
        </w:rPr>
        <w:t xml:space="preserve"> </w:t>
      </w:r>
      <w:r w:rsidR="00544AEF" w:rsidRPr="007D6EB4">
        <w:rPr>
          <w:rFonts w:cs="Arial"/>
          <w:lang w:val="en-AU"/>
        </w:rPr>
        <w:t xml:space="preserve">maps can be </w:t>
      </w:r>
      <w:r w:rsidR="00182180">
        <w:rPr>
          <w:rFonts w:cs="Arial"/>
          <w:lang w:val="en-AU"/>
        </w:rPr>
        <w:t xml:space="preserve">used </w:t>
      </w:r>
      <w:r w:rsidR="00182180">
        <w:rPr>
          <w:lang w:val="en-AU" w:eastAsia="en-AU"/>
        </w:rPr>
        <w:t xml:space="preserve">in determining whether the combined forces are sufficient to start mobilising </w:t>
      </w:r>
      <w:r w:rsidR="00182180">
        <w:rPr>
          <w:lang w:val="en-AU"/>
        </w:rPr>
        <w:t xml:space="preserve">unconsolidated </w:t>
      </w:r>
      <w:r w:rsidR="00182180" w:rsidRPr="007D6EB4">
        <w:rPr>
          <w:lang w:val="en-AU"/>
        </w:rPr>
        <w:t xml:space="preserve">sediments of different grain size </w:t>
      </w:r>
      <w:r w:rsidR="00182180">
        <w:rPr>
          <w:lang w:val="en-AU"/>
        </w:rPr>
        <w:t>categories from the bottom</w:t>
      </w:r>
      <w:r w:rsidR="00355509">
        <w:rPr>
          <w:lang w:val="en-AU"/>
        </w:rPr>
        <w:t xml:space="preserve"> </w:t>
      </w:r>
      <w:r w:rsidR="001F243A">
        <w:rPr>
          <w:lang w:val="en-AU"/>
        </w:rPr>
        <w:t>(</w:t>
      </w:r>
      <w:r w:rsidR="001F243A" w:rsidRPr="00462939">
        <w:rPr>
          <w:lang w:val="en-AU"/>
        </w:rPr>
        <w:t xml:space="preserve">see </w:t>
      </w:r>
      <w:r w:rsidR="00383842">
        <w:rPr>
          <w:lang w:val="en-AU"/>
        </w:rPr>
        <w:fldChar w:fldCharType="begin"/>
      </w:r>
      <w:r w:rsidR="00383842">
        <w:rPr>
          <w:lang w:val="en-AU"/>
        </w:rPr>
        <w:instrText xml:space="preserve"> REF  _Ref340245899 \* Lower \h  \* MERGEFORMAT </w:instrText>
      </w:r>
      <w:r w:rsidR="00383842">
        <w:rPr>
          <w:lang w:val="en-AU"/>
        </w:rPr>
      </w:r>
      <w:r w:rsidR="00383842">
        <w:rPr>
          <w:lang w:val="en-AU"/>
        </w:rPr>
        <w:fldChar w:fldCharType="separate"/>
      </w:r>
      <w:r w:rsidR="00751BC4" w:rsidRPr="00751BC4">
        <w:t xml:space="preserve">table </w:t>
      </w:r>
      <w:r w:rsidR="00751BC4" w:rsidRPr="00751BC4">
        <w:rPr>
          <w:noProof/>
        </w:rPr>
        <w:t>6</w:t>
      </w:r>
      <w:r w:rsidR="00383842">
        <w:rPr>
          <w:lang w:val="en-AU"/>
        </w:rPr>
        <w:fldChar w:fldCharType="end"/>
      </w:r>
      <w:r w:rsidR="001F243A" w:rsidRPr="00462939">
        <w:rPr>
          <w:lang w:val="en-AU"/>
        </w:rPr>
        <w:t>).</w:t>
      </w:r>
      <w:r w:rsidR="00544AEF" w:rsidRPr="00462939">
        <w:rPr>
          <w:color w:val="auto"/>
          <w:lang w:val="en-AU" w:eastAsia="en-AU"/>
        </w:rPr>
        <w:t xml:space="preserve"> As </w:t>
      </w:r>
      <w:r w:rsidR="00FB1100" w:rsidRPr="00462939">
        <w:rPr>
          <w:color w:val="auto"/>
          <w:lang w:val="en-AU" w:eastAsia="en-AU"/>
        </w:rPr>
        <w:t xml:space="preserve">part of the study it was </w:t>
      </w:r>
      <w:r w:rsidR="00544AEF" w:rsidRPr="00462939">
        <w:rPr>
          <w:color w:val="auto"/>
          <w:lang w:val="en-AU" w:eastAsia="en-AU"/>
        </w:rPr>
        <w:t xml:space="preserve">assumed </w:t>
      </w:r>
      <w:r w:rsidR="00FB1100" w:rsidRPr="00462939">
        <w:rPr>
          <w:color w:val="auto"/>
          <w:lang w:val="en-AU" w:eastAsia="en-AU"/>
        </w:rPr>
        <w:t xml:space="preserve">that the bed </w:t>
      </w:r>
      <w:r w:rsidR="00F7576C" w:rsidRPr="00462939">
        <w:rPr>
          <w:color w:val="auto"/>
          <w:lang w:val="en-AU" w:eastAsia="en-AU"/>
        </w:rPr>
        <w:t>shear-stress</w:t>
      </w:r>
      <w:r w:rsidR="00544AEF" w:rsidRPr="00462939">
        <w:rPr>
          <w:color w:val="auto"/>
          <w:lang w:val="en-AU" w:eastAsia="en-AU"/>
        </w:rPr>
        <w:t xml:space="preserve"> </w:t>
      </w:r>
      <w:r w:rsidR="00FB1100" w:rsidRPr="00462939">
        <w:rPr>
          <w:color w:val="auto"/>
          <w:lang w:val="en-AU" w:eastAsia="en-AU"/>
        </w:rPr>
        <w:t xml:space="preserve">levels were </w:t>
      </w:r>
      <w:r w:rsidR="00544AEF" w:rsidRPr="00462939">
        <w:rPr>
          <w:color w:val="auto"/>
          <w:lang w:val="en-AU" w:eastAsia="en-AU"/>
        </w:rPr>
        <w:t>indicative</w:t>
      </w:r>
      <w:r w:rsidR="00544AEF" w:rsidRPr="007D6EB4">
        <w:rPr>
          <w:color w:val="auto"/>
          <w:lang w:val="en-AU" w:eastAsia="en-AU"/>
        </w:rPr>
        <w:t xml:space="preserve"> of sediments that had recently been disposed by dredging, hence would be lower than those for consolidated sediments (</w:t>
      </w:r>
      <w:r w:rsidR="00544AEF" w:rsidRPr="007D6EB4">
        <w:rPr>
          <w:lang w:val="en-AU"/>
        </w:rPr>
        <w:t>Wolanski et. al</w:t>
      </w:r>
      <w:r w:rsidR="00544AEF" w:rsidRPr="007D6EB4">
        <w:rPr>
          <w:i/>
          <w:lang w:val="en-AU"/>
        </w:rPr>
        <w:t>.</w:t>
      </w:r>
      <w:r w:rsidR="00544AEF" w:rsidRPr="007D6EB4">
        <w:rPr>
          <w:lang w:val="en-AU"/>
        </w:rPr>
        <w:t xml:space="preserve"> 1992; </w:t>
      </w:r>
      <w:r w:rsidR="00544AEF" w:rsidRPr="007D6EB4">
        <w:rPr>
          <w:color w:val="auto"/>
          <w:lang w:val="en-AU"/>
        </w:rPr>
        <w:t>Lambrechts</w:t>
      </w:r>
      <w:r w:rsidR="00544AEF" w:rsidRPr="007D6EB4">
        <w:rPr>
          <w:lang w:val="en-AU"/>
        </w:rPr>
        <w:t xml:space="preserve"> et. al. 2010</w:t>
      </w:r>
      <w:r w:rsidR="009715DB" w:rsidRPr="007D6EB4">
        <w:rPr>
          <w:lang w:val="en-AU"/>
        </w:rPr>
        <w:t>)</w:t>
      </w:r>
      <w:r w:rsidR="00F766D7" w:rsidRPr="007D6EB4">
        <w:rPr>
          <w:lang w:val="en-AU"/>
        </w:rPr>
        <w:t>.</w:t>
      </w:r>
    </w:p>
    <w:p w:rsidR="009715DB" w:rsidRDefault="00355509" w:rsidP="00EC0510">
      <w:pPr>
        <w:pStyle w:val="Caption"/>
        <w:spacing w:line="240" w:lineRule="auto"/>
        <w:ind w:left="480" w:hanging="480"/>
        <w:jc w:val="left"/>
        <w:rPr>
          <w:lang w:val="en-AU"/>
        </w:rPr>
      </w:pPr>
      <w:bookmarkStart w:id="86" w:name="_Ref340245899"/>
      <w:bookmarkStart w:id="87" w:name="_Toc360779378"/>
      <w:r w:rsidRPr="002D314E">
        <w:rPr>
          <w:b/>
        </w:rPr>
        <w:t xml:space="preserve">Table </w:t>
      </w:r>
      <w:r w:rsidR="005F6FF5" w:rsidRPr="002D314E">
        <w:rPr>
          <w:b/>
        </w:rPr>
        <w:fldChar w:fldCharType="begin"/>
      </w:r>
      <w:r w:rsidRPr="002D314E">
        <w:rPr>
          <w:b/>
        </w:rPr>
        <w:instrText xml:space="preserve"> SEQ Table \* ARABIC </w:instrText>
      </w:r>
      <w:r w:rsidR="005F6FF5" w:rsidRPr="002D314E">
        <w:rPr>
          <w:b/>
        </w:rPr>
        <w:fldChar w:fldCharType="separate"/>
      </w:r>
      <w:r w:rsidR="00751BC4">
        <w:rPr>
          <w:b/>
          <w:noProof/>
        </w:rPr>
        <w:t>6</w:t>
      </w:r>
      <w:r w:rsidR="005F6FF5" w:rsidRPr="002D314E">
        <w:rPr>
          <w:b/>
        </w:rPr>
        <w:fldChar w:fldCharType="end"/>
      </w:r>
      <w:bookmarkEnd w:id="86"/>
      <w:r>
        <w:t xml:space="preserve"> </w:t>
      </w:r>
      <w:r w:rsidR="00A241FF">
        <w:t xml:space="preserve">Bed </w:t>
      </w:r>
      <w:r w:rsidR="003510FE">
        <w:t>shear-stress</w:t>
      </w:r>
      <w:r w:rsidR="00A241FF">
        <w:t xml:space="preserve"> levels </w:t>
      </w:r>
      <w:r w:rsidR="00A241FF">
        <w:rPr>
          <w:szCs w:val="22"/>
          <w:lang w:val="en-AU" w:eastAsia="en-AU"/>
        </w:rPr>
        <w:t xml:space="preserve">sufficient to start mobilising </w:t>
      </w:r>
      <w:r w:rsidR="00A241FF">
        <w:rPr>
          <w:szCs w:val="22"/>
          <w:lang w:val="en-AU"/>
        </w:rPr>
        <w:t xml:space="preserve">unconsolidated </w:t>
      </w:r>
      <w:r w:rsidR="00A241FF" w:rsidRPr="007D6EB4">
        <w:rPr>
          <w:szCs w:val="22"/>
          <w:lang w:val="en-AU"/>
        </w:rPr>
        <w:t xml:space="preserve">sediments of different grain size </w:t>
      </w:r>
      <w:r w:rsidR="00A241FF">
        <w:rPr>
          <w:szCs w:val="22"/>
          <w:lang w:val="en-AU"/>
        </w:rPr>
        <w:t>categories from the bottom.</w:t>
      </w:r>
      <w:bookmarkEnd w:id="87"/>
      <w:r w:rsidR="00A241FF">
        <w:t xml:space="preserve"> </w:t>
      </w:r>
    </w:p>
    <w:tbl>
      <w:tblPr>
        <w:tblStyle w:val="TableGrid"/>
        <w:tblW w:w="7905" w:type="dxa"/>
        <w:tblLook w:val="04A0" w:firstRow="1" w:lastRow="0" w:firstColumn="1" w:lastColumn="0" w:noHBand="0" w:noVBand="1"/>
      </w:tblPr>
      <w:tblGrid>
        <w:gridCol w:w="2518"/>
        <w:gridCol w:w="5387"/>
      </w:tblGrid>
      <w:tr w:rsidR="00355509" w:rsidTr="00C609AB">
        <w:trPr>
          <w:tblHeader/>
        </w:trPr>
        <w:tc>
          <w:tcPr>
            <w:tcW w:w="2518" w:type="dxa"/>
            <w:tcBorders>
              <w:top w:val="single" w:sz="4" w:space="0" w:color="auto"/>
              <w:left w:val="single" w:sz="4" w:space="0" w:color="auto"/>
              <w:bottom w:val="single" w:sz="4" w:space="0" w:color="auto"/>
              <w:right w:val="single" w:sz="4" w:space="0" w:color="auto"/>
            </w:tcBorders>
            <w:hideMark/>
          </w:tcPr>
          <w:p w:rsidR="00355509" w:rsidRPr="00902AC3" w:rsidRDefault="00355509" w:rsidP="00A6519A">
            <w:pPr>
              <w:spacing w:after="0" w:line="240" w:lineRule="auto"/>
              <w:jc w:val="left"/>
              <w:rPr>
                <w:rFonts w:eastAsiaTheme="minorEastAsia" w:cs="Arial"/>
                <w:b/>
              </w:rPr>
            </w:pPr>
            <w:r w:rsidRPr="00902AC3">
              <w:rPr>
                <w:rFonts w:eastAsiaTheme="minorEastAsia" w:cs="Arial"/>
                <w:b/>
              </w:rPr>
              <w:t xml:space="preserve">Bed </w:t>
            </w:r>
            <w:r w:rsidR="003510FE" w:rsidRPr="00902AC3">
              <w:rPr>
                <w:rFonts w:eastAsiaTheme="minorEastAsia" w:cs="Arial"/>
                <w:b/>
              </w:rPr>
              <w:t>shear-stress</w:t>
            </w:r>
            <w:r w:rsidRPr="00902AC3">
              <w:rPr>
                <w:rFonts w:eastAsiaTheme="minorEastAsia" w:cs="Arial"/>
                <w:b/>
              </w:rPr>
              <w:t xml:space="preserve"> (Pa)</w:t>
            </w:r>
          </w:p>
        </w:tc>
        <w:tc>
          <w:tcPr>
            <w:tcW w:w="5387" w:type="dxa"/>
            <w:tcBorders>
              <w:top w:val="single" w:sz="4" w:space="0" w:color="auto"/>
              <w:left w:val="single" w:sz="4" w:space="0" w:color="auto"/>
              <w:bottom w:val="single" w:sz="4" w:space="0" w:color="auto"/>
              <w:right w:val="single" w:sz="4" w:space="0" w:color="auto"/>
            </w:tcBorders>
            <w:hideMark/>
          </w:tcPr>
          <w:p w:rsidR="00355509" w:rsidRPr="00902AC3" w:rsidRDefault="00A241FF" w:rsidP="00A6519A">
            <w:pPr>
              <w:spacing w:after="0" w:line="240" w:lineRule="auto"/>
              <w:jc w:val="left"/>
              <w:rPr>
                <w:rFonts w:eastAsiaTheme="minorEastAsia" w:cs="Arial"/>
                <w:b/>
                <w:szCs w:val="22"/>
              </w:rPr>
            </w:pPr>
            <w:r w:rsidRPr="00902AC3">
              <w:rPr>
                <w:rFonts w:eastAsiaTheme="minorEastAsia" w:cs="Arial"/>
                <w:b/>
              </w:rPr>
              <w:t>Un</w:t>
            </w:r>
            <w:r w:rsidR="00355509" w:rsidRPr="00902AC3">
              <w:rPr>
                <w:rFonts w:eastAsiaTheme="minorEastAsia" w:cs="Arial"/>
                <w:b/>
              </w:rPr>
              <w:t xml:space="preserve">consolidated sediments subject to potential mobilisation </w:t>
            </w:r>
          </w:p>
        </w:tc>
      </w:tr>
      <w:tr w:rsidR="00355509" w:rsidTr="00A241FF">
        <w:tc>
          <w:tcPr>
            <w:tcW w:w="2518" w:type="dxa"/>
            <w:tcBorders>
              <w:top w:val="single" w:sz="4" w:space="0" w:color="auto"/>
              <w:left w:val="single" w:sz="4" w:space="0" w:color="auto"/>
              <w:bottom w:val="single" w:sz="4" w:space="0" w:color="auto"/>
              <w:right w:val="single" w:sz="4" w:space="0" w:color="auto"/>
            </w:tcBorders>
            <w:hideMark/>
          </w:tcPr>
          <w:p w:rsidR="00355509" w:rsidRDefault="002D314E" w:rsidP="00A6519A">
            <w:pPr>
              <w:spacing w:after="0" w:line="240" w:lineRule="auto"/>
              <w:jc w:val="left"/>
              <w:rPr>
                <w:rFonts w:eastAsiaTheme="minorEastAsia" w:cs="Arial"/>
                <w:szCs w:val="22"/>
              </w:rPr>
            </w:pPr>
            <w:r>
              <w:rPr>
                <w:rFonts w:eastAsiaTheme="minorEastAsia" w:cs="Arial"/>
              </w:rPr>
              <w:t>0 to</w:t>
            </w:r>
            <w:r w:rsidR="00355509">
              <w:rPr>
                <w:rFonts w:eastAsiaTheme="minorEastAsia" w:cs="Arial"/>
              </w:rPr>
              <w:t xml:space="preserve"> 0.0018</w:t>
            </w:r>
          </w:p>
        </w:tc>
        <w:tc>
          <w:tcPr>
            <w:tcW w:w="5387" w:type="dxa"/>
            <w:tcBorders>
              <w:top w:val="single" w:sz="4" w:space="0" w:color="auto"/>
              <w:left w:val="single" w:sz="4" w:space="0" w:color="auto"/>
              <w:bottom w:val="single" w:sz="4" w:space="0" w:color="auto"/>
              <w:right w:val="single" w:sz="4" w:space="0" w:color="auto"/>
            </w:tcBorders>
            <w:hideMark/>
          </w:tcPr>
          <w:p w:rsidR="00355509" w:rsidRDefault="00355509" w:rsidP="002D5549">
            <w:pPr>
              <w:spacing w:after="0" w:line="240" w:lineRule="auto"/>
              <w:jc w:val="left"/>
              <w:rPr>
                <w:rFonts w:eastAsiaTheme="minorEastAsia" w:cs="Arial"/>
                <w:szCs w:val="22"/>
              </w:rPr>
            </w:pPr>
            <w:r>
              <w:rPr>
                <w:rFonts w:eastAsiaTheme="minorEastAsia" w:cs="Arial"/>
              </w:rPr>
              <w:t>Clays</w:t>
            </w:r>
            <w:r w:rsidR="006921A1">
              <w:rPr>
                <w:rFonts w:eastAsiaTheme="minorEastAsia" w:cs="Arial"/>
              </w:rPr>
              <w:t xml:space="preserve"> </w:t>
            </w:r>
            <w:r>
              <w:rPr>
                <w:rFonts w:eastAsiaTheme="minorEastAsia" w:cs="Arial"/>
                <w:i/>
              </w:rPr>
              <w:t>[Most retentive areas]</w:t>
            </w:r>
          </w:p>
        </w:tc>
      </w:tr>
      <w:tr w:rsidR="00355509" w:rsidTr="00A241FF">
        <w:tc>
          <w:tcPr>
            <w:tcW w:w="2518" w:type="dxa"/>
            <w:tcBorders>
              <w:top w:val="single" w:sz="4" w:space="0" w:color="auto"/>
              <w:left w:val="single" w:sz="4" w:space="0" w:color="auto"/>
              <w:bottom w:val="single" w:sz="4" w:space="0" w:color="auto"/>
              <w:right w:val="single" w:sz="4" w:space="0" w:color="auto"/>
            </w:tcBorders>
            <w:hideMark/>
          </w:tcPr>
          <w:p w:rsidR="00355509" w:rsidRDefault="002D314E" w:rsidP="00A6519A">
            <w:pPr>
              <w:spacing w:after="0" w:line="240" w:lineRule="auto"/>
              <w:jc w:val="left"/>
              <w:rPr>
                <w:rFonts w:eastAsiaTheme="minorEastAsia" w:cs="Arial"/>
                <w:szCs w:val="22"/>
              </w:rPr>
            </w:pPr>
            <w:r>
              <w:rPr>
                <w:rFonts w:eastAsiaTheme="minorEastAsia" w:cs="Arial"/>
              </w:rPr>
              <w:t>0.0019 to</w:t>
            </w:r>
            <w:r w:rsidR="00355509">
              <w:rPr>
                <w:rFonts w:eastAsiaTheme="minorEastAsia" w:cs="Arial"/>
              </w:rPr>
              <w:t xml:space="preserve"> 0.0091</w:t>
            </w:r>
          </w:p>
        </w:tc>
        <w:tc>
          <w:tcPr>
            <w:tcW w:w="5387" w:type="dxa"/>
            <w:tcBorders>
              <w:top w:val="single" w:sz="4" w:space="0" w:color="auto"/>
              <w:left w:val="single" w:sz="4" w:space="0" w:color="auto"/>
              <w:bottom w:val="single" w:sz="4" w:space="0" w:color="auto"/>
              <w:right w:val="single" w:sz="4" w:space="0" w:color="auto"/>
            </w:tcBorders>
            <w:hideMark/>
          </w:tcPr>
          <w:p w:rsidR="00355509" w:rsidRDefault="00355509" w:rsidP="00A6519A">
            <w:pPr>
              <w:spacing w:after="0" w:line="240" w:lineRule="auto"/>
              <w:jc w:val="left"/>
              <w:rPr>
                <w:rFonts w:eastAsiaTheme="minorEastAsia" w:cs="Arial"/>
                <w:szCs w:val="22"/>
              </w:rPr>
            </w:pPr>
            <w:r>
              <w:rPr>
                <w:rFonts w:eastAsiaTheme="minorEastAsia" w:cs="Arial"/>
              </w:rPr>
              <w:t>Up to fine silt</w:t>
            </w:r>
          </w:p>
        </w:tc>
      </w:tr>
      <w:tr w:rsidR="00355509" w:rsidTr="00A241FF">
        <w:tc>
          <w:tcPr>
            <w:tcW w:w="2518" w:type="dxa"/>
            <w:tcBorders>
              <w:top w:val="single" w:sz="4" w:space="0" w:color="auto"/>
              <w:left w:val="single" w:sz="4" w:space="0" w:color="auto"/>
              <w:bottom w:val="single" w:sz="4" w:space="0" w:color="auto"/>
              <w:right w:val="single" w:sz="4" w:space="0" w:color="auto"/>
            </w:tcBorders>
            <w:hideMark/>
          </w:tcPr>
          <w:p w:rsidR="00355509" w:rsidRDefault="002D314E" w:rsidP="00A6519A">
            <w:pPr>
              <w:spacing w:after="0" w:line="240" w:lineRule="auto"/>
              <w:jc w:val="left"/>
              <w:rPr>
                <w:rFonts w:eastAsiaTheme="minorEastAsia" w:cs="Arial"/>
                <w:szCs w:val="22"/>
              </w:rPr>
            </w:pPr>
            <w:r>
              <w:rPr>
                <w:rFonts w:eastAsiaTheme="minorEastAsia" w:cs="Arial"/>
              </w:rPr>
              <w:t>0.0092 to</w:t>
            </w:r>
            <w:r w:rsidR="00355509">
              <w:rPr>
                <w:rFonts w:eastAsiaTheme="minorEastAsia" w:cs="Arial"/>
              </w:rPr>
              <w:t xml:space="preserve"> 0.019</w:t>
            </w:r>
          </w:p>
        </w:tc>
        <w:tc>
          <w:tcPr>
            <w:tcW w:w="5387" w:type="dxa"/>
            <w:tcBorders>
              <w:top w:val="single" w:sz="4" w:space="0" w:color="auto"/>
              <w:left w:val="single" w:sz="4" w:space="0" w:color="auto"/>
              <w:bottom w:val="single" w:sz="4" w:space="0" w:color="auto"/>
              <w:right w:val="single" w:sz="4" w:space="0" w:color="auto"/>
            </w:tcBorders>
            <w:hideMark/>
          </w:tcPr>
          <w:p w:rsidR="00355509" w:rsidRDefault="00355509" w:rsidP="00A6519A">
            <w:pPr>
              <w:spacing w:after="0" w:line="240" w:lineRule="auto"/>
              <w:jc w:val="left"/>
              <w:rPr>
                <w:rFonts w:eastAsiaTheme="minorEastAsia" w:cs="Arial"/>
                <w:szCs w:val="22"/>
              </w:rPr>
            </w:pPr>
            <w:r>
              <w:rPr>
                <w:rFonts w:eastAsiaTheme="minorEastAsia" w:cs="Arial"/>
              </w:rPr>
              <w:t>Up to coarse silt</w:t>
            </w:r>
          </w:p>
        </w:tc>
      </w:tr>
      <w:tr w:rsidR="00355509" w:rsidTr="00A241FF">
        <w:tc>
          <w:tcPr>
            <w:tcW w:w="2518" w:type="dxa"/>
            <w:tcBorders>
              <w:top w:val="single" w:sz="4" w:space="0" w:color="auto"/>
              <w:left w:val="single" w:sz="4" w:space="0" w:color="auto"/>
              <w:bottom w:val="single" w:sz="4" w:space="0" w:color="auto"/>
              <w:right w:val="single" w:sz="4" w:space="0" w:color="auto"/>
            </w:tcBorders>
            <w:hideMark/>
          </w:tcPr>
          <w:p w:rsidR="00355509" w:rsidRDefault="002D314E" w:rsidP="00A6519A">
            <w:pPr>
              <w:spacing w:after="0" w:line="240" w:lineRule="auto"/>
              <w:jc w:val="left"/>
              <w:rPr>
                <w:rFonts w:eastAsiaTheme="minorEastAsia" w:cs="Arial"/>
                <w:szCs w:val="22"/>
              </w:rPr>
            </w:pPr>
            <w:r>
              <w:rPr>
                <w:rFonts w:eastAsiaTheme="minorEastAsia" w:cs="Arial"/>
              </w:rPr>
              <w:t>0.020 to</w:t>
            </w:r>
            <w:r w:rsidR="00355509">
              <w:rPr>
                <w:rFonts w:eastAsiaTheme="minorEastAsia" w:cs="Arial"/>
              </w:rPr>
              <w:t xml:space="preserve"> 0.034</w:t>
            </w:r>
          </w:p>
        </w:tc>
        <w:tc>
          <w:tcPr>
            <w:tcW w:w="5387" w:type="dxa"/>
            <w:tcBorders>
              <w:top w:val="single" w:sz="4" w:space="0" w:color="auto"/>
              <w:left w:val="single" w:sz="4" w:space="0" w:color="auto"/>
              <w:bottom w:val="single" w:sz="4" w:space="0" w:color="auto"/>
              <w:right w:val="single" w:sz="4" w:space="0" w:color="auto"/>
            </w:tcBorders>
            <w:hideMark/>
          </w:tcPr>
          <w:p w:rsidR="00355509" w:rsidRDefault="00355509" w:rsidP="00A6519A">
            <w:pPr>
              <w:spacing w:after="0" w:line="240" w:lineRule="auto"/>
              <w:jc w:val="left"/>
              <w:rPr>
                <w:rFonts w:eastAsiaTheme="minorEastAsia" w:cs="Arial"/>
                <w:szCs w:val="22"/>
              </w:rPr>
            </w:pPr>
            <w:r>
              <w:rPr>
                <w:rFonts w:eastAsiaTheme="minorEastAsia" w:cs="Arial"/>
              </w:rPr>
              <w:t>Up to fine sand</w:t>
            </w:r>
          </w:p>
        </w:tc>
      </w:tr>
      <w:tr w:rsidR="00355509" w:rsidTr="00A241FF">
        <w:tc>
          <w:tcPr>
            <w:tcW w:w="2518" w:type="dxa"/>
            <w:tcBorders>
              <w:top w:val="single" w:sz="4" w:space="0" w:color="auto"/>
              <w:left w:val="single" w:sz="4" w:space="0" w:color="auto"/>
              <w:bottom w:val="single" w:sz="4" w:space="0" w:color="auto"/>
              <w:right w:val="single" w:sz="4" w:space="0" w:color="auto"/>
            </w:tcBorders>
            <w:hideMark/>
          </w:tcPr>
          <w:p w:rsidR="00355509" w:rsidRDefault="002D314E" w:rsidP="00A6519A">
            <w:pPr>
              <w:spacing w:after="0" w:line="240" w:lineRule="auto"/>
              <w:jc w:val="left"/>
              <w:rPr>
                <w:rFonts w:eastAsiaTheme="minorEastAsia" w:cs="Arial"/>
                <w:szCs w:val="22"/>
              </w:rPr>
            </w:pPr>
            <w:r>
              <w:rPr>
                <w:rFonts w:eastAsiaTheme="minorEastAsia" w:cs="Arial"/>
              </w:rPr>
              <w:t>0.035 to</w:t>
            </w:r>
            <w:r w:rsidR="00355509">
              <w:rPr>
                <w:rFonts w:eastAsiaTheme="minorEastAsia" w:cs="Arial"/>
              </w:rPr>
              <w:t xml:space="preserve"> 0.259</w:t>
            </w:r>
          </w:p>
        </w:tc>
        <w:tc>
          <w:tcPr>
            <w:tcW w:w="5387" w:type="dxa"/>
            <w:tcBorders>
              <w:top w:val="single" w:sz="4" w:space="0" w:color="auto"/>
              <w:left w:val="single" w:sz="4" w:space="0" w:color="auto"/>
              <w:bottom w:val="single" w:sz="4" w:space="0" w:color="auto"/>
              <w:right w:val="single" w:sz="4" w:space="0" w:color="auto"/>
            </w:tcBorders>
            <w:hideMark/>
          </w:tcPr>
          <w:p w:rsidR="00355509" w:rsidRDefault="00355509" w:rsidP="00A6519A">
            <w:pPr>
              <w:spacing w:after="0" w:line="240" w:lineRule="auto"/>
              <w:jc w:val="left"/>
              <w:rPr>
                <w:rFonts w:eastAsiaTheme="minorEastAsia" w:cs="Arial"/>
                <w:szCs w:val="22"/>
              </w:rPr>
            </w:pPr>
            <w:r>
              <w:rPr>
                <w:rFonts w:eastAsiaTheme="minorEastAsia" w:cs="Arial"/>
              </w:rPr>
              <w:t>Up to coarse sand</w:t>
            </w:r>
          </w:p>
        </w:tc>
      </w:tr>
      <w:tr w:rsidR="00355509" w:rsidTr="00A241FF">
        <w:tc>
          <w:tcPr>
            <w:tcW w:w="2518" w:type="dxa"/>
            <w:tcBorders>
              <w:top w:val="single" w:sz="4" w:space="0" w:color="auto"/>
              <w:left w:val="single" w:sz="4" w:space="0" w:color="auto"/>
              <w:bottom w:val="single" w:sz="4" w:space="0" w:color="auto"/>
              <w:right w:val="single" w:sz="4" w:space="0" w:color="auto"/>
            </w:tcBorders>
            <w:hideMark/>
          </w:tcPr>
          <w:p w:rsidR="00355509" w:rsidRDefault="002D314E" w:rsidP="00A6519A">
            <w:pPr>
              <w:spacing w:after="0" w:line="240" w:lineRule="auto"/>
              <w:jc w:val="left"/>
              <w:rPr>
                <w:rFonts w:eastAsiaTheme="minorEastAsia" w:cs="Arial"/>
                <w:szCs w:val="22"/>
              </w:rPr>
            </w:pPr>
            <w:r>
              <w:rPr>
                <w:rFonts w:eastAsiaTheme="minorEastAsia" w:cs="Arial"/>
              </w:rPr>
              <w:t>Greater than</w:t>
            </w:r>
            <w:r w:rsidR="00355509">
              <w:rPr>
                <w:rFonts w:eastAsiaTheme="minorEastAsia" w:cs="Arial"/>
              </w:rPr>
              <w:t xml:space="preserve"> 0.259</w:t>
            </w:r>
          </w:p>
        </w:tc>
        <w:tc>
          <w:tcPr>
            <w:tcW w:w="5387" w:type="dxa"/>
            <w:tcBorders>
              <w:top w:val="single" w:sz="4" w:space="0" w:color="auto"/>
              <w:left w:val="single" w:sz="4" w:space="0" w:color="auto"/>
              <w:bottom w:val="single" w:sz="4" w:space="0" w:color="auto"/>
              <w:right w:val="single" w:sz="4" w:space="0" w:color="auto"/>
            </w:tcBorders>
            <w:hideMark/>
          </w:tcPr>
          <w:p w:rsidR="00355509" w:rsidRDefault="00355509" w:rsidP="00A6519A">
            <w:pPr>
              <w:spacing w:after="0" w:line="240" w:lineRule="auto"/>
              <w:jc w:val="left"/>
              <w:rPr>
                <w:rFonts w:eastAsiaTheme="minorEastAsia" w:cs="Arial"/>
                <w:szCs w:val="22"/>
              </w:rPr>
            </w:pPr>
            <w:r>
              <w:rPr>
                <w:rFonts w:eastAsiaTheme="minorEastAsia" w:cs="Arial"/>
              </w:rPr>
              <w:t>Coarse sand and larger</w:t>
            </w:r>
            <w:r w:rsidR="006921A1">
              <w:rPr>
                <w:rFonts w:eastAsiaTheme="minorEastAsia" w:cs="Arial"/>
              </w:rPr>
              <w:t xml:space="preserve">   </w:t>
            </w:r>
            <w:r>
              <w:rPr>
                <w:rFonts w:eastAsiaTheme="minorEastAsia" w:cs="Arial"/>
                <w:i/>
              </w:rPr>
              <w:t>[Most dispersive areas]</w:t>
            </w:r>
          </w:p>
        </w:tc>
      </w:tr>
    </w:tbl>
    <w:p w:rsidR="00D74D23" w:rsidRDefault="00D74D23" w:rsidP="00EC0510">
      <w:pPr>
        <w:pStyle w:val="StyleLeft"/>
      </w:pPr>
    </w:p>
    <w:p w:rsidR="00D74D23" w:rsidRDefault="00D74D23" w:rsidP="00EC0510">
      <w:pPr>
        <w:pStyle w:val="StyleLeft"/>
      </w:pPr>
      <w:r>
        <w:t>We point out that the shear-stress estimates are not applied to estimate rates of horizontal transport of surface sediments because entrainment of sediments will not necessarily result in the net lateral movement of the sediments and such an assessment would require additional analysis and simulation to estimate appropriately. However, it can be assumed that increased rates of entrainment would increase the potential for horizontal transport if the ambient currents exert net horizontal motion over time.</w:t>
      </w:r>
    </w:p>
    <w:p w:rsidR="00355509" w:rsidRDefault="00355509" w:rsidP="00EC0510">
      <w:pPr>
        <w:pStyle w:val="StyleLeft"/>
        <w:rPr>
          <w:lang w:val="en-AU"/>
        </w:rPr>
      </w:pPr>
    </w:p>
    <w:p w:rsidR="009715DB" w:rsidRPr="007D6EB4" w:rsidRDefault="009715DB" w:rsidP="00E46224">
      <w:pPr>
        <w:pStyle w:val="Heading1"/>
        <w:rPr>
          <w:lang w:val="en-AU"/>
        </w:rPr>
      </w:pPr>
      <w:bookmarkStart w:id="88" w:name="_Toc338665906"/>
      <w:bookmarkStart w:id="89" w:name="_Toc361929986"/>
      <w:r w:rsidRPr="007D6EB4">
        <w:rPr>
          <w:lang w:val="en-AU"/>
        </w:rPr>
        <w:lastRenderedPageBreak/>
        <w:t>Results</w:t>
      </w:r>
      <w:bookmarkEnd w:id="88"/>
      <w:r w:rsidR="00C5694D">
        <w:rPr>
          <w:lang w:val="en-AU"/>
        </w:rPr>
        <w:t xml:space="preserve"> AND DISCUSSION</w:t>
      </w:r>
      <w:bookmarkEnd w:id="89"/>
    </w:p>
    <w:p w:rsidR="00A10C6A" w:rsidRPr="007D6EB4" w:rsidRDefault="00A10C6A" w:rsidP="00EC0510">
      <w:pPr>
        <w:pStyle w:val="StyleLeft"/>
        <w:rPr>
          <w:lang w:val="en-AU" w:eastAsia="en-AU"/>
        </w:rPr>
      </w:pPr>
      <w:r>
        <w:rPr>
          <w:lang w:val="en-AU" w:eastAsia="en-AU"/>
        </w:rPr>
        <w:t xml:space="preserve">The predicted bed shear-stress estimates </w:t>
      </w:r>
      <w:r w:rsidRPr="007D6EB4">
        <w:rPr>
          <w:lang w:val="en-AU" w:eastAsia="en-AU"/>
        </w:rPr>
        <w:t xml:space="preserve">are presented </w:t>
      </w:r>
      <w:r w:rsidR="00D74D23">
        <w:rPr>
          <w:lang w:val="en-AU" w:eastAsia="en-AU"/>
        </w:rPr>
        <w:t xml:space="preserve">below </w:t>
      </w:r>
      <w:r>
        <w:rPr>
          <w:lang w:val="en-AU" w:eastAsia="en-AU"/>
        </w:rPr>
        <w:t xml:space="preserve">for each </w:t>
      </w:r>
      <w:r w:rsidR="003510FE">
        <w:rPr>
          <w:lang w:val="en-AU" w:eastAsia="en-AU"/>
        </w:rPr>
        <w:t xml:space="preserve">of the </w:t>
      </w:r>
      <w:r w:rsidR="00D74D23" w:rsidRPr="007D6EB4">
        <w:rPr>
          <w:lang w:val="en-AU" w:eastAsia="en-AU"/>
        </w:rPr>
        <w:t>12 Queensland trading ports</w:t>
      </w:r>
      <w:r w:rsidR="00D74D23">
        <w:rPr>
          <w:lang w:val="en-AU" w:eastAsia="en-AU"/>
        </w:rPr>
        <w:t xml:space="preserve"> </w:t>
      </w:r>
      <w:r>
        <w:rPr>
          <w:lang w:val="en-AU" w:eastAsia="en-AU"/>
        </w:rPr>
        <w:t>arranged in a south to north order</w:t>
      </w:r>
      <w:r w:rsidRPr="007D6EB4">
        <w:rPr>
          <w:lang w:val="en-AU" w:eastAsia="en-AU"/>
        </w:rPr>
        <w:t xml:space="preserve">. </w:t>
      </w:r>
    </w:p>
    <w:p w:rsidR="0066092F" w:rsidRDefault="001C5FFB" w:rsidP="00EC0510">
      <w:pPr>
        <w:pStyle w:val="StyleLeft"/>
        <w:rPr>
          <w:lang w:val="en-AU"/>
        </w:rPr>
      </w:pPr>
      <w:r w:rsidRPr="001C5FFB">
        <w:t xml:space="preserve">Geoscience Australia has </w:t>
      </w:r>
      <w:r w:rsidR="007D27C8">
        <w:t>collected 3</w:t>
      </w:r>
      <w:r w:rsidR="004755C5" w:rsidRPr="00B33496">
        <w:t xml:space="preserve">000 surface sediment samples </w:t>
      </w:r>
      <w:r w:rsidR="00B33496" w:rsidRPr="00B33496">
        <w:t xml:space="preserve">in the </w:t>
      </w:r>
      <w:r w:rsidR="004755C5" w:rsidRPr="00B33496">
        <w:t xml:space="preserve">GBRMP </w:t>
      </w:r>
      <w:r w:rsidR="00B33496" w:rsidRPr="00B33496">
        <w:t xml:space="preserve">since 1984, but </w:t>
      </w:r>
      <w:r w:rsidR="00B33496">
        <w:t>n</w:t>
      </w:r>
      <w:r w:rsidRPr="001C5FFB">
        <w:t>early half of the samples were collected between 2003 and 2005</w:t>
      </w:r>
      <w:r w:rsidR="00B33496">
        <w:rPr>
          <w:rFonts w:ascii="Verdana" w:hAnsi="Verdana"/>
          <w:sz w:val="17"/>
          <w:szCs w:val="17"/>
        </w:rPr>
        <w:t xml:space="preserve"> </w:t>
      </w:r>
      <w:r w:rsidR="00B33496" w:rsidRPr="004755C5">
        <w:t>(</w:t>
      </w:r>
      <w:r w:rsidR="006B5BBA" w:rsidRPr="006B5BBA">
        <w:fldChar w:fldCharType="begin"/>
      </w:r>
      <w:r w:rsidR="006B5BBA" w:rsidRPr="006B5BBA">
        <w:instrText xml:space="preserve"> REF  _Ref340435714 \* Lower \h  \* MERGEFORMAT </w:instrText>
      </w:r>
      <w:r w:rsidR="006B5BBA" w:rsidRPr="006B5BBA">
        <w:fldChar w:fldCharType="separate"/>
      </w:r>
      <w:r w:rsidR="00751BC4" w:rsidRPr="00751BC4">
        <w:t xml:space="preserve">figure </w:t>
      </w:r>
      <w:r w:rsidR="00751BC4" w:rsidRPr="00751BC4">
        <w:rPr>
          <w:noProof/>
        </w:rPr>
        <w:t>26</w:t>
      </w:r>
      <w:r w:rsidR="006B5BBA" w:rsidRPr="006B5BBA">
        <w:fldChar w:fldCharType="end"/>
      </w:r>
      <w:r w:rsidR="00B33496" w:rsidRPr="004755C5">
        <w:t>)</w:t>
      </w:r>
      <w:r w:rsidR="00B33496" w:rsidRPr="00557D27">
        <w:t xml:space="preserve"> </w:t>
      </w:r>
      <w:r w:rsidR="004755C5">
        <w:t>to ascertain the percentage contribution</w:t>
      </w:r>
      <w:r w:rsidR="00B3259E">
        <w:t xml:space="preserve"> of different particle size fractions in surface sediments</w:t>
      </w:r>
      <w:r w:rsidR="004755C5">
        <w:t xml:space="preserve"> over the large study region</w:t>
      </w:r>
      <w:r w:rsidR="00D74D23">
        <w:t xml:space="preserve"> </w:t>
      </w:r>
      <w:r w:rsidR="00D74D23" w:rsidRPr="007D6EB4">
        <w:rPr>
          <w:lang w:val="en-AU"/>
        </w:rPr>
        <w:t xml:space="preserve">(Mathews </w:t>
      </w:r>
      <w:r w:rsidR="00D74D23" w:rsidRPr="004F566A">
        <w:rPr>
          <w:lang w:val="en-AU"/>
        </w:rPr>
        <w:t>et al</w:t>
      </w:r>
      <w:r w:rsidR="00D74D23">
        <w:rPr>
          <w:lang w:val="en-AU"/>
        </w:rPr>
        <w:t>.</w:t>
      </w:r>
      <w:r w:rsidR="00D74D23" w:rsidRPr="007D6EB4">
        <w:rPr>
          <w:lang w:val="en-AU"/>
        </w:rPr>
        <w:t xml:space="preserve"> 2007)</w:t>
      </w:r>
      <w:r w:rsidR="00B33496">
        <w:t>.</w:t>
      </w:r>
      <w:r w:rsidR="004755C5">
        <w:t xml:space="preserve"> </w:t>
      </w:r>
      <w:r w:rsidR="0044679A" w:rsidRPr="007D6EB4">
        <w:rPr>
          <w:lang w:val="en-AU"/>
        </w:rPr>
        <w:t>To</w:t>
      </w:r>
      <w:r w:rsidR="0044679A">
        <w:rPr>
          <w:lang w:val="en-AU"/>
        </w:rPr>
        <w:t xml:space="preserve"> </w:t>
      </w:r>
      <w:r w:rsidR="0044679A" w:rsidRPr="007D6EB4">
        <w:rPr>
          <w:lang w:val="en-AU"/>
        </w:rPr>
        <w:t xml:space="preserve">support the validity of the </w:t>
      </w:r>
      <w:r w:rsidR="0044679A">
        <w:rPr>
          <w:lang w:val="en-AU"/>
        </w:rPr>
        <w:t>bed shear-stress</w:t>
      </w:r>
      <w:r w:rsidR="0044679A" w:rsidRPr="007D6EB4">
        <w:rPr>
          <w:lang w:val="en-AU"/>
        </w:rPr>
        <w:t xml:space="preserve"> estimates, </w:t>
      </w:r>
      <w:r w:rsidR="00B33496">
        <w:rPr>
          <w:lang w:val="en-AU"/>
        </w:rPr>
        <w:t xml:space="preserve">the Geoscience Australia </w:t>
      </w:r>
      <w:r w:rsidR="00D74D23">
        <w:rPr>
          <w:lang w:val="en-AU"/>
        </w:rPr>
        <w:t>surface sediment maps</w:t>
      </w:r>
      <w:r w:rsidR="0044679A">
        <w:rPr>
          <w:lang w:val="en-AU"/>
        </w:rPr>
        <w:t xml:space="preserve"> are presented as spatial comparison</w:t>
      </w:r>
      <w:r w:rsidR="00D74D23">
        <w:rPr>
          <w:lang w:val="en-AU"/>
        </w:rPr>
        <w:t>s</w:t>
      </w:r>
      <w:r w:rsidR="004F566A">
        <w:rPr>
          <w:lang w:val="en-AU"/>
        </w:rPr>
        <w:t xml:space="preserve">. </w:t>
      </w:r>
      <w:r w:rsidR="00B3259E">
        <w:rPr>
          <w:lang w:val="en-AU"/>
        </w:rPr>
        <w:t>T</w:t>
      </w:r>
      <w:r w:rsidR="00D74D23">
        <w:rPr>
          <w:lang w:val="en-AU"/>
        </w:rPr>
        <w:t>he Geoscience Australia</w:t>
      </w:r>
      <w:r w:rsidR="0044679A">
        <w:rPr>
          <w:lang w:val="en-AU"/>
        </w:rPr>
        <w:t xml:space="preserve"> maps present distributions of </w:t>
      </w:r>
      <w:r w:rsidR="00D74D23">
        <w:rPr>
          <w:lang w:val="en-AU"/>
        </w:rPr>
        <w:t>mud and sand</w:t>
      </w:r>
      <w:r w:rsidR="0044679A">
        <w:rPr>
          <w:lang w:val="en-AU"/>
        </w:rPr>
        <w:t xml:space="preserve"> surface sediment</w:t>
      </w:r>
      <w:r w:rsidR="004F7A19">
        <w:rPr>
          <w:lang w:val="en-AU"/>
        </w:rPr>
        <w:t xml:space="preserve">s, </w:t>
      </w:r>
      <w:r w:rsidR="0044679A">
        <w:rPr>
          <w:lang w:val="en-AU"/>
        </w:rPr>
        <w:t>where</w:t>
      </w:r>
      <w:r w:rsidR="00B3259E">
        <w:rPr>
          <w:lang w:val="en-AU"/>
        </w:rPr>
        <w:t xml:space="preserve"> mud combines the clay and silt-</w:t>
      </w:r>
      <w:r w:rsidR="0044679A">
        <w:rPr>
          <w:lang w:val="en-AU"/>
        </w:rPr>
        <w:t xml:space="preserve">sized particles. </w:t>
      </w:r>
      <w:r w:rsidR="00B3259E">
        <w:rPr>
          <w:lang w:val="en-AU"/>
        </w:rPr>
        <w:t>R</w:t>
      </w:r>
      <w:r w:rsidR="0044679A">
        <w:rPr>
          <w:lang w:val="en-AU"/>
        </w:rPr>
        <w:t xml:space="preserve">egions characterised by higher contributions of </w:t>
      </w:r>
      <w:r w:rsidR="00B3259E">
        <w:rPr>
          <w:lang w:val="en-AU"/>
        </w:rPr>
        <w:t xml:space="preserve">mud (clay and </w:t>
      </w:r>
      <w:r w:rsidR="00B271C6">
        <w:rPr>
          <w:lang w:val="en-AU"/>
        </w:rPr>
        <w:t>silt</w:t>
      </w:r>
      <w:r w:rsidR="00B3259E">
        <w:rPr>
          <w:lang w:val="en-AU"/>
        </w:rPr>
        <w:t>)</w:t>
      </w:r>
      <w:r w:rsidR="00B271C6">
        <w:rPr>
          <w:lang w:val="en-AU"/>
        </w:rPr>
        <w:t xml:space="preserve"> </w:t>
      </w:r>
      <w:r w:rsidR="00B3259E">
        <w:rPr>
          <w:lang w:val="en-AU"/>
        </w:rPr>
        <w:t xml:space="preserve">are expected to have </w:t>
      </w:r>
      <w:r w:rsidR="0044679A">
        <w:rPr>
          <w:lang w:val="en-AU"/>
        </w:rPr>
        <w:t xml:space="preserve">low shear-stress </w:t>
      </w:r>
      <w:r w:rsidR="00B3259E">
        <w:rPr>
          <w:lang w:val="en-AU"/>
        </w:rPr>
        <w:t>over time, and/or high inputs of fine sediments</w:t>
      </w:r>
      <w:r w:rsidR="0044679A">
        <w:rPr>
          <w:lang w:val="en-AU"/>
        </w:rPr>
        <w:t>. In contrast, regions characterised by greater sand contributions would likely</w:t>
      </w:r>
      <w:r w:rsidR="002A20DE">
        <w:rPr>
          <w:lang w:val="en-AU"/>
        </w:rPr>
        <w:t xml:space="preserve"> depict</w:t>
      </w:r>
      <w:r w:rsidR="0044679A">
        <w:rPr>
          <w:lang w:val="en-AU"/>
        </w:rPr>
        <w:t xml:space="preserve"> increased bed shear-stress, with the higher sand content resulting from both increased sorting and increased dispersion of finer sediments through suspended load transport (Soulsby 1997)</w:t>
      </w:r>
      <w:r w:rsidR="00B3259E">
        <w:rPr>
          <w:lang w:val="en-AU"/>
        </w:rPr>
        <w:t>, although again the bottom sediment composition will be determined by sediment sources as well as transport processes</w:t>
      </w:r>
      <w:r w:rsidR="0044679A">
        <w:rPr>
          <w:lang w:val="en-AU"/>
        </w:rPr>
        <w:t>. We note that the sediment maps have been generated by sampling in a different period to the period assessed by modelling and that the observed patterns would likely re</w:t>
      </w:r>
      <w:r w:rsidR="00B3259E">
        <w:rPr>
          <w:lang w:val="en-AU"/>
        </w:rPr>
        <w:t>sult from a combination of long-</w:t>
      </w:r>
      <w:r w:rsidR="0044679A">
        <w:rPr>
          <w:lang w:val="en-AU"/>
        </w:rPr>
        <w:t>term processes and short</w:t>
      </w:r>
      <w:r w:rsidR="00B3259E">
        <w:rPr>
          <w:lang w:val="en-AU"/>
        </w:rPr>
        <w:t>-</w:t>
      </w:r>
      <w:r w:rsidR="0044679A">
        <w:rPr>
          <w:lang w:val="en-AU"/>
        </w:rPr>
        <w:t>term processes; hence, some discrepancy can be expected.</w:t>
      </w:r>
      <w:r w:rsidR="007865F5">
        <w:rPr>
          <w:lang w:val="en-AU"/>
        </w:rPr>
        <w:t xml:space="preserve"> </w:t>
      </w:r>
      <w:r w:rsidR="00B3259E">
        <w:rPr>
          <w:lang w:val="en-AU"/>
        </w:rPr>
        <w:t xml:space="preserve">It should also be noted that Geoscience Australia did not collect </w:t>
      </w:r>
      <w:r w:rsidR="002A20DE">
        <w:rPr>
          <w:lang w:val="en-AU"/>
        </w:rPr>
        <w:t xml:space="preserve">samples </w:t>
      </w:r>
      <w:r w:rsidR="00B3259E">
        <w:rPr>
          <w:lang w:val="en-AU"/>
        </w:rPr>
        <w:t xml:space="preserve">or map sediment type </w:t>
      </w:r>
      <w:r w:rsidR="002A20DE">
        <w:rPr>
          <w:lang w:val="en-AU"/>
        </w:rPr>
        <w:t>within port limits.</w:t>
      </w:r>
    </w:p>
    <w:p w:rsidR="007860EB" w:rsidRDefault="00B3259E" w:rsidP="00EC0510">
      <w:pPr>
        <w:pStyle w:val="StyleLeft"/>
        <w:rPr>
          <w:lang w:val="en-AU"/>
        </w:rPr>
      </w:pPr>
      <w:r>
        <w:rPr>
          <w:lang w:val="en-AU"/>
        </w:rPr>
        <w:t>Each of the bed shear-</w:t>
      </w:r>
      <w:r w:rsidR="002A20DE">
        <w:rPr>
          <w:lang w:val="en-AU"/>
        </w:rPr>
        <w:t>stress maps include</w:t>
      </w:r>
      <w:r>
        <w:rPr>
          <w:lang w:val="en-AU"/>
        </w:rPr>
        <w:t>s</w:t>
      </w:r>
      <w:r w:rsidR="001D50AC">
        <w:rPr>
          <w:lang w:val="en-AU"/>
        </w:rPr>
        <w:t xml:space="preserve"> </w:t>
      </w:r>
      <w:r>
        <w:rPr>
          <w:lang w:val="en-AU"/>
        </w:rPr>
        <w:t>G</w:t>
      </w:r>
      <w:r w:rsidR="001D50AC">
        <w:rPr>
          <w:lang w:val="en-AU"/>
        </w:rPr>
        <w:t xml:space="preserve">eneral </w:t>
      </w:r>
      <w:r>
        <w:rPr>
          <w:lang w:val="en-AU"/>
        </w:rPr>
        <w:t>U</w:t>
      </w:r>
      <w:r w:rsidR="001D50AC">
        <w:rPr>
          <w:lang w:val="en-AU"/>
        </w:rPr>
        <w:t>se</w:t>
      </w:r>
      <w:r w:rsidR="002A20DE">
        <w:rPr>
          <w:lang w:val="en-AU"/>
        </w:rPr>
        <w:t xml:space="preserve"> zones</w:t>
      </w:r>
      <w:r w:rsidR="001D50AC">
        <w:rPr>
          <w:lang w:val="en-AU"/>
        </w:rPr>
        <w:t>, non-</w:t>
      </w:r>
      <w:r>
        <w:rPr>
          <w:lang w:val="en-AU"/>
        </w:rPr>
        <w:t>G</w:t>
      </w:r>
      <w:r w:rsidR="001D50AC">
        <w:rPr>
          <w:lang w:val="en-AU"/>
        </w:rPr>
        <w:t xml:space="preserve">eneral </w:t>
      </w:r>
      <w:r>
        <w:rPr>
          <w:lang w:val="en-AU"/>
        </w:rPr>
        <w:t>U</w:t>
      </w:r>
      <w:r w:rsidR="001D50AC">
        <w:rPr>
          <w:lang w:val="en-AU"/>
        </w:rPr>
        <w:t>se</w:t>
      </w:r>
      <w:r w:rsidR="002A20DE">
        <w:rPr>
          <w:lang w:val="en-AU"/>
        </w:rPr>
        <w:t xml:space="preserve"> zones</w:t>
      </w:r>
      <w:r w:rsidR="001D50AC">
        <w:rPr>
          <w:lang w:val="en-AU"/>
        </w:rPr>
        <w:t xml:space="preserve">, </w:t>
      </w:r>
      <w:r>
        <w:rPr>
          <w:lang w:val="en-AU"/>
        </w:rPr>
        <w:t>shipping exclusion</w:t>
      </w:r>
      <w:r w:rsidR="001D50AC">
        <w:rPr>
          <w:lang w:val="en-AU"/>
        </w:rPr>
        <w:t xml:space="preserve"> areas </w:t>
      </w:r>
      <w:r w:rsidR="002A20DE">
        <w:rPr>
          <w:lang w:val="en-AU"/>
        </w:rPr>
        <w:t>within the GBR</w:t>
      </w:r>
      <w:r>
        <w:rPr>
          <w:lang w:val="en-AU"/>
        </w:rPr>
        <w:t>,</w:t>
      </w:r>
      <w:r w:rsidR="002A20DE">
        <w:rPr>
          <w:lang w:val="en-AU"/>
        </w:rPr>
        <w:t xml:space="preserve"> </w:t>
      </w:r>
      <w:r w:rsidR="001D50AC">
        <w:rPr>
          <w:lang w:val="en-AU"/>
        </w:rPr>
        <w:t xml:space="preserve">and existing material placement sites. </w:t>
      </w:r>
    </w:p>
    <w:p w:rsidR="004755C5" w:rsidRDefault="008223F3" w:rsidP="00EC0510">
      <w:pPr>
        <w:pStyle w:val="StyleLeft"/>
        <w:rPr>
          <w:lang w:val="en-AU"/>
        </w:rPr>
      </w:pPr>
      <w:r w:rsidRPr="006A22FE">
        <w:rPr>
          <w:noProof/>
          <w:bdr w:val="single" w:sz="4" w:space="0" w:color="auto"/>
          <w:lang w:val="en-AU" w:eastAsia="en-AU"/>
        </w:rPr>
        <w:lastRenderedPageBreak/>
        <w:drawing>
          <wp:inline distT="0" distB="0" distL="0" distR="0" wp14:anchorId="1C3DC633" wp14:editId="08E9494E">
            <wp:extent cx="4896933" cy="5837499"/>
            <wp:effectExtent l="0" t="0" r="0" b="0"/>
            <wp:docPr id="79" name="Picture 79" descr="Figure 26 shows the location of the 3,000 surface sediment samples, collected by Geosience Australia, in the GBRMP since 1984.  Nearly half of the samples were collected between 2003 and 2005 to ascertain the percentage contribution of different particle size fractions in surface sediments over the large study region" title="Figure 26. Location of the 3,000 samples collected within the Great Barrier Reef Marine Park, excluding within port limits. (source: Mathews et al.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_Exchange\delete\GA8970.gif"/>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897199" cy="5837816"/>
                    </a:xfrm>
                    <a:prstGeom prst="rect">
                      <a:avLst/>
                    </a:prstGeom>
                    <a:noFill/>
                    <a:ln>
                      <a:noFill/>
                    </a:ln>
                  </pic:spPr>
                </pic:pic>
              </a:graphicData>
            </a:graphic>
          </wp:inline>
        </w:drawing>
      </w:r>
    </w:p>
    <w:p w:rsidR="001C5FFB" w:rsidRDefault="001C5FFB" w:rsidP="00EC0510">
      <w:pPr>
        <w:pStyle w:val="Caption"/>
        <w:spacing w:line="240" w:lineRule="auto"/>
        <w:ind w:left="480" w:hanging="480"/>
        <w:jc w:val="left"/>
        <w:rPr>
          <w:lang w:val="en-AU"/>
        </w:rPr>
      </w:pPr>
      <w:bookmarkStart w:id="90" w:name="_Ref340435714"/>
      <w:bookmarkStart w:id="91" w:name="_Toc361651509"/>
      <w:r w:rsidRPr="001C5FFB">
        <w:rPr>
          <w:b/>
        </w:rPr>
        <w:t xml:space="preserve">Figure </w:t>
      </w:r>
      <w:r w:rsidR="005F6FF5" w:rsidRPr="001C5FFB">
        <w:rPr>
          <w:b/>
        </w:rPr>
        <w:fldChar w:fldCharType="begin"/>
      </w:r>
      <w:r w:rsidRPr="001C5FFB">
        <w:rPr>
          <w:b/>
        </w:rPr>
        <w:instrText xml:space="preserve"> SEQ Figure \* ARABIC </w:instrText>
      </w:r>
      <w:r w:rsidR="005F6FF5" w:rsidRPr="001C5FFB">
        <w:rPr>
          <w:b/>
        </w:rPr>
        <w:fldChar w:fldCharType="separate"/>
      </w:r>
      <w:r w:rsidR="00751BC4">
        <w:rPr>
          <w:b/>
          <w:noProof/>
        </w:rPr>
        <w:t>26</w:t>
      </w:r>
      <w:r w:rsidR="005F6FF5" w:rsidRPr="001C5FFB">
        <w:rPr>
          <w:b/>
        </w:rPr>
        <w:fldChar w:fldCharType="end"/>
      </w:r>
      <w:bookmarkEnd w:id="90"/>
      <w:r w:rsidR="00E5277F">
        <w:rPr>
          <w:b/>
        </w:rPr>
        <w:t>.</w:t>
      </w:r>
      <w:r w:rsidR="004755C5">
        <w:t xml:space="preserve"> </w:t>
      </w:r>
      <w:r w:rsidR="004755C5" w:rsidRPr="00D0716C">
        <w:t xml:space="preserve">Location of </w:t>
      </w:r>
      <w:r w:rsidR="007D27C8">
        <w:t>the 3</w:t>
      </w:r>
      <w:r w:rsidR="002A20DE">
        <w:t xml:space="preserve">000 </w:t>
      </w:r>
      <w:r w:rsidR="004755C5" w:rsidRPr="00D0716C">
        <w:t>samples collected within the Great Barrier Reef Marine Park</w:t>
      </w:r>
      <w:r w:rsidR="002A20DE">
        <w:t>, excluding within port limits</w:t>
      </w:r>
      <w:r w:rsidR="002D314E">
        <w:t xml:space="preserve"> </w:t>
      </w:r>
      <w:r w:rsidR="004755C5">
        <w:t>(source: Mathews</w:t>
      </w:r>
      <w:r w:rsidR="004F566A">
        <w:t xml:space="preserve"> et al.</w:t>
      </w:r>
      <w:r w:rsidR="004755C5">
        <w:t xml:space="preserve"> 2007)</w:t>
      </w:r>
      <w:r w:rsidR="002D314E">
        <w:t>.</w:t>
      </w:r>
      <w:bookmarkEnd w:id="91"/>
    </w:p>
    <w:p w:rsidR="009715DB" w:rsidRPr="007D6EB4" w:rsidRDefault="009715DB" w:rsidP="00E46224">
      <w:pPr>
        <w:pStyle w:val="Heading2"/>
      </w:pPr>
      <w:bookmarkStart w:id="92" w:name="_Toc338665907"/>
      <w:bookmarkStart w:id="93" w:name="_Toc361929987"/>
      <w:r w:rsidRPr="007D6EB4">
        <w:t>Port of Gladstone</w:t>
      </w:r>
      <w:bookmarkEnd w:id="92"/>
      <w:bookmarkEnd w:id="93"/>
      <w:r w:rsidRPr="007D6EB4">
        <w:t xml:space="preserve"> </w:t>
      </w:r>
    </w:p>
    <w:p w:rsidR="001C0826" w:rsidRDefault="00693B03" w:rsidP="00EC0510">
      <w:pPr>
        <w:pStyle w:val="StyleLeft"/>
        <w:rPr>
          <w:rFonts w:cs="Arial"/>
        </w:rPr>
      </w:pPr>
      <w:r>
        <w:fldChar w:fldCharType="begin"/>
      </w:r>
      <w:r>
        <w:instrText xml:space="preserve"> REF _Ref338672155 \h  \* MERGEFORMAT </w:instrText>
      </w:r>
      <w:r>
        <w:fldChar w:fldCharType="separate"/>
      </w:r>
      <w:r w:rsidR="00751BC4" w:rsidRPr="00751BC4">
        <w:rPr>
          <w:lang w:val="en-AU"/>
        </w:rPr>
        <w:t xml:space="preserve">Figure </w:t>
      </w:r>
      <w:r w:rsidR="00751BC4" w:rsidRPr="00751BC4">
        <w:rPr>
          <w:noProof/>
          <w:lang w:val="en-AU"/>
        </w:rPr>
        <w:t>27</w:t>
      </w:r>
      <w:r>
        <w:fldChar w:fldCharType="end"/>
      </w:r>
      <w:r w:rsidR="009715DB" w:rsidRPr="007D6EB4">
        <w:rPr>
          <w:lang w:val="en-AU"/>
        </w:rPr>
        <w:t xml:space="preserve"> shows the </w:t>
      </w:r>
      <w:r w:rsidR="00EB1E90" w:rsidRPr="007D6EB4">
        <w:rPr>
          <w:lang w:val="en-AU"/>
        </w:rPr>
        <w:t>50</w:t>
      </w:r>
      <w:r w:rsidR="00EB1E90" w:rsidRPr="007D6EB4">
        <w:rPr>
          <w:vertAlign w:val="superscript"/>
          <w:lang w:val="en-AU"/>
        </w:rPr>
        <w:t>th</w:t>
      </w:r>
      <w:r w:rsidR="00EB1E90" w:rsidRPr="007D6EB4">
        <w:rPr>
          <w:lang w:val="en-AU"/>
        </w:rPr>
        <w:t xml:space="preserve"> </w:t>
      </w:r>
      <w:r w:rsidR="00EB1E90">
        <w:rPr>
          <w:lang w:val="en-AU"/>
        </w:rPr>
        <w:t xml:space="preserve">(average conditions) </w:t>
      </w:r>
      <w:r w:rsidR="00EB1E90" w:rsidRPr="007D6EB4">
        <w:rPr>
          <w:lang w:val="en-AU"/>
        </w:rPr>
        <w:t>and 95</w:t>
      </w:r>
      <w:r w:rsidR="00EB1E90" w:rsidRPr="007D6EB4">
        <w:rPr>
          <w:vertAlign w:val="superscript"/>
          <w:lang w:val="en-AU"/>
        </w:rPr>
        <w:t>th</w:t>
      </w:r>
      <w:r w:rsidR="00EB1E90" w:rsidRPr="007D6EB4">
        <w:rPr>
          <w:lang w:val="en-AU"/>
        </w:rPr>
        <w:t xml:space="preserve"> percentile </w:t>
      </w:r>
      <w:r w:rsidR="00EB1E90">
        <w:rPr>
          <w:lang w:val="en-AU"/>
        </w:rPr>
        <w:t>bed</w:t>
      </w:r>
      <w:r w:rsidR="009715DB" w:rsidRPr="007D6EB4">
        <w:rPr>
          <w:lang w:val="en-AU"/>
        </w:rPr>
        <w:t xml:space="preserve"> </w:t>
      </w:r>
      <w:r w:rsidR="00F7576C">
        <w:rPr>
          <w:lang w:val="en-AU"/>
        </w:rPr>
        <w:t>shear-stress</w:t>
      </w:r>
      <w:r w:rsidR="009715DB" w:rsidRPr="007D6EB4">
        <w:rPr>
          <w:lang w:val="en-AU"/>
        </w:rPr>
        <w:t xml:space="preserve"> </w:t>
      </w:r>
      <w:r w:rsidR="00EB1E90">
        <w:rPr>
          <w:lang w:val="en-AU"/>
        </w:rPr>
        <w:t xml:space="preserve">modelling results </w:t>
      </w:r>
      <w:r w:rsidR="003242B6">
        <w:rPr>
          <w:lang w:val="en-AU"/>
        </w:rPr>
        <w:t>for</w:t>
      </w:r>
      <w:r w:rsidR="00EB1E90">
        <w:rPr>
          <w:lang w:val="en-AU"/>
        </w:rPr>
        <w:t xml:space="preserve"> the Gladstone study area.</w:t>
      </w:r>
      <w:r w:rsidR="00EB1E90">
        <w:rPr>
          <w:rFonts w:cs="Arial"/>
        </w:rPr>
        <w:t xml:space="preserve"> </w:t>
      </w:r>
      <w:r w:rsidR="003242B6">
        <w:rPr>
          <w:rFonts w:cs="Arial"/>
        </w:rPr>
        <w:t xml:space="preserve">The </w:t>
      </w:r>
      <w:r w:rsidR="003242B6" w:rsidRPr="000D66BA">
        <w:t xml:space="preserve">modelling </w:t>
      </w:r>
      <w:r w:rsidR="003242B6">
        <w:t xml:space="preserve">indicates </w:t>
      </w:r>
      <w:r w:rsidR="003242B6" w:rsidRPr="000D66BA">
        <w:t xml:space="preserve">high </w:t>
      </w:r>
      <w:r w:rsidR="003510FE">
        <w:t>shear-stress</w:t>
      </w:r>
      <w:r w:rsidR="003242B6">
        <w:t xml:space="preserve"> levels </w:t>
      </w:r>
      <w:r w:rsidR="001C78E0">
        <w:t xml:space="preserve">(up to </w:t>
      </w:r>
      <w:r w:rsidR="001C78E0" w:rsidRPr="007D6EB4">
        <w:rPr>
          <w:lang w:val="en-AU"/>
        </w:rPr>
        <w:t>0.259 Pa</w:t>
      </w:r>
      <w:r w:rsidR="001C78E0">
        <w:t xml:space="preserve">) for </w:t>
      </w:r>
      <w:r w:rsidR="00244E0C">
        <w:t xml:space="preserve">the </w:t>
      </w:r>
      <w:r w:rsidR="001C78E0">
        <w:t xml:space="preserve">majority of the </w:t>
      </w:r>
      <w:r w:rsidR="003242B6" w:rsidRPr="000D66BA">
        <w:t xml:space="preserve">Gladstone study area, </w:t>
      </w:r>
      <w:r w:rsidR="001C78E0">
        <w:t xml:space="preserve">which would have the potential </w:t>
      </w:r>
      <w:r w:rsidR="00244E0C">
        <w:t xml:space="preserve">to </w:t>
      </w:r>
      <w:r w:rsidR="001C78E0">
        <w:t xml:space="preserve">mobilise </w:t>
      </w:r>
      <w:r w:rsidR="003242B6" w:rsidRPr="000D66BA">
        <w:t xml:space="preserve">unconsolidated material up to coarse sand under average conditions </w:t>
      </w:r>
      <w:r w:rsidR="00EB1E90">
        <w:rPr>
          <w:rFonts w:cs="Arial"/>
        </w:rPr>
        <w:t>(</w:t>
      </w:r>
      <w:r w:rsidR="006B5BBA" w:rsidRPr="006B5BBA">
        <w:fldChar w:fldCharType="begin"/>
      </w:r>
      <w:r w:rsidR="006B5BBA" w:rsidRPr="006B5BBA">
        <w:instrText xml:space="preserve"> REF  _Ref338672155 \* Lower \h  \* MERGEFORMAT </w:instrText>
      </w:r>
      <w:r w:rsidR="006B5BBA" w:rsidRPr="006B5BBA">
        <w:fldChar w:fldCharType="separate"/>
      </w:r>
      <w:r w:rsidR="00751BC4" w:rsidRPr="00751BC4">
        <w:rPr>
          <w:lang w:val="en-AU"/>
        </w:rPr>
        <w:t xml:space="preserve">figure </w:t>
      </w:r>
      <w:r w:rsidR="00751BC4" w:rsidRPr="00751BC4">
        <w:rPr>
          <w:noProof/>
          <w:lang w:val="en-AU"/>
        </w:rPr>
        <w:t>27</w:t>
      </w:r>
      <w:r w:rsidR="006B5BBA" w:rsidRPr="006B5BBA">
        <w:fldChar w:fldCharType="end"/>
      </w:r>
      <w:r w:rsidR="00EB1E90">
        <w:rPr>
          <w:rFonts w:cs="Arial"/>
        </w:rPr>
        <w:t xml:space="preserve">). </w:t>
      </w:r>
      <w:r w:rsidR="001F517F">
        <w:rPr>
          <w:rFonts w:cs="Arial"/>
        </w:rPr>
        <w:t>In</w:t>
      </w:r>
      <w:r w:rsidR="00EB1E90">
        <w:rPr>
          <w:rFonts w:cs="Arial"/>
        </w:rPr>
        <w:t xml:space="preserve">shore areas </w:t>
      </w:r>
      <w:r w:rsidR="001C0826">
        <w:rPr>
          <w:rFonts w:cs="Arial"/>
        </w:rPr>
        <w:t xml:space="preserve">east and west of the existing material </w:t>
      </w:r>
      <w:r w:rsidR="001F517F">
        <w:rPr>
          <w:rFonts w:cs="Arial"/>
        </w:rPr>
        <w:t>placement site show</w:t>
      </w:r>
      <w:r w:rsidR="001C0826">
        <w:rPr>
          <w:rFonts w:cs="Arial"/>
        </w:rPr>
        <w:t xml:space="preserve"> </w:t>
      </w:r>
      <w:r w:rsidR="00EB1E90">
        <w:rPr>
          <w:rFonts w:cs="Arial"/>
        </w:rPr>
        <w:t>lower bed shear-stre</w:t>
      </w:r>
      <w:r w:rsidR="001F517F">
        <w:rPr>
          <w:rFonts w:cs="Arial"/>
        </w:rPr>
        <w:t>sses (i.e. more retentive zones;</w:t>
      </w:r>
      <w:r w:rsidR="00215BB7">
        <w:rPr>
          <w:rFonts w:cs="Arial"/>
        </w:rPr>
        <w:t xml:space="preserve"> </w:t>
      </w:r>
      <w:r w:rsidR="006B5BBA" w:rsidRPr="006B5BBA">
        <w:fldChar w:fldCharType="begin"/>
      </w:r>
      <w:r w:rsidR="006B5BBA" w:rsidRPr="006B5BBA">
        <w:instrText xml:space="preserve"> REF  _Ref338672155 \* Lower \h  \* MERGEFORMAT </w:instrText>
      </w:r>
      <w:r w:rsidR="006B5BBA" w:rsidRPr="006B5BBA">
        <w:fldChar w:fldCharType="separate"/>
      </w:r>
      <w:r w:rsidR="00751BC4" w:rsidRPr="00751BC4">
        <w:rPr>
          <w:lang w:val="en-AU"/>
        </w:rPr>
        <w:t xml:space="preserve">figure </w:t>
      </w:r>
      <w:r w:rsidR="00751BC4" w:rsidRPr="00751BC4">
        <w:rPr>
          <w:noProof/>
          <w:lang w:val="en-AU"/>
        </w:rPr>
        <w:t>27</w:t>
      </w:r>
      <w:r w:rsidR="006B5BBA" w:rsidRPr="006B5BBA">
        <w:fldChar w:fldCharType="end"/>
      </w:r>
      <w:r w:rsidR="00EB1E90">
        <w:rPr>
          <w:rFonts w:cs="Arial"/>
        </w:rPr>
        <w:t xml:space="preserve">). </w:t>
      </w:r>
      <w:r w:rsidR="001C0826" w:rsidRPr="007D6EB4">
        <w:rPr>
          <w:rFonts w:cs="Arial"/>
          <w:lang w:val="en-AU"/>
        </w:rPr>
        <w:t xml:space="preserve">The findings </w:t>
      </w:r>
      <w:r w:rsidR="001C0826">
        <w:rPr>
          <w:rFonts w:cs="Arial"/>
          <w:lang w:val="en-AU"/>
        </w:rPr>
        <w:t xml:space="preserve">from the modelling </w:t>
      </w:r>
      <w:r w:rsidR="001C0826" w:rsidRPr="007D6EB4">
        <w:rPr>
          <w:rFonts w:cs="Arial"/>
          <w:lang w:val="en-AU"/>
        </w:rPr>
        <w:t xml:space="preserve">correspond well with the </w:t>
      </w:r>
      <w:r w:rsidR="001C0826">
        <w:rPr>
          <w:rFonts w:cs="Arial"/>
          <w:lang w:val="en-AU"/>
        </w:rPr>
        <w:t>Geoscience Australia</w:t>
      </w:r>
      <w:r w:rsidR="001C0826" w:rsidRPr="007D6EB4">
        <w:rPr>
          <w:rFonts w:cs="Arial"/>
          <w:lang w:val="en-AU"/>
        </w:rPr>
        <w:t xml:space="preserve"> surface sediment maps, with sand contributions greater than 70</w:t>
      </w:r>
      <w:r w:rsidR="00383842">
        <w:rPr>
          <w:rFonts w:cs="Arial"/>
          <w:lang w:val="en-AU"/>
        </w:rPr>
        <w:t xml:space="preserve"> per cent</w:t>
      </w:r>
      <w:r w:rsidR="001C0826" w:rsidRPr="007D6EB4">
        <w:rPr>
          <w:rFonts w:cs="Arial"/>
          <w:lang w:val="en-AU"/>
        </w:rPr>
        <w:t xml:space="preserve"> </w:t>
      </w:r>
      <w:r w:rsidR="001C0826" w:rsidRPr="006B5BBA">
        <w:rPr>
          <w:rFonts w:cs="Arial"/>
          <w:lang w:val="en-AU"/>
        </w:rPr>
        <w:t>(</w:t>
      </w:r>
      <w:r w:rsidR="006B5BBA" w:rsidRPr="006B5BBA">
        <w:fldChar w:fldCharType="begin"/>
      </w:r>
      <w:r w:rsidR="006B5BBA" w:rsidRPr="006B5BBA">
        <w:instrText xml:space="preserve"> REF  _Ref338661625 \* Lower \h  \* MERGEFORMAT </w:instrText>
      </w:r>
      <w:r w:rsidR="006B5BBA" w:rsidRPr="006B5BBA">
        <w:fldChar w:fldCharType="separate"/>
      </w:r>
      <w:r w:rsidR="00751BC4" w:rsidRPr="00751BC4">
        <w:rPr>
          <w:lang w:val="en-AU"/>
        </w:rPr>
        <w:t xml:space="preserve">figure </w:t>
      </w:r>
      <w:r w:rsidR="00751BC4" w:rsidRPr="00751BC4">
        <w:rPr>
          <w:noProof/>
          <w:lang w:val="en-AU"/>
        </w:rPr>
        <w:t>28</w:t>
      </w:r>
      <w:r w:rsidR="006B5BBA" w:rsidRPr="006B5BBA">
        <w:fldChar w:fldCharType="end"/>
      </w:r>
      <w:r w:rsidR="001C0826" w:rsidRPr="007D6EB4">
        <w:rPr>
          <w:rFonts w:cs="Arial"/>
          <w:lang w:val="en-AU"/>
        </w:rPr>
        <w:t>).</w:t>
      </w:r>
    </w:p>
    <w:p w:rsidR="009715DB" w:rsidRPr="007D6EB4" w:rsidRDefault="001C0826" w:rsidP="00EC0510">
      <w:pPr>
        <w:pStyle w:val="StyleLeft"/>
        <w:rPr>
          <w:lang w:val="en-AU"/>
        </w:rPr>
      </w:pPr>
      <w:r>
        <w:rPr>
          <w:lang w:val="en-AU"/>
        </w:rPr>
        <w:t>During the extreme conditions (</w:t>
      </w:r>
      <w:r w:rsidR="009715DB" w:rsidRPr="007D6EB4">
        <w:rPr>
          <w:lang w:val="en-AU"/>
        </w:rPr>
        <w:t>95</w:t>
      </w:r>
      <w:r w:rsidR="009715DB" w:rsidRPr="007D6EB4">
        <w:rPr>
          <w:vertAlign w:val="superscript"/>
          <w:lang w:val="en-AU"/>
        </w:rPr>
        <w:t>th</w:t>
      </w:r>
      <w:r w:rsidR="009715DB" w:rsidRPr="007D6EB4">
        <w:rPr>
          <w:lang w:val="en-AU"/>
        </w:rPr>
        <w:t xml:space="preserve"> percentile estimates</w:t>
      </w:r>
      <w:r>
        <w:rPr>
          <w:lang w:val="en-AU"/>
        </w:rPr>
        <w:t>)</w:t>
      </w:r>
      <w:r w:rsidR="009715DB" w:rsidRPr="007D6EB4">
        <w:rPr>
          <w:lang w:val="en-AU"/>
        </w:rPr>
        <w:t xml:space="preserve"> </w:t>
      </w:r>
      <w:r>
        <w:rPr>
          <w:lang w:val="en-AU"/>
        </w:rPr>
        <w:t xml:space="preserve">the bed </w:t>
      </w:r>
      <w:r w:rsidR="003510FE">
        <w:rPr>
          <w:lang w:val="en-AU"/>
        </w:rPr>
        <w:t>shear-stress</w:t>
      </w:r>
      <w:r>
        <w:rPr>
          <w:lang w:val="en-AU"/>
        </w:rPr>
        <w:t xml:space="preserve"> levels </w:t>
      </w:r>
      <w:r w:rsidR="009715DB" w:rsidRPr="007D6EB4">
        <w:rPr>
          <w:lang w:val="en-AU"/>
        </w:rPr>
        <w:t xml:space="preserve">indicate that </w:t>
      </w:r>
      <w:r>
        <w:rPr>
          <w:lang w:val="en-AU"/>
        </w:rPr>
        <w:t xml:space="preserve">the entire study area becomes highly dispersive and that material up to </w:t>
      </w:r>
      <w:r w:rsidR="009715DB" w:rsidRPr="007D6EB4">
        <w:rPr>
          <w:lang w:val="en-AU"/>
        </w:rPr>
        <w:t>coarse sand</w:t>
      </w:r>
      <w:r w:rsidR="00244E0C">
        <w:rPr>
          <w:lang w:val="en-AU"/>
        </w:rPr>
        <w:t xml:space="preserve"> </w:t>
      </w:r>
      <w:r w:rsidR="009715DB" w:rsidRPr="007D6EB4">
        <w:rPr>
          <w:lang w:val="en-AU"/>
        </w:rPr>
        <w:t xml:space="preserve">would be mobilised periodically. </w:t>
      </w:r>
    </w:p>
    <w:p w:rsidR="001C5FFB" w:rsidRDefault="009715DB" w:rsidP="00EC0510">
      <w:pPr>
        <w:pStyle w:val="StyleLeft"/>
      </w:pPr>
      <w:r w:rsidRPr="007D6EB4">
        <w:rPr>
          <w:lang w:val="en-AU"/>
        </w:rPr>
        <w:lastRenderedPageBreak/>
        <w:t xml:space="preserve">The higher </w:t>
      </w:r>
      <w:r w:rsidR="00F7576C">
        <w:rPr>
          <w:lang w:val="en-AU"/>
        </w:rPr>
        <w:t>shear-stress</w:t>
      </w:r>
      <w:r w:rsidRPr="007D6EB4">
        <w:rPr>
          <w:lang w:val="en-AU"/>
        </w:rPr>
        <w:t xml:space="preserve"> levels over the deeper offshore waters are attributed primarily to current speeds, related to both tidal and drift currents. </w:t>
      </w:r>
      <w:r w:rsidRPr="007D6EB4">
        <w:rPr>
          <w:szCs w:val="22"/>
          <w:lang w:val="en-AU"/>
        </w:rPr>
        <w:t>Note that the 95</w:t>
      </w:r>
      <w:r w:rsidRPr="007D6EB4">
        <w:rPr>
          <w:szCs w:val="22"/>
          <w:vertAlign w:val="superscript"/>
          <w:lang w:val="en-AU"/>
        </w:rPr>
        <w:t>th</w:t>
      </w:r>
      <w:r w:rsidRPr="007D6EB4">
        <w:rPr>
          <w:szCs w:val="22"/>
          <w:lang w:val="en-AU"/>
        </w:rPr>
        <w:t xml:space="preserve"> percentile levels over the deeper offshore sections do not increase appreciably compared </w:t>
      </w:r>
      <w:r w:rsidR="00244E0C">
        <w:rPr>
          <w:szCs w:val="22"/>
          <w:lang w:val="en-AU"/>
        </w:rPr>
        <w:t>with</w:t>
      </w:r>
      <w:r w:rsidRPr="007D6EB4">
        <w:rPr>
          <w:szCs w:val="22"/>
          <w:lang w:val="en-AU"/>
        </w:rPr>
        <w:t xml:space="preserve"> the 50</w:t>
      </w:r>
      <w:r w:rsidRPr="007D6EB4">
        <w:rPr>
          <w:szCs w:val="22"/>
          <w:vertAlign w:val="superscript"/>
          <w:lang w:val="en-AU"/>
        </w:rPr>
        <w:t>th</w:t>
      </w:r>
      <w:r w:rsidRPr="007D6EB4">
        <w:rPr>
          <w:szCs w:val="22"/>
          <w:lang w:val="en-AU"/>
        </w:rPr>
        <w:t xml:space="preserve"> percentiles as these areas are too deep to be affected by swells.</w:t>
      </w:r>
      <w:r w:rsidR="00A564BF">
        <w:rPr>
          <w:szCs w:val="22"/>
          <w:lang w:val="en-AU"/>
        </w:rPr>
        <w:t xml:space="preserve"> The n</w:t>
      </w:r>
      <w:r w:rsidR="00A564BF">
        <w:t>et sediment transport is to the north</w:t>
      </w:r>
      <w:r w:rsidR="006B2E38">
        <w:t>-</w:t>
      </w:r>
      <w:r w:rsidR="00A564BF">
        <w:t>west.</w:t>
      </w:r>
    </w:p>
    <w:p w:rsidR="00436662" w:rsidRDefault="00436662" w:rsidP="00EC0510">
      <w:pPr>
        <w:pStyle w:val="StyleLeft"/>
      </w:pPr>
    </w:p>
    <w:p w:rsidR="009715DB" w:rsidRPr="007D6EB4" w:rsidRDefault="008A5C18" w:rsidP="00A6519A">
      <w:pPr>
        <w:spacing w:line="240" w:lineRule="auto"/>
        <w:rPr>
          <w:lang w:val="en-AU"/>
        </w:rPr>
      </w:pPr>
      <w:bookmarkStart w:id="94" w:name="_Ref338657485"/>
      <w:bookmarkStart w:id="95" w:name="_Toc338654426"/>
      <w:r w:rsidRPr="00C41728">
        <w:rPr>
          <w:noProof/>
          <w:lang w:val="en-AU" w:eastAsia="en-AU"/>
        </w:rPr>
        <w:drawing>
          <wp:inline distT="0" distB="0" distL="0" distR="0" wp14:anchorId="3FEC37CA" wp14:editId="64251487">
            <wp:extent cx="5400675" cy="3267075"/>
            <wp:effectExtent l="19050" t="19050" r="9525" b="9525"/>
            <wp:docPr id="107" name="Picture 107" descr="Figure 27 shows the 50th (average conditions) and 95th percentile bed shear-stress modelling results for the Gladstone study area. The modelling indicates high shear-stress levels (up to 0.259 Pa) for the majority of the Gladstone study area, which would have the potential to mobilise unconsolidated material up to coarse sand under average conditions. Inshore areas east and west of the existing material placement site show lower bed shear-stresses (i.e. more retentive zones)" title="Figure 27. Distribution of the 50th (upper image) and 95th (lower image) percentile bed shear-stress estimates within 50 km from the Port of Gladstone.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Q:\Projects\Q0110 GBRMPA-SKM QLD disposal site selection\8. Figures\Bed_Shear_Stress_Final_Maps\Gladstone_Bed shear_50th Perc.pn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400675" cy="3267075"/>
                    </a:xfrm>
                    <a:prstGeom prst="rect">
                      <a:avLst/>
                    </a:prstGeom>
                    <a:noFill/>
                    <a:ln>
                      <a:solidFill>
                        <a:schemeClr val="tx1"/>
                      </a:solidFill>
                    </a:ln>
                  </pic:spPr>
                </pic:pic>
              </a:graphicData>
            </a:graphic>
          </wp:inline>
        </w:drawing>
      </w:r>
      <w:r>
        <w:rPr>
          <w:noProof/>
          <w:lang w:val="en-AU" w:eastAsia="en-AU"/>
        </w:rPr>
        <w:drawing>
          <wp:inline distT="0" distB="0" distL="0" distR="0" wp14:anchorId="7D916F35" wp14:editId="4F64413C">
            <wp:extent cx="5353050" cy="3238500"/>
            <wp:effectExtent l="19050" t="19050" r="0" b="0"/>
            <wp:docPr id="108" name="Picture 108" descr="Figure 27 shows the 50th (average conditions) and 95th percentile bed shear-stress modelling results for the Gladstone study area. The modelling indicates high shear-stress levels (up to 0.259 Pa) for the majority of the Gladstone study area, which would have the potential to mobilise unconsolidated material up to coarse sand under average conditions. Inshore areas east and west of the existing material placement site show lower bed shear-stresses (i.e. more retentive zones)" title="Figure 27. Distribution of the 50th (upper image) and 95th (lower image) percentile bed shear-stress estimates within 50 km from the Port of Gladstone.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Q:\Projects\Q0110 GBRMPA-SKM QLD disposal site selection\8. Figures\Bed_Shear_Stress_Final_Maps\Gladstone_Bed shear_95th Perc.pn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p>
    <w:p w:rsidR="009715DB" w:rsidRPr="007D6EB4" w:rsidRDefault="009715DB" w:rsidP="00EC0510">
      <w:pPr>
        <w:pStyle w:val="Caption"/>
        <w:spacing w:line="240" w:lineRule="auto"/>
        <w:ind w:left="480" w:hanging="480"/>
        <w:jc w:val="left"/>
        <w:rPr>
          <w:lang w:val="en-AU" w:eastAsia="en-AU"/>
        </w:rPr>
      </w:pPr>
      <w:bookmarkStart w:id="96" w:name="_Ref338672155"/>
      <w:bookmarkStart w:id="97" w:name="_Toc361651510"/>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27</w:t>
      </w:r>
      <w:r w:rsidR="005F6FF5" w:rsidRPr="007D6EB4">
        <w:rPr>
          <w:b/>
          <w:lang w:val="en-AU"/>
        </w:rPr>
        <w:fldChar w:fldCharType="end"/>
      </w:r>
      <w:bookmarkEnd w:id="94"/>
      <w:bookmarkEnd w:id="96"/>
      <w:r w:rsidR="00E5277F">
        <w:rPr>
          <w:b/>
          <w:lang w:val="en-AU"/>
        </w:rPr>
        <w:t>.</w:t>
      </w:r>
      <w:r w:rsidRPr="007D6EB4">
        <w:rPr>
          <w:lang w:val="en-AU"/>
        </w:rPr>
        <w:t xml:space="preserve"> Distribution of the 50</w:t>
      </w:r>
      <w:r w:rsidRPr="007D6EB4">
        <w:rPr>
          <w:vertAlign w:val="superscript"/>
          <w:lang w:val="en-AU"/>
        </w:rPr>
        <w:t>th</w:t>
      </w:r>
      <w:r w:rsidRPr="007D6EB4">
        <w:rPr>
          <w:lang w:val="en-AU"/>
        </w:rPr>
        <w:t xml:space="preserve"> (upper image)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the Port of Gladstone.</w:t>
      </w:r>
      <w:r w:rsidR="0043422D">
        <w:rPr>
          <w:lang w:val="en-AU"/>
        </w:rPr>
        <w:t xml:space="preserve"> </w:t>
      </w:r>
      <w:r w:rsidRPr="007D6EB4">
        <w:rPr>
          <w:lang w:val="en-AU"/>
        </w:rPr>
        <w:t xml:space="preserve">The estimates were </w:t>
      </w:r>
      <w:r w:rsidRPr="007D6EB4">
        <w:rPr>
          <w:lang w:val="en-AU" w:eastAsia="en-AU"/>
        </w:rPr>
        <w:t>calculated at hourly steps for each grid cell during 2011 current and wave conditions.</w:t>
      </w:r>
      <w:r w:rsidRPr="007D6EB4">
        <w:rPr>
          <w:lang w:val="en-AU"/>
        </w:rPr>
        <w:t xml:space="preserve"> 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95"/>
      <w:bookmarkEnd w:id="97"/>
    </w:p>
    <w:p w:rsidR="009715DB" w:rsidRPr="007D6EB4" w:rsidRDefault="005416E9" w:rsidP="00A6519A">
      <w:pPr>
        <w:spacing w:line="240" w:lineRule="auto"/>
        <w:rPr>
          <w:lang w:val="en-AU" w:eastAsia="en-AU"/>
        </w:rPr>
      </w:pPr>
      <w:r w:rsidRPr="006A22FE">
        <w:rPr>
          <w:noProof/>
          <w:bdr w:val="single" w:sz="4" w:space="0" w:color="auto"/>
          <w:lang w:val="en-AU" w:eastAsia="en-AU"/>
        </w:rPr>
        <w:lastRenderedPageBreak/>
        <w:drawing>
          <wp:inline distT="0" distB="0" distL="0" distR="0" wp14:anchorId="224269B5" wp14:editId="68DE0557">
            <wp:extent cx="5396865" cy="3270250"/>
            <wp:effectExtent l="0" t="0" r="0" b="0"/>
            <wp:docPr id="5" name="Picture 5" descr="The findings from the modelling correspond well with the Geoscience Australia surface sediment maps, with sand contributions greater than 70%. During the extreme conditions (95th percentile estimates) the bed shear-stress levels indicate that the entire study area becomes highly dispersive and that material up to coarse sand would be mobilised periodically. The higher shear-stress levels over the deeper offshore waters are attributed primarily to current speeds, related to both tidal and drift currents. Note that the 95th percentile levels over the deeper offshore sections do not increase appreciably compared with the 50th percentiles as these areas are too deep to be affected by swells. The net sediment transport is to the northwest." title="Figure 28. Percentage of clay-silt (upper image) and sand (lower image) content in surface sediments within 50 km from the Port of Gladstone. (source: Geoscience Australia marine samples database 200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_Exchange\delete\Revised\Gladstone_%Mud.pn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287FCA7A" wp14:editId="49876510">
            <wp:extent cx="5347335" cy="3240405"/>
            <wp:effectExtent l="0" t="0" r="0" b="0"/>
            <wp:docPr id="4" name="Picture 4" descr="The findings from the modelling correspond well with the Geoscience Australia surface sediment maps, with sand contributions greater than 70%. During the extreme conditions (95th percentile estimates) the bed shear-stress levels indicate that the entire study area becomes highly dispersive and that material up to coarse sand would be mobilised periodically. The higher shear-stress levels over the deeper offshore waters are attributed primarily to current speeds, related to both tidal and drift currents. Note that the 95th percentile levels over the deeper offshore sections do not increase appreciably compared with the 50th percentiles as these areas are too deep to be affected by swells. The net sediment transport is to the northwest." title="Figure 28. Percentage of clay-silt (upper image) and sand (lower image) content in surface sediments within 50 km from the Port of Gladstone. (source: Geoscience Australia marine samples database 200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_Exchange\delete\Revised\Gladstone_%Sand.pn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347335" cy="3240405"/>
                    </a:xfrm>
                    <a:prstGeom prst="rect">
                      <a:avLst/>
                    </a:prstGeom>
                    <a:noFill/>
                    <a:ln>
                      <a:noFill/>
                    </a:ln>
                  </pic:spPr>
                </pic:pic>
              </a:graphicData>
            </a:graphic>
          </wp:inline>
        </w:drawing>
      </w:r>
    </w:p>
    <w:p w:rsidR="009715DB" w:rsidRPr="007D6EB4" w:rsidRDefault="009715DB" w:rsidP="00EC0510">
      <w:pPr>
        <w:pStyle w:val="Caption"/>
        <w:spacing w:line="240" w:lineRule="auto"/>
        <w:ind w:left="480" w:hanging="480"/>
        <w:jc w:val="left"/>
        <w:rPr>
          <w:lang w:val="en-AU" w:eastAsia="en-AU"/>
        </w:rPr>
      </w:pPr>
      <w:bookmarkStart w:id="98" w:name="_Ref338661625"/>
      <w:bookmarkStart w:id="99" w:name="_Toc361651511"/>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28</w:t>
      </w:r>
      <w:r w:rsidR="005F6FF5" w:rsidRPr="007D6EB4">
        <w:rPr>
          <w:b/>
          <w:lang w:val="en-AU"/>
        </w:rPr>
        <w:fldChar w:fldCharType="end"/>
      </w:r>
      <w:bookmarkEnd w:id="98"/>
      <w:r w:rsidR="00E5277F">
        <w:rPr>
          <w:b/>
          <w:lang w:val="en-AU"/>
        </w:rPr>
        <w:t>.</w:t>
      </w:r>
      <w:r w:rsidRPr="007D6EB4">
        <w:rPr>
          <w:lang w:val="en-AU"/>
        </w:rPr>
        <w:t xml:space="preserve"> Percentage of </w:t>
      </w:r>
      <w:r w:rsidR="00B271C6">
        <w:rPr>
          <w:lang w:val="en-AU"/>
        </w:rPr>
        <w:t>clay-silt</w:t>
      </w:r>
      <w:r w:rsidRPr="007D6EB4">
        <w:rPr>
          <w:lang w:val="en-AU"/>
        </w:rPr>
        <w:t xml:space="preserve"> (upper image) and sand (lower image) content in surface sediments within </w:t>
      </w:r>
      <w:r w:rsidR="002C78DC">
        <w:rPr>
          <w:lang w:val="en-AU"/>
        </w:rPr>
        <w:t>50 km</w:t>
      </w:r>
      <w:r w:rsidRPr="007D6EB4">
        <w:rPr>
          <w:lang w:val="en-AU"/>
        </w:rPr>
        <w:t xml:space="preserve"> from the Port of Gladstone</w:t>
      </w:r>
      <w:r w:rsidR="0043422D">
        <w:rPr>
          <w:lang w:val="en-AU"/>
        </w:rPr>
        <w:t xml:space="preserve"> </w:t>
      </w:r>
      <w:r w:rsidRPr="007D6EB4">
        <w:rPr>
          <w:lang w:val="en-AU"/>
        </w:rPr>
        <w:t>(source: Geoscience Australia marine samples database 2007).</w:t>
      </w:r>
      <w:bookmarkEnd w:id="99"/>
      <w:r w:rsidRPr="007D6EB4">
        <w:rPr>
          <w:lang w:val="en-AU"/>
        </w:rPr>
        <w:t xml:space="preserve"> </w:t>
      </w:r>
    </w:p>
    <w:p w:rsidR="009715DB" w:rsidRPr="007D6EB4" w:rsidRDefault="009715DB" w:rsidP="00617543">
      <w:pPr>
        <w:spacing w:after="0" w:line="240" w:lineRule="auto"/>
        <w:jc w:val="left"/>
        <w:rPr>
          <w:lang w:val="en-AU" w:eastAsia="en-AU"/>
        </w:rPr>
      </w:pPr>
      <w:r w:rsidRPr="007D6EB4">
        <w:rPr>
          <w:lang w:val="en-AU" w:eastAsia="en-AU"/>
        </w:rPr>
        <w:br w:type="page"/>
      </w:r>
    </w:p>
    <w:p w:rsidR="009715DB" w:rsidRPr="007D6EB4" w:rsidRDefault="00DE74C2" w:rsidP="00E46224">
      <w:pPr>
        <w:pStyle w:val="Heading2"/>
        <w:rPr>
          <w:lang w:eastAsia="en-AU"/>
        </w:rPr>
      </w:pPr>
      <w:bookmarkStart w:id="100" w:name="_Toc338665908"/>
      <w:bookmarkStart w:id="101" w:name="_Toc361929988"/>
      <w:r>
        <w:rPr>
          <w:lang w:eastAsia="en-AU"/>
        </w:rPr>
        <w:lastRenderedPageBreak/>
        <w:t>Rosslyn</w:t>
      </w:r>
      <w:r w:rsidR="009715DB" w:rsidRPr="007D6EB4">
        <w:rPr>
          <w:lang w:eastAsia="en-AU"/>
        </w:rPr>
        <w:t xml:space="preserve"> Bay </w:t>
      </w:r>
      <w:bookmarkEnd w:id="100"/>
      <w:r w:rsidR="002E03C6">
        <w:rPr>
          <w:lang w:eastAsia="en-AU"/>
        </w:rPr>
        <w:t>State Boat Harbour</w:t>
      </w:r>
      <w:bookmarkEnd w:id="101"/>
    </w:p>
    <w:p w:rsidR="009715DB" w:rsidRPr="007D6EB4" w:rsidRDefault="009715DB" w:rsidP="00EC0510">
      <w:pPr>
        <w:pStyle w:val="StyleLeft"/>
        <w:rPr>
          <w:rFonts w:cs="Arial"/>
          <w:lang w:val="en-AU"/>
        </w:rPr>
      </w:pPr>
      <w:r w:rsidRPr="007D6EB4">
        <w:rPr>
          <w:lang w:val="en-AU"/>
        </w:rPr>
        <w:t>The 50</w:t>
      </w:r>
      <w:r w:rsidRPr="007D6EB4">
        <w:rPr>
          <w:vertAlign w:val="superscript"/>
          <w:lang w:val="en-AU"/>
        </w:rPr>
        <w:t>th</w:t>
      </w:r>
      <w:r w:rsidRPr="007D6EB4">
        <w:rPr>
          <w:lang w:val="en-AU"/>
        </w:rPr>
        <w:t xml:space="preserve"> and 95</w:t>
      </w:r>
      <w:r w:rsidRPr="007D6EB4">
        <w:rPr>
          <w:vertAlign w:val="superscript"/>
          <w:lang w:val="en-AU"/>
        </w:rPr>
        <w:t>th</w:t>
      </w:r>
      <w:r w:rsidRPr="007D6EB4">
        <w:rPr>
          <w:lang w:val="en-AU"/>
        </w:rPr>
        <w:t xml:space="preserve"> percentile </w:t>
      </w:r>
      <w:r w:rsidR="00F7576C">
        <w:rPr>
          <w:lang w:val="en-AU"/>
        </w:rPr>
        <w:t>shear-stress</w:t>
      </w:r>
      <w:r w:rsidRPr="007D6EB4">
        <w:rPr>
          <w:lang w:val="en-AU"/>
        </w:rPr>
        <w:t xml:space="preserve"> calculations within </w:t>
      </w:r>
      <w:r w:rsidR="002C78DC">
        <w:rPr>
          <w:lang w:val="en-AU"/>
        </w:rPr>
        <w:t>50 km</w:t>
      </w:r>
      <w:r w:rsidRPr="007D6EB4">
        <w:rPr>
          <w:lang w:val="en-AU"/>
        </w:rPr>
        <w:t xml:space="preserve"> from </w:t>
      </w:r>
      <w:r w:rsidR="00DE74C2">
        <w:rPr>
          <w:lang w:val="en-AU"/>
        </w:rPr>
        <w:t>Rosslyn</w:t>
      </w:r>
      <w:r w:rsidRPr="007D6EB4">
        <w:rPr>
          <w:lang w:val="en-AU"/>
        </w:rPr>
        <w:t xml:space="preserve"> Bay </w:t>
      </w:r>
      <w:r w:rsidR="002E03C6">
        <w:rPr>
          <w:lang w:val="en-AU"/>
        </w:rPr>
        <w:t>State Boat Harbour</w:t>
      </w:r>
      <w:r w:rsidRPr="007D6EB4">
        <w:rPr>
          <w:lang w:val="en-AU"/>
        </w:rPr>
        <w:t xml:space="preserve"> are presented in</w:t>
      </w:r>
      <w:r w:rsidRPr="006B5BBA">
        <w:rPr>
          <w:lang w:val="en-AU"/>
        </w:rPr>
        <w:t xml:space="preserve"> </w:t>
      </w:r>
      <w:r w:rsidR="006B5BBA" w:rsidRPr="006B5BBA">
        <w:fldChar w:fldCharType="begin"/>
      </w:r>
      <w:r w:rsidR="006B5BBA" w:rsidRPr="006B5BBA">
        <w:instrText xml:space="preserve"> REF  _Ref338679678 \* Lower \h  \* MERGEFORMAT </w:instrText>
      </w:r>
      <w:r w:rsidR="006B5BBA" w:rsidRPr="006B5BBA">
        <w:fldChar w:fldCharType="separate"/>
      </w:r>
      <w:r w:rsidR="00751BC4" w:rsidRPr="00751BC4">
        <w:rPr>
          <w:lang w:val="en-AU"/>
        </w:rPr>
        <w:t xml:space="preserve">figure </w:t>
      </w:r>
      <w:r w:rsidR="00751BC4" w:rsidRPr="00751BC4">
        <w:rPr>
          <w:noProof/>
          <w:lang w:val="en-AU"/>
        </w:rPr>
        <w:t>29</w:t>
      </w:r>
      <w:r w:rsidR="006B5BBA" w:rsidRPr="006B5BBA">
        <w:fldChar w:fldCharType="end"/>
      </w:r>
      <w:r w:rsidRPr="007D6EB4">
        <w:rPr>
          <w:lang w:val="en-AU"/>
        </w:rPr>
        <w:t>. The 50</w:t>
      </w:r>
      <w:r w:rsidRPr="007D6EB4">
        <w:rPr>
          <w:vertAlign w:val="superscript"/>
          <w:lang w:val="en-AU"/>
        </w:rPr>
        <w:t>th</w:t>
      </w:r>
      <w:r w:rsidRPr="007D6EB4">
        <w:rPr>
          <w:lang w:val="en-AU"/>
        </w:rPr>
        <w:t xml:space="preserve"> percentile map indicates that the </w:t>
      </w:r>
      <w:r w:rsidR="000071D0">
        <w:rPr>
          <w:lang w:val="en-AU"/>
        </w:rPr>
        <w:t xml:space="preserve">bed </w:t>
      </w:r>
      <w:r w:rsidR="00F7576C">
        <w:rPr>
          <w:lang w:val="en-AU"/>
        </w:rPr>
        <w:t>shear-stress</w:t>
      </w:r>
      <w:r w:rsidRPr="007D6EB4">
        <w:rPr>
          <w:lang w:val="en-AU"/>
        </w:rPr>
        <w:t xml:space="preserve"> </w:t>
      </w:r>
      <w:r w:rsidR="000071D0">
        <w:rPr>
          <w:lang w:val="en-AU"/>
        </w:rPr>
        <w:t xml:space="preserve">at the </w:t>
      </w:r>
      <w:r w:rsidRPr="007D6EB4">
        <w:rPr>
          <w:lang w:val="en-AU"/>
        </w:rPr>
        <w:t xml:space="preserve">existing </w:t>
      </w:r>
      <w:r w:rsidR="000071D0">
        <w:rPr>
          <w:lang w:val="en-AU"/>
        </w:rPr>
        <w:t xml:space="preserve">material placement site </w:t>
      </w:r>
      <w:r w:rsidR="00244E0C">
        <w:rPr>
          <w:lang w:val="en-AU"/>
        </w:rPr>
        <w:t xml:space="preserve">is </w:t>
      </w:r>
      <w:r w:rsidR="000071D0">
        <w:rPr>
          <w:lang w:val="en-AU"/>
        </w:rPr>
        <w:t xml:space="preserve">reasonably retentive </w:t>
      </w:r>
      <w:r w:rsidR="007C2E04">
        <w:rPr>
          <w:lang w:val="en-AU"/>
        </w:rPr>
        <w:t xml:space="preserve">(up to 0.0091 Pa) </w:t>
      </w:r>
      <w:r w:rsidR="000071D0">
        <w:rPr>
          <w:lang w:val="en-AU"/>
        </w:rPr>
        <w:t>and</w:t>
      </w:r>
      <w:r w:rsidRPr="007D6EB4">
        <w:rPr>
          <w:lang w:val="en-AU"/>
        </w:rPr>
        <w:t xml:space="preserve"> will be stable for sediments larger than fine silt. </w:t>
      </w:r>
      <w:r w:rsidR="000071D0">
        <w:rPr>
          <w:lang w:val="en-AU"/>
        </w:rPr>
        <w:t xml:space="preserve">By moving offshore the levels increase </w:t>
      </w:r>
      <w:r w:rsidR="007C2E04">
        <w:rPr>
          <w:lang w:val="en-AU"/>
        </w:rPr>
        <w:t xml:space="preserve">significantly and </w:t>
      </w:r>
      <w:r w:rsidR="007C2E04">
        <w:rPr>
          <w:rFonts w:cs="Arial"/>
          <w:lang w:val="en-AU"/>
        </w:rPr>
        <w:t xml:space="preserve">would have the </w:t>
      </w:r>
      <w:r w:rsidRPr="007D6EB4">
        <w:rPr>
          <w:rFonts w:cs="Arial"/>
          <w:lang w:val="en-AU"/>
        </w:rPr>
        <w:t xml:space="preserve">potential </w:t>
      </w:r>
      <w:r w:rsidR="007C2E04">
        <w:rPr>
          <w:rFonts w:cs="Arial"/>
          <w:lang w:val="en-AU"/>
        </w:rPr>
        <w:t xml:space="preserve">to </w:t>
      </w:r>
      <w:r w:rsidRPr="007D6EB4">
        <w:rPr>
          <w:rFonts w:cs="Arial"/>
          <w:lang w:val="en-AU"/>
        </w:rPr>
        <w:t xml:space="preserve">mobilise </w:t>
      </w:r>
      <w:r w:rsidR="007C2E04">
        <w:rPr>
          <w:rFonts w:cs="Arial"/>
          <w:lang w:val="en-AU"/>
        </w:rPr>
        <w:t>unconsolidated fine and coarse sand</w:t>
      </w:r>
      <w:r w:rsidRPr="007D6EB4">
        <w:rPr>
          <w:rFonts w:cs="Arial"/>
          <w:lang w:val="en-AU"/>
        </w:rPr>
        <w:t xml:space="preserve">. </w:t>
      </w:r>
    </w:p>
    <w:p w:rsidR="0003128D" w:rsidRPr="007D6EB4" w:rsidRDefault="0003128D" w:rsidP="00EC0510">
      <w:pPr>
        <w:pStyle w:val="StyleLeft"/>
        <w:rPr>
          <w:lang w:val="en-AU"/>
        </w:rPr>
      </w:pPr>
      <w:r w:rsidRPr="007D6EB4">
        <w:rPr>
          <w:lang w:val="en-AU"/>
        </w:rPr>
        <w:t>These findings correspond well with the G</w:t>
      </w:r>
      <w:r>
        <w:rPr>
          <w:lang w:val="en-AU"/>
        </w:rPr>
        <w:t xml:space="preserve">eoscience </w:t>
      </w:r>
      <w:r w:rsidRPr="007D6EB4">
        <w:rPr>
          <w:lang w:val="en-AU"/>
        </w:rPr>
        <w:t>A</w:t>
      </w:r>
      <w:r>
        <w:rPr>
          <w:lang w:val="en-AU"/>
        </w:rPr>
        <w:t>ustralia</w:t>
      </w:r>
      <w:r w:rsidRPr="007D6EB4">
        <w:rPr>
          <w:lang w:val="en-AU"/>
        </w:rPr>
        <w:t xml:space="preserve"> surface sediment maps </w:t>
      </w:r>
      <w:r>
        <w:rPr>
          <w:lang w:val="en-AU"/>
        </w:rPr>
        <w:t>which</w:t>
      </w:r>
      <w:r w:rsidRPr="007D6EB4">
        <w:rPr>
          <w:lang w:val="en-AU"/>
        </w:rPr>
        <w:t xml:space="preserve"> show sand contributions greater than 85</w:t>
      </w:r>
      <w:r w:rsidR="00383842">
        <w:rPr>
          <w:lang w:val="en-AU"/>
        </w:rPr>
        <w:t xml:space="preserve"> per cent</w:t>
      </w:r>
      <w:r w:rsidRPr="007D6EB4">
        <w:rPr>
          <w:lang w:val="en-AU"/>
        </w:rPr>
        <w:t xml:space="preserve"> of surface sediments </w:t>
      </w:r>
      <w:r w:rsidRPr="006B5BBA">
        <w:rPr>
          <w:lang w:val="en-AU"/>
        </w:rPr>
        <w:t>(</w:t>
      </w:r>
      <w:r w:rsidR="006B5BBA" w:rsidRPr="006B5BBA">
        <w:fldChar w:fldCharType="begin"/>
      </w:r>
      <w:r w:rsidR="006B5BBA" w:rsidRPr="006B5BBA">
        <w:instrText xml:space="preserve"> REF  _Ref338663301 \* Lower \h  \* MERGEFORMAT </w:instrText>
      </w:r>
      <w:r w:rsidR="006B5BBA" w:rsidRPr="006B5BBA">
        <w:fldChar w:fldCharType="separate"/>
      </w:r>
      <w:r w:rsidR="00751BC4" w:rsidRPr="00751BC4">
        <w:rPr>
          <w:lang w:val="en-AU"/>
        </w:rPr>
        <w:t xml:space="preserve">figure </w:t>
      </w:r>
      <w:r w:rsidR="00751BC4" w:rsidRPr="00751BC4">
        <w:rPr>
          <w:noProof/>
          <w:lang w:val="en-AU"/>
        </w:rPr>
        <w:t>30</w:t>
      </w:r>
      <w:r w:rsidR="006B5BBA" w:rsidRPr="006B5BBA">
        <w:fldChar w:fldCharType="end"/>
      </w:r>
      <w:r w:rsidRPr="007D6EB4">
        <w:rPr>
          <w:lang w:val="en-AU"/>
        </w:rPr>
        <w:t>), indicating that the surface is periodically re</w:t>
      </w:r>
      <w:r>
        <w:rPr>
          <w:lang w:val="en-AU"/>
        </w:rPr>
        <w:t>-</w:t>
      </w:r>
      <w:r w:rsidRPr="007D6EB4">
        <w:rPr>
          <w:lang w:val="en-AU"/>
        </w:rPr>
        <w:t>sorted.</w:t>
      </w:r>
      <w:r>
        <w:rPr>
          <w:lang w:val="en-AU"/>
        </w:rPr>
        <w:t xml:space="preserve"> </w:t>
      </w:r>
      <w:r>
        <w:t>Net sediment transport within the region is in a north-western direction.</w:t>
      </w:r>
    </w:p>
    <w:p w:rsidR="00A564BF" w:rsidRPr="007D6EB4" w:rsidRDefault="009715DB" w:rsidP="00EC0510">
      <w:pPr>
        <w:pStyle w:val="StyleLeft"/>
        <w:rPr>
          <w:lang w:val="en-AU"/>
        </w:rPr>
      </w:pPr>
      <w:r w:rsidRPr="007D6EB4">
        <w:rPr>
          <w:lang w:val="en-AU"/>
        </w:rPr>
        <w:t>An assessment of the 95</w:t>
      </w:r>
      <w:r w:rsidRPr="007D6EB4">
        <w:rPr>
          <w:vertAlign w:val="superscript"/>
          <w:lang w:val="en-AU"/>
        </w:rPr>
        <w:t>th</w:t>
      </w:r>
      <w:r w:rsidRPr="007D6EB4">
        <w:rPr>
          <w:lang w:val="en-AU"/>
        </w:rPr>
        <w:t xml:space="preserve"> percentile stress distributions indicates that </w:t>
      </w:r>
      <w:r w:rsidR="0003128D">
        <w:rPr>
          <w:lang w:val="en-AU"/>
        </w:rPr>
        <w:t>sediments</w:t>
      </w:r>
      <w:r w:rsidR="0003128D" w:rsidRPr="007D6EB4">
        <w:rPr>
          <w:lang w:val="en-AU"/>
        </w:rPr>
        <w:t xml:space="preserve"> </w:t>
      </w:r>
      <w:r w:rsidRPr="007D6EB4">
        <w:rPr>
          <w:lang w:val="en-AU"/>
        </w:rPr>
        <w:t xml:space="preserve">as large as coarse sand could be periodically mobilised over any location offshore from the port </w:t>
      </w:r>
      <w:r w:rsidR="0003128D">
        <w:rPr>
          <w:lang w:val="en-AU"/>
        </w:rPr>
        <w:t xml:space="preserve">and </w:t>
      </w:r>
      <w:r w:rsidRPr="007D6EB4">
        <w:rPr>
          <w:lang w:val="en-AU"/>
        </w:rPr>
        <w:t>that there would be no locations where dredged deposits would remain stable under the range of ambient conditions that are likely to occur.</w:t>
      </w:r>
    </w:p>
    <w:p w:rsidR="009715DB" w:rsidRPr="007D6EB4" w:rsidRDefault="009715DB" w:rsidP="00617543">
      <w:pPr>
        <w:spacing w:after="0" w:line="240" w:lineRule="auto"/>
        <w:jc w:val="left"/>
        <w:rPr>
          <w:lang w:val="en-AU" w:eastAsia="en-AU"/>
        </w:rPr>
      </w:pPr>
      <w:r w:rsidRPr="007D6EB4">
        <w:rPr>
          <w:lang w:val="en-AU" w:eastAsia="en-AU"/>
        </w:rPr>
        <w:br w:type="page"/>
      </w:r>
    </w:p>
    <w:p w:rsidR="009715DB" w:rsidRPr="007D6EB4" w:rsidRDefault="008A5C18" w:rsidP="00A6519A">
      <w:pPr>
        <w:spacing w:line="240" w:lineRule="auto"/>
        <w:rPr>
          <w:lang w:val="en-AU"/>
        </w:rPr>
      </w:pPr>
      <w:bookmarkStart w:id="102" w:name="_Ref338661756"/>
      <w:bookmarkStart w:id="103" w:name="_Toc338654427"/>
      <w:r w:rsidRPr="00C41728">
        <w:rPr>
          <w:noProof/>
          <w:lang w:val="en-AU" w:eastAsia="en-AU"/>
        </w:rPr>
        <w:lastRenderedPageBreak/>
        <w:drawing>
          <wp:inline distT="0" distB="0" distL="0" distR="0" wp14:anchorId="6540C12C" wp14:editId="003F93D9">
            <wp:extent cx="5353050" cy="3238500"/>
            <wp:effectExtent l="19050" t="19050" r="0" b="0"/>
            <wp:docPr id="112" name="Picture 112" descr="Figure 29 shows that the 50th and 95th percentile shear-stress calculations within 50 km from Rosslyn Bay Marina. The 50th percentile map indicates that the bed shear-stress at the existing material placement site is reasonably retentive (up to 0.0091 Pa) and will be stable for sediments larger than fine silt. By moving offshore the levels increase significantly and would have the potential to mobilise unconsolidated fine and coarse sand." title="Figure 29. Distribution of the 50th (upper) and 95th (lower image) percentile bed shear-stress estimates within 50 km from Rosslyn Bay Marina.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Q:\Projects\Q0110 GBRMPA-SKM QLD disposal site selection\8. Figures\Bed_Shear_Stress_Final_Maps\Rosslyn Bay_Bed shear_50th Perc.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r>
        <w:rPr>
          <w:noProof/>
          <w:lang w:val="en-AU" w:eastAsia="en-AU"/>
        </w:rPr>
        <w:drawing>
          <wp:inline distT="0" distB="0" distL="0" distR="0" wp14:anchorId="22179DA9" wp14:editId="7F082E37">
            <wp:extent cx="5353050" cy="3238500"/>
            <wp:effectExtent l="19050" t="19050" r="0" b="0"/>
            <wp:docPr id="113" name="Picture 113" descr="Figure 29 shows that the 50th and 95th percentile shear-stress calculations within 50 km from Rosslyn Bay Marina. The 50th percentile map indicates that the bed shear-stress at the existing material placement site is reasonably retentive (up to 0.0091 Pa) and will be stable for sediments larger than fine silt. By moving offshore the levels increase significantly and would have the potential to mobilise unconsolidated fine and coarse sand." title="Figure 29. Distribution of the 50th (upper) and 95th (lower image) percentile bed shear-stress estimates within 50 km from Rosslyn Bay Marina.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Q:\Projects\Q0110 GBRMPA-SKM QLD disposal site selection\8. Figures\Bed_Shear_Stress_Final_Maps\Rosslyn Bay_Bed shear_95th Perc.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p>
    <w:p w:rsidR="009715DB" w:rsidRPr="007D6EB4" w:rsidRDefault="009715DB" w:rsidP="00EC0510">
      <w:pPr>
        <w:pStyle w:val="Caption"/>
        <w:spacing w:line="240" w:lineRule="auto"/>
        <w:ind w:left="480" w:hanging="480"/>
        <w:jc w:val="left"/>
        <w:rPr>
          <w:lang w:val="en-AU" w:eastAsia="en-AU"/>
        </w:rPr>
      </w:pPr>
      <w:bookmarkStart w:id="104" w:name="_Ref338679678"/>
      <w:bookmarkStart w:id="105" w:name="_Toc361651512"/>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29</w:t>
      </w:r>
      <w:r w:rsidR="005F6FF5" w:rsidRPr="007D6EB4">
        <w:rPr>
          <w:b/>
          <w:lang w:val="en-AU"/>
        </w:rPr>
        <w:fldChar w:fldCharType="end"/>
      </w:r>
      <w:bookmarkEnd w:id="102"/>
      <w:bookmarkEnd w:id="104"/>
      <w:r w:rsidR="00E5277F">
        <w:rPr>
          <w:b/>
          <w:lang w:val="en-AU"/>
        </w:rPr>
        <w:t>.</w:t>
      </w:r>
      <w:r w:rsidRPr="007D6EB4">
        <w:rPr>
          <w:lang w:val="en-AU"/>
        </w:rPr>
        <w:t xml:space="preserve"> Distribution of the 50</w:t>
      </w:r>
      <w:r w:rsidRPr="007D6EB4">
        <w:rPr>
          <w:vertAlign w:val="superscript"/>
          <w:lang w:val="en-AU"/>
        </w:rPr>
        <w:t>th</w:t>
      </w:r>
      <w:r w:rsidRPr="007D6EB4">
        <w:rPr>
          <w:lang w:val="en-AU"/>
        </w:rPr>
        <w:t xml:space="preserve"> (upper)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w:t>
      </w:r>
      <w:r w:rsidR="00DE74C2">
        <w:rPr>
          <w:lang w:val="en-AU"/>
        </w:rPr>
        <w:t>Rosslyn</w:t>
      </w:r>
      <w:r w:rsidRPr="007D6EB4">
        <w:rPr>
          <w:lang w:val="en-AU"/>
        </w:rPr>
        <w:t xml:space="preserve"> Bay </w:t>
      </w:r>
      <w:r w:rsidR="00083B18">
        <w:rPr>
          <w:lang w:val="en-AU"/>
        </w:rPr>
        <w:t>State Boat Harbour</w:t>
      </w:r>
      <w:r w:rsidRPr="007D6EB4">
        <w:rPr>
          <w:lang w:val="en-AU"/>
        </w:rPr>
        <w:t>.</w:t>
      </w:r>
      <w:r w:rsidR="0043422D">
        <w:rPr>
          <w:lang w:val="en-AU"/>
        </w:rPr>
        <w:t xml:space="preserve"> </w:t>
      </w:r>
      <w:r w:rsidRPr="007D6EB4">
        <w:rPr>
          <w:lang w:val="en-AU"/>
        </w:rPr>
        <w:t xml:space="preserve">The estimates were </w:t>
      </w:r>
      <w:r w:rsidRPr="007D6EB4">
        <w:rPr>
          <w:lang w:val="en-AU" w:eastAsia="en-AU"/>
        </w:rPr>
        <w:t xml:space="preserve">calculated at hourly steps for each grid cell during 2011 current and wave conditions. </w:t>
      </w:r>
      <w:r w:rsidRPr="007D6EB4">
        <w:rPr>
          <w:lang w:val="en-AU"/>
        </w:rPr>
        <w:t xml:space="preserve">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103"/>
      <w:bookmarkEnd w:id="105"/>
    </w:p>
    <w:p w:rsidR="009715DB" w:rsidRPr="007D6EB4" w:rsidRDefault="009715DB" w:rsidP="00617543">
      <w:pPr>
        <w:pStyle w:val="Para0"/>
        <w:rPr>
          <w:lang w:val="en-AU" w:eastAsia="en-AU"/>
        </w:rPr>
      </w:pPr>
    </w:p>
    <w:p w:rsidR="009715DB" w:rsidRPr="007D6EB4" w:rsidRDefault="009715DB" w:rsidP="00617543">
      <w:pPr>
        <w:pStyle w:val="Para0"/>
        <w:rPr>
          <w:b/>
          <w:sz w:val="4"/>
          <w:szCs w:val="4"/>
          <w:lang w:val="en-AU" w:eastAsia="en-AU"/>
        </w:rPr>
      </w:pPr>
    </w:p>
    <w:p w:rsidR="009715DB" w:rsidRPr="007D6EB4" w:rsidRDefault="005416E9" w:rsidP="00A6519A">
      <w:pPr>
        <w:spacing w:line="240" w:lineRule="auto"/>
        <w:rPr>
          <w:lang w:val="en-AU" w:eastAsia="en-AU"/>
        </w:rPr>
      </w:pPr>
      <w:r w:rsidRPr="006A22FE">
        <w:rPr>
          <w:noProof/>
          <w:bdr w:val="single" w:sz="4" w:space="0" w:color="auto"/>
          <w:lang w:val="en-AU" w:eastAsia="en-AU"/>
        </w:rPr>
        <w:lastRenderedPageBreak/>
        <w:drawing>
          <wp:inline distT="0" distB="0" distL="0" distR="0" wp14:anchorId="1F032A98" wp14:editId="5785CF20">
            <wp:extent cx="5396865" cy="3270250"/>
            <wp:effectExtent l="0" t="0" r="0" b="0"/>
            <wp:docPr id="8" name="Picture 8" descr="Figure 30 shows Geoscience Australia surface sediment maps  within 50km  from Rosslyn Bay Marina which show sand contributions greater than 85% of surface sediments (indicating that the surface is periodically re-sorted. Net sediment transport within the region is in a north-western direction.An assessment of the 95th percentile stress distributions indicates that sediments as large as coarse sand could be periodically mobilised over any location offshore from the port and that there would be no locations where dredged deposits would remain stable under the range of ambient conditions that are likely to occur" title="Figure 30. Percentage for clay-silt (upper image) and sand (lower image) content in surface sediments within 50 km from Rosslyn Bay Marina.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_Exchange\delete\Revised\Rosslyn Bay_%Mud.pn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4367EA86" wp14:editId="049CDFBD">
            <wp:extent cx="5347335" cy="3240405"/>
            <wp:effectExtent l="0" t="0" r="0" b="0"/>
            <wp:docPr id="6" name="Picture 6" descr="Figure 30 shows Geoscience Australia surface sediment maps  within 50km  from Rosslyn Bay Marina which show sand contributions greater than 85% of surface sediments (indicating that the surface is periodically re-sorted. Net sediment transport within the region is in a north-western direction.An assessment of the 95th percentile stress distributions indicates that sediments as large as coarse sand could be periodically mobilised over any location offshore from the port and that there would be no locations where dredged deposits would remain stable under the range of ambient conditions that are likely to occur" title="Figure 30. Percentage for clay-silt (upper image) and sand (lower image) content in surface sediments within 50 km from Rosslyn Bay Marina.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_Exchange\delete\Revised\Rosslyn Bay_%Sand.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347335" cy="3240405"/>
                    </a:xfrm>
                    <a:prstGeom prst="rect">
                      <a:avLst/>
                    </a:prstGeom>
                    <a:noFill/>
                    <a:ln>
                      <a:noFill/>
                    </a:ln>
                  </pic:spPr>
                </pic:pic>
              </a:graphicData>
            </a:graphic>
          </wp:inline>
        </w:drawing>
      </w:r>
    </w:p>
    <w:p w:rsidR="009715DB" w:rsidRPr="007D6EB4" w:rsidRDefault="009715DB" w:rsidP="00EC0510">
      <w:pPr>
        <w:pStyle w:val="Caption"/>
        <w:spacing w:line="240" w:lineRule="auto"/>
        <w:ind w:left="480" w:hanging="480"/>
        <w:jc w:val="left"/>
        <w:rPr>
          <w:b/>
          <w:lang w:val="en-AU"/>
        </w:rPr>
      </w:pPr>
      <w:bookmarkStart w:id="106" w:name="_Ref338663301"/>
      <w:bookmarkStart w:id="107" w:name="_Toc361651513"/>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30</w:t>
      </w:r>
      <w:r w:rsidR="005F6FF5" w:rsidRPr="007D6EB4">
        <w:rPr>
          <w:b/>
          <w:lang w:val="en-AU"/>
        </w:rPr>
        <w:fldChar w:fldCharType="end"/>
      </w:r>
      <w:bookmarkEnd w:id="106"/>
      <w:r w:rsidR="00E5277F">
        <w:rPr>
          <w:b/>
          <w:lang w:val="en-AU"/>
        </w:rPr>
        <w:t>.</w:t>
      </w:r>
      <w:r w:rsidRPr="007D6EB4">
        <w:rPr>
          <w:lang w:val="en-AU"/>
        </w:rPr>
        <w:t xml:space="preserve"> Percentage for </w:t>
      </w:r>
      <w:r w:rsidR="00B271C6">
        <w:rPr>
          <w:lang w:val="en-AU"/>
        </w:rPr>
        <w:t>clay-silt</w:t>
      </w:r>
      <w:r w:rsidRPr="007D6EB4">
        <w:rPr>
          <w:lang w:val="en-AU"/>
        </w:rPr>
        <w:t xml:space="preserve"> (upper image) and sand (lower image) content in surface sediments within </w:t>
      </w:r>
      <w:r w:rsidR="002C78DC">
        <w:rPr>
          <w:lang w:val="en-AU"/>
        </w:rPr>
        <w:t>50 km</w:t>
      </w:r>
      <w:r w:rsidRPr="007D6EB4">
        <w:rPr>
          <w:lang w:val="en-AU"/>
        </w:rPr>
        <w:t xml:space="preserve"> from </w:t>
      </w:r>
      <w:r w:rsidR="00DE74C2">
        <w:rPr>
          <w:lang w:val="en-AU"/>
        </w:rPr>
        <w:t>Rosslyn</w:t>
      </w:r>
      <w:r w:rsidRPr="007D6EB4">
        <w:rPr>
          <w:lang w:val="en-AU"/>
        </w:rPr>
        <w:t xml:space="preserve"> Bay </w:t>
      </w:r>
      <w:r w:rsidR="00083B18">
        <w:rPr>
          <w:lang w:val="en-AU"/>
        </w:rPr>
        <w:t>State Boat Harbour</w:t>
      </w:r>
      <w:r w:rsidR="0043422D">
        <w:rPr>
          <w:lang w:val="en-AU"/>
        </w:rPr>
        <w:t xml:space="preserve"> </w:t>
      </w:r>
      <w:r w:rsidRPr="007D6EB4">
        <w:rPr>
          <w:lang w:val="en-AU"/>
        </w:rPr>
        <w:t>(source: Geoscience Australia marine samples database 2007).</w:t>
      </w:r>
      <w:bookmarkEnd w:id="107"/>
    </w:p>
    <w:p w:rsidR="009715DB" w:rsidRPr="007D6EB4" w:rsidRDefault="009715DB" w:rsidP="00617543">
      <w:pPr>
        <w:spacing w:after="0" w:line="240" w:lineRule="auto"/>
        <w:jc w:val="left"/>
        <w:rPr>
          <w:lang w:val="en-AU" w:eastAsia="en-AU"/>
        </w:rPr>
      </w:pPr>
      <w:r w:rsidRPr="007D6EB4">
        <w:rPr>
          <w:lang w:val="en-AU" w:eastAsia="en-AU"/>
        </w:rPr>
        <w:br w:type="page"/>
      </w:r>
    </w:p>
    <w:p w:rsidR="009715DB" w:rsidRPr="007D6EB4" w:rsidRDefault="009715DB" w:rsidP="00E46224">
      <w:pPr>
        <w:pStyle w:val="Heading2"/>
        <w:rPr>
          <w:lang w:eastAsia="en-AU"/>
        </w:rPr>
      </w:pPr>
      <w:bookmarkStart w:id="108" w:name="_Toc338665909"/>
      <w:bookmarkStart w:id="109" w:name="_Toc361929989"/>
      <w:r w:rsidRPr="007D6EB4">
        <w:rPr>
          <w:lang w:eastAsia="en-AU"/>
        </w:rPr>
        <w:lastRenderedPageBreak/>
        <w:t>Port of Hay Point</w:t>
      </w:r>
      <w:bookmarkEnd w:id="108"/>
      <w:bookmarkEnd w:id="109"/>
    </w:p>
    <w:p w:rsidR="001C5FFB" w:rsidRDefault="00693B03" w:rsidP="00A6519A">
      <w:pPr>
        <w:autoSpaceDE w:val="0"/>
        <w:autoSpaceDN w:val="0"/>
        <w:adjustRightInd w:val="0"/>
        <w:spacing w:after="0" w:line="276" w:lineRule="auto"/>
        <w:jc w:val="left"/>
        <w:rPr>
          <w:rFonts w:cs="Arial"/>
        </w:rPr>
      </w:pPr>
      <w:r>
        <w:fldChar w:fldCharType="begin"/>
      </w:r>
      <w:r>
        <w:instrText xml:space="preserve"> REF _Ref338668785 \h  \* MERGEFORMAT </w:instrText>
      </w:r>
      <w:r>
        <w:fldChar w:fldCharType="separate"/>
      </w:r>
      <w:r w:rsidR="00751BC4" w:rsidRPr="00751BC4">
        <w:rPr>
          <w:lang w:val="en-AU"/>
        </w:rPr>
        <w:t xml:space="preserve">Figure </w:t>
      </w:r>
      <w:r w:rsidR="00751BC4" w:rsidRPr="00751BC4">
        <w:rPr>
          <w:rStyle w:val="CaptionChar"/>
          <w:noProof/>
          <w:lang w:val="en-AU"/>
        </w:rPr>
        <w:t>31</w:t>
      </w:r>
      <w:r>
        <w:fldChar w:fldCharType="end"/>
      </w:r>
      <w:r w:rsidR="009715DB" w:rsidRPr="007D6EB4">
        <w:rPr>
          <w:szCs w:val="22"/>
          <w:lang w:val="en-AU"/>
        </w:rPr>
        <w:t xml:space="preserve"> shows the 50</w:t>
      </w:r>
      <w:r w:rsidR="009715DB" w:rsidRPr="007D6EB4">
        <w:rPr>
          <w:szCs w:val="22"/>
          <w:vertAlign w:val="superscript"/>
          <w:lang w:val="en-AU"/>
        </w:rPr>
        <w:t>th</w:t>
      </w:r>
      <w:r w:rsidR="009715DB" w:rsidRPr="007D6EB4">
        <w:rPr>
          <w:szCs w:val="22"/>
          <w:lang w:val="en-AU"/>
        </w:rPr>
        <w:t xml:space="preserve"> and 95</w:t>
      </w:r>
      <w:r w:rsidR="009715DB" w:rsidRPr="007D6EB4">
        <w:rPr>
          <w:szCs w:val="22"/>
          <w:vertAlign w:val="superscript"/>
          <w:lang w:val="en-AU"/>
        </w:rPr>
        <w:t>th</w:t>
      </w:r>
      <w:r w:rsidR="009715DB" w:rsidRPr="007D6EB4">
        <w:rPr>
          <w:szCs w:val="22"/>
          <w:lang w:val="en-AU"/>
        </w:rPr>
        <w:t xml:space="preserve"> percentile distributions of </w:t>
      </w:r>
      <w:r w:rsidR="00F7576C">
        <w:rPr>
          <w:szCs w:val="22"/>
          <w:lang w:val="en-AU"/>
        </w:rPr>
        <w:t>shear-stress</w:t>
      </w:r>
      <w:r w:rsidR="009715DB" w:rsidRPr="007D6EB4">
        <w:rPr>
          <w:szCs w:val="22"/>
          <w:lang w:val="en-AU"/>
        </w:rPr>
        <w:t xml:space="preserve"> over time at the seabed calculated for locations within 50</w:t>
      </w:r>
      <w:r w:rsidR="002C78DC">
        <w:rPr>
          <w:szCs w:val="22"/>
          <w:lang w:val="en-AU"/>
        </w:rPr>
        <w:t xml:space="preserve"> </w:t>
      </w:r>
      <w:r w:rsidR="009715DB" w:rsidRPr="007D6EB4">
        <w:rPr>
          <w:szCs w:val="22"/>
          <w:lang w:val="en-AU"/>
        </w:rPr>
        <w:t>km of the Port of Hay Point. The 50</w:t>
      </w:r>
      <w:r w:rsidR="009715DB" w:rsidRPr="007D6EB4">
        <w:rPr>
          <w:szCs w:val="22"/>
          <w:vertAlign w:val="superscript"/>
          <w:lang w:val="en-AU"/>
        </w:rPr>
        <w:t>th</w:t>
      </w:r>
      <w:r w:rsidR="009715DB" w:rsidRPr="007D6EB4">
        <w:rPr>
          <w:szCs w:val="22"/>
          <w:lang w:val="en-AU"/>
        </w:rPr>
        <w:t xml:space="preserve"> percentile map indicate</w:t>
      </w:r>
      <w:r w:rsidR="00F03600">
        <w:rPr>
          <w:szCs w:val="22"/>
          <w:lang w:val="en-AU"/>
        </w:rPr>
        <w:t>s</w:t>
      </w:r>
      <w:r w:rsidR="0003128D">
        <w:rPr>
          <w:szCs w:val="22"/>
          <w:lang w:val="en-AU"/>
        </w:rPr>
        <w:t xml:space="preserve"> </w:t>
      </w:r>
      <w:r w:rsidR="0003128D">
        <w:rPr>
          <w:rFonts w:cs="Arial"/>
        </w:rPr>
        <w:t>that majority of the study area is energetic enough to mobilise unconsolidated material up to coarse sands (up to 0.259 Pa)</w:t>
      </w:r>
      <w:r w:rsidR="004F566A">
        <w:rPr>
          <w:rFonts w:cs="Arial"/>
        </w:rPr>
        <w:t xml:space="preserve">. </w:t>
      </w:r>
      <w:r w:rsidR="00BD22BF">
        <w:rPr>
          <w:rFonts w:cs="Arial"/>
        </w:rPr>
        <w:t>The area south</w:t>
      </w:r>
      <w:r w:rsidR="006B2E38">
        <w:rPr>
          <w:rFonts w:cs="Arial"/>
        </w:rPr>
        <w:t>-</w:t>
      </w:r>
      <w:r w:rsidR="00BD22BF">
        <w:rPr>
          <w:rFonts w:cs="Arial"/>
        </w:rPr>
        <w:t xml:space="preserve">west of the existing material placement sites are more retentive, </w:t>
      </w:r>
      <w:r w:rsidR="00BD22BF" w:rsidRPr="007D6EB4">
        <w:rPr>
          <w:rFonts w:cs="Arial"/>
          <w:lang w:val="en-AU"/>
        </w:rPr>
        <w:t>where recently settled sediments larger than coarse silt are unlikely to mobilise.</w:t>
      </w:r>
      <w:r w:rsidR="00BD22BF" w:rsidRPr="00BD22BF">
        <w:rPr>
          <w:szCs w:val="22"/>
          <w:lang w:val="en-AU"/>
        </w:rPr>
        <w:t xml:space="preserve"> </w:t>
      </w:r>
      <w:r w:rsidR="00BD22BF" w:rsidRPr="007D6EB4">
        <w:rPr>
          <w:szCs w:val="22"/>
          <w:lang w:val="en-AU"/>
        </w:rPr>
        <w:t>D</w:t>
      </w:r>
      <w:r w:rsidR="00BD22BF" w:rsidRPr="007D6EB4">
        <w:rPr>
          <w:rFonts w:cs="Arial"/>
          <w:lang w:val="en-AU"/>
        </w:rPr>
        <w:t xml:space="preserve">irectly </w:t>
      </w:r>
      <w:r w:rsidR="00BD22BF">
        <w:rPr>
          <w:rFonts w:cs="Arial"/>
          <w:lang w:val="en-AU"/>
        </w:rPr>
        <w:t>north-east</w:t>
      </w:r>
      <w:r w:rsidR="00BD22BF" w:rsidRPr="007D6EB4">
        <w:rPr>
          <w:rFonts w:cs="Arial"/>
          <w:lang w:val="en-AU"/>
        </w:rPr>
        <w:t xml:space="preserve"> and </w:t>
      </w:r>
      <w:r w:rsidR="00BD22BF">
        <w:rPr>
          <w:rFonts w:cs="Arial"/>
          <w:lang w:val="en-AU"/>
        </w:rPr>
        <w:t>south-east</w:t>
      </w:r>
      <w:r w:rsidR="00BD22BF" w:rsidRPr="007D6EB4">
        <w:rPr>
          <w:rFonts w:cs="Arial"/>
          <w:lang w:val="en-AU"/>
        </w:rPr>
        <w:t xml:space="preserve"> (up to 15 km) the 50</w:t>
      </w:r>
      <w:r w:rsidR="00BD22BF" w:rsidRPr="007D6EB4">
        <w:rPr>
          <w:rFonts w:cs="Arial"/>
          <w:vertAlign w:val="superscript"/>
          <w:lang w:val="en-AU"/>
        </w:rPr>
        <w:t>th</w:t>
      </w:r>
      <w:r w:rsidR="00BD22BF" w:rsidRPr="007D6EB4">
        <w:rPr>
          <w:rFonts w:cs="Arial"/>
          <w:lang w:val="en-AU"/>
        </w:rPr>
        <w:t xml:space="preserve"> percentile map indicates zones with median bottom stress levels up 0.034 Pa potentially mobilising recently settled sediments up to fine sand.</w:t>
      </w:r>
    </w:p>
    <w:p w:rsidR="001C5FFB" w:rsidRDefault="0003128D" w:rsidP="00A6519A">
      <w:pPr>
        <w:autoSpaceDE w:val="0"/>
        <w:autoSpaceDN w:val="0"/>
        <w:adjustRightInd w:val="0"/>
        <w:spacing w:after="0" w:line="276" w:lineRule="auto"/>
        <w:jc w:val="left"/>
        <w:rPr>
          <w:rFonts w:cs="Arial"/>
          <w:lang w:val="en-AU"/>
        </w:rPr>
      </w:pPr>
      <w:r>
        <w:rPr>
          <w:rFonts w:cs="Arial"/>
        </w:rPr>
        <w:t xml:space="preserve">The sediment composition mapped by Geoscience Australia </w:t>
      </w:r>
      <w:r w:rsidR="00BD22BF">
        <w:rPr>
          <w:rFonts w:cs="Arial"/>
        </w:rPr>
        <w:t xml:space="preserve">showed </w:t>
      </w:r>
      <w:r>
        <w:rPr>
          <w:rFonts w:cs="Arial"/>
        </w:rPr>
        <w:t xml:space="preserve">most of the study area </w:t>
      </w:r>
      <w:r w:rsidR="00BD22BF">
        <w:rPr>
          <w:rFonts w:cs="Arial"/>
        </w:rPr>
        <w:t xml:space="preserve">comprising of high sand contribution which </w:t>
      </w:r>
      <w:r>
        <w:rPr>
          <w:rFonts w:cs="Arial"/>
        </w:rPr>
        <w:t xml:space="preserve">is consistent with the shear-stress modelling, although the Geoscience Australia mapping does show an area with high </w:t>
      </w:r>
      <w:r w:rsidR="00B271C6">
        <w:rPr>
          <w:rFonts w:cs="Arial"/>
        </w:rPr>
        <w:t>clay-silt</w:t>
      </w:r>
      <w:r>
        <w:rPr>
          <w:rFonts w:cs="Arial"/>
        </w:rPr>
        <w:t xml:space="preserve"> content within the north</w:t>
      </w:r>
      <w:r w:rsidR="006B2E38">
        <w:rPr>
          <w:rFonts w:cs="Arial"/>
        </w:rPr>
        <w:t>-</w:t>
      </w:r>
      <w:r>
        <w:rPr>
          <w:rFonts w:cs="Arial"/>
        </w:rPr>
        <w:t>east region of the study area</w:t>
      </w:r>
      <w:r w:rsidRPr="006B5BBA">
        <w:rPr>
          <w:rFonts w:cs="Arial"/>
        </w:rPr>
        <w:t xml:space="preserve"> (</w:t>
      </w:r>
      <w:r w:rsidR="006B5BBA" w:rsidRPr="006B5BBA">
        <w:fldChar w:fldCharType="begin"/>
      </w:r>
      <w:r w:rsidR="006B5BBA" w:rsidRPr="006B5BBA">
        <w:instrText xml:space="preserve"> REF  _Ref338665190 \* Lower \h  \* MERGEFORMAT </w:instrText>
      </w:r>
      <w:r w:rsidR="006B5BBA" w:rsidRPr="006B5BBA">
        <w:fldChar w:fldCharType="separate"/>
      </w:r>
      <w:r w:rsidR="00751BC4" w:rsidRPr="00751BC4">
        <w:rPr>
          <w:lang w:val="en-AU"/>
        </w:rPr>
        <w:t xml:space="preserve">figure </w:t>
      </w:r>
      <w:r w:rsidR="00751BC4" w:rsidRPr="00751BC4">
        <w:rPr>
          <w:noProof/>
          <w:lang w:val="en-AU"/>
        </w:rPr>
        <w:t>32</w:t>
      </w:r>
      <w:r w:rsidR="006B5BBA" w:rsidRPr="006B5BBA">
        <w:fldChar w:fldCharType="end"/>
      </w:r>
      <w:r>
        <w:rPr>
          <w:rFonts w:cs="Arial"/>
        </w:rPr>
        <w:t>).</w:t>
      </w:r>
    </w:p>
    <w:p w:rsidR="00244E0C" w:rsidRDefault="00244E0C" w:rsidP="001C5FFB">
      <w:pPr>
        <w:spacing w:line="276" w:lineRule="auto"/>
        <w:jc w:val="left"/>
        <w:rPr>
          <w:rFonts w:cs="Arial"/>
          <w:lang w:val="en-AU"/>
        </w:rPr>
      </w:pPr>
    </w:p>
    <w:p w:rsidR="001C5FFB" w:rsidRDefault="009715DB" w:rsidP="001C5FFB">
      <w:pPr>
        <w:spacing w:line="276" w:lineRule="auto"/>
        <w:jc w:val="left"/>
        <w:rPr>
          <w:rFonts w:cs="Arial"/>
          <w:lang w:val="en-AU"/>
        </w:rPr>
      </w:pPr>
      <w:r w:rsidRPr="007D6EB4">
        <w:rPr>
          <w:rFonts w:cs="Arial"/>
          <w:lang w:val="en-AU"/>
        </w:rPr>
        <w:t>The 95</w:t>
      </w:r>
      <w:r w:rsidRPr="007D6EB4">
        <w:rPr>
          <w:rFonts w:cs="Arial"/>
          <w:vertAlign w:val="superscript"/>
          <w:lang w:val="en-AU"/>
        </w:rPr>
        <w:t>th</w:t>
      </w:r>
      <w:r w:rsidRPr="007D6EB4">
        <w:rPr>
          <w:rFonts w:cs="Arial"/>
          <w:lang w:val="en-AU"/>
        </w:rPr>
        <w:t xml:space="preserve"> percentile plot indicate that </w:t>
      </w:r>
      <w:r w:rsidR="00BD22BF">
        <w:rPr>
          <w:rFonts w:cs="Arial"/>
          <w:lang w:val="en-AU"/>
        </w:rPr>
        <w:t xml:space="preserve">under the more extreme current and wave conditions, the </w:t>
      </w:r>
      <w:r w:rsidRPr="007D6EB4">
        <w:rPr>
          <w:rFonts w:cs="Arial"/>
          <w:lang w:val="en-AU"/>
        </w:rPr>
        <w:t xml:space="preserve">levels of bed </w:t>
      </w:r>
      <w:r w:rsidR="00F7576C">
        <w:rPr>
          <w:rFonts w:cs="Arial"/>
          <w:lang w:val="en-AU"/>
        </w:rPr>
        <w:t>shear-stress</w:t>
      </w:r>
      <w:r w:rsidRPr="007D6EB4">
        <w:rPr>
          <w:rFonts w:cs="Arial"/>
          <w:lang w:val="en-AU"/>
        </w:rPr>
        <w:t xml:space="preserve"> </w:t>
      </w:r>
      <w:r w:rsidR="00BD22BF">
        <w:rPr>
          <w:rFonts w:cs="Arial"/>
          <w:lang w:val="en-AU"/>
        </w:rPr>
        <w:t>would increase significantly enough to</w:t>
      </w:r>
      <w:r w:rsidR="00BD22BF" w:rsidRPr="007D6EB4">
        <w:rPr>
          <w:rFonts w:cs="Arial"/>
          <w:lang w:val="en-AU"/>
        </w:rPr>
        <w:t xml:space="preserve"> </w:t>
      </w:r>
      <w:r w:rsidRPr="007D6EB4">
        <w:rPr>
          <w:rFonts w:cs="Arial"/>
          <w:lang w:val="en-AU"/>
        </w:rPr>
        <w:t xml:space="preserve">mobilise </w:t>
      </w:r>
      <w:r w:rsidR="00BD22BF">
        <w:rPr>
          <w:rFonts w:cs="Arial"/>
          <w:lang w:val="en-AU"/>
        </w:rPr>
        <w:t xml:space="preserve">unconsolidated </w:t>
      </w:r>
      <w:r w:rsidRPr="007D6EB4">
        <w:rPr>
          <w:rFonts w:cs="Arial"/>
          <w:lang w:val="en-AU"/>
        </w:rPr>
        <w:t xml:space="preserve">sediments up to coarse sand. In some areas, the potential shear-stress levels are calculated to potentially mobilise </w:t>
      </w:r>
      <w:r w:rsidR="00BD22BF">
        <w:rPr>
          <w:rFonts w:cs="Arial"/>
          <w:lang w:val="en-AU"/>
        </w:rPr>
        <w:t>even larger sediments</w:t>
      </w:r>
      <w:r w:rsidRPr="007D6EB4">
        <w:rPr>
          <w:rFonts w:cs="Arial"/>
          <w:lang w:val="en-AU"/>
        </w:rPr>
        <w:t>.</w:t>
      </w:r>
    </w:p>
    <w:p w:rsidR="007F6331" w:rsidRPr="007D6EB4" w:rsidRDefault="007F6331" w:rsidP="00EC0510">
      <w:pPr>
        <w:pStyle w:val="StyleLeft"/>
        <w:rPr>
          <w:lang w:val="en-AU"/>
        </w:rPr>
      </w:pPr>
    </w:p>
    <w:p w:rsidR="009715DB" w:rsidRPr="007D6EB4" w:rsidRDefault="008A5C18" w:rsidP="00A6519A">
      <w:pPr>
        <w:spacing w:line="240" w:lineRule="auto"/>
        <w:rPr>
          <w:lang w:val="en-AU" w:eastAsia="en-AU"/>
        </w:rPr>
      </w:pPr>
      <w:r w:rsidRPr="00C41728">
        <w:rPr>
          <w:noProof/>
          <w:lang w:val="en-AU" w:eastAsia="en-AU"/>
        </w:rPr>
        <w:lastRenderedPageBreak/>
        <w:drawing>
          <wp:inline distT="0" distB="0" distL="0" distR="0" wp14:anchorId="11400CF6" wp14:editId="613DEECA">
            <wp:extent cx="5353050" cy="3238500"/>
            <wp:effectExtent l="19050" t="19050" r="0" b="0"/>
            <wp:docPr id="116" name="Picture 116" descr="Figure 31 shows the 50th and 95th percentile distributions of shear-stress over time at the seabed calculated for locations within 50 km of the Port of Hay Point. The 50th percentile map indicates that majority of the study area is energetic enough to mobilise unconsolidated material up to coarse sands (up to 0.259 Pa). The area southwest of the existing material placement sites are more retentive, where recently settled sediments larger than coarse silt are unlikely to mobilise. Directly north-east and south-east (up to 15 km) the 50th percentile map indicates zones with median bottom stress levels up 0.034 Pa potentially mobilising recently settled sediments up to fine sand" title="Figure 31. Distribution of the 50th (upper) and 95th (lower image) percentile bed shear-stress estimates within 50 km from the Port of Hay Point.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Q:\Projects\Q0110 GBRMPA-SKM QLD disposal site selection\8. Figures\Bed_Shear_Stress_Final_Maps\Hay Point_Bed shear_50th Perc.pn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r w:rsidRPr="00C41728">
        <w:rPr>
          <w:noProof/>
          <w:lang w:val="en-AU" w:eastAsia="en-AU"/>
        </w:rPr>
        <w:drawing>
          <wp:inline distT="0" distB="0" distL="0" distR="0" wp14:anchorId="1FFEA8C8" wp14:editId="079DBBA1">
            <wp:extent cx="5353050" cy="3238500"/>
            <wp:effectExtent l="19050" t="19050" r="0" b="0"/>
            <wp:docPr id="117" name="Picture 117" descr="Figure 31 shows the 50th and 95th percentile distributions of shear-stress over time at the seabed calculated for locations within 50 km of the Port of Hay Point. The 50th percentile map indicates that majority of the study area is energetic enough to mobilise unconsolidated material up to coarse sands (up to 0.259 Pa). The area southwest of the existing material placement sites are more retentive, where recently settled sediments larger than coarse silt are unlikely to mobilise. Directly north-east and south-east (up to 15 km) the 50th percentile map indicates zones with median bottom stress levels up 0.034 Pa potentially mobilising recently settled sediments up to fine sand" title="Figure 31. Distribution of the 50th (upper) and 95th (lower image) percentile bed shear-stress estimates within 50 km from the Port of Hay Point.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Q:\Projects\Q0110 GBRMPA-SKM QLD disposal site selection\8. Figures\Bed_Shear_Stress_Final_Maps\Hay Point_Bed shear_95th Perc.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p>
    <w:p w:rsidR="009715DB" w:rsidRPr="007D6EB4" w:rsidRDefault="009715DB" w:rsidP="00EC0510">
      <w:pPr>
        <w:pStyle w:val="Caption"/>
        <w:spacing w:line="240" w:lineRule="auto"/>
        <w:ind w:left="480" w:hanging="480"/>
        <w:jc w:val="left"/>
        <w:rPr>
          <w:lang w:val="en-AU"/>
        </w:rPr>
      </w:pPr>
      <w:bookmarkStart w:id="110" w:name="_Ref338668785"/>
      <w:bookmarkStart w:id="111" w:name="_Toc338654428"/>
      <w:bookmarkStart w:id="112" w:name="_Toc361651514"/>
      <w:r w:rsidRPr="007D6EB4">
        <w:rPr>
          <w:b/>
          <w:lang w:val="en-AU"/>
        </w:rPr>
        <w:t xml:space="preserve">Figure </w:t>
      </w:r>
      <w:r w:rsidR="005F6FF5" w:rsidRPr="007D6EB4">
        <w:rPr>
          <w:rStyle w:val="CaptionChar"/>
          <w:b/>
          <w:lang w:val="en-AU"/>
        </w:rPr>
        <w:fldChar w:fldCharType="begin"/>
      </w:r>
      <w:r w:rsidRPr="007D6EB4">
        <w:rPr>
          <w:rStyle w:val="CaptionChar"/>
          <w:b/>
          <w:lang w:val="en-AU"/>
        </w:rPr>
        <w:instrText xml:space="preserve"> SEQ Figure \* ARABIC </w:instrText>
      </w:r>
      <w:r w:rsidR="005F6FF5" w:rsidRPr="007D6EB4">
        <w:rPr>
          <w:rStyle w:val="CaptionChar"/>
          <w:b/>
          <w:lang w:val="en-AU"/>
        </w:rPr>
        <w:fldChar w:fldCharType="separate"/>
      </w:r>
      <w:r w:rsidR="00751BC4">
        <w:rPr>
          <w:rStyle w:val="CaptionChar"/>
          <w:b/>
          <w:noProof/>
          <w:lang w:val="en-AU"/>
        </w:rPr>
        <w:t>31</w:t>
      </w:r>
      <w:r w:rsidR="005F6FF5" w:rsidRPr="007D6EB4">
        <w:rPr>
          <w:rStyle w:val="CaptionChar"/>
          <w:b/>
          <w:lang w:val="en-AU"/>
        </w:rPr>
        <w:fldChar w:fldCharType="end"/>
      </w:r>
      <w:bookmarkEnd w:id="110"/>
      <w:r w:rsidR="00E5277F">
        <w:rPr>
          <w:lang w:val="en-AU"/>
        </w:rPr>
        <w:t>.</w:t>
      </w:r>
      <w:r w:rsidRPr="007D6EB4">
        <w:rPr>
          <w:lang w:val="en-AU"/>
        </w:rPr>
        <w:t xml:space="preserve"> Distribution of the 50</w:t>
      </w:r>
      <w:r w:rsidRPr="007D6EB4">
        <w:rPr>
          <w:vertAlign w:val="superscript"/>
          <w:lang w:val="en-AU"/>
        </w:rPr>
        <w:t>th</w:t>
      </w:r>
      <w:r w:rsidRPr="007D6EB4">
        <w:rPr>
          <w:lang w:val="en-AU"/>
        </w:rPr>
        <w:t xml:space="preserve"> (upper)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the Port of Hay Point.</w:t>
      </w:r>
      <w:r w:rsidR="0043422D">
        <w:rPr>
          <w:lang w:val="en-AU"/>
        </w:rPr>
        <w:t xml:space="preserve"> </w:t>
      </w:r>
      <w:r w:rsidRPr="007D6EB4">
        <w:rPr>
          <w:lang w:val="en-AU"/>
        </w:rPr>
        <w:t xml:space="preserve">The estimates were calculated at hourly steps for each grid cell during 2011 current and wave conditions. 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111"/>
      <w:bookmarkEnd w:id="112"/>
    </w:p>
    <w:p w:rsidR="009715DB" w:rsidRPr="007D6EB4" w:rsidRDefault="009715DB" w:rsidP="00617543">
      <w:pPr>
        <w:pStyle w:val="Para0"/>
        <w:rPr>
          <w:lang w:val="en-AU" w:eastAsia="en-AU"/>
        </w:rPr>
      </w:pPr>
    </w:p>
    <w:p w:rsidR="009715DB" w:rsidRPr="007D6EB4" w:rsidRDefault="009715DB" w:rsidP="00617543">
      <w:pPr>
        <w:pStyle w:val="Para0"/>
        <w:rPr>
          <w:sz w:val="16"/>
          <w:szCs w:val="16"/>
          <w:lang w:val="en-AU" w:eastAsia="en-AU"/>
        </w:rPr>
      </w:pPr>
    </w:p>
    <w:p w:rsidR="009715DB" w:rsidRPr="007D6EB4" w:rsidRDefault="005416E9" w:rsidP="00A6519A">
      <w:pPr>
        <w:spacing w:line="240" w:lineRule="auto"/>
        <w:rPr>
          <w:lang w:val="en-AU" w:eastAsia="en-AU"/>
        </w:rPr>
      </w:pPr>
      <w:r w:rsidRPr="006A22FE">
        <w:rPr>
          <w:noProof/>
          <w:bdr w:val="single" w:sz="4" w:space="0" w:color="auto"/>
          <w:lang w:val="en-AU" w:eastAsia="en-AU"/>
        </w:rPr>
        <w:lastRenderedPageBreak/>
        <w:drawing>
          <wp:inline distT="0" distB="0" distL="0" distR="0" wp14:anchorId="4933C117" wp14:editId="618372A2">
            <wp:extent cx="5396865" cy="3270250"/>
            <wp:effectExtent l="0" t="0" r="0" b="0"/>
            <wp:docPr id="10" name="Picture 10" descr="Figure 32 shows most of the study area comprising of high sand contribution which is consistent with the shear-stress modelling, although the Geoscience Australia mapping does show an area with high clay-silt content within the northeast region of the study area" title="Figure 32. Percentage for clay-silt (upper image) and sand (lower image) content in surface sediments within 50 km from the Port of Hay Point.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_Exchange\delete\Revised\Hay Point_%Mud.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0AD1A48B" wp14:editId="27A22D5B">
            <wp:extent cx="5347335" cy="3240405"/>
            <wp:effectExtent l="0" t="0" r="0" b="0"/>
            <wp:docPr id="9" name="Picture 9" descr="Figure 32 shows most of the study area comprising of high sand contribution which is consistent with the shear-stress modelling, although the Geoscience Australia mapping does show an area with high clay-silt content within the northeast region of the study area" title="Figure 32. Percentage for clay-silt (upper image) and sand (lower image) content in surface sediments within 50 km from the Port of Hay Point.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_Exchange\delete\Revised\Hay Point_%Sand.pn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347335" cy="3240405"/>
                    </a:xfrm>
                    <a:prstGeom prst="rect">
                      <a:avLst/>
                    </a:prstGeom>
                    <a:noFill/>
                    <a:ln>
                      <a:noFill/>
                    </a:ln>
                  </pic:spPr>
                </pic:pic>
              </a:graphicData>
            </a:graphic>
          </wp:inline>
        </w:drawing>
      </w:r>
    </w:p>
    <w:p w:rsidR="009715DB" w:rsidRPr="007D6EB4" w:rsidRDefault="009715DB" w:rsidP="00EC0510">
      <w:pPr>
        <w:pStyle w:val="Caption"/>
        <w:spacing w:line="240" w:lineRule="auto"/>
        <w:ind w:left="480" w:hanging="480"/>
        <w:jc w:val="left"/>
        <w:rPr>
          <w:b/>
          <w:lang w:val="en-AU"/>
        </w:rPr>
      </w:pPr>
      <w:bookmarkStart w:id="113" w:name="_Ref338665190"/>
      <w:bookmarkStart w:id="114" w:name="_Toc361651515"/>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32</w:t>
      </w:r>
      <w:r w:rsidR="005F6FF5" w:rsidRPr="007D6EB4">
        <w:rPr>
          <w:b/>
          <w:lang w:val="en-AU"/>
        </w:rPr>
        <w:fldChar w:fldCharType="end"/>
      </w:r>
      <w:bookmarkEnd w:id="113"/>
      <w:r w:rsidR="00E5277F">
        <w:rPr>
          <w:lang w:val="en-AU"/>
        </w:rPr>
        <w:t>.</w:t>
      </w:r>
      <w:r w:rsidRPr="007D6EB4">
        <w:rPr>
          <w:lang w:val="en-AU"/>
        </w:rPr>
        <w:t xml:space="preserve"> Percentage for </w:t>
      </w:r>
      <w:r w:rsidR="00B271C6">
        <w:rPr>
          <w:lang w:val="en-AU"/>
        </w:rPr>
        <w:t>clay-silt</w:t>
      </w:r>
      <w:r w:rsidRPr="007D6EB4">
        <w:rPr>
          <w:lang w:val="en-AU"/>
        </w:rPr>
        <w:t xml:space="preserve"> (upper image) and sand (lower image) content in surface sediments within </w:t>
      </w:r>
      <w:r w:rsidR="002C78DC">
        <w:rPr>
          <w:lang w:val="en-AU"/>
        </w:rPr>
        <w:t>50 km</w:t>
      </w:r>
      <w:r w:rsidRPr="007D6EB4">
        <w:rPr>
          <w:lang w:val="en-AU"/>
        </w:rPr>
        <w:t xml:space="preserve"> from the Port of Hay Point</w:t>
      </w:r>
      <w:r w:rsidR="0043422D">
        <w:rPr>
          <w:lang w:val="en-AU"/>
        </w:rPr>
        <w:t xml:space="preserve"> </w:t>
      </w:r>
      <w:r w:rsidRPr="007D6EB4">
        <w:rPr>
          <w:lang w:val="en-AU"/>
        </w:rPr>
        <w:t>(source: Geoscience Australia marine samples database 2007).</w:t>
      </w:r>
      <w:bookmarkEnd w:id="114"/>
    </w:p>
    <w:p w:rsidR="009715DB" w:rsidRPr="007D6EB4" w:rsidRDefault="009715DB" w:rsidP="00617543">
      <w:pPr>
        <w:spacing w:after="0" w:line="240" w:lineRule="auto"/>
        <w:jc w:val="left"/>
        <w:rPr>
          <w:lang w:val="en-AU" w:eastAsia="en-AU"/>
        </w:rPr>
      </w:pPr>
      <w:r w:rsidRPr="007D6EB4">
        <w:rPr>
          <w:lang w:val="en-AU" w:eastAsia="en-AU"/>
        </w:rPr>
        <w:br w:type="page"/>
      </w:r>
    </w:p>
    <w:p w:rsidR="009715DB" w:rsidRPr="007D6EB4" w:rsidRDefault="009715DB" w:rsidP="00E46224">
      <w:pPr>
        <w:pStyle w:val="Heading2"/>
        <w:rPr>
          <w:lang w:eastAsia="en-AU"/>
        </w:rPr>
      </w:pPr>
      <w:bookmarkStart w:id="115" w:name="_Toc338665910"/>
      <w:bookmarkStart w:id="116" w:name="_Toc361929990"/>
      <w:r w:rsidRPr="007D6EB4">
        <w:rPr>
          <w:lang w:eastAsia="en-AU"/>
        </w:rPr>
        <w:lastRenderedPageBreak/>
        <w:t>Port of Mackay</w:t>
      </w:r>
      <w:bookmarkEnd w:id="115"/>
      <w:bookmarkEnd w:id="116"/>
    </w:p>
    <w:p w:rsidR="009715DB" w:rsidRDefault="009715DB" w:rsidP="00EC0510">
      <w:pPr>
        <w:pStyle w:val="StyleLeft"/>
        <w:rPr>
          <w:lang w:val="en-AU"/>
        </w:rPr>
      </w:pPr>
      <w:r w:rsidRPr="007D6EB4">
        <w:rPr>
          <w:lang w:val="en-AU"/>
        </w:rPr>
        <w:t xml:space="preserve">The median and extreme levels of </w:t>
      </w:r>
      <w:r w:rsidR="00F7576C">
        <w:rPr>
          <w:lang w:val="en-AU"/>
        </w:rPr>
        <w:t>shear-stress</w:t>
      </w:r>
      <w:r w:rsidRPr="007D6EB4">
        <w:rPr>
          <w:lang w:val="en-AU"/>
        </w:rPr>
        <w:t xml:space="preserve"> at the seabed within 50 km of </w:t>
      </w:r>
      <w:r w:rsidR="006B5810">
        <w:rPr>
          <w:lang w:val="en-AU"/>
        </w:rPr>
        <w:t>the Port of Mackay</w:t>
      </w:r>
      <w:r w:rsidRPr="007D6EB4">
        <w:rPr>
          <w:lang w:val="en-AU"/>
        </w:rPr>
        <w:t xml:space="preserve"> are represented by the 50</w:t>
      </w:r>
      <w:r w:rsidRPr="007D6EB4">
        <w:rPr>
          <w:vertAlign w:val="superscript"/>
          <w:lang w:val="en-AU"/>
        </w:rPr>
        <w:t>th</w:t>
      </w:r>
      <w:r w:rsidRPr="007D6EB4">
        <w:rPr>
          <w:lang w:val="en-AU"/>
        </w:rPr>
        <w:t xml:space="preserve"> and 95</w:t>
      </w:r>
      <w:r w:rsidRPr="007D6EB4">
        <w:rPr>
          <w:vertAlign w:val="superscript"/>
          <w:lang w:val="en-AU"/>
        </w:rPr>
        <w:t>th</w:t>
      </w:r>
      <w:r w:rsidRPr="007D6EB4">
        <w:rPr>
          <w:lang w:val="en-AU"/>
        </w:rPr>
        <w:t xml:space="preserve"> percentile contour plots in </w:t>
      </w:r>
      <w:r w:rsidR="006B5BBA" w:rsidRPr="006B5BBA">
        <w:fldChar w:fldCharType="begin"/>
      </w:r>
      <w:r w:rsidR="006B5BBA" w:rsidRPr="006B5BBA">
        <w:instrText xml:space="preserve"> REF  _Ref338665533 \* Lower \h  \* MERGEFORMAT </w:instrText>
      </w:r>
      <w:r w:rsidR="006B5BBA" w:rsidRPr="006B5BBA">
        <w:fldChar w:fldCharType="separate"/>
      </w:r>
      <w:r w:rsidR="00751BC4" w:rsidRPr="00751BC4">
        <w:rPr>
          <w:lang w:val="en-AU"/>
        </w:rPr>
        <w:t xml:space="preserve">figure </w:t>
      </w:r>
      <w:r w:rsidR="00751BC4" w:rsidRPr="00751BC4">
        <w:rPr>
          <w:noProof/>
          <w:lang w:val="en-AU"/>
        </w:rPr>
        <w:t>33</w:t>
      </w:r>
      <w:r w:rsidR="006B5BBA" w:rsidRPr="006B5BBA">
        <w:fldChar w:fldCharType="end"/>
      </w:r>
      <w:r w:rsidRPr="006B5BBA">
        <w:rPr>
          <w:lang w:val="en-AU"/>
        </w:rPr>
        <w:t>.</w:t>
      </w:r>
      <w:r w:rsidR="0043422D">
        <w:rPr>
          <w:lang w:val="en-AU"/>
        </w:rPr>
        <w:t xml:space="preserve"> </w:t>
      </w:r>
      <w:r w:rsidR="00F822E1">
        <w:rPr>
          <w:lang w:val="en-AU"/>
        </w:rPr>
        <w:t>Similar to Port of Hay Point, the b</w:t>
      </w:r>
      <w:r w:rsidR="00DB3632">
        <w:rPr>
          <w:rFonts w:cs="Arial"/>
        </w:rPr>
        <w:t xml:space="preserve">ed shear-stress predictions demonstrate the majority of the study area is energetic enough to mobilise unconsolidated material up to coarse sands. </w:t>
      </w:r>
      <w:r w:rsidRPr="007D6EB4">
        <w:rPr>
          <w:lang w:val="en-AU"/>
        </w:rPr>
        <w:t xml:space="preserve">At the existing </w:t>
      </w:r>
      <w:r w:rsidR="00215BB7">
        <w:rPr>
          <w:lang w:val="en-AU"/>
        </w:rPr>
        <w:t>dredged material placement site</w:t>
      </w:r>
      <w:r w:rsidRPr="007D6EB4">
        <w:rPr>
          <w:lang w:val="en-AU"/>
        </w:rPr>
        <w:t xml:space="preserve">, the median bed </w:t>
      </w:r>
      <w:r w:rsidR="00F7576C">
        <w:rPr>
          <w:lang w:val="en-AU"/>
        </w:rPr>
        <w:t>shear-stress</w:t>
      </w:r>
      <w:r w:rsidRPr="007D6EB4">
        <w:rPr>
          <w:lang w:val="en-AU"/>
        </w:rPr>
        <w:t xml:space="preserve"> map shows the potential for mobilising recently deposited sediments up to fine sand, although a more retentive region is indicated immediately to the west of the </w:t>
      </w:r>
      <w:r w:rsidR="00215BB7">
        <w:rPr>
          <w:lang w:val="en-AU"/>
        </w:rPr>
        <w:t>dredged material placement site</w:t>
      </w:r>
      <w:r w:rsidRPr="007D6EB4">
        <w:rPr>
          <w:lang w:val="en-AU"/>
        </w:rPr>
        <w:t xml:space="preserve">. The region to the east of the </w:t>
      </w:r>
      <w:r w:rsidR="00215BB7">
        <w:rPr>
          <w:lang w:val="en-AU"/>
        </w:rPr>
        <w:t xml:space="preserve">dredged material placement site </w:t>
      </w:r>
      <w:r w:rsidRPr="007D6EB4">
        <w:rPr>
          <w:lang w:val="en-AU"/>
        </w:rPr>
        <w:t xml:space="preserve">is calculated to receive the same median shear-stress levels as the existing </w:t>
      </w:r>
      <w:r w:rsidR="00E53FAD">
        <w:rPr>
          <w:lang w:val="en-AU"/>
        </w:rPr>
        <w:t>dredged material placement site</w:t>
      </w:r>
      <w:r w:rsidRPr="007D6EB4">
        <w:rPr>
          <w:lang w:val="en-AU"/>
        </w:rPr>
        <w:t>.</w:t>
      </w:r>
      <w:r w:rsidR="0043422D">
        <w:rPr>
          <w:lang w:val="en-AU"/>
        </w:rPr>
        <w:t xml:space="preserve"> </w:t>
      </w:r>
      <w:r w:rsidRPr="007D6EB4">
        <w:rPr>
          <w:lang w:val="en-AU"/>
        </w:rPr>
        <w:t xml:space="preserve">Further offshore again, the </w:t>
      </w:r>
      <w:r w:rsidR="00F7576C">
        <w:rPr>
          <w:lang w:val="en-AU"/>
        </w:rPr>
        <w:t>shear-stress</w:t>
      </w:r>
      <w:r w:rsidRPr="007D6EB4">
        <w:rPr>
          <w:lang w:val="en-AU"/>
        </w:rPr>
        <w:t xml:space="preserve"> levels are indicated to rise, probably due to greater exposure to current forces rather than waves.</w:t>
      </w:r>
    </w:p>
    <w:p w:rsidR="00DB3632" w:rsidRPr="007D6EB4" w:rsidRDefault="00DB3632" w:rsidP="00EC0510">
      <w:pPr>
        <w:pStyle w:val="StyleLeft"/>
        <w:rPr>
          <w:lang w:val="en-AU"/>
        </w:rPr>
      </w:pPr>
      <w:r>
        <w:t xml:space="preserve">The sediment composition mapped by Geoscience Australia over most of the study area is consistent with the shear-stress modelling, although the Geoscience Australia mapping does show an area with high </w:t>
      </w:r>
      <w:r w:rsidR="00B271C6">
        <w:t>clay-silt</w:t>
      </w:r>
      <w:r>
        <w:t xml:space="preserve"> content within the north</w:t>
      </w:r>
      <w:r w:rsidR="006B2E38">
        <w:t>-</w:t>
      </w:r>
      <w:r>
        <w:t>east region of the study area (</w:t>
      </w:r>
      <w:r w:rsidR="006B5BBA" w:rsidRPr="006B5BBA">
        <w:fldChar w:fldCharType="begin"/>
      </w:r>
      <w:r w:rsidR="006B5BBA" w:rsidRPr="006B5BBA">
        <w:instrText xml:space="preserve"> REF  _Ref340479263 \* Lower \h  \* MERGEFORMAT </w:instrText>
      </w:r>
      <w:r w:rsidR="006B5BBA" w:rsidRPr="006B5BBA">
        <w:fldChar w:fldCharType="separate"/>
      </w:r>
      <w:r w:rsidR="00751BC4" w:rsidRPr="00751BC4">
        <w:rPr>
          <w:lang w:val="en-AU"/>
        </w:rPr>
        <w:t xml:space="preserve">figure </w:t>
      </w:r>
      <w:r w:rsidR="00751BC4" w:rsidRPr="00751BC4">
        <w:rPr>
          <w:noProof/>
          <w:lang w:val="en-AU"/>
        </w:rPr>
        <w:t>34</w:t>
      </w:r>
      <w:r w:rsidR="006B5BBA" w:rsidRPr="006B5BBA">
        <w:fldChar w:fldCharType="end"/>
      </w:r>
      <w:r>
        <w:rPr>
          <w:noProof/>
          <w:lang w:val="en-AU"/>
        </w:rPr>
        <w:t>).</w:t>
      </w:r>
    </w:p>
    <w:p w:rsidR="009715DB" w:rsidRDefault="009715DB" w:rsidP="00EC0510">
      <w:pPr>
        <w:pStyle w:val="StyleLeft"/>
        <w:rPr>
          <w:lang w:val="en-AU"/>
        </w:rPr>
      </w:pPr>
      <w:r w:rsidRPr="007D6EB4">
        <w:rPr>
          <w:lang w:val="en-AU"/>
        </w:rPr>
        <w:t>The 95</w:t>
      </w:r>
      <w:r w:rsidRPr="007D6EB4">
        <w:rPr>
          <w:vertAlign w:val="superscript"/>
          <w:lang w:val="en-AU"/>
        </w:rPr>
        <w:t>th</w:t>
      </w:r>
      <w:r w:rsidRPr="007D6EB4">
        <w:rPr>
          <w:lang w:val="en-AU"/>
        </w:rPr>
        <w:t xml:space="preserve"> percentile estimate indicate</w:t>
      </w:r>
      <w:r w:rsidR="00DB3632">
        <w:rPr>
          <w:lang w:val="en-AU"/>
        </w:rPr>
        <w:t>s</w:t>
      </w:r>
      <w:r w:rsidRPr="007D6EB4">
        <w:rPr>
          <w:lang w:val="en-AU"/>
        </w:rPr>
        <w:t xml:space="preserve"> that most locations off the port are periodically exposed to bed shear that could mobilise recently deposited sediments up to coarse sand, although in some patches, larger sediment grains may be mobilised. Thus, no locations would always remain retentive.</w:t>
      </w:r>
    </w:p>
    <w:p w:rsidR="009715DB" w:rsidRPr="007D6EB4" w:rsidRDefault="008A5C18" w:rsidP="00A6519A">
      <w:pPr>
        <w:spacing w:line="240" w:lineRule="auto"/>
        <w:rPr>
          <w:lang w:val="en-AU"/>
        </w:rPr>
      </w:pPr>
      <w:r w:rsidRPr="00C41728">
        <w:rPr>
          <w:noProof/>
          <w:lang w:val="en-AU" w:eastAsia="en-AU"/>
        </w:rPr>
        <w:lastRenderedPageBreak/>
        <w:drawing>
          <wp:inline distT="0" distB="0" distL="0" distR="0" wp14:anchorId="13B2D321" wp14:editId="4E5A4F03">
            <wp:extent cx="5353050" cy="3238500"/>
            <wp:effectExtent l="19050" t="19050" r="0" b="0"/>
            <wp:docPr id="120" name="Picture 120" descr="Figure 33 shows the median and extreme levels of shear-stress at the seabed within 50 km of the Port of Mackay represented by the 50th and 95th percentile contour plots. Similar to Port of Hay Point, the bed shear-stress predictions demonstrate the majority of the study area is energetic enough to mobilise unconsolidated material up to coarse sands. At the existing dredged material placement site, the median bed shear-stress map shows the potential for mobilising recently deposited sediments up to fine sand, although a more retentive region is indicated immediately to the west of the dredged material placement site. The region to the east of the dredged material placement site is calculated to receive the same median shear-stress levels as the existing dredged material placement site. Further offshore again, the shear-stress levels are indicated to rise, probably due to greater exposure to current forces rather than waves" title="Figure 33. Distribution of the 50th (upper) and 95th (lower image) percentile bed shear-stress estimates within 50 km from the Port of Mackay.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Q:\Projects\Q0110 GBRMPA-SKM QLD disposal site selection\8. Figures\Bed_Shear_Stress_Final_Maps\Mackay_Bed shear_50th Perc.pn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r>
        <w:rPr>
          <w:noProof/>
          <w:lang w:val="en-AU" w:eastAsia="en-AU"/>
        </w:rPr>
        <w:drawing>
          <wp:inline distT="0" distB="0" distL="0" distR="0" wp14:anchorId="7995FE81" wp14:editId="0A518198">
            <wp:extent cx="5353050" cy="3238500"/>
            <wp:effectExtent l="19050" t="19050" r="0" b="0"/>
            <wp:docPr id="121" name="Picture 121" descr="Figure 33 shows the median and extreme levels of shear-stress at the seabed within 50 km of the Port of Mackay represented by the 50th and 95th percentile contour plots. Similar to Port of Hay Point, the bed shear-stress predictions demonstrate the majority of the study area is energetic enough to mobilise unconsolidated material up to coarse sands. At the existing dredged material placement site, the median bed shear-stress map shows the potential for mobilising recently deposited sediments up to fine sand, although a more retentive region is indicated immediately to the west of the dredged material placement site. The region to the east of the dredged material placement site is calculated to receive the same median shear-stress levels as the existing dredged material placement site. Further offshore again, the shear-stress levels are indicated to rise, probably due to greater exposure to current forces rather than waves" title="Figure 33. Distribution of the 50th (upper) and 95th (lower image) percentile bed shear-stress estimates within 50 km from the Port of Mackay.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Q:\Projects\Q0110 GBRMPA-SKM QLD disposal site selection\8. Figures\Bed_Shear_Stress_Final_Maps\Mackay_Bed shear_95th Perc.pn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p>
    <w:p w:rsidR="009715DB" w:rsidRPr="007D6EB4" w:rsidRDefault="009715DB" w:rsidP="00A6519A">
      <w:pPr>
        <w:spacing w:line="240" w:lineRule="auto"/>
        <w:ind w:left="482" w:hanging="482"/>
        <w:jc w:val="left"/>
        <w:rPr>
          <w:lang w:val="en-AU" w:eastAsia="en-AU"/>
        </w:rPr>
      </w:pPr>
      <w:bookmarkStart w:id="117" w:name="_Ref338665533"/>
      <w:bookmarkStart w:id="118" w:name="_Toc338654429"/>
      <w:bookmarkStart w:id="119" w:name="_Toc361651516"/>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33</w:t>
      </w:r>
      <w:r w:rsidR="005F6FF5" w:rsidRPr="007D6EB4">
        <w:rPr>
          <w:b/>
          <w:lang w:val="en-AU"/>
        </w:rPr>
        <w:fldChar w:fldCharType="end"/>
      </w:r>
      <w:bookmarkEnd w:id="117"/>
      <w:r w:rsidR="00E5277F">
        <w:rPr>
          <w:b/>
          <w:lang w:val="en-AU"/>
        </w:rPr>
        <w:t>.</w:t>
      </w:r>
      <w:r w:rsidRPr="007D6EB4">
        <w:rPr>
          <w:lang w:val="en-AU"/>
        </w:rPr>
        <w:t xml:space="preserve"> Distribution of the 50</w:t>
      </w:r>
      <w:r w:rsidRPr="007D6EB4">
        <w:rPr>
          <w:vertAlign w:val="superscript"/>
          <w:lang w:val="en-AU"/>
        </w:rPr>
        <w:t>th</w:t>
      </w:r>
      <w:r w:rsidRPr="007D6EB4">
        <w:rPr>
          <w:lang w:val="en-AU"/>
        </w:rPr>
        <w:t xml:space="preserve"> (upper)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the Port of Mackay.</w:t>
      </w:r>
      <w:r w:rsidR="0043422D">
        <w:rPr>
          <w:lang w:val="en-AU"/>
        </w:rPr>
        <w:t xml:space="preserve"> </w:t>
      </w:r>
      <w:r w:rsidRPr="007D6EB4">
        <w:rPr>
          <w:lang w:val="en-AU"/>
        </w:rPr>
        <w:t xml:space="preserve">The estimates were </w:t>
      </w:r>
      <w:r w:rsidRPr="007D6EB4">
        <w:rPr>
          <w:lang w:val="en-AU" w:eastAsia="en-AU"/>
        </w:rPr>
        <w:t xml:space="preserve">calculated at hourly steps for each grid cell during 2011 current and wave conditions. </w:t>
      </w:r>
      <w:r w:rsidRPr="007D6EB4">
        <w:rPr>
          <w:lang w:val="en-AU"/>
        </w:rPr>
        <w:t xml:space="preserve">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118"/>
      <w:bookmarkEnd w:id="119"/>
    </w:p>
    <w:p w:rsidR="00FB1100" w:rsidRDefault="005416E9" w:rsidP="00A6519A">
      <w:pPr>
        <w:spacing w:line="240" w:lineRule="auto"/>
        <w:rPr>
          <w:b/>
          <w:lang w:val="en-AU"/>
        </w:rPr>
      </w:pPr>
      <w:bookmarkStart w:id="120" w:name="_Ref338667080"/>
      <w:r w:rsidRPr="006A22FE">
        <w:rPr>
          <w:b/>
          <w:noProof/>
          <w:bdr w:val="single" w:sz="4" w:space="0" w:color="auto"/>
          <w:lang w:val="en-AU" w:eastAsia="en-AU"/>
        </w:rPr>
        <w:lastRenderedPageBreak/>
        <w:drawing>
          <wp:inline distT="0" distB="0" distL="0" distR="0" wp14:anchorId="064BC589" wp14:editId="23E5D8AF">
            <wp:extent cx="5396865" cy="3270250"/>
            <wp:effectExtent l="0" t="0" r="0" b="0"/>
            <wp:docPr id="12" name="Picture 12" descr="Figure 34 shows the sediment composition over most of the study area is consistent with the shear-stress modelling, although the Geoscience Australia mapping does show an area with high clay-silt content within the northeast region of the study area. The 95th percentile estimate indicates that most locations off the port are periodically exposed to bed shear that could mobilise recently deposited sediments up to coarse sand, although in some patches, larger sediment grains may be mobilised. Thus, no locations would always remain retentive" title="Figure 34. Percentage for clay-silt (upper image) and sand (lower image) content in surface sediments within 50 km from the Port of Mackay.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_Exchange\delete\Revised\Hay Point_%Mud.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r w:rsidRPr="006A22FE">
        <w:rPr>
          <w:b/>
          <w:noProof/>
          <w:bdr w:val="single" w:sz="4" w:space="0" w:color="auto"/>
          <w:lang w:val="en-AU" w:eastAsia="en-AU"/>
        </w:rPr>
        <w:drawing>
          <wp:inline distT="0" distB="0" distL="0" distR="0" wp14:anchorId="43B68917" wp14:editId="4CB61730">
            <wp:extent cx="5347335" cy="3240405"/>
            <wp:effectExtent l="0" t="0" r="0" b="0"/>
            <wp:docPr id="11" name="Picture 11" descr="Figure 34 shows the sediment composition over most of the study area is consistent with the shear-stress modelling, although the Geoscience Australia mapping does show an area with high clay-silt content within the northeast region of the study area. The 95th percentile estimate indicates that most locations off the port are periodically exposed to bed shear that could mobilise recently deposited sediments up to coarse sand, although in some patches, larger sediment grains may be mobilised. Thus, no locations would always remain retentive" title="Figure 34. Percentage for clay-silt (upper image) and sand (lower image) content in surface sediments within 50 km from the Port of Mackay.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_Exchange\delete\Revised\Mackay_%Sand.pn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347335" cy="3240405"/>
                    </a:xfrm>
                    <a:prstGeom prst="rect">
                      <a:avLst/>
                    </a:prstGeom>
                    <a:noFill/>
                    <a:ln>
                      <a:noFill/>
                    </a:ln>
                  </pic:spPr>
                </pic:pic>
              </a:graphicData>
            </a:graphic>
          </wp:inline>
        </w:drawing>
      </w:r>
    </w:p>
    <w:p w:rsidR="009715DB" w:rsidRPr="007D6EB4" w:rsidRDefault="009715DB" w:rsidP="00A6519A">
      <w:pPr>
        <w:spacing w:line="240" w:lineRule="auto"/>
        <w:ind w:left="480" w:hanging="480"/>
        <w:jc w:val="left"/>
        <w:rPr>
          <w:b/>
          <w:lang w:val="en-AU"/>
        </w:rPr>
      </w:pPr>
      <w:bookmarkStart w:id="121" w:name="_Ref340479263"/>
      <w:bookmarkStart w:id="122" w:name="_Toc361651517"/>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34</w:t>
      </w:r>
      <w:r w:rsidR="005F6FF5" w:rsidRPr="007D6EB4">
        <w:rPr>
          <w:b/>
          <w:lang w:val="en-AU"/>
        </w:rPr>
        <w:fldChar w:fldCharType="end"/>
      </w:r>
      <w:bookmarkEnd w:id="120"/>
      <w:bookmarkEnd w:id="121"/>
      <w:r w:rsidR="00E5277F">
        <w:rPr>
          <w:b/>
          <w:lang w:val="en-AU"/>
        </w:rPr>
        <w:t>.</w:t>
      </w:r>
      <w:r w:rsidRPr="007D6EB4">
        <w:rPr>
          <w:lang w:val="en-AU"/>
        </w:rPr>
        <w:t xml:space="preserve"> Percentage for </w:t>
      </w:r>
      <w:r w:rsidR="00B271C6">
        <w:rPr>
          <w:lang w:val="en-AU"/>
        </w:rPr>
        <w:t>clay-silt</w:t>
      </w:r>
      <w:r w:rsidRPr="007D6EB4">
        <w:rPr>
          <w:lang w:val="en-AU"/>
        </w:rPr>
        <w:t xml:space="preserve"> (upper image) and sand (lower image) content in surface sediments within </w:t>
      </w:r>
      <w:r w:rsidR="002C78DC">
        <w:rPr>
          <w:lang w:val="en-AU"/>
        </w:rPr>
        <w:t>50 km</w:t>
      </w:r>
      <w:r w:rsidRPr="007D6EB4">
        <w:rPr>
          <w:lang w:val="en-AU"/>
        </w:rPr>
        <w:t xml:space="preserve"> from the Port of Mackay</w:t>
      </w:r>
      <w:r w:rsidR="0043422D">
        <w:rPr>
          <w:lang w:val="en-AU"/>
        </w:rPr>
        <w:t xml:space="preserve"> </w:t>
      </w:r>
      <w:r w:rsidRPr="007D6EB4">
        <w:rPr>
          <w:lang w:val="en-AU"/>
        </w:rPr>
        <w:t>(source: Geoscience Australia marine samples database 2007).</w:t>
      </w:r>
      <w:bookmarkEnd w:id="122"/>
    </w:p>
    <w:p w:rsidR="009715DB" w:rsidRPr="007D6EB4" w:rsidRDefault="009715DB" w:rsidP="00A6519A">
      <w:pPr>
        <w:spacing w:line="240" w:lineRule="auto"/>
        <w:jc w:val="left"/>
        <w:rPr>
          <w:color w:val="auto"/>
          <w:lang w:val="en-AU" w:eastAsia="en-AU"/>
        </w:rPr>
      </w:pPr>
    </w:p>
    <w:p w:rsidR="007A1B07" w:rsidRPr="007D6EB4" w:rsidRDefault="007A1B07" w:rsidP="00E46224">
      <w:pPr>
        <w:pStyle w:val="Heading2"/>
        <w:rPr>
          <w:lang w:eastAsia="en-AU"/>
        </w:rPr>
      </w:pPr>
      <w:bookmarkStart w:id="123" w:name="_Toc338665911"/>
      <w:bookmarkStart w:id="124" w:name="_Toc361929991"/>
      <w:r w:rsidRPr="007D6EB4">
        <w:rPr>
          <w:lang w:eastAsia="en-AU"/>
        </w:rPr>
        <w:t>Port of Abbot Point</w:t>
      </w:r>
      <w:bookmarkEnd w:id="123"/>
      <w:bookmarkEnd w:id="124"/>
    </w:p>
    <w:p w:rsidR="00DB3632" w:rsidRDefault="00693B03" w:rsidP="00EC0510">
      <w:pPr>
        <w:pStyle w:val="StyleLeft"/>
        <w:rPr>
          <w:rFonts w:cs="Arial"/>
        </w:rPr>
      </w:pPr>
      <w:r>
        <w:fldChar w:fldCharType="begin"/>
      </w:r>
      <w:r>
        <w:instrText xml:space="preserve"> REF _Ref340322925 \h  \* MERGEFORMAT </w:instrText>
      </w:r>
      <w:r>
        <w:fldChar w:fldCharType="separate"/>
      </w:r>
      <w:r w:rsidR="00751BC4" w:rsidRPr="00751BC4">
        <w:rPr>
          <w:lang w:val="en-AU"/>
        </w:rPr>
        <w:t xml:space="preserve">Figure </w:t>
      </w:r>
      <w:r w:rsidR="00751BC4" w:rsidRPr="00751BC4">
        <w:rPr>
          <w:noProof/>
          <w:lang w:val="en-AU"/>
        </w:rPr>
        <w:t>35</w:t>
      </w:r>
      <w:r>
        <w:fldChar w:fldCharType="end"/>
      </w:r>
      <w:r w:rsidR="00C70AD9" w:rsidRPr="00C70AD9">
        <w:rPr>
          <w:lang w:val="en-AU"/>
        </w:rPr>
        <w:t xml:space="preserve"> </w:t>
      </w:r>
      <w:r w:rsidR="007A1B07" w:rsidRPr="007D6EB4">
        <w:rPr>
          <w:lang w:val="en-AU"/>
        </w:rPr>
        <w:t>shows the 50</w:t>
      </w:r>
      <w:r w:rsidR="007A1B07" w:rsidRPr="007D6EB4">
        <w:rPr>
          <w:vertAlign w:val="superscript"/>
          <w:lang w:val="en-AU"/>
        </w:rPr>
        <w:t>th</w:t>
      </w:r>
      <w:r w:rsidR="007A1B07" w:rsidRPr="007D6EB4">
        <w:rPr>
          <w:lang w:val="en-AU"/>
        </w:rPr>
        <w:t xml:space="preserve"> and 95</w:t>
      </w:r>
      <w:r w:rsidR="007A1B07" w:rsidRPr="007D6EB4">
        <w:rPr>
          <w:vertAlign w:val="superscript"/>
          <w:lang w:val="en-AU"/>
        </w:rPr>
        <w:t>th</w:t>
      </w:r>
      <w:r w:rsidR="007A1B07" w:rsidRPr="007D6EB4">
        <w:rPr>
          <w:lang w:val="en-AU"/>
        </w:rPr>
        <w:t xml:space="preserve"> percentile plots calculated for</w:t>
      </w:r>
      <w:r w:rsidR="00F7576C">
        <w:rPr>
          <w:lang w:val="en-AU"/>
        </w:rPr>
        <w:t xml:space="preserve"> bed shear-stress</w:t>
      </w:r>
      <w:r w:rsidR="007A1B07" w:rsidRPr="007D6EB4">
        <w:rPr>
          <w:lang w:val="en-AU"/>
        </w:rPr>
        <w:t xml:space="preserve"> within 50 km of the Port of Abbot Point. </w:t>
      </w:r>
      <w:r w:rsidR="00DB3632">
        <w:rPr>
          <w:rFonts w:cs="Arial"/>
        </w:rPr>
        <w:t>In general, the bed shear-stress modelling predicts that the study area is a relatively low-energy retentive environment under average (50</w:t>
      </w:r>
      <w:r w:rsidR="001C5FFB" w:rsidRPr="001C5FFB">
        <w:rPr>
          <w:rFonts w:cs="Arial"/>
          <w:vertAlign w:val="superscript"/>
        </w:rPr>
        <w:t>th</w:t>
      </w:r>
      <w:r w:rsidR="00DB3632">
        <w:rPr>
          <w:rFonts w:cs="Arial"/>
        </w:rPr>
        <w:t xml:space="preserve"> percentile) conditions, with the c</w:t>
      </w:r>
      <w:r w:rsidR="006B5810">
        <w:rPr>
          <w:rFonts w:cs="Arial"/>
        </w:rPr>
        <w:t>entral portion</w:t>
      </w:r>
      <w:r w:rsidR="00DB3632">
        <w:rPr>
          <w:rFonts w:cs="Arial"/>
        </w:rPr>
        <w:t xml:space="preserve"> extending to the east, having a predicted shear-stress sufficient to mobilise unconsolidated sediments only up to fine silts, and peripheral areas up to coarse silts.</w:t>
      </w:r>
    </w:p>
    <w:p w:rsidR="001C5FFB" w:rsidRDefault="00DB3632" w:rsidP="001C5FFB">
      <w:pPr>
        <w:autoSpaceDE w:val="0"/>
        <w:autoSpaceDN w:val="0"/>
        <w:adjustRightInd w:val="0"/>
        <w:spacing w:after="0" w:line="276" w:lineRule="auto"/>
        <w:rPr>
          <w:rFonts w:cs="Arial"/>
          <w:lang w:val="en-AU"/>
        </w:rPr>
      </w:pPr>
      <w:r>
        <w:rPr>
          <w:rFonts w:cs="Arial"/>
        </w:rPr>
        <w:lastRenderedPageBreak/>
        <w:t xml:space="preserve">Sediment mapping by Geoscience Australia </w:t>
      </w:r>
      <w:r w:rsidRPr="006B5BBA">
        <w:rPr>
          <w:rFonts w:cs="Arial"/>
          <w:lang w:val="en-AU"/>
        </w:rPr>
        <w:t>(</w:t>
      </w:r>
      <w:r w:rsidR="006B5BBA" w:rsidRPr="006B5BBA">
        <w:fldChar w:fldCharType="begin"/>
      </w:r>
      <w:r w:rsidR="006B5BBA" w:rsidRPr="006B5BBA">
        <w:instrText xml:space="preserve"> REF  _Ref338668052 \* Lower \h  \* MERGEFORMAT </w:instrText>
      </w:r>
      <w:r w:rsidR="006B5BBA" w:rsidRPr="006B5BBA">
        <w:fldChar w:fldCharType="separate"/>
      </w:r>
      <w:r w:rsidR="00751BC4" w:rsidRPr="00751BC4">
        <w:rPr>
          <w:lang w:val="en-AU"/>
        </w:rPr>
        <w:t xml:space="preserve">figure </w:t>
      </w:r>
      <w:r w:rsidR="00751BC4" w:rsidRPr="00751BC4">
        <w:rPr>
          <w:noProof/>
          <w:lang w:val="en-AU"/>
        </w:rPr>
        <w:t>36</w:t>
      </w:r>
      <w:r w:rsidR="006B5BBA" w:rsidRPr="006B5BBA">
        <w:fldChar w:fldCharType="end"/>
      </w:r>
      <w:r w:rsidRPr="007D6EB4">
        <w:rPr>
          <w:rFonts w:cs="Arial"/>
          <w:lang w:val="en-AU"/>
        </w:rPr>
        <w:t>)</w:t>
      </w:r>
      <w:r>
        <w:rPr>
          <w:rFonts w:cs="Arial"/>
          <w:lang w:val="en-AU"/>
        </w:rPr>
        <w:t xml:space="preserve"> </w:t>
      </w:r>
      <w:r>
        <w:rPr>
          <w:rFonts w:cs="Arial"/>
        </w:rPr>
        <w:t>is consistent with the shear-stress modelling, with much of the study area, particularly to the east, having a clay-silt bottom.</w:t>
      </w:r>
      <w:r w:rsidR="006B5810">
        <w:rPr>
          <w:rFonts w:cs="Arial"/>
        </w:rPr>
        <w:t xml:space="preserve"> </w:t>
      </w:r>
      <w:r>
        <w:rPr>
          <w:rFonts w:cs="Arial"/>
        </w:rPr>
        <w:t>Even under 95</w:t>
      </w:r>
      <w:r w:rsidR="001C5FFB" w:rsidRPr="001C5FFB">
        <w:rPr>
          <w:rFonts w:cs="Arial"/>
          <w:vertAlign w:val="superscript"/>
        </w:rPr>
        <w:t>th</w:t>
      </w:r>
      <w:r>
        <w:rPr>
          <w:rFonts w:cs="Arial"/>
        </w:rPr>
        <w:t xml:space="preserve"> percentile conditions, the central area has a predicted </w:t>
      </w:r>
      <w:r w:rsidR="003510FE">
        <w:rPr>
          <w:rFonts w:cs="Arial"/>
        </w:rPr>
        <w:t>shear-stress</w:t>
      </w:r>
      <w:r>
        <w:rPr>
          <w:rFonts w:cs="Arial"/>
        </w:rPr>
        <w:t xml:space="preserve"> sufficient to mobilise only up to fine sands. </w:t>
      </w:r>
    </w:p>
    <w:p w:rsidR="007A1B07" w:rsidRPr="007D6EB4" w:rsidRDefault="007A1B07" w:rsidP="00617543">
      <w:pPr>
        <w:spacing w:after="0" w:line="240" w:lineRule="auto"/>
        <w:jc w:val="left"/>
        <w:rPr>
          <w:lang w:val="en-AU" w:eastAsia="en-AU"/>
        </w:rPr>
      </w:pPr>
    </w:p>
    <w:p w:rsidR="00FB1100" w:rsidRDefault="008A5C18" w:rsidP="00A6519A">
      <w:pPr>
        <w:spacing w:line="240" w:lineRule="auto"/>
        <w:rPr>
          <w:lang w:val="en-AU"/>
        </w:rPr>
      </w:pPr>
      <w:bookmarkStart w:id="125" w:name="_Ref338666378"/>
      <w:bookmarkStart w:id="126" w:name="_Toc338654430"/>
      <w:r>
        <w:rPr>
          <w:noProof/>
          <w:lang w:val="en-AU" w:eastAsia="en-AU"/>
        </w:rPr>
        <w:drawing>
          <wp:inline distT="0" distB="0" distL="0" distR="0" wp14:anchorId="20E79077" wp14:editId="6E9DFB05">
            <wp:extent cx="5353050" cy="3238500"/>
            <wp:effectExtent l="19050" t="19050" r="0" b="0"/>
            <wp:docPr id="124" name="Picture 124" descr="Figure 35 shows the 50th and 95th percentile plots calculated for bed shear-stress within 50 km of the Port of Abbot Point. In general, the bed shear-stress modelling predicts that the study area is a relatively low-energy retentive environment under average (50th percentile) conditions, with the central portion extending to the east, having a predicted shear-stress sufficient to mobilise unconsolidated sediments only up to fine silts, and peripheral areas up to coarse silts" title="Figure 35. Distribution of the 50th (upper) and 95th (lower image) percentile bed shear-stress estimates within 50 km from the Port of Abbot Point.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Q:\Projects\Q0110 GBRMPA-SKM QLD disposal site selection\8. Figures\Bed_Shear_Stress_Final_Maps\Abbot Point_Bed shear_50th Perc.pn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r w:rsidRPr="00FB1100">
        <w:rPr>
          <w:noProof/>
          <w:lang w:val="en-AU" w:eastAsia="en-AU"/>
        </w:rPr>
        <w:drawing>
          <wp:inline distT="0" distB="0" distL="0" distR="0" wp14:anchorId="3DB3EE32" wp14:editId="3AC5C5E9">
            <wp:extent cx="5353050" cy="3238500"/>
            <wp:effectExtent l="19050" t="19050" r="0" b="0"/>
            <wp:docPr id="125" name="Picture 125" descr="Figure 35 shows the 50th and 95th percentile plots calculated for bed shear-stress within 50 km of the Port of Abbot Point. In general, the bed shear-stress modelling predicts that the study area is a relatively low-energy retentive environment under average (50th percentile) conditions, with the central portion extending to the east, having a predicted shear-stress sufficient to mobilise unconsolidated sediments only up to fine silts, and peripheral areas up to coarse silts" title="Figure 35. Distribution of the 50th (upper) and 95th (lower image) percentile bed shear-stress estimates within 50 km from the Port of Abbot Point.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Q:\Projects\Q0110 GBRMPA-SKM QLD disposal site selection\8. Figures\Bed_Shear_Stress_Final_Maps\Abbot Point_Bed shear_95th Perc.pn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p>
    <w:p w:rsidR="007A1B07" w:rsidRPr="007D6EB4" w:rsidRDefault="007A1B07" w:rsidP="00436662">
      <w:pPr>
        <w:pStyle w:val="Para0"/>
        <w:spacing w:before="0"/>
        <w:ind w:left="480" w:hanging="480"/>
        <w:rPr>
          <w:b/>
          <w:lang w:val="en-AU" w:eastAsia="en-AU"/>
        </w:rPr>
      </w:pPr>
      <w:bookmarkStart w:id="127" w:name="_Ref340322925"/>
      <w:bookmarkStart w:id="128" w:name="_Toc361651518"/>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35</w:t>
      </w:r>
      <w:r w:rsidR="005F6FF5" w:rsidRPr="007D6EB4">
        <w:rPr>
          <w:b/>
          <w:lang w:val="en-AU"/>
        </w:rPr>
        <w:fldChar w:fldCharType="end"/>
      </w:r>
      <w:bookmarkEnd w:id="125"/>
      <w:bookmarkEnd w:id="127"/>
      <w:r w:rsidR="00E5277F">
        <w:rPr>
          <w:b/>
          <w:lang w:val="en-AU"/>
        </w:rPr>
        <w:t>.</w:t>
      </w:r>
      <w:r w:rsidRPr="007D6EB4">
        <w:rPr>
          <w:lang w:val="en-AU"/>
        </w:rPr>
        <w:t xml:space="preserve"> Distribution of the 50</w:t>
      </w:r>
      <w:r w:rsidRPr="007D6EB4">
        <w:rPr>
          <w:vertAlign w:val="superscript"/>
          <w:lang w:val="en-AU"/>
        </w:rPr>
        <w:t>th</w:t>
      </w:r>
      <w:r w:rsidRPr="007D6EB4">
        <w:rPr>
          <w:lang w:val="en-AU"/>
        </w:rPr>
        <w:t xml:space="preserve"> (upper)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the Port of Abbot Point.</w:t>
      </w:r>
      <w:r w:rsidR="0043422D">
        <w:rPr>
          <w:lang w:val="en-AU"/>
        </w:rPr>
        <w:t xml:space="preserve"> </w:t>
      </w:r>
      <w:r w:rsidRPr="007D6EB4">
        <w:rPr>
          <w:lang w:val="en-AU"/>
        </w:rPr>
        <w:t xml:space="preserve">The estimates were </w:t>
      </w:r>
      <w:r w:rsidRPr="007D6EB4">
        <w:rPr>
          <w:lang w:val="en-AU" w:eastAsia="en-AU"/>
        </w:rPr>
        <w:t xml:space="preserve">calculated at hourly steps for each grid cell during 2011 current and wave conditions. </w:t>
      </w:r>
      <w:r w:rsidRPr="007D6EB4">
        <w:rPr>
          <w:lang w:val="en-AU"/>
        </w:rPr>
        <w:t xml:space="preserve">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126"/>
      <w:bookmarkEnd w:id="128"/>
    </w:p>
    <w:p w:rsidR="007A1B07" w:rsidRDefault="007A1B07" w:rsidP="00A6519A">
      <w:pPr>
        <w:spacing w:line="240" w:lineRule="auto"/>
        <w:jc w:val="left"/>
      </w:pPr>
    </w:p>
    <w:p w:rsidR="005416E9" w:rsidRPr="00C41728" w:rsidRDefault="005416E9" w:rsidP="00A6519A">
      <w:pPr>
        <w:spacing w:line="240" w:lineRule="auto"/>
      </w:pPr>
      <w:r w:rsidRPr="006A22FE">
        <w:rPr>
          <w:noProof/>
          <w:bdr w:val="single" w:sz="4" w:space="0" w:color="auto"/>
          <w:lang w:val="en-AU" w:eastAsia="en-AU"/>
        </w:rPr>
        <w:lastRenderedPageBreak/>
        <w:drawing>
          <wp:inline distT="0" distB="0" distL="0" distR="0" wp14:anchorId="6763870D" wp14:editId="7040E7BE">
            <wp:extent cx="5396865" cy="3270250"/>
            <wp:effectExtent l="0" t="0" r="0" b="0"/>
            <wp:docPr id="28" name="Picture 28" descr="Figure 36 shows sediment mapping  is consistent with the shear-stress modelling, with much of the study area, particularly to the east, having a clay-silt bottom. Even under 95th percentile conditions, the central area has a predicted shear-stress sufficient to mobilise only up to fine sands" title="Figure 36. Percentage for clay-silt (upper image) and sand (lower image) content in surface sediments within 50 km from the Port of Abbot Point.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_Exchange\delete\Revised\Abbot Point_%Mud.pn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0507650E" wp14:editId="07BC7579">
            <wp:extent cx="5347335" cy="3240405"/>
            <wp:effectExtent l="0" t="0" r="0" b="0"/>
            <wp:docPr id="27" name="Picture 27" descr="Figure 36 shows sediment mapping  is consistent with the shear-stress modelling, with much of the study area, particularly to the east, having a clay-silt bottom. Even under 95th percentile conditions, the central area has a predicted shear-stress sufficient to mobilise only up to fine sands" title="Figure 36. Percentage for clay-silt (upper image) and sand (lower image) content in surface sediments within 50 km from the Port of Abbot Point.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_Exchange\delete\Revised\Abbot Point_%Sand.pn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347335" cy="3240405"/>
                    </a:xfrm>
                    <a:prstGeom prst="rect">
                      <a:avLst/>
                    </a:prstGeom>
                    <a:noFill/>
                    <a:ln>
                      <a:noFill/>
                    </a:ln>
                  </pic:spPr>
                </pic:pic>
              </a:graphicData>
            </a:graphic>
          </wp:inline>
        </w:drawing>
      </w:r>
    </w:p>
    <w:p w:rsidR="007A1B07" w:rsidRPr="007D6EB4" w:rsidRDefault="007A1B07" w:rsidP="00EC0510">
      <w:pPr>
        <w:pStyle w:val="Caption"/>
        <w:spacing w:line="240" w:lineRule="auto"/>
        <w:ind w:left="480" w:hanging="480"/>
        <w:jc w:val="left"/>
        <w:rPr>
          <w:b/>
          <w:lang w:val="en-AU"/>
        </w:rPr>
      </w:pPr>
      <w:bookmarkStart w:id="129" w:name="_Ref338668052"/>
      <w:bookmarkStart w:id="130" w:name="_Toc361651519"/>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36</w:t>
      </w:r>
      <w:r w:rsidR="005F6FF5" w:rsidRPr="007D6EB4">
        <w:rPr>
          <w:b/>
          <w:lang w:val="en-AU"/>
        </w:rPr>
        <w:fldChar w:fldCharType="end"/>
      </w:r>
      <w:bookmarkEnd w:id="129"/>
      <w:r w:rsidR="00E5277F">
        <w:rPr>
          <w:lang w:val="en-AU"/>
        </w:rPr>
        <w:t>.</w:t>
      </w:r>
      <w:r w:rsidRPr="007D6EB4">
        <w:rPr>
          <w:lang w:val="en-AU"/>
        </w:rPr>
        <w:t xml:space="preserve"> Percentage for </w:t>
      </w:r>
      <w:r w:rsidR="00B271C6">
        <w:rPr>
          <w:lang w:val="en-AU"/>
        </w:rPr>
        <w:t>clay-silt</w:t>
      </w:r>
      <w:r w:rsidRPr="007D6EB4">
        <w:rPr>
          <w:lang w:val="en-AU"/>
        </w:rPr>
        <w:t xml:space="preserve"> (upper image) and sand (lower image) content in surface sediments within </w:t>
      </w:r>
      <w:r w:rsidR="002C78DC">
        <w:rPr>
          <w:lang w:val="en-AU"/>
        </w:rPr>
        <w:t>50 km</w:t>
      </w:r>
      <w:r w:rsidRPr="007D6EB4">
        <w:rPr>
          <w:lang w:val="en-AU"/>
        </w:rPr>
        <w:t xml:space="preserve"> from the Port of Abbot Point</w:t>
      </w:r>
      <w:r w:rsidR="0043422D">
        <w:rPr>
          <w:lang w:val="en-AU"/>
        </w:rPr>
        <w:t xml:space="preserve"> </w:t>
      </w:r>
      <w:r w:rsidRPr="007D6EB4">
        <w:rPr>
          <w:lang w:val="en-AU"/>
        </w:rPr>
        <w:t>(source Geoscience Australia marine samples database 2007).</w:t>
      </w:r>
      <w:bookmarkEnd w:id="130"/>
    </w:p>
    <w:p w:rsidR="007A1B07" w:rsidRPr="007D6EB4" w:rsidRDefault="007A1B07" w:rsidP="00617543">
      <w:pPr>
        <w:spacing w:after="0" w:line="240" w:lineRule="auto"/>
        <w:jc w:val="left"/>
        <w:rPr>
          <w:lang w:val="en-AU"/>
        </w:rPr>
      </w:pPr>
      <w:r w:rsidRPr="007D6EB4">
        <w:rPr>
          <w:lang w:val="en-AU"/>
        </w:rPr>
        <w:br w:type="page"/>
      </w:r>
    </w:p>
    <w:p w:rsidR="007A1B07" w:rsidRPr="007D6EB4" w:rsidRDefault="007A1B07" w:rsidP="00E46224">
      <w:pPr>
        <w:pStyle w:val="Heading2"/>
      </w:pPr>
      <w:bookmarkStart w:id="131" w:name="_Toc338665912"/>
      <w:bookmarkStart w:id="132" w:name="_Toc361929992"/>
      <w:r w:rsidRPr="007D6EB4">
        <w:lastRenderedPageBreak/>
        <w:t>Port of Townsville</w:t>
      </w:r>
      <w:bookmarkEnd w:id="131"/>
      <w:bookmarkEnd w:id="132"/>
    </w:p>
    <w:p w:rsidR="006B5810" w:rsidRDefault="00693B03" w:rsidP="00EC0510">
      <w:pPr>
        <w:pStyle w:val="StyleLeft"/>
        <w:rPr>
          <w:rFonts w:cs="Arial"/>
          <w:color w:val="auto"/>
          <w:szCs w:val="22"/>
          <w:lang w:val="en-AU" w:eastAsia="en-AU"/>
        </w:rPr>
      </w:pPr>
      <w:r>
        <w:fldChar w:fldCharType="begin"/>
      </w:r>
      <w:r>
        <w:instrText xml:space="preserve"> REF _Ref338668209 \h  \* MERGEFORMAT </w:instrText>
      </w:r>
      <w:r>
        <w:fldChar w:fldCharType="separate"/>
      </w:r>
      <w:r w:rsidR="00751BC4" w:rsidRPr="00751BC4">
        <w:rPr>
          <w:lang w:val="en-AU"/>
        </w:rPr>
        <w:t xml:space="preserve">Figure </w:t>
      </w:r>
      <w:r w:rsidR="00751BC4" w:rsidRPr="00751BC4">
        <w:rPr>
          <w:noProof/>
          <w:lang w:val="en-AU"/>
        </w:rPr>
        <w:t>37</w:t>
      </w:r>
      <w:r>
        <w:fldChar w:fldCharType="end"/>
      </w:r>
      <w:r w:rsidR="007A1B07" w:rsidRPr="007D6EB4">
        <w:rPr>
          <w:lang w:val="en-AU" w:eastAsia="en-AU"/>
        </w:rPr>
        <w:t xml:space="preserve"> shows the 50</w:t>
      </w:r>
      <w:r w:rsidR="007A1B07" w:rsidRPr="007D6EB4">
        <w:rPr>
          <w:vertAlign w:val="superscript"/>
          <w:lang w:val="en-AU" w:eastAsia="en-AU"/>
        </w:rPr>
        <w:t>th</w:t>
      </w:r>
      <w:r w:rsidR="007A1B07" w:rsidRPr="007D6EB4">
        <w:rPr>
          <w:lang w:val="en-AU" w:eastAsia="en-AU"/>
        </w:rPr>
        <w:t xml:space="preserve"> percentile and more extreme levels (95</w:t>
      </w:r>
      <w:r w:rsidR="007A1B07" w:rsidRPr="007D6EB4">
        <w:rPr>
          <w:vertAlign w:val="superscript"/>
          <w:lang w:val="en-AU" w:eastAsia="en-AU"/>
        </w:rPr>
        <w:t>th</w:t>
      </w:r>
      <w:r w:rsidR="007A1B07" w:rsidRPr="007D6EB4">
        <w:rPr>
          <w:lang w:val="en-AU" w:eastAsia="en-AU"/>
        </w:rPr>
        <w:t xml:space="preserve"> percentile) of bed </w:t>
      </w:r>
      <w:r w:rsidR="00F7576C">
        <w:rPr>
          <w:lang w:val="en-AU" w:eastAsia="en-AU"/>
        </w:rPr>
        <w:t>shear-stress</w:t>
      </w:r>
      <w:r w:rsidR="007A1B07" w:rsidRPr="007D6EB4">
        <w:rPr>
          <w:lang w:val="en-AU" w:eastAsia="en-AU"/>
        </w:rPr>
        <w:t xml:space="preserve"> at the seabed within </w:t>
      </w:r>
      <w:r w:rsidR="002C78DC">
        <w:rPr>
          <w:lang w:val="en-AU" w:eastAsia="en-AU"/>
        </w:rPr>
        <w:t>50 km</w:t>
      </w:r>
      <w:r w:rsidR="007A1B07" w:rsidRPr="007D6EB4">
        <w:rPr>
          <w:lang w:val="en-AU" w:eastAsia="en-AU"/>
        </w:rPr>
        <w:t xml:space="preserve"> from the Port of Townsville</w:t>
      </w:r>
      <w:r w:rsidR="00DB3632">
        <w:rPr>
          <w:lang w:val="en-AU" w:eastAsia="en-AU"/>
        </w:rPr>
        <w:t>. Overall, the modelled b</w:t>
      </w:r>
      <w:r w:rsidR="00DB3632">
        <w:rPr>
          <w:rFonts w:cs="Arial"/>
          <w:color w:val="auto"/>
          <w:szCs w:val="22"/>
          <w:lang w:val="en-AU" w:eastAsia="en-AU"/>
        </w:rPr>
        <w:t xml:space="preserve">ed shear-stress values indicate that much of the study area has a relatively low-energy seabed environment, with shear-stress sufficient to potentially mobilise unconsolidated sediments up to coarse silts. Modelled shear-stress in the north-eastern zone of the study area is sufficient to mobilise fine sands, and the central portion of Cleveland Bay, and the far eastern portion of Bowling Green Bay, have predicted shear-stress values indicative of the potential mobilisation of coarse sands under average conditions. Additionally, there is a small zone north of Magnetic Island with lower predicted shear-stress values (more retentive environment), sufficient to mobilise material only up to fine silt. </w:t>
      </w:r>
    </w:p>
    <w:p w:rsidR="00DB3632" w:rsidRDefault="00DB3632" w:rsidP="00EC0510">
      <w:pPr>
        <w:pStyle w:val="StyleLeft"/>
        <w:rPr>
          <w:lang w:val="en-AU" w:eastAsia="en-AU"/>
        </w:rPr>
      </w:pPr>
      <w:r>
        <w:rPr>
          <w:lang w:val="en-AU" w:eastAsia="en-AU"/>
        </w:rPr>
        <w:t xml:space="preserve">Sediment mapping by Geoscience Australia is generally consistent with the shear-stress modelling, showing </w:t>
      </w:r>
      <w:r w:rsidR="00B271C6">
        <w:rPr>
          <w:lang w:val="en-AU" w:eastAsia="en-AU"/>
        </w:rPr>
        <w:t>clay-silt</w:t>
      </w:r>
      <w:r>
        <w:rPr>
          <w:lang w:val="en-AU" w:eastAsia="en-AU"/>
        </w:rPr>
        <w:t xml:space="preserve"> sediments in the eastern part of the study area and north of Magnetic Island, and sandier sediments to the north and east. The sediment mapping shows a </w:t>
      </w:r>
      <w:r w:rsidR="00B271C6">
        <w:rPr>
          <w:lang w:val="en-AU" w:eastAsia="en-AU"/>
        </w:rPr>
        <w:t>clay-silt</w:t>
      </w:r>
      <w:r>
        <w:rPr>
          <w:lang w:val="en-AU" w:eastAsia="en-AU"/>
        </w:rPr>
        <w:t xml:space="preserve"> bottom in the eastern part of Bowling Green Bay, an area predicted to have relatively high shear-stress. This could reflect significant inputs and consolidation of fine material from the creeks </w:t>
      </w:r>
      <w:r w:rsidR="006B5810">
        <w:rPr>
          <w:lang w:val="en-AU" w:eastAsia="en-AU"/>
        </w:rPr>
        <w:t>draining into Bowling Green Bay and</w:t>
      </w:r>
      <w:r>
        <w:rPr>
          <w:lang w:val="en-AU" w:eastAsia="en-AU"/>
        </w:rPr>
        <w:t xml:space="preserve"> diversion </w:t>
      </w:r>
      <w:r w:rsidR="006B5810">
        <w:rPr>
          <w:lang w:val="en-AU" w:eastAsia="en-AU"/>
        </w:rPr>
        <w:t>of the</w:t>
      </w:r>
      <w:r>
        <w:rPr>
          <w:lang w:val="en-AU" w:eastAsia="en-AU"/>
        </w:rPr>
        <w:t xml:space="preserve"> longshore transport of sand by Cape Bowling Green. </w:t>
      </w:r>
    </w:p>
    <w:p w:rsidR="007A1B07" w:rsidRPr="006B5BBA" w:rsidRDefault="007A1B07" w:rsidP="00EC0510">
      <w:pPr>
        <w:pStyle w:val="StyleLeft"/>
        <w:rPr>
          <w:lang w:val="en-AU" w:eastAsia="en-AU"/>
        </w:rPr>
      </w:pPr>
      <w:r w:rsidRPr="007D6EB4">
        <w:rPr>
          <w:lang w:val="en-AU" w:eastAsia="en-AU"/>
        </w:rPr>
        <w:t xml:space="preserve">The </w:t>
      </w:r>
      <w:r w:rsidR="003358B0">
        <w:rPr>
          <w:lang w:val="en-AU" w:eastAsia="en-AU"/>
        </w:rPr>
        <w:t>Geoscience Australia</w:t>
      </w:r>
      <w:r w:rsidR="003358B0" w:rsidRPr="007D6EB4">
        <w:rPr>
          <w:lang w:val="en-AU" w:eastAsia="en-AU"/>
        </w:rPr>
        <w:t xml:space="preserve"> </w:t>
      </w:r>
      <w:r w:rsidRPr="007D6EB4">
        <w:rPr>
          <w:lang w:val="en-AU" w:eastAsia="en-AU"/>
        </w:rPr>
        <w:t xml:space="preserve">spatial maps </w:t>
      </w:r>
      <w:r w:rsidR="00E3321E">
        <w:rPr>
          <w:lang w:val="en-AU" w:eastAsia="en-AU"/>
        </w:rPr>
        <w:t>show</w:t>
      </w:r>
      <w:r w:rsidRPr="007D6EB4">
        <w:rPr>
          <w:lang w:val="en-AU" w:eastAsia="en-AU"/>
        </w:rPr>
        <w:t xml:space="preserve"> a </w:t>
      </w:r>
      <w:r w:rsidR="00E3321E">
        <w:rPr>
          <w:lang w:val="en-AU" w:eastAsia="en-AU"/>
        </w:rPr>
        <w:t>decreased</w:t>
      </w:r>
      <w:r w:rsidRPr="007D6EB4">
        <w:rPr>
          <w:lang w:val="en-AU" w:eastAsia="en-AU"/>
        </w:rPr>
        <w:t xml:space="preserve"> </w:t>
      </w:r>
      <w:r w:rsidR="00DC52E3">
        <w:rPr>
          <w:lang w:val="en-AU" w:eastAsia="en-AU"/>
        </w:rPr>
        <w:t>clay-silt</w:t>
      </w:r>
      <w:r w:rsidRPr="007D6EB4">
        <w:rPr>
          <w:lang w:val="en-AU" w:eastAsia="en-AU"/>
        </w:rPr>
        <w:t xml:space="preserve"> content in the region near the existing disposal ground extending inshore, which is also indicative that this region is subject to greater levels of sorting than other areas further south</w:t>
      </w:r>
      <w:r w:rsidR="00C70AD9">
        <w:rPr>
          <w:lang w:val="en-AU" w:eastAsia="en-AU"/>
        </w:rPr>
        <w:t xml:space="preserve"> </w:t>
      </w:r>
      <w:r w:rsidR="00C70AD9" w:rsidRPr="006B5BBA">
        <w:rPr>
          <w:lang w:val="en-AU" w:eastAsia="en-AU"/>
        </w:rPr>
        <w:t>(</w:t>
      </w:r>
      <w:r w:rsidR="006D4E6A" w:rsidRPr="006D4E6A">
        <w:fldChar w:fldCharType="begin"/>
      </w:r>
      <w:r w:rsidR="006D4E6A" w:rsidRPr="006D4E6A">
        <w:instrText xml:space="preserve"> REF  _Ref340323008 \* Lower \h  \* MERGEFORMAT </w:instrText>
      </w:r>
      <w:r w:rsidR="006D4E6A" w:rsidRPr="006D4E6A">
        <w:fldChar w:fldCharType="separate"/>
      </w:r>
      <w:r w:rsidR="00751BC4" w:rsidRPr="00751BC4">
        <w:rPr>
          <w:lang w:val="en-AU"/>
        </w:rPr>
        <w:t xml:space="preserve">figure </w:t>
      </w:r>
      <w:r w:rsidR="00751BC4" w:rsidRPr="00751BC4">
        <w:rPr>
          <w:noProof/>
          <w:lang w:val="en-AU"/>
        </w:rPr>
        <w:t>38</w:t>
      </w:r>
      <w:r w:rsidR="006D4E6A" w:rsidRPr="006D4E6A">
        <w:fldChar w:fldCharType="end"/>
      </w:r>
      <w:r w:rsidR="00C70AD9" w:rsidRPr="006B5BBA">
        <w:rPr>
          <w:lang w:val="en-AU" w:eastAsia="en-AU"/>
        </w:rPr>
        <w:t>)</w:t>
      </w:r>
      <w:r w:rsidRPr="006B5BBA">
        <w:rPr>
          <w:lang w:val="en-AU" w:eastAsia="en-AU"/>
        </w:rPr>
        <w:t>.</w:t>
      </w:r>
    </w:p>
    <w:p w:rsidR="00DB3632" w:rsidRDefault="00DC52E3" w:rsidP="00EC0510">
      <w:pPr>
        <w:pStyle w:val="StyleLeft"/>
        <w:rPr>
          <w:lang w:val="en-AU" w:eastAsia="en-AU"/>
        </w:rPr>
      </w:pPr>
      <w:r>
        <w:rPr>
          <w:lang w:val="en-AU" w:eastAsia="en-AU"/>
        </w:rPr>
        <w:t>T</w:t>
      </w:r>
      <w:r w:rsidR="00DB3632" w:rsidRPr="007D6EB4">
        <w:rPr>
          <w:lang w:val="en-AU" w:eastAsia="en-AU"/>
        </w:rPr>
        <w:t>he 95</w:t>
      </w:r>
      <w:r w:rsidR="00DB3632" w:rsidRPr="007D6EB4">
        <w:rPr>
          <w:vertAlign w:val="superscript"/>
          <w:lang w:val="en-AU" w:eastAsia="en-AU"/>
        </w:rPr>
        <w:t>th</w:t>
      </w:r>
      <w:r>
        <w:rPr>
          <w:lang w:val="en-AU" w:eastAsia="en-AU"/>
        </w:rPr>
        <w:t xml:space="preserve"> percentile map</w:t>
      </w:r>
      <w:r w:rsidR="00DB3632" w:rsidRPr="007D6EB4">
        <w:rPr>
          <w:lang w:val="en-AU" w:eastAsia="en-AU"/>
        </w:rPr>
        <w:t xml:space="preserve"> </w:t>
      </w:r>
      <w:r>
        <w:rPr>
          <w:lang w:val="en-AU" w:eastAsia="en-AU"/>
        </w:rPr>
        <w:t xml:space="preserve">reveals that the majority of the Townsville study area becomes more dispersive and with </w:t>
      </w:r>
      <w:r w:rsidR="00DB3632" w:rsidRPr="007D6EB4">
        <w:rPr>
          <w:lang w:val="en-AU" w:eastAsia="en-AU"/>
        </w:rPr>
        <w:t xml:space="preserve">shear-stress levels </w:t>
      </w:r>
      <w:r>
        <w:rPr>
          <w:lang w:val="en-AU" w:eastAsia="en-AU"/>
        </w:rPr>
        <w:t>capable of mobilising</w:t>
      </w:r>
      <w:r w:rsidR="00DB3632" w:rsidRPr="007D6EB4">
        <w:rPr>
          <w:lang w:val="en-AU" w:eastAsia="en-AU"/>
        </w:rPr>
        <w:t xml:space="preserve"> recently deposited sediment</w:t>
      </w:r>
      <w:r>
        <w:rPr>
          <w:lang w:val="en-AU" w:eastAsia="en-AU"/>
        </w:rPr>
        <w:t>s</w:t>
      </w:r>
      <w:r w:rsidR="00DB3632" w:rsidRPr="007D6EB4">
        <w:rPr>
          <w:lang w:val="en-AU" w:eastAsia="en-AU"/>
        </w:rPr>
        <w:t xml:space="preserve"> as large as coarse sand. </w:t>
      </w:r>
    </w:p>
    <w:p w:rsidR="007A1B07" w:rsidRPr="007D6EB4" w:rsidRDefault="007A1B07" w:rsidP="00617543">
      <w:pPr>
        <w:pStyle w:val="Para0"/>
        <w:rPr>
          <w:lang w:val="en-AU"/>
        </w:rPr>
      </w:pPr>
    </w:p>
    <w:p w:rsidR="007A1B07" w:rsidRPr="007D6EB4" w:rsidRDefault="00C41728" w:rsidP="00A6519A">
      <w:pPr>
        <w:spacing w:line="240" w:lineRule="auto"/>
        <w:rPr>
          <w:lang w:val="en-AU"/>
        </w:rPr>
      </w:pPr>
      <w:r>
        <w:rPr>
          <w:noProof/>
          <w:lang w:val="en-AU" w:eastAsia="en-AU"/>
        </w:rPr>
        <w:lastRenderedPageBreak/>
        <w:drawing>
          <wp:inline distT="0" distB="0" distL="0" distR="0" wp14:anchorId="63F35CF3" wp14:editId="0A41C6C0">
            <wp:extent cx="5353050" cy="3238500"/>
            <wp:effectExtent l="19050" t="19050" r="0" b="0"/>
            <wp:docPr id="157" name="Picture 157" descr="Figure 37 shows the 50th percentile and more extreme levels (95th percentile) of bed shear-stress at the seabed within 50 km from the Port of Townsville. Overall, the modelled bed shear-stress values indicate that much of the study area has a relatively low-energy seabed environment, with shear-stress sufficient to potentially mobilise unconsolidated sediments up to coarse silts. Modelled shear-stress in the north-eastern zone of the study area is sufficient to mobilise fine sands, and the central portion of Cleveland Bay, and the far eastern portion of Bowling Green Bay, have predicted shear-stress values indicative of the potential mobilisation of coarse sands under average conditions. Additionally, there is a small zone north of Magnetic Island with lower predicted shear-stress values (more retentive environment), sufficient to mobilise material only up to fine silt. Sediment mapping is generally consistent with the shear-stress modelling, showing clay-silt sediments in the eastern part of the study area and north of Magnetic Island, and sandier sediments to the north and east. The sediment mapping shows a clay-silt bottom in the eastern part of Bowling Green Bay, an area predicted to have relatively high shear-stress. This could reflect significant inputs and consolidation of fine material from the creeks draining into Bowling Green Bay and diversion of the longshore transport of sand by Cape Bowling Green" title="Figure 37. Distribution of the 50th (upper) and 95th (lower image) percentile bed shear-stress estimates within 50 km from the Port of Townsville.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Q:\Projects\Q0110 GBRMPA-SKM QLD disposal site selection\8. Figures\Bed_Shear_Stress_Final_Maps\Townsville_Bed shear_50th Perc.pn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r w:rsidR="008A5C18">
        <w:rPr>
          <w:noProof/>
          <w:lang w:val="en-AU" w:eastAsia="en-AU"/>
        </w:rPr>
        <w:drawing>
          <wp:inline distT="0" distB="0" distL="0" distR="0" wp14:anchorId="18725984" wp14:editId="75E0E568">
            <wp:extent cx="5353050" cy="3238500"/>
            <wp:effectExtent l="19050" t="19050" r="0" b="0"/>
            <wp:docPr id="129" name="Picture 129" descr="Figure 37 shows the 50th percentile and more extreme levels (95th percentile) of bed shear-stress at the seabed within 50 km from the Port of Townsville. Overall, the modelled bed shear-stress values indicate that much of the study area has a relatively low-energy seabed environment, with shear-stress sufficient to potentially mobilise unconsolidated sediments up to coarse silts. Modelled shear-stress in the north-eastern zone of the study area is sufficient to mobilise fine sands, and the central portion of Cleveland Bay, and the far eastern portion of Bowling Green Bay, have predicted shear-stress values indicative of the potential mobilisation of coarse sands under average conditions. Additionally, there is a small zone north of Magnetic Island with lower predicted shear-stress values (more retentive environment), sufficient to mobilise material only up to fine silt. Sediment mapping is generally consistent with the shear-stress modelling, showing clay-silt sediments in the eastern part of the study area and north of Magnetic Island, and sandier sediments to the north and east. The sediment mapping shows a clay-silt bottom in the eastern part of Bowling Green Bay, an area predicted to have relatively high shear-stress. This could reflect significant inputs and consolidation of fine material from the creeks draining into Bowling Green Bay and diversion of the longshore transport of sand by Cape Bowling Green" title="Figure 37. Distribution of the 50th (upper) and 95th (lower image) percentile bed shear-stress estimates within 50 km from the Port of Townsville.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Q:\Projects\Q0110 GBRMPA-SKM QLD disposal site selection\8. Figures\Bed_Shear_Stress_Final_Maps\Townsville_Bed shear_95th Perc.pn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p>
    <w:p w:rsidR="007A1B07" w:rsidRDefault="007A1B07" w:rsidP="00EC0510">
      <w:pPr>
        <w:pStyle w:val="Caption"/>
        <w:spacing w:line="240" w:lineRule="auto"/>
        <w:ind w:left="480" w:hanging="480"/>
        <w:jc w:val="left"/>
        <w:rPr>
          <w:lang w:val="en-AU"/>
        </w:rPr>
      </w:pPr>
      <w:bookmarkStart w:id="133" w:name="_Ref338668209"/>
      <w:bookmarkStart w:id="134" w:name="_Toc361651520"/>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37</w:t>
      </w:r>
      <w:r w:rsidR="005F6FF5" w:rsidRPr="007D6EB4">
        <w:rPr>
          <w:b/>
          <w:lang w:val="en-AU"/>
        </w:rPr>
        <w:fldChar w:fldCharType="end"/>
      </w:r>
      <w:bookmarkEnd w:id="133"/>
      <w:r w:rsidR="00E5277F">
        <w:rPr>
          <w:lang w:val="en-AU"/>
        </w:rPr>
        <w:t>.</w:t>
      </w:r>
      <w:r w:rsidRPr="007D6EB4">
        <w:rPr>
          <w:lang w:val="en-AU"/>
        </w:rPr>
        <w:t xml:space="preserve"> Distribution of the 50</w:t>
      </w:r>
      <w:r w:rsidRPr="007D6EB4">
        <w:rPr>
          <w:vertAlign w:val="superscript"/>
          <w:lang w:val="en-AU"/>
        </w:rPr>
        <w:t>th</w:t>
      </w:r>
      <w:r w:rsidRPr="007D6EB4">
        <w:rPr>
          <w:lang w:val="en-AU"/>
        </w:rPr>
        <w:t xml:space="preserve"> (upper)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the Port of Townsville.</w:t>
      </w:r>
      <w:r w:rsidR="0043422D">
        <w:rPr>
          <w:lang w:val="en-AU"/>
        </w:rPr>
        <w:t xml:space="preserve"> </w:t>
      </w:r>
      <w:r w:rsidRPr="007D6EB4">
        <w:rPr>
          <w:lang w:val="en-AU"/>
        </w:rPr>
        <w:t xml:space="preserve">The estimates were </w:t>
      </w:r>
      <w:r w:rsidRPr="007D6EB4">
        <w:rPr>
          <w:lang w:val="en-AU" w:eastAsia="en-AU"/>
        </w:rPr>
        <w:t xml:space="preserve">calculated at hourly steps for each grid cell during 2011 current and wave conditions. </w:t>
      </w:r>
      <w:r w:rsidRPr="007D6EB4">
        <w:rPr>
          <w:lang w:val="en-AU"/>
        </w:rPr>
        <w:t xml:space="preserve">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134"/>
    </w:p>
    <w:p w:rsidR="00C41728" w:rsidRPr="00C41728" w:rsidRDefault="00C41728" w:rsidP="00A6519A">
      <w:pPr>
        <w:spacing w:line="240" w:lineRule="auto"/>
        <w:jc w:val="left"/>
        <w:rPr>
          <w:lang w:val="en-AU"/>
        </w:rPr>
      </w:pPr>
    </w:p>
    <w:p w:rsidR="007A1B07" w:rsidRPr="007D6EB4" w:rsidRDefault="005416E9" w:rsidP="008A5C18">
      <w:pPr>
        <w:pStyle w:val="Para0"/>
        <w:spacing w:before="0"/>
        <w:rPr>
          <w:lang w:val="en-AU"/>
        </w:rPr>
      </w:pPr>
      <w:r w:rsidRPr="006A22FE">
        <w:rPr>
          <w:noProof/>
          <w:bdr w:val="single" w:sz="4" w:space="0" w:color="auto"/>
          <w:lang w:val="en-AU" w:eastAsia="en-AU"/>
        </w:rPr>
        <w:lastRenderedPageBreak/>
        <w:drawing>
          <wp:inline distT="0" distB="0" distL="0" distR="0" wp14:anchorId="4FCDB96C" wp14:editId="224F3AC7">
            <wp:extent cx="5396865" cy="3270250"/>
            <wp:effectExtent l="0" t="0" r="0" b="0"/>
            <wp:docPr id="30" name="Picture 30" descr="Figure 38 shows spatial maps showing a decreased clay-silt content in the region near the existing Townsville disposal ground extending inshore, which is also indicative that this region is subject to greater levels of sorting than other areas further south. The 95th percentile map reveals that the majority of the Townsville study area becomes more dispersive and with shear-stress levels capable of mobilising recently deposited sediments as large as coarse sand. " title="Figure 38. Percentage for clay-silt (upper image) and sand (lower image) content in surface sediments within 50 km from the Port of Townsville.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_Exchange\delete\Revised\Townsville_%Mud.pn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548EB643" wp14:editId="01F31D9B">
            <wp:extent cx="5396865" cy="3270250"/>
            <wp:effectExtent l="0" t="0" r="0" b="0"/>
            <wp:docPr id="29" name="Picture 29" descr="Figure 38 shows spatial maps showing a decreased clay-silt content in the region near the existing Townsville disposal ground extending inshore, which is also indicative that this region is subject to greater levels of sorting than other areas further south. The 95th percentile map reveals that the majority of the Townsville study area becomes more dispersive and with shear-stress levels capable of mobilising recently deposited sediments as large as coarse sand. " title="Figure 38. Percentage for clay-silt (upper image) and sand (lower image) content in surface sediments within 50 km from the Port of Townsville.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_Exchange\delete\Revised\Townsville_%Sand.pn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p>
    <w:p w:rsidR="007A1B07" w:rsidRPr="007D6EB4" w:rsidRDefault="007A1B07" w:rsidP="00EC0510">
      <w:pPr>
        <w:pStyle w:val="Caption"/>
        <w:spacing w:line="240" w:lineRule="auto"/>
        <w:ind w:left="480" w:hanging="480"/>
        <w:jc w:val="left"/>
        <w:rPr>
          <w:b/>
          <w:lang w:val="en-AU"/>
        </w:rPr>
      </w:pPr>
      <w:bookmarkStart w:id="135" w:name="_Ref340323008"/>
      <w:bookmarkStart w:id="136" w:name="_Toc361651521"/>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38</w:t>
      </w:r>
      <w:r w:rsidR="005F6FF5" w:rsidRPr="007D6EB4">
        <w:rPr>
          <w:b/>
          <w:lang w:val="en-AU"/>
        </w:rPr>
        <w:fldChar w:fldCharType="end"/>
      </w:r>
      <w:bookmarkEnd w:id="135"/>
      <w:r w:rsidR="00E5277F">
        <w:rPr>
          <w:lang w:val="en-AU"/>
        </w:rPr>
        <w:t>.</w:t>
      </w:r>
      <w:r w:rsidRPr="007D6EB4">
        <w:rPr>
          <w:lang w:val="en-AU"/>
        </w:rPr>
        <w:t xml:space="preserve"> Percentage for </w:t>
      </w:r>
      <w:r w:rsidR="00B271C6">
        <w:rPr>
          <w:lang w:val="en-AU"/>
        </w:rPr>
        <w:t>clay-silt</w:t>
      </w:r>
      <w:r w:rsidRPr="007D6EB4">
        <w:rPr>
          <w:lang w:val="en-AU"/>
        </w:rPr>
        <w:t xml:space="preserve"> (upper image) and sand (lower image) content in surface sediments within </w:t>
      </w:r>
      <w:r w:rsidR="002C78DC">
        <w:rPr>
          <w:lang w:val="en-AU"/>
        </w:rPr>
        <w:t>50 km</w:t>
      </w:r>
      <w:r w:rsidRPr="007D6EB4">
        <w:rPr>
          <w:lang w:val="en-AU"/>
        </w:rPr>
        <w:t xml:space="preserve"> from the Port of Townsville</w:t>
      </w:r>
      <w:r w:rsidR="0043422D">
        <w:rPr>
          <w:lang w:val="en-AU"/>
        </w:rPr>
        <w:t xml:space="preserve"> </w:t>
      </w:r>
      <w:r w:rsidRPr="007D6EB4">
        <w:rPr>
          <w:lang w:val="en-AU"/>
        </w:rPr>
        <w:t>(source Geoscience Australia marine samples database 2007).</w:t>
      </w:r>
      <w:bookmarkEnd w:id="136"/>
    </w:p>
    <w:p w:rsidR="007A1B07" w:rsidRPr="007D6EB4" w:rsidRDefault="007A1B07" w:rsidP="00617543">
      <w:pPr>
        <w:pStyle w:val="Para0"/>
        <w:rPr>
          <w:lang w:val="en-AU"/>
        </w:rPr>
      </w:pPr>
    </w:p>
    <w:p w:rsidR="007A1B07" w:rsidRPr="007D6EB4" w:rsidRDefault="007A1B07" w:rsidP="00E46224">
      <w:pPr>
        <w:pStyle w:val="Heading2"/>
      </w:pPr>
      <w:bookmarkStart w:id="137" w:name="_Toc361929993"/>
      <w:r w:rsidRPr="007D6EB4">
        <w:t>Port of Lucinda</w:t>
      </w:r>
      <w:bookmarkEnd w:id="137"/>
    </w:p>
    <w:p w:rsidR="00DC52E3" w:rsidRDefault="00693B03" w:rsidP="00EC0510">
      <w:pPr>
        <w:pStyle w:val="StyleLeft"/>
        <w:rPr>
          <w:color w:val="auto"/>
          <w:szCs w:val="22"/>
          <w:lang w:val="en-AU"/>
        </w:rPr>
      </w:pPr>
      <w:r>
        <w:fldChar w:fldCharType="begin"/>
      </w:r>
      <w:r>
        <w:instrText xml:space="preserve"> REF _Ref338663943 \h  \* MERGEFORMAT </w:instrText>
      </w:r>
      <w:r>
        <w:fldChar w:fldCharType="separate"/>
      </w:r>
      <w:r w:rsidR="00751BC4" w:rsidRPr="00751BC4">
        <w:rPr>
          <w:lang w:val="en-AU"/>
        </w:rPr>
        <w:t xml:space="preserve">Figure </w:t>
      </w:r>
      <w:r w:rsidR="00751BC4" w:rsidRPr="00751BC4">
        <w:rPr>
          <w:noProof/>
          <w:lang w:val="en-AU"/>
        </w:rPr>
        <w:t>39</w:t>
      </w:r>
      <w:r>
        <w:fldChar w:fldCharType="end"/>
      </w:r>
      <w:r w:rsidR="007A1B07" w:rsidRPr="007D6EB4">
        <w:rPr>
          <w:color w:val="FF0000"/>
          <w:szCs w:val="22"/>
          <w:lang w:val="en-AU"/>
        </w:rPr>
        <w:t xml:space="preserve"> </w:t>
      </w:r>
      <w:r w:rsidR="007A1B07" w:rsidRPr="007D6EB4">
        <w:rPr>
          <w:color w:val="auto"/>
          <w:szCs w:val="22"/>
          <w:lang w:val="en-AU"/>
        </w:rPr>
        <w:t>shows the distributions calculated for the 50</w:t>
      </w:r>
      <w:r w:rsidR="007A1B07" w:rsidRPr="007D6EB4">
        <w:rPr>
          <w:color w:val="auto"/>
          <w:szCs w:val="22"/>
          <w:vertAlign w:val="superscript"/>
          <w:lang w:val="en-AU"/>
        </w:rPr>
        <w:t>th</w:t>
      </w:r>
      <w:r w:rsidR="007A1B07" w:rsidRPr="007D6EB4">
        <w:rPr>
          <w:color w:val="auto"/>
          <w:szCs w:val="22"/>
          <w:lang w:val="en-AU"/>
        </w:rPr>
        <w:t xml:space="preserve"> and 95</w:t>
      </w:r>
      <w:r w:rsidR="007A1B07" w:rsidRPr="007D6EB4">
        <w:rPr>
          <w:color w:val="auto"/>
          <w:szCs w:val="22"/>
          <w:vertAlign w:val="superscript"/>
          <w:lang w:val="en-AU"/>
        </w:rPr>
        <w:t>th</w:t>
      </w:r>
      <w:r w:rsidR="007A1B07" w:rsidRPr="007D6EB4">
        <w:rPr>
          <w:color w:val="auto"/>
          <w:szCs w:val="22"/>
          <w:lang w:val="en-AU"/>
        </w:rPr>
        <w:t xml:space="preserve"> percentile </w:t>
      </w:r>
      <w:r w:rsidR="00F7576C">
        <w:rPr>
          <w:color w:val="auto"/>
          <w:szCs w:val="22"/>
          <w:lang w:val="en-AU"/>
        </w:rPr>
        <w:t>bed shear-stress</w:t>
      </w:r>
      <w:r w:rsidR="007A1B07" w:rsidRPr="007D6EB4">
        <w:rPr>
          <w:color w:val="auto"/>
          <w:szCs w:val="22"/>
          <w:lang w:val="en-AU"/>
        </w:rPr>
        <w:t xml:space="preserve"> within 50 km from the Port of Lucinda. </w:t>
      </w:r>
      <w:r w:rsidR="00DC52E3">
        <w:rPr>
          <w:rFonts w:cs="Arial"/>
        </w:rPr>
        <w:t>Overall, the model results indicate that the study area is a relatively low-energy environment under average (50</w:t>
      </w:r>
      <w:r w:rsidR="00DC52E3" w:rsidRPr="005B5490">
        <w:rPr>
          <w:rFonts w:cs="Arial"/>
          <w:vertAlign w:val="superscript"/>
        </w:rPr>
        <w:t>th</w:t>
      </w:r>
      <w:r w:rsidR="00DC52E3">
        <w:rPr>
          <w:rFonts w:cs="Arial"/>
        </w:rPr>
        <w:t xml:space="preserve"> percentile) conditions, with the northern and southern regions having a predicted shear-stress sufficient to mobilise unconsolidated sediments typically up to coarse silts. However a more dispersive environ</w:t>
      </w:r>
      <w:r w:rsidR="00B77480">
        <w:rPr>
          <w:rFonts w:cs="Arial"/>
        </w:rPr>
        <w:t>ment is predicted adjacent the P</w:t>
      </w:r>
      <w:r w:rsidR="00DC52E3">
        <w:rPr>
          <w:rFonts w:cs="Arial"/>
        </w:rPr>
        <w:t xml:space="preserve">ort of Lucinda with predicted bed shear-stress values high enough to mobilise sediments up to coarse sand. </w:t>
      </w:r>
      <w:r w:rsidR="00DC52E3">
        <w:rPr>
          <w:rFonts w:cs="Arial"/>
        </w:rPr>
        <w:lastRenderedPageBreak/>
        <w:t>Additional other more dispersive zones are predicted north of Hinchinbrook Island, in the outer reefs north</w:t>
      </w:r>
      <w:r w:rsidR="006B2E38">
        <w:rPr>
          <w:rFonts w:cs="Arial"/>
        </w:rPr>
        <w:t>-</w:t>
      </w:r>
      <w:r w:rsidR="00DC52E3">
        <w:rPr>
          <w:rFonts w:cs="Arial"/>
        </w:rPr>
        <w:t>east of Lucinda and south</w:t>
      </w:r>
      <w:r w:rsidR="006B2E38">
        <w:rPr>
          <w:rFonts w:cs="Arial"/>
        </w:rPr>
        <w:t>-</w:t>
      </w:r>
      <w:r w:rsidR="00DC52E3">
        <w:rPr>
          <w:rFonts w:cs="Arial"/>
        </w:rPr>
        <w:t>west of Palm Island.</w:t>
      </w:r>
    </w:p>
    <w:p w:rsidR="00DC52E3" w:rsidRDefault="00DC52E3" w:rsidP="006B5BBA">
      <w:pPr>
        <w:spacing w:line="240" w:lineRule="auto"/>
        <w:rPr>
          <w:color w:val="auto"/>
          <w:szCs w:val="22"/>
          <w:lang w:val="en-AU"/>
        </w:rPr>
      </w:pPr>
      <w:r w:rsidRPr="007D6EB4">
        <w:rPr>
          <w:lang w:val="en-AU" w:eastAsia="en-AU"/>
        </w:rPr>
        <w:t xml:space="preserve">The </w:t>
      </w:r>
      <w:r>
        <w:rPr>
          <w:lang w:val="en-AU" w:eastAsia="en-AU"/>
        </w:rPr>
        <w:t>Geoscience Australia</w:t>
      </w:r>
      <w:r w:rsidR="0073141D">
        <w:rPr>
          <w:lang w:val="en-AU" w:eastAsia="en-AU"/>
        </w:rPr>
        <w:t xml:space="preserve"> map</w:t>
      </w:r>
      <w:r w:rsidR="006B5BBA">
        <w:rPr>
          <w:lang w:val="en-AU" w:eastAsia="en-AU"/>
        </w:rPr>
        <w:t xml:space="preserve"> </w:t>
      </w:r>
      <w:r w:rsidR="006B5BBA" w:rsidRPr="006B5BBA">
        <w:rPr>
          <w:lang w:val="en-AU" w:eastAsia="en-AU"/>
        </w:rPr>
        <w:t>(</w:t>
      </w:r>
      <w:r w:rsidR="006B5BBA" w:rsidRPr="006B5BBA">
        <w:rPr>
          <w:lang w:val="en-AU" w:eastAsia="en-AU"/>
        </w:rPr>
        <w:fldChar w:fldCharType="begin"/>
      </w:r>
      <w:r w:rsidR="006B5BBA" w:rsidRPr="006B5BBA">
        <w:rPr>
          <w:lang w:val="en-AU" w:eastAsia="en-AU"/>
        </w:rPr>
        <w:instrText xml:space="preserve"> REF  _Ref360171055 \* Lower \h  \* MERGEFORMAT </w:instrText>
      </w:r>
      <w:r w:rsidR="006B5BBA" w:rsidRPr="006B5BBA">
        <w:rPr>
          <w:lang w:val="en-AU" w:eastAsia="en-AU"/>
        </w:rPr>
      </w:r>
      <w:r w:rsidR="006B5BBA" w:rsidRPr="006B5BBA">
        <w:rPr>
          <w:lang w:val="en-AU" w:eastAsia="en-AU"/>
        </w:rPr>
        <w:fldChar w:fldCharType="separate"/>
      </w:r>
      <w:r w:rsidR="00751BC4" w:rsidRPr="00751BC4">
        <w:rPr>
          <w:lang w:val="en-AU"/>
        </w:rPr>
        <w:t xml:space="preserve">figure </w:t>
      </w:r>
      <w:r w:rsidR="00751BC4" w:rsidRPr="00751BC4">
        <w:rPr>
          <w:noProof/>
          <w:lang w:val="en-AU"/>
        </w:rPr>
        <w:t>40</w:t>
      </w:r>
      <w:r w:rsidR="006B5BBA" w:rsidRPr="006B5BBA">
        <w:rPr>
          <w:lang w:val="en-AU" w:eastAsia="en-AU"/>
        </w:rPr>
        <w:fldChar w:fldCharType="end"/>
      </w:r>
      <w:r w:rsidR="004768EC" w:rsidRPr="00462939">
        <w:t xml:space="preserve">) </w:t>
      </w:r>
      <w:r>
        <w:rPr>
          <w:lang w:val="en-AU" w:eastAsia="en-AU"/>
        </w:rPr>
        <w:t>show</w:t>
      </w:r>
      <w:r w:rsidR="0073141D">
        <w:rPr>
          <w:lang w:val="en-AU" w:eastAsia="en-AU"/>
        </w:rPr>
        <w:t>s</w:t>
      </w:r>
      <w:r w:rsidRPr="007D6EB4">
        <w:rPr>
          <w:lang w:val="en-AU" w:eastAsia="en-AU"/>
        </w:rPr>
        <w:t xml:space="preserve"> a </w:t>
      </w:r>
      <w:r w:rsidR="0073141D">
        <w:rPr>
          <w:lang w:val="en-AU" w:eastAsia="en-AU"/>
        </w:rPr>
        <w:t xml:space="preserve">lower </w:t>
      </w:r>
      <w:r w:rsidR="00B271C6">
        <w:rPr>
          <w:lang w:val="en-AU" w:eastAsia="en-AU"/>
        </w:rPr>
        <w:t>clay-silt</w:t>
      </w:r>
      <w:r w:rsidRPr="007D6EB4">
        <w:rPr>
          <w:lang w:val="en-AU" w:eastAsia="en-AU"/>
        </w:rPr>
        <w:t xml:space="preserve"> content in the region near the existing disposal ground extending inshore, which is also indicative that this region is subject to greater levels of sorting than other areas further south</w:t>
      </w:r>
      <w:r w:rsidR="004768EC">
        <w:rPr>
          <w:lang w:val="en-AU" w:eastAsia="en-AU"/>
        </w:rPr>
        <w:t>.</w:t>
      </w:r>
    </w:p>
    <w:p w:rsidR="007A1B07" w:rsidRPr="007D6EB4" w:rsidRDefault="007A1B07" w:rsidP="00A6519A">
      <w:pPr>
        <w:spacing w:line="240" w:lineRule="auto"/>
        <w:jc w:val="left"/>
        <w:rPr>
          <w:color w:val="auto"/>
          <w:szCs w:val="22"/>
          <w:lang w:val="en-AU"/>
        </w:rPr>
      </w:pPr>
      <w:r w:rsidRPr="007D6EB4">
        <w:rPr>
          <w:color w:val="auto"/>
          <w:szCs w:val="22"/>
          <w:lang w:val="en-AU"/>
        </w:rPr>
        <w:t>The 95</w:t>
      </w:r>
      <w:r w:rsidRPr="007D6EB4">
        <w:rPr>
          <w:color w:val="auto"/>
          <w:szCs w:val="22"/>
          <w:vertAlign w:val="superscript"/>
          <w:lang w:val="en-AU"/>
        </w:rPr>
        <w:t>th</w:t>
      </w:r>
      <w:r w:rsidRPr="007D6EB4">
        <w:rPr>
          <w:color w:val="auto"/>
          <w:szCs w:val="22"/>
          <w:lang w:val="en-AU"/>
        </w:rPr>
        <w:t xml:space="preserve"> percentile </w:t>
      </w:r>
      <w:r w:rsidR="00F7576C">
        <w:rPr>
          <w:color w:val="auto"/>
          <w:szCs w:val="22"/>
          <w:lang w:val="en-AU"/>
        </w:rPr>
        <w:t>shear-stress</w:t>
      </w:r>
      <w:r w:rsidRPr="007D6EB4">
        <w:rPr>
          <w:color w:val="auto"/>
          <w:szCs w:val="22"/>
          <w:lang w:val="en-AU"/>
        </w:rPr>
        <w:t xml:space="preserve"> levels indicate that most of the offshore region would be subject to periodically higher stress levels that would mobilise recently deposited sediment as large as coarse sand, except where sheltered by the offshore islands.</w:t>
      </w:r>
    </w:p>
    <w:p w:rsidR="0073141D" w:rsidRDefault="0073141D">
      <w:pPr>
        <w:spacing w:after="0" w:line="240" w:lineRule="auto"/>
        <w:jc w:val="left"/>
        <w:rPr>
          <w:color w:val="auto"/>
          <w:szCs w:val="22"/>
          <w:lang w:val="en-AU"/>
        </w:rPr>
      </w:pPr>
      <w:r>
        <w:rPr>
          <w:color w:val="auto"/>
          <w:szCs w:val="22"/>
          <w:lang w:val="en-AU"/>
        </w:rPr>
        <w:br w:type="page"/>
      </w:r>
    </w:p>
    <w:p w:rsidR="007A1B07" w:rsidRPr="007D6EB4" w:rsidRDefault="008A5C18" w:rsidP="00617543">
      <w:pPr>
        <w:pStyle w:val="Para0"/>
        <w:spacing w:before="0"/>
        <w:rPr>
          <w:lang w:val="en-AU"/>
        </w:rPr>
      </w:pPr>
      <w:r>
        <w:rPr>
          <w:noProof/>
          <w:lang w:val="en-AU" w:eastAsia="en-AU"/>
        </w:rPr>
        <w:lastRenderedPageBreak/>
        <w:drawing>
          <wp:inline distT="0" distB="0" distL="0" distR="0" wp14:anchorId="66C3810C" wp14:editId="753A9CF9">
            <wp:extent cx="5353050" cy="3238500"/>
            <wp:effectExtent l="19050" t="19050" r="0" b="0"/>
            <wp:docPr id="132" name="Picture 132" descr="Figure 39 shows the distributions calculated for the 50th and 95th percentile bed shear-stress within 50 km from the Port of Lucinda. Overall, the model results indicate that the study area is a relatively low-energy environment under average (50th percentile) conditions, with the northern and southern regions having a predicted shear-stress sufficient to mobilise unconsolidated sediments typically up to coarse silts. However a more dispersive environment is predicted adjacent the Port of Lucinda with predicted bed shear-stress values high enough to mobilise sediments up to coarse sand. Additional other more dispersive zones are predicted north of Hinchinbrook Island, in the outer reefs northeast of Lucinda and southwest of Palm Island." title="Figure 39. Distribution of the 50th (upper image) and 95th (lower image) percentile bed shear-stress estimates within 50 km from the Port of Lucinda.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Q:\Projects\Q0110 GBRMPA-SKM QLD disposal site selection\8. Figures\Bed_Shear_Stress_Final_Maps\Lucinda_Bed shear_50th Perc.pn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r>
        <w:rPr>
          <w:noProof/>
          <w:lang w:val="en-AU" w:eastAsia="en-AU"/>
        </w:rPr>
        <w:drawing>
          <wp:inline distT="0" distB="0" distL="0" distR="0" wp14:anchorId="64A4F7B6" wp14:editId="27BFF9AE">
            <wp:extent cx="5353050" cy="3295650"/>
            <wp:effectExtent l="19050" t="19050" r="19050" b="19050"/>
            <wp:docPr id="133" name="Picture 133" descr="Figure 39 shows the distributions calculated for the 50th and 95th percentile bed shear-stress within 50 km from the Port of Lucinda. Overall, the model results indicate that the study area is a relatively low-energy environment under average (50th percentile) conditions, with the northern and southern regions having a predicted shear-stress sufficient to mobilise unconsolidated sediments typically up to coarse silts. However a more dispersive environment is predicted adjacent the Port of Lucinda with predicted bed shear-stress values high enough to mobilise sediments up to coarse sand. Additional other more dispersive zones are predicted north of Hinchinbrook Island, in the outer reefs northeast of Lucinda and southwest of Palm Island." title="Figure 39. Distribution of the 50th (upper image) and 95th (lower image) percentile bed shear-stress estimates within 50 km from the Port of Lucinda.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Q:\Projects\Q0110 GBRMPA-SKM QLD disposal site selection\8. Figures\Bed_Shear_Stress_Final_Maps\Lucinda_Bed shear_95th Perc.pn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353050" cy="3295650"/>
                    </a:xfrm>
                    <a:prstGeom prst="rect">
                      <a:avLst/>
                    </a:prstGeom>
                    <a:noFill/>
                    <a:ln>
                      <a:solidFill>
                        <a:schemeClr val="tx1"/>
                      </a:solidFill>
                    </a:ln>
                  </pic:spPr>
                </pic:pic>
              </a:graphicData>
            </a:graphic>
          </wp:inline>
        </w:drawing>
      </w:r>
    </w:p>
    <w:p w:rsidR="007A1B07" w:rsidRPr="007D6EB4" w:rsidRDefault="007A1B07" w:rsidP="00EC0510">
      <w:pPr>
        <w:pStyle w:val="Caption"/>
        <w:spacing w:line="240" w:lineRule="auto"/>
        <w:ind w:left="480" w:hanging="480"/>
        <w:jc w:val="left"/>
        <w:rPr>
          <w:b/>
          <w:lang w:val="en-AU" w:eastAsia="en-AU"/>
        </w:rPr>
      </w:pPr>
      <w:bookmarkStart w:id="138" w:name="_Ref338663943"/>
      <w:bookmarkStart w:id="139" w:name="_Toc361651522"/>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39</w:t>
      </w:r>
      <w:r w:rsidR="005F6FF5" w:rsidRPr="007D6EB4">
        <w:rPr>
          <w:b/>
          <w:lang w:val="en-AU"/>
        </w:rPr>
        <w:fldChar w:fldCharType="end"/>
      </w:r>
      <w:bookmarkEnd w:id="138"/>
      <w:r w:rsidR="00E5277F">
        <w:rPr>
          <w:lang w:val="en-AU"/>
        </w:rPr>
        <w:t>.</w:t>
      </w:r>
      <w:r w:rsidRPr="007D6EB4">
        <w:rPr>
          <w:lang w:val="en-AU"/>
        </w:rPr>
        <w:t xml:space="preserve"> Distribution of the 50</w:t>
      </w:r>
      <w:r w:rsidRPr="007D6EB4">
        <w:rPr>
          <w:vertAlign w:val="superscript"/>
          <w:lang w:val="en-AU"/>
        </w:rPr>
        <w:t>th</w:t>
      </w:r>
      <w:r w:rsidRPr="007D6EB4">
        <w:rPr>
          <w:lang w:val="en-AU"/>
        </w:rPr>
        <w:t xml:space="preserve"> (upper image)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the Port of Lucinda.</w:t>
      </w:r>
      <w:r w:rsidR="0043422D">
        <w:rPr>
          <w:lang w:val="en-AU"/>
        </w:rPr>
        <w:t xml:space="preserve"> </w:t>
      </w:r>
      <w:r w:rsidRPr="007D6EB4">
        <w:rPr>
          <w:lang w:val="en-AU"/>
        </w:rPr>
        <w:t xml:space="preserve">The estimates were </w:t>
      </w:r>
      <w:r w:rsidRPr="007D6EB4">
        <w:rPr>
          <w:lang w:val="en-AU" w:eastAsia="en-AU"/>
        </w:rPr>
        <w:t xml:space="preserve">calculated at hourly steps for each grid cell during 2011 current and wave conditions. </w:t>
      </w:r>
      <w:r w:rsidRPr="007D6EB4">
        <w:rPr>
          <w:lang w:val="en-AU"/>
        </w:rPr>
        <w:t xml:space="preserve">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139"/>
    </w:p>
    <w:p w:rsidR="006921A1" w:rsidRDefault="005416E9" w:rsidP="00A6519A">
      <w:pPr>
        <w:spacing w:line="240" w:lineRule="auto"/>
        <w:rPr>
          <w:b/>
          <w:lang w:val="en-AU"/>
        </w:rPr>
      </w:pPr>
      <w:r w:rsidRPr="006A22FE">
        <w:rPr>
          <w:noProof/>
          <w:bdr w:val="single" w:sz="4" w:space="0" w:color="auto"/>
          <w:lang w:val="en-AU" w:eastAsia="en-AU"/>
        </w:rPr>
        <w:lastRenderedPageBreak/>
        <w:drawing>
          <wp:inline distT="0" distB="0" distL="0" distR="0" wp14:anchorId="0ADA45A8" wp14:editId="72AEEF68">
            <wp:extent cx="5391625" cy="3267075"/>
            <wp:effectExtent l="0" t="0" r="0" b="0"/>
            <wp:docPr id="32" name="Picture 32" descr="Figure 40 shows a lower clay-silt content in the region near the existing disposal ground extending inshore, which is also indicative that this region is subject to greater levels of sorting than other areas further south. The 95th percentile shear-stress levels indicate that most of the offshore region would be subject to periodically higher stress levels that would mobilise recently deposited sediment as large as coarse sand, except where sheltered by the offshore islands" title="Figure 40. Percentage clay-silt (upper image) and sand (lower image) content in surface sediments within 50 km from the Port of Lucinda.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_Exchange\delete\Revised\Lucinda_%Mud.pn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r w:rsidRPr="006921A1">
        <w:rPr>
          <w:noProof/>
          <w:lang w:val="en-AU" w:eastAsia="en-AU"/>
        </w:rPr>
        <w:drawing>
          <wp:inline distT="0" distB="0" distL="0" distR="0" wp14:anchorId="3C235D85" wp14:editId="33C79128">
            <wp:extent cx="5334000" cy="3266957"/>
            <wp:effectExtent l="0" t="0" r="0" b="0"/>
            <wp:docPr id="31" name="Picture 31" descr="Figure 40 shows a lower clay-silt content in the region near the existing disposal ground extending inshore, which is also indicative that this region is subject to greater levels of sorting than other areas further south. The 95th percentile shear-stress levels indicate that most of the offshore region would be subject to periodically higher stress levels that would mobilise recently deposited sediment as large as coarse sand, except where sheltered by the offshore islands" title="Figure 40. Percentage clay-silt (upper image) and sand (lower image) content in surface sediments within 50 km from the Port of Lucinda.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_Exchange\delete\Revised\Lucinda_%Sand.pn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337804" cy="3269287"/>
                    </a:xfrm>
                    <a:prstGeom prst="rect">
                      <a:avLst/>
                    </a:prstGeom>
                    <a:noFill/>
                    <a:ln>
                      <a:noFill/>
                    </a:ln>
                  </pic:spPr>
                </pic:pic>
              </a:graphicData>
            </a:graphic>
          </wp:inline>
        </w:drawing>
      </w:r>
      <w:bookmarkStart w:id="140" w:name="_Ref338669664"/>
    </w:p>
    <w:p w:rsidR="007A1B07" w:rsidRPr="007D6EB4" w:rsidRDefault="007A1B07" w:rsidP="00A6519A">
      <w:pPr>
        <w:spacing w:line="240" w:lineRule="auto"/>
        <w:ind w:left="480" w:hanging="480"/>
        <w:jc w:val="left"/>
        <w:rPr>
          <w:lang w:val="en-AU" w:eastAsia="en-AU"/>
        </w:rPr>
      </w:pPr>
      <w:bookmarkStart w:id="141" w:name="_Ref360171055"/>
      <w:bookmarkStart w:id="142" w:name="_Toc361651523"/>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40</w:t>
      </w:r>
      <w:r w:rsidR="005F6FF5" w:rsidRPr="007D6EB4">
        <w:rPr>
          <w:b/>
          <w:lang w:val="en-AU"/>
        </w:rPr>
        <w:fldChar w:fldCharType="end"/>
      </w:r>
      <w:bookmarkEnd w:id="140"/>
      <w:bookmarkEnd w:id="141"/>
      <w:r w:rsidR="00E5277F">
        <w:rPr>
          <w:lang w:val="en-AU"/>
        </w:rPr>
        <w:t>.</w:t>
      </w:r>
      <w:r w:rsidRPr="007D6EB4">
        <w:rPr>
          <w:lang w:val="en-AU"/>
        </w:rPr>
        <w:t xml:space="preserve"> Percentage </w:t>
      </w:r>
      <w:r w:rsidR="00B271C6">
        <w:rPr>
          <w:lang w:val="en-AU"/>
        </w:rPr>
        <w:t>clay-silt</w:t>
      </w:r>
      <w:r w:rsidRPr="007D6EB4">
        <w:rPr>
          <w:lang w:val="en-AU"/>
        </w:rPr>
        <w:t xml:space="preserve"> (upper image) and sand (lower image) content in surface sediments within 50 km from the Port of Lucinda (source:</w:t>
      </w:r>
      <w:r w:rsidR="00B77480">
        <w:rPr>
          <w:lang w:val="en-AU"/>
        </w:rPr>
        <w:t xml:space="preserve"> </w:t>
      </w:r>
      <w:r w:rsidRPr="007D6EB4">
        <w:rPr>
          <w:lang w:val="en-AU"/>
        </w:rPr>
        <w:t>Geoscience Australia marine samples database 2007).</w:t>
      </w:r>
      <w:bookmarkEnd w:id="142"/>
    </w:p>
    <w:p w:rsidR="007A1B07" w:rsidRPr="007D6EB4" w:rsidRDefault="007A1B07" w:rsidP="00617543">
      <w:pPr>
        <w:pStyle w:val="Para0"/>
        <w:rPr>
          <w:lang w:val="en-AU"/>
        </w:rPr>
      </w:pPr>
    </w:p>
    <w:p w:rsidR="007A1B07" w:rsidRPr="007D6EB4" w:rsidRDefault="007A1B07" w:rsidP="00E46224">
      <w:pPr>
        <w:pStyle w:val="Heading2"/>
      </w:pPr>
      <w:bookmarkStart w:id="143" w:name="_Toc361929994"/>
      <w:r w:rsidRPr="007D6EB4">
        <w:t>Port of Mourilyan</w:t>
      </w:r>
      <w:bookmarkEnd w:id="143"/>
    </w:p>
    <w:p w:rsidR="00F822E1" w:rsidRDefault="00693B03" w:rsidP="00A6519A">
      <w:pPr>
        <w:autoSpaceDE w:val="0"/>
        <w:autoSpaceDN w:val="0"/>
        <w:adjustRightInd w:val="0"/>
        <w:spacing w:after="0" w:line="276" w:lineRule="auto"/>
        <w:jc w:val="left"/>
        <w:rPr>
          <w:rFonts w:cs="Arial"/>
        </w:rPr>
      </w:pPr>
      <w:r>
        <w:fldChar w:fldCharType="begin"/>
      </w:r>
      <w:r>
        <w:instrText xml:space="preserve"> REF _Ref338664062 \h  \* MERGEFORMAT </w:instrText>
      </w:r>
      <w:r>
        <w:fldChar w:fldCharType="separate"/>
      </w:r>
      <w:r w:rsidR="00751BC4" w:rsidRPr="00751BC4">
        <w:rPr>
          <w:lang w:val="en-AU"/>
        </w:rPr>
        <w:t xml:space="preserve">Figure </w:t>
      </w:r>
      <w:r w:rsidR="00751BC4" w:rsidRPr="00751BC4">
        <w:rPr>
          <w:noProof/>
          <w:lang w:val="en-AU"/>
        </w:rPr>
        <w:t>41</w:t>
      </w:r>
      <w:r>
        <w:fldChar w:fldCharType="end"/>
      </w:r>
      <w:r w:rsidR="007A1B07" w:rsidRPr="007D6EB4">
        <w:rPr>
          <w:color w:val="auto"/>
          <w:szCs w:val="22"/>
          <w:lang w:val="en-AU"/>
        </w:rPr>
        <w:t xml:space="preserve"> shows the distribution of the estimated </w:t>
      </w:r>
      <w:r w:rsidR="00F7576C">
        <w:rPr>
          <w:color w:val="auto"/>
          <w:szCs w:val="22"/>
          <w:lang w:val="en-AU"/>
        </w:rPr>
        <w:t>shear-stress</w:t>
      </w:r>
      <w:r w:rsidR="007A1B07" w:rsidRPr="007D6EB4">
        <w:rPr>
          <w:color w:val="auto"/>
          <w:szCs w:val="22"/>
          <w:lang w:val="en-AU"/>
        </w:rPr>
        <w:t xml:space="preserve"> at the seabed based on 50</w:t>
      </w:r>
      <w:r w:rsidR="007A1B07" w:rsidRPr="007D6EB4">
        <w:rPr>
          <w:color w:val="auto"/>
          <w:szCs w:val="22"/>
          <w:vertAlign w:val="superscript"/>
          <w:lang w:val="en-AU"/>
        </w:rPr>
        <w:t>th</w:t>
      </w:r>
      <w:r w:rsidR="007A1B07" w:rsidRPr="007D6EB4">
        <w:rPr>
          <w:color w:val="auto"/>
          <w:szCs w:val="22"/>
          <w:lang w:val="en-AU"/>
        </w:rPr>
        <w:t xml:space="preserve"> and 95</w:t>
      </w:r>
      <w:r w:rsidR="007A1B07" w:rsidRPr="007D6EB4">
        <w:rPr>
          <w:color w:val="auto"/>
          <w:szCs w:val="22"/>
          <w:vertAlign w:val="superscript"/>
          <w:lang w:val="en-AU"/>
        </w:rPr>
        <w:t>th</w:t>
      </w:r>
      <w:r w:rsidR="007A1B07" w:rsidRPr="007D6EB4">
        <w:rPr>
          <w:color w:val="auto"/>
          <w:szCs w:val="22"/>
          <w:lang w:val="en-AU"/>
        </w:rPr>
        <w:t xml:space="preserve"> percentile calculations within 50 km from the Port of Mourilyan.</w:t>
      </w:r>
      <w:r w:rsidR="0043422D">
        <w:rPr>
          <w:color w:val="auto"/>
          <w:szCs w:val="22"/>
          <w:lang w:val="en-AU"/>
        </w:rPr>
        <w:t xml:space="preserve"> </w:t>
      </w:r>
      <w:r w:rsidR="00F822E1">
        <w:rPr>
          <w:rFonts w:cs="Arial"/>
        </w:rPr>
        <w:t>In general, bed shear-stress modelling predicts that the study area is a relatively low-energy retentive environment under average (50</w:t>
      </w:r>
      <w:r w:rsidR="00F822E1" w:rsidRPr="005B5490">
        <w:rPr>
          <w:rFonts w:cs="Arial"/>
          <w:vertAlign w:val="superscript"/>
        </w:rPr>
        <w:t>th</w:t>
      </w:r>
      <w:r w:rsidR="00F822E1">
        <w:rPr>
          <w:rFonts w:cs="Arial"/>
        </w:rPr>
        <w:t xml:space="preserve"> percentile) conditions, with most of the study area being characterised by low bed shear-stress values (&lt;</w:t>
      </w:r>
      <w:r w:rsidR="00AF326D">
        <w:rPr>
          <w:rFonts w:cs="Arial"/>
        </w:rPr>
        <w:t xml:space="preserve"> </w:t>
      </w:r>
      <w:r w:rsidR="00F822E1">
        <w:rPr>
          <w:rFonts w:cs="Arial"/>
        </w:rPr>
        <w:t xml:space="preserve">0.019 Pa). The predicted </w:t>
      </w:r>
      <w:r w:rsidR="00F822E1">
        <w:rPr>
          <w:rFonts w:cs="Arial"/>
        </w:rPr>
        <w:lastRenderedPageBreak/>
        <w:t xml:space="preserve">bed shear-stress values indicate potential mobilisation of up to clays along the near-shore region and up to fine and coarse silts in the deeper offshore regions. </w:t>
      </w:r>
    </w:p>
    <w:p w:rsidR="00B77480" w:rsidRDefault="00B77480" w:rsidP="00EC0510">
      <w:pPr>
        <w:pStyle w:val="StyleLeft"/>
        <w:rPr>
          <w:lang w:val="en-AU"/>
        </w:rPr>
      </w:pPr>
    </w:p>
    <w:p w:rsidR="007A1B07" w:rsidRPr="007D6EB4" w:rsidRDefault="007A1B07" w:rsidP="00EC0510">
      <w:pPr>
        <w:pStyle w:val="StyleLeft"/>
        <w:rPr>
          <w:lang w:val="en-AU"/>
        </w:rPr>
      </w:pPr>
      <w:r w:rsidRPr="007D6EB4">
        <w:rPr>
          <w:lang w:val="en-AU"/>
        </w:rPr>
        <w:t xml:space="preserve">The estimated bed </w:t>
      </w:r>
      <w:r w:rsidR="00F7576C">
        <w:rPr>
          <w:lang w:val="en-AU"/>
        </w:rPr>
        <w:t>shear-stress</w:t>
      </w:r>
      <w:r w:rsidRPr="007D6EB4">
        <w:rPr>
          <w:lang w:val="en-AU"/>
        </w:rPr>
        <w:t xml:space="preserve"> maps showing increasing stresses with distance from the coastline, with the exception of the northern area which shows a decrease east of the large coral reef structures, corresponded well with the G</w:t>
      </w:r>
      <w:r w:rsidR="00303718">
        <w:rPr>
          <w:lang w:val="en-AU"/>
        </w:rPr>
        <w:t xml:space="preserve">eoscience </w:t>
      </w:r>
      <w:r w:rsidRPr="007D6EB4">
        <w:rPr>
          <w:lang w:val="en-AU"/>
        </w:rPr>
        <w:t>A</w:t>
      </w:r>
      <w:r w:rsidR="00303718">
        <w:rPr>
          <w:lang w:val="en-AU"/>
        </w:rPr>
        <w:t>ustralia</w:t>
      </w:r>
      <w:r w:rsidRPr="007D6EB4">
        <w:rPr>
          <w:lang w:val="en-AU"/>
        </w:rPr>
        <w:t xml:space="preserve"> measured sediment contribution data.</w:t>
      </w:r>
      <w:r w:rsidR="0043422D">
        <w:rPr>
          <w:lang w:val="en-AU"/>
        </w:rPr>
        <w:t xml:space="preserve"> </w:t>
      </w:r>
      <w:r w:rsidRPr="007D6EB4">
        <w:rPr>
          <w:lang w:val="en-AU"/>
        </w:rPr>
        <w:t xml:space="preserve">The extents of the nearshore and offshore low estimated </w:t>
      </w:r>
      <w:r w:rsidR="00F7576C">
        <w:rPr>
          <w:lang w:val="en-AU"/>
        </w:rPr>
        <w:t>shear-stress</w:t>
      </w:r>
      <w:r w:rsidRPr="007D6EB4">
        <w:rPr>
          <w:lang w:val="en-AU"/>
        </w:rPr>
        <w:t xml:space="preserve"> zones showing potential mobilisation of</w:t>
      </w:r>
      <w:r w:rsidR="0043422D">
        <w:rPr>
          <w:lang w:val="en-AU"/>
        </w:rPr>
        <w:t xml:space="preserve"> </w:t>
      </w:r>
      <w:r w:rsidRPr="007D6EB4">
        <w:rPr>
          <w:lang w:val="en-AU"/>
        </w:rPr>
        <w:t>(</w:t>
      </w:r>
      <w:r w:rsidR="006B5BBA" w:rsidRPr="006B5BBA">
        <w:fldChar w:fldCharType="begin"/>
      </w:r>
      <w:r w:rsidR="006B5BBA" w:rsidRPr="006B5BBA">
        <w:instrText xml:space="preserve"> REF  _Ref338664062 \* Lower \h  \* MERGEFORMAT </w:instrText>
      </w:r>
      <w:r w:rsidR="006B5BBA" w:rsidRPr="006B5BBA">
        <w:fldChar w:fldCharType="separate"/>
      </w:r>
      <w:r w:rsidR="00751BC4" w:rsidRPr="00751BC4">
        <w:rPr>
          <w:lang w:val="en-AU"/>
        </w:rPr>
        <w:t xml:space="preserve">figure </w:t>
      </w:r>
      <w:r w:rsidR="00751BC4" w:rsidRPr="00751BC4">
        <w:rPr>
          <w:noProof/>
          <w:lang w:val="en-AU"/>
        </w:rPr>
        <w:t>41</w:t>
      </w:r>
      <w:r w:rsidR="006B5BBA" w:rsidRPr="006B5BBA">
        <w:fldChar w:fldCharType="end"/>
      </w:r>
      <w:r w:rsidRPr="007D6EB4">
        <w:rPr>
          <w:lang w:val="en-AU"/>
        </w:rPr>
        <w:t xml:space="preserve">) are similar to the extents of the increased contribution of </w:t>
      </w:r>
      <w:r w:rsidR="00B271C6">
        <w:rPr>
          <w:lang w:val="en-AU"/>
        </w:rPr>
        <w:t>clay-silt</w:t>
      </w:r>
      <w:r w:rsidRPr="007D6EB4">
        <w:rPr>
          <w:lang w:val="en-AU"/>
        </w:rPr>
        <w:t xml:space="preserve">s to the bottom surface sediments </w:t>
      </w:r>
      <w:r w:rsidRPr="006B5BBA">
        <w:rPr>
          <w:lang w:val="en-AU"/>
        </w:rPr>
        <w:t>(</w:t>
      </w:r>
      <w:r w:rsidR="006B5BBA" w:rsidRPr="006B5BBA">
        <w:fldChar w:fldCharType="begin"/>
      </w:r>
      <w:r w:rsidR="006B5BBA" w:rsidRPr="006B5BBA">
        <w:instrText xml:space="preserve"> REF  _Ref338671138 \* Lower \h  \* MERGEFORMAT </w:instrText>
      </w:r>
      <w:r w:rsidR="006B5BBA" w:rsidRPr="006B5BBA">
        <w:fldChar w:fldCharType="separate"/>
      </w:r>
      <w:r w:rsidR="00751BC4" w:rsidRPr="00751BC4">
        <w:rPr>
          <w:lang w:val="en-AU"/>
        </w:rPr>
        <w:t xml:space="preserve">figure </w:t>
      </w:r>
      <w:r w:rsidR="00751BC4" w:rsidRPr="00751BC4">
        <w:rPr>
          <w:noProof/>
          <w:lang w:val="en-AU"/>
        </w:rPr>
        <w:t>42</w:t>
      </w:r>
      <w:r w:rsidR="006B5BBA" w:rsidRPr="006B5BBA">
        <w:fldChar w:fldCharType="end"/>
      </w:r>
      <w:r w:rsidRPr="007D6EB4">
        <w:rPr>
          <w:lang w:val="en-AU"/>
        </w:rPr>
        <w:t>).</w:t>
      </w:r>
    </w:p>
    <w:p w:rsidR="00303718" w:rsidRDefault="00303718" w:rsidP="00A6519A">
      <w:pPr>
        <w:autoSpaceDE w:val="0"/>
        <w:autoSpaceDN w:val="0"/>
        <w:adjustRightInd w:val="0"/>
        <w:spacing w:after="0" w:line="240" w:lineRule="auto"/>
        <w:jc w:val="left"/>
        <w:rPr>
          <w:rFonts w:cs="Arial"/>
        </w:rPr>
      </w:pPr>
      <w:r>
        <w:rPr>
          <w:rFonts w:cs="Arial"/>
        </w:rPr>
        <w:t>U</w:t>
      </w:r>
      <w:r w:rsidR="00176450">
        <w:rPr>
          <w:rFonts w:cs="Arial"/>
        </w:rPr>
        <w:t>nder 95</w:t>
      </w:r>
      <w:r w:rsidR="00176450" w:rsidRPr="005B5490">
        <w:rPr>
          <w:rFonts w:cs="Arial"/>
          <w:vertAlign w:val="superscript"/>
        </w:rPr>
        <w:t>th</w:t>
      </w:r>
      <w:r w:rsidR="00176450">
        <w:rPr>
          <w:rFonts w:cs="Arial"/>
        </w:rPr>
        <w:t xml:space="preserve"> percentile conditions, </w:t>
      </w:r>
      <w:r>
        <w:rPr>
          <w:rFonts w:cs="Arial"/>
        </w:rPr>
        <w:t xml:space="preserve">the predicted shear-stress values typically increased with distance from the coastline, with sediments potentially mobilised as large as coarse sand offshore </w:t>
      </w:r>
      <w:r w:rsidRPr="007D6EB4">
        <w:t>Mourilyan</w:t>
      </w:r>
      <w:r>
        <w:t xml:space="preserve">. </w:t>
      </w:r>
    </w:p>
    <w:p w:rsidR="00303718" w:rsidRDefault="00303718" w:rsidP="00A6519A">
      <w:pPr>
        <w:autoSpaceDE w:val="0"/>
        <w:autoSpaceDN w:val="0"/>
        <w:adjustRightInd w:val="0"/>
        <w:spacing w:after="0" w:line="276" w:lineRule="auto"/>
        <w:jc w:val="left"/>
        <w:rPr>
          <w:rFonts w:cs="Arial"/>
        </w:rPr>
      </w:pPr>
    </w:p>
    <w:p w:rsidR="007A1B07" w:rsidRPr="007D6EB4" w:rsidRDefault="008A5C18" w:rsidP="00617543">
      <w:pPr>
        <w:pStyle w:val="Para0"/>
        <w:spacing w:before="0"/>
        <w:rPr>
          <w:lang w:val="en-AU"/>
        </w:rPr>
      </w:pPr>
      <w:r>
        <w:rPr>
          <w:noProof/>
          <w:lang w:val="en-AU" w:eastAsia="en-AU"/>
        </w:rPr>
        <w:lastRenderedPageBreak/>
        <w:drawing>
          <wp:inline distT="0" distB="0" distL="0" distR="0" wp14:anchorId="0A187D35" wp14:editId="68880D47">
            <wp:extent cx="5353050" cy="3238500"/>
            <wp:effectExtent l="19050" t="19050" r="0" b="0"/>
            <wp:docPr id="136" name="Picture 136" descr="Figure 41 shows the distribution of the estimated shear-stress at the seabed based on 50th and 95th percentile calculations within 50 km from the Port of Mourilyan. In general, bed shear-stress modelling predicts that the study area is a relatively low-energy retentive environment under average (50th percentile) conditions, with most of the study area being characterised by low bed shear-stress values (&lt;0.019 Pa). The predicted bed shear-stress values indicate potential mobilisation of up to clays along the near-shore region and up to fine and coarse silts in the deeper offshore regions." title="Figure 41. Distribution of the 50th (upper image) and 95th (lower image) percentile bed shear-stress estimates within 50 km from the Port of Mourilyan.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Q:\Projects\Q0110 GBRMPA-SKM QLD disposal site selection\8. Figures\Bed_Shear_Stress_Final_Maps\Mourilyan_Bed shear_50th Perc.pn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r>
        <w:rPr>
          <w:noProof/>
          <w:lang w:val="en-AU" w:eastAsia="en-AU"/>
        </w:rPr>
        <w:drawing>
          <wp:inline distT="0" distB="0" distL="0" distR="0" wp14:anchorId="46725162" wp14:editId="2AA8E85B">
            <wp:extent cx="5353050" cy="3238500"/>
            <wp:effectExtent l="19050" t="19050" r="0" b="0"/>
            <wp:docPr id="137" name="Picture 137" descr="Figure 41 shows the distribution of the estimated shear-stress at the seabed based on 50th and 95th percentile calculations within 50 km from the Port of Mourilyan. In general, bed shear-stress modelling predicts that the study area is a relatively low-energy retentive environment under average (50th percentile) conditions, with most of the study area being characterised by low bed shear-stress values (&lt;0.019 Pa). The predicted bed shear-stress values indicate potential mobilisation of up to clays along the near-shore region and up to fine and coarse silts in the deeper offshore regions." title="Figure 41. Distribution of the 50th (upper image) and 95th (lower image) percentile bed shear-stress estimates within 50 km from the Port of Mourilyan.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Q:\Projects\Q0110 GBRMPA-SKM QLD disposal site selection\8. Figures\Bed_Shear_Stress_Final_Maps\Mourilyan_Bed shear_95th Perc.pn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p>
    <w:p w:rsidR="007A1B07" w:rsidRPr="007D6EB4" w:rsidRDefault="007A1B07" w:rsidP="00EC0510">
      <w:pPr>
        <w:pStyle w:val="Caption"/>
        <w:spacing w:line="240" w:lineRule="auto"/>
        <w:ind w:left="480" w:hanging="480"/>
        <w:jc w:val="left"/>
        <w:rPr>
          <w:b/>
          <w:lang w:val="en-AU" w:eastAsia="en-AU"/>
        </w:rPr>
      </w:pPr>
      <w:bookmarkStart w:id="144" w:name="_Ref338664062"/>
      <w:bookmarkStart w:id="145" w:name="_Toc361651524"/>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41</w:t>
      </w:r>
      <w:r w:rsidR="005F6FF5" w:rsidRPr="007D6EB4">
        <w:rPr>
          <w:b/>
          <w:lang w:val="en-AU"/>
        </w:rPr>
        <w:fldChar w:fldCharType="end"/>
      </w:r>
      <w:bookmarkEnd w:id="144"/>
      <w:r w:rsidR="00E5277F">
        <w:rPr>
          <w:lang w:val="en-AU"/>
        </w:rPr>
        <w:t>.</w:t>
      </w:r>
      <w:r w:rsidRPr="007D6EB4">
        <w:rPr>
          <w:lang w:val="en-AU"/>
        </w:rPr>
        <w:t xml:space="preserve"> Distribution of the 50</w:t>
      </w:r>
      <w:r w:rsidRPr="007D6EB4">
        <w:rPr>
          <w:vertAlign w:val="superscript"/>
          <w:lang w:val="en-AU"/>
        </w:rPr>
        <w:t>th</w:t>
      </w:r>
      <w:r w:rsidRPr="007D6EB4">
        <w:rPr>
          <w:lang w:val="en-AU"/>
        </w:rPr>
        <w:t xml:space="preserve"> (upper image)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the Port of Mourilyan.</w:t>
      </w:r>
      <w:r w:rsidR="0043422D">
        <w:rPr>
          <w:lang w:val="en-AU"/>
        </w:rPr>
        <w:t xml:space="preserve"> </w:t>
      </w:r>
      <w:r w:rsidRPr="007D6EB4">
        <w:rPr>
          <w:lang w:val="en-AU"/>
        </w:rPr>
        <w:t xml:space="preserve">The estimates were </w:t>
      </w:r>
      <w:r w:rsidRPr="007D6EB4">
        <w:rPr>
          <w:lang w:val="en-AU" w:eastAsia="en-AU"/>
        </w:rPr>
        <w:t xml:space="preserve">calculated at hourly steps for each grid cell during 2011 current and wave conditions. </w:t>
      </w:r>
      <w:r w:rsidRPr="007D6EB4">
        <w:rPr>
          <w:lang w:val="en-AU"/>
        </w:rPr>
        <w:t xml:space="preserve">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145"/>
    </w:p>
    <w:p w:rsidR="007A1B07" w:rsidRPr="007D6EB4" w:rsidRDefault="007A1B07" w:rsidP="00617543">
      <w:pPr>
        <w:pStyle w:val="Para0"/>
        <w:rPr>
          <w:lang w:val="en-AU"/>
        </w:rPr>
      </w:pPr>
    </w:p>
    <w:p w:rsidR="007A1B07" w:rsidRPr="007D6EB4" w:rsidRDefault="007A1B07" w:rsidP="00617543">
      <w:pPr>
        <w:pStyle w:val="Para0"/>
        <w:rPr>
          <w:lang w:val="en-AU"/>
        </w:rPr>
      </w:pPr>
    </w:p>
    <w:p w:rsidR="007A1B07" w:rsidRPr="007D6EB4" w:rsidRDefault="005416E9" w:rsidP="00617543">
      <w:pPr>
        <w:pStyle w:val="Para0"/>
        <w:rPr>
          <w:lang w:val="en-AU"/>
        </w:rPr>
      </w:pPr>
      <w:r w:rsidRPr="006A22FE">
        <w:rPr>
          <w:noProof/>
          <w:bdr w:val="single" w:sz="4" w:space="0" w:color="auto"/>
          <w:lang w:val="en-AU" w:eastAsia="en-AU"/>
        </w:rPr>
        <w:lastRenderedPageBreak/>
        <w:drawing>
          <wp:inline distT="0" distB="0" distL="0" distR="0" wp14:anchorId="2CE6B70A" wp14:editId="2A08B527">
            <wp:extent cx="5353050" cy="3095342"/>
            <wp:effectExtent l="0" t="0" r="0" b="0"/>
            <wp:docPr id="34" name="Picture 34" descr="Figure 42 shows measured sediment contribution data. The extents of the nearshore and offshore low estimated shear-stress zones showing potential mobilisation in figure 41 are similar to the extents of the increased contribution of clay-silts to the bottom surface sediments shown in this figure.Under 95th percentile conditions, the predicted shear-stress values typically increased with distance from the coastline, with sediments potentially mobilised as large as coarse sand offshore Mourilyan" title="Figure 42. Percentage clay-silt (upper image) and sand (lower image) content in surface sediments within 50 km from the Port of Mourilyan.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_Exchange\delete\Revised\Mourilyan_%Mud.pn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353050" cy="3095342"/>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2B1A6DB0" wp14:editId="2FEECE95">
            <wp:extent cx="5343525" cy="3171825"/>
            <wp:effectExtent l="0" t="0" r="9525" b="9525"/>
            <wp:docPr id="33" name="Picture 33" descr="Figure 42 shows measured sediment contribution data. The extents of the nearshore and offshore low estimated shear-stress zones showing potential mobilisation in figure 41 are similar to the extents of the increased contribution of clay-silts to the bottom surface sediments shown in this figure.Under 95th percentile conditions, the predicted shear-stress values typically increased with distance from the coastline, with sediments potentially mobilised as large as coarse sand offshore Mourilyan" title="Figure 42. Percentage clay-silt (upper image) and sand (lower image) content in surface sediments within 50 km from the Port of Mourilyan.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_Exchange\delete\Revised\Mourilyan_%Sand.pn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343525" cy="3171825"/>
                    </a:xfrm>
                    <a:prstGeom prst="rect">
                      <a:avLst/>
                    </a:prstGeom>
                    <a:noFill/>
                    <a:ln>
                      <a:noFill/>
                    </a:ln>
                  </pic:spPr>
                </pic:pic>
              </a:graphicData>
            </a:graphic>
          </wp:inline>
        </w:drawing>
      </w:r>
    </w:p>
    <w:p w:rsidR="007A1B07" w:rsidRPr="007D6EB4" w:rsidRDefault="007A1B07" w:rsidP="00EC0510">
      <w:pPr>
        <w:pStyle w:val="Caption"/>
        <w:spacing w:line="240" w:lineRule="auto"/>
        <w:ind w:left="480" w:hanging="480"/>
        <w:jc w:val="left"/>
        <w:rPr>
          <w:lang w:val="en-AU" w:eastAsia="en-AU"/>
        </w:rPr>
      </w:pPr>
      <w:bookmarkStart w:id="146" w:name="_Ref338671138"/>
      <w:bookmarkStart w:id="147" w:name="_Toc361651525"/>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42</w:t>
      </w:r>
      <w:r w:rsidR="005F6FF5" w:rsidRPr="007D6EB4">
        <w:rPr>
          <w:b/>
          <w:lang w:val="en-AU"/>
        </w:rPr>
        <w:fldChar w:fldCharType="end"/>
      </w:r>
      <w:bookmarkEnd w:id="146"/>
      <w:r w:rsidR="00E5277F">
        <w:rPr>
          <w:lang w:val="en-AU"/>
        </w:rPr>
        <w:t>.</w:t>
      </w:r>
      <w:r w:rsidRPr="007D6EB4">
        <w:rPr>
          <w:lang w:val="en-AU"/>
        </w:rPr>
        <w:t xml:space="preserve"> Percentage </w:t>
      </w:r>
      <w:r w:rsidR="00B271C6">
        <w:rPr>
          <w:lang w:val="en-AU"/>
        </w:rPr>
        <w:t>clay-silt</w:t>
      </w:r>
      <w:r w:rsidRPr="007D6EB4">
        <w:rPr>
          <w:lang w:val="en-AU"/>
        </w:rPr>
        <w:t xml:space="preserve"> (upper image) and sand (lower image) content in surface sediments within 50 km from the Port of Mourilyan (</w:t>
      </w:r>
      <w:r w:rsidR="002C3746" w:rsidRPr="007D6EB4">
        <w:rPr>
          <w:lang w:val="en-AU"/>
        </w:rPr>
        <w:t>source: Geoscience</w:t>
      </w:r>
      <w:r w:rsidRPr="007D6EB4">
        <w:rPr>
          <w:lang w:val="en-AU"/>
        </w:rPr>
        <w:t xml:space="preserve"> Australia marine samples database 2007).</w:t>
      </w:r>
      <w:bookmarkEnd w:id="147"/>
    </w:p>
    <w:p w:rsidR="007A1B07" w:rsidRPr="007D6EB4" w:rsidRDefault="007A1B07" w:rsidP="00617543">
      <w:pPr>
        <w:pStyle w:val="Para0"/>
        <w:rPr>
          <w:lang w:val="en-AU"/>
        </w:rPr>
      </w:pPr>
    </w:p>
    <w:p w:rsidR="007A1B07" w:rsidRPr="007D6EB4" w:rsidRDefault="007A1B07" w:rsidP="00E46224">
      <w:pPr>
        <w:pStyle w:val="Heading2"/>
      </w:pPr>
      <w:bookmarkStart w:id="148" w:name="_Toc361929995"/>
      <w:r w:rsidRPr="007D6EB4">
        <w:t>Port of Cairns</w:t>
      </w:r>
      <w:bookmarkEnd w:id="148"/>
    </w:p>
    <w:p w:rsidR="007A1B07" w:rsidRPr="007D6EB4" w:rsidRDefault="00693B03" w:rsidP="00EC0510">
      <w:pPr>
        <w:pStyle w:val="StyleLeft"/>
        <w:rPr>
          <w:lang w:val="en-AU"/>
        </w:rPr>
      </w:pPr>
      <w:r>
        <w:fldChar w:fldCharType="begin"/>
      </w:r>
      <w:r>
        <w:instrText xml:space="preserve"> REF _Ref338664141 \h  \* MERGEFORMAT </w:instrText>
      </w:r>
      <w:r>
        <w:fldChar w:fldCharType="separate"/>
      </w:r>
      <w:r w:rsidR="00751BC4" w:rsidRPr="00751BC4">
        <w:rPr>
          <w:lang w:val="en-AU"/>
        </w:rPr>
        <w:t xml:space="preserve">Figure </w:t>
      </w:r>
      <w:r w:rsidR="00751BC4" w:rsidRPr="00751BC4">
        <w:rPr>
          <w:noProof/>
          <w:lang w:val="en-AU"/>
        </w:rPr>
        <w:t>43</w:t>
      </w:r>
      <w:r>
        <w:fldChar w:fldCharType="end"/>
      </w:r>
      <w:r w:rsidR="007A1B07" w:rsidRPr="007D6EB4">
        <w:rPr>
          <w:lang w:val="en-AU"/>
        </w:rPr>
        <w:t xml:space="preserve"> shows the distribution of the estimated </w:t>
      </w:r>
      <w:r w:rsidR="00F7576C">
        <w:rPr>
          <w:lang w:val="en-AU"/>
        </w:rPr>
        <w:t>shear-stress</w:t>
      </w:r>
      <w:r w:rsidR="007A1B07" w:rsidRPr="007D6EB4">
        <w:rPr>
          <w:lang w:val="en-AU"/>
        </w:rPr>
        <w:t xml:space="preserve"> at the seabed calculated as the 50</w:t>
      </w:r>
      <w:r w:rsidR="007A1B07" w:rsidRPr="007D6EB4">
        <w:rPr>
          <w:vertAlign w:val="superscript"/>
          <w:lang w:val="en-AU"/>
        </w:rPr>
        <w:t>th</w:t>
      </w:r>
      <w:r w:rsidR="007A1B07" w:rsidRPr="007D6EB4">
        <w:rPr>
          <w:lang w:val="en-AU"/>
        </w:rPr>
        <w:t xml:space="preserve"> and 95</w:t>
      </w:r>
      <w:r w:rsidR="007A1B07" w:rsidRPr="007D6EB4">
        <w:rPr>
          <w:vertAlign w:val="superscript"/>
          <w:lang w:val="en-AU"/>
        </w:rPr>
        <w:t>th</w:t>
      </w:r>
      <w:r w:rsidR="007A1B07" w:rsidRPr="007D6EB4">
        <w:rPr>
          <w:lang w:val="en-AU"/>
        </w:rPr>
        <w:t xml:space="preserve"> percentile over time for locations within 50 km from the Port of Cairns. </w:t>
      </w:r>
    </w:p>
    <w:p w:rsidR="00F822E1" w:rsidRDefault="00F822E1" w:rsidP="00EC0510">
      <w:pPr>
        <w:pStyle w:val="StyleLeft"/>
        <w:rPr>
          <w:lang w:val="en-AU" w:eastAsia="en-AU"/>
        </w:rPr>
      </w:pPr>
      <w:r>
        <w:rPr>
          <w:lang w:val="en-AU" w:eastAsia="en-AU"/>
        </w:rPr>
        <w:t xml:space="preserve">Bed shear-stress modelling predicts relatively low sediment mobility (retentive areas) within the Cairns study area, with shear-stress sufficient only to mobilise unconsolidated clays along much of the immediate coastline, grading into shear-stresses sufficient to potentially mobilise fine and coarse silts moving offshore. Only a </w:t>
      </w:r>
      <w:r>
        <w:rPr>
          <w:lang w:val="en-AU" w:eastAsia="en-AU"/>
        </w:rPr>
        <w:lastRenderedPageBreak/>
        <w:t xml:space="preserve">few reef-associated areas have predicted </w:t>
      </w:r>
      <w:r w:rsidR="003510FE">
        <w:rPr>
          <w:lang w:val="en-AU" w:eastAsia="en-AU"/>
        </w:rPr>
        <w:t>shear-stress</w:t>
      </w:r>
      <w:r>
        <w:rPr>
          <w:lang w:val="en-AU" w:eastAsia="en-AU"/>
        </w:rPr>
        <w:t>es sufficient to mobilise sands (</w:t>
      </w:r>
      <w:r w:rsidR="006B5BBA" w:rsidRPr="006B5BBA">
        <w:fldChar w:fldCharType="begin"/>
      </w:r>
      <w:r w:rsidR="006B5BBA" w:rsidRPr="006B5BBA">
        <w:instrText xml:space="preserve"> REF  _Ref338664141 \* Lower \h  \* MERGEFORMAT </w:instrText>
      </w:r>
      <w:r w:rsidR="006B5BBA" w:rsidRPr="006B5BBA">
        <w:fldChar w:fldCharType="separate"/>
      </w:r>
      <w:r w:rsidR="00751BC4" w:rsidRPr="00751BC4">
        <w:rPr>
          <w:lang w:val="en-AU"/>
        </w:rPr>
        <w:t xml:space="preserve">figure </w:t>
      </w:r>
      <w:r w:rsidR="00751BC4" w:rsidRPr="00751BC4">
        <w:rPr>
          <w:noProof/>
          <w:lang w:val="en-AU"/>
        </w:rPr>
        <w:t>43</w:t>
      </w:r>
      <w:r w:rsidR="006B5BBA" w:rsidRPr="006B5BBA">
        <w:fldChar w:fldCharType="end"/>
      </w:r>
      <w:r>
        <w:rPr>
          <w:lang w:val="en-AU" w:eastAsia="en-AU"/>
        </w:rPr>
        <w:t>).</w:t>
      </w:r>
    </w:p>
    <w:p w:rsidR="00F822E1" w:rsidRPr="00290BDB" w:rsidRDefault="00F822E1" w:rsidP="00EC0510">
      <w:pPr>
        <w:pStyle w:val="StyleLeft"/>
        <w:rPr>
          <w:lang w:val="en-AU"/>
        </w:rPr>
      </w:pPr>
      <w:r w:rsidRPr="00290BDB">
        <w:rPr>
          <w:lang w:val="en-AU"/>
        </w:rPr>
        <w:t xml:space="preserve">Sediment mapping by Geoscience Australia is consistent with the shear-stress modelling; </w:t>
      </w:r>
      <w:r w:rsidR="000F7F2E">
        <w:rPr>
          <w:lang w:val="en-AU"/>
        </w:rPr>
        <w:t xml:space="preserve">with majority of the consisting of clay-silt sediments and </w:t>
      </w:r>
      <w:r w:rsidRPr="00290BDB">
        <w:rPr>
          <w:lang w:val="en-AU"/>
        </w:rPr>
        <w:t>areas with a somewhat higher sand component than might be expected are mainly in proximity to reefs, which are sources of carbonate sands</w:t>
      </w:r>
      <w:r>
        <w:rPr>
          <w:lang w:val="en-AU"/>
        </w:rPr>
        <w:t xml:space="preserve"> </w:t>
      </w:r>
      <w:r w:rsidRPr="007D6EB4">
        <w:rPr>
          <w:color w:val="auto"/>
          <w:szCs w:val="22"/>
          <w:lang w:val="en-AU"/>
        </w:rPr>
        <w:t>(</w:t>
      </w:r>
      <w:r w:rsidR="006B5BBA" w:rsidRPr="006B5BBA">
        <w:fldChar w:fldCharType="begin"/>
      </w:r>
      <w:r w:rsidR="006B5BBA" w:rsidRPr="006B5BBA">
        <w:instrText xml:space="preserve"> REF  _Ref338666656 \* Lower \h  \* MERGEFORMAT </w:instrText>
      </w:r>
      <w:r w:rsidR="006B5BBA" w:rsidRPr="006B5BBA">
        <w:fldChar w:fldCharType="separate"/>
      </w:r>
      <w:r w:rsidR="00751BC4" w:rsidRPr="00751BC4">
        <w:rPr>
          <w:lang w:val="en-AU"/>
        </w:rPr>
        <w:t xml:space="preserve">figure </w:t>
      </w:r>
      <w:r w:rsidR="00751BC4" w:rsidRPr="00751BC4">
        <w:rPr>
          <w:noProof/>
          <w:lang w:val="en-AU"/>
        </w:rPr>
        <w:t>44</w:t>
      </w:r>
      <w:r w:rsidR="006B5BBA" w:rsidRPr="006B5BBA">
        <w:fldChar w:fldCharType="end"/>
      </w:r>
      <w:r w:rsidRPr="007D6EB4">
        <w:rPr>
          <w:color w:val="auto"/>
          <w:szCs w:val="22"/>
          <w:lang w:val="en-AU"/>
        </w:rPr>
        <w:t>)</w:t>
      </w:r>
      <w:r w:rsidRPr="00290BDB">
        <w:rPr>
          <w:lang w:val="en-AU"/>
        </w:rPr>
        <w:t xml:space="preserve">. </w:t>
      </w:r>
    </w:p>
    <w:p w:rsidR="007A1B07" w:rsidRPr="007D6EB4" w:rsidRDefault="007A1B07" w:rsidP="00EC0510">
      <w:pPr>
        <w:pStyle w:val="StyleLeft"/>
        <w:rPr>
          <w:lang w:val="en-AU"/>
        </w:rPr>
      </w:pPr>
      <w:r w:rsidRPr="007D6EB4">
        <w:rPr>
          <w:lang w:val="en-AU"/>
        </w:rPr>
        <w:t>The 95</w:t>
      </w:r>
      <w:r w:rsidRPr="007D6EB4">
        <w:rPr>
          <w:vertAlign w:val="superscript"/>
          <w:lang w:val="en-AU"/>
        </w:rPr>
        <w:t>th</w:t>
      </w:r>
      <w:r w:rsidRPr="007D6EB4">
        <w:rPr>
          <w:lang w:val="en-AU"/>
        </w:rPr>
        <w:t xml:space="preserve"> percentile estimates indicate that the existing </w:t>
      </w:r>
      <w:r w:rsidR="00E53FAD">
        <w:rPr>
          <w:lang w:val="en-AU"/>
        </w:rPr>
        <w:t>dredged material placement site</w:t>
      </w:r>
      <w:r w:rsidRPr="007D6EB4">
        <w:rPr>
          <w:lang w:val="en-AU"/>
        </w:rPr>
        <w:t xml:space="preserve"> will tend to remain more sheltered compared </w:t>
      </w:r>
      <w:r w:rsidR="00B77480">
        <w:rPr>
          <w:lang w:val="en-AU"/>
        </w:rPr>
        <w:t>with</w:t>
      </w:r>
      <w:r w:rsidRPr="007D6EB4">
        <w:rPr>
          <w:lang w:val="en-AU"/>
        </w:rPr>
        <w:t xml:space="preserve"> other ports but might experience </w:t>
      </w:r>
      <w:r w:rsidR="00F7576C">
        <w:rPr>
          <w:lang w:val="en-AU"/>
        </w:rPr>
        <w:t>shear-stress</w:t>
      </w:r>
      <w:r w:rsidRPr="007D6EB4">
        <w:rPr>
          <w:lang w:val="en-AU"/>
        </w:rPr>
        <w:t xml:space="preserve"> levels that would mobilise recently deposited sediments up to fine sand. However, locations within a few </w:t>
      </w:r>
      <w:r w:rsidR="00F822E1">
        <w:rPr>
          <w:lang w:val="en-AU"/>
        </w:rPr>
        <w:t>kilometres</w:t>
      </w:r>
      <w:r w:rsidRPr="007D6EB4">
        <w:rPr>
          <w:lang w:val="en-AU"/>
        </w:rPr>
        <w:t xml:space="preserve"> of the site, to both the east and west, are indicated to typically experience lower </w:t>
      </w:r>
      <w:r w:rsidR="00F7576C">
        <w:rPr>
          <w:lang w:val="en-AU"/>
        </w:rPr>
        <w:t>shear-stress</w:t>
      </w:r>
      <w:r w:rsidRPr="007D6EB4">
        <w:rPr>
          <w:lang w:val="en-AU"/>
        </w:rPr>
        <w:t xml:space="preserve"> </w:t>
      </w:r>
      <w:r w:rsidR="004768EC">
        <w:rPr>
          <w:lang w:val="en-AU"/>
        </w:rPr>
        <w:t xml:space="preserve">which </w:t>
      </w:r>
      <w:r w:rsidRPr="007D6EB4">
        <w:rPr>
          <w:lang w:val="en-AU"/>
        </w:rPr>
        <w:t xml:space="preserve">should be retentive for recently deposited sediments larger than coarse silt. </w:t>
      </w:r>
    </w:p>
    <w:p w:rsidR="001C5FFB" w:rsidRDefault="001C5FFB" w:rsidP="001C5FFB">
      <w:pPr>
        <w:autoSpaceDE w:val="0"/>
        <w:autoSpaceDN w:val="0"/>
        <w:adjustRightInd w:val="0"/>
        <w:spacing w:after="0" w:line="276" w:lineRule="auto"/>
        <w:jc w:val="left"/>
        <w:rPr>
          <w:color w:val="auto"/>
          <w:szCs w:val="22"/>
          <w:lang w:val="en-AU"/>
        </w:rPr>
      </w:pPr>
    </w:p>
    <w:p w:rsidR="007A1B07" w:rsidRPr="007D6EB4" w:rsidRDefault="008A5C18" w:rsidP="00617543">
      <w:pPr>
        <w:pStyle w:val="Para0"/>
        <w:spacing w:before="0"/>
        <w:rPr>
          <w:lang w:val="en-AU"/>
        </w:rPr>
      </w:pPr>
      <w:r>
        <w:rPr>
          <w:noProof/>
          <w:lang w:val="en-AU" w:eastAsia="en-AU"/>
        </w:rPr>
        <w:lastRenderedPageBreak/>
        <w:drawing>
          <wp:inline distT="0" distB="0" distL="0" distR="0" wp14:anchorId="7777F534" wp14:editId="5006CC3E">
            <wp:extent cx="5353050" cy="3238500"/>
            <wp:effectExtent l="19050" t="19050" r="0" b="0"/>
            <wp:docPr id="140" name="Picture 140" descr="Figure 43 shows the distribution of the estimated shear-stress at the seabed calculated as the 50th and 95th percentile over time for locations within 50 km from the Port of Cairns. Bed shear-stress modelling predicts relatively low sediment mobility (retentive areas) within the Cairns study area, with shear-stress sufficient only to mobilise unconsolidated clays along much of the immediate coastline, grading into shear-stresses sufficient to potentially mobilise fine and coarse silts moving offshore. Only a few reef-associated areas have predicted shear-stresses sufficient to mobilise sands" title="Figure 43. Distribution of the 50th (upper image) and 95th (lower image) percentile bed shear-stress estimates within 50 km from the Port of Cairns.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Q:\Projects\Q0110 GBRMPA-SKM QLD disposal site selection\8. Figures\Bed_Shear_Stress_Final_Maps\Cairns_Bed shear_50th Perc.pn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r>
        <w:rPr>
          <w:noProof/>
          <w:lang w:val="en-AU" w:eastAsia="en-AU"/>
        </w:rPr>
        <w:drawing>
          <wp:inline distT="0" distB="0" distL="0" distR="0" wp14:anchorId="2FD64635" wp14:editId="4A50375F">
            <wp:extent cx="5353050" cy="3238500"/>
            <wp:effectExtent l="19050" t="19050" r="0" b="0"/>
            <wp:docPr id="141" name="Picture 141" descr="Figure 43 shows the distribution of the estimated shear-stress at the seabed calculated as the 50th and 95th percentile over time for locations within 50 km from the Port of Cairns. Bed shear-stress modelling predicts relatively low sediment mobility (retentive areas) within the Cairns study area, with shear-stress sufficient only to mobilise unconsolidated clays along much of the immediate coastline, grading into shear-stresses sufficient to potentially mobilise fine and coarse silts moving offshore. Only a few reef-associated areas have predicted shear-stresses sufficient to mobilise sands" title="Figure 43. Distribution of the 50th (upper image) and 95th (lower image) percentile bed shear-stress estimates within 50 km from the Port of Cairns.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Q:\Projects\Q0110 GBRMPA-SKM QLD disposal site selection\8. Figures\Bed_Shear_Stress_Final_Maps\Cairns_Bed shear_95th Perc.pn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p>
    <w:p w:rsidR="007A1B07" w:rsidRPr="007D6EB4" w:rsidRDefault="007A1B07" w:rsidP="00617543">
      <w:pPr>
        <w:pStyle w:val="Para0"/>
        <w:rPr>
          <w:lang w:val="en-AU"/>
        </w:rPr>
      </w:pPr>
      <w:bookmarkStart w:id="149" w:name="_Ref338664141"/>
      <w:bookmarkStart w:id="150" w:name="_Toc361651526"/>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43</w:t>
      </w:r>
      <w:r w:rsidR="005F6FF5" w:rsidRPr="007D6EB4">
        <w:rPr>
          <w:b/>
          <w:lang w:val="en-AU"/>
        </w:rPr>
        <w:fldChar w:fldCharType="end"/>
      </w:r>
      <w:bookmarkEnd w:id="149"/>
      <w:r w:rsidR="00E5277F">
        <w:rPr>
          <w:lang w:val="en-AU"/>
        </w:rPr>
        <w:t>.</w:t>
      </w:r>
      <w:r w:rsidRPr="007D6EB4">
        <w:rPr>
          <w:lang w:val="en-AU"/>
        </w:rPr>
        <w:t xml:space="preserve"> Distribution of the 50</w:t>
      </w:r>
      <w:r w:rsidRPr="007D6EB4">
        <w:rPr>
          <w:vertAlign w:val="superscript"/>
          <w:lang w:val="en-AU"/>
        </w:rPr>
        <w:t>th</w:t>
      </w:r>
      <w:r w:rsidRPr="007D6EB4">
        <w:rPr>
          <w:lang w:val="en-AU"/>
        </w:rPr>
        <w:t xml:space="preserve"> (upper image)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the Port of Cairns.</w:t>
      </w:r>
      <w:r w:rsidR="0043422D">
        <w:rPr>
          <w:lang w:val="en-AU"/>
        </w:rPr>
        <w:t xml:space="preserve"> </w:t>
      </w:r>
      <w:r w:rsidRPr="007D6EB4">
        <w:rPr>
          <w:lang w:val="en-AU"/>
        </w:rPr>
        <w:t xml:space="preserve">The estimates were </w:t>
      </w:r>
      <w:r w:rsidRPr="007D6EB4">
        <w:rPr>
          <w:lang w:val="en-AU" w:eastAsia="en-AU"/>
        </w:rPr>
        <w:t xml:space="preserve">calculated at hourly steps for each grid cell during 2011 current and wave conditions. </w:t>
      </w:r>
      <w:r w:rsidRPr="007D6EB4">
        <w:rPr>
          <w:lang w:val="en-AU"/>
        </w:rPr>
        <w:t xml:space="preserve">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150"/>
    </w:p>
    <w:p w:rsidR="007A1B07" w:rsidRPr="007D6EB4" w:rsidRDefault="005416E9" w:rsidP="00617543">
      <w:pPr>
        <w:pStyle w:val="Para0"/>
        <w:rPr>
          <w:lang w:val="en-AU"/>
        </w:rPr>
      </w:pPr>
      <w:r w:rsidRPr="006A22FE">
        <w:rPr>
          <w:noProof/>
          <w:bdr w:val="single" w:sz="4" w:space="0" w:color="auto"/>
          <w:lang w:val="en-AU" w:eastAsia="en-AU"/>
        </w:rPr>
        <w:lastRenderedPageBreak/>
        <w:drawing>
          <wp:inline distT="0" distB="0" distL="0" distR="0" wp14:anchorId="0269025F" wp14:editId="118C953C">
            <wp:extent cx="5391150" cy="3019142"/>
            <wp:effectExtent l="0" t="0" r="0" b="0"/>
            <wp:docPr id="43" name="Picture 43" descr="Figure 44 shows sediment mapping is consistent with the shear-stress modelling; with majority of the consisting of clay-silt sediments and areas with a somewhat higher sand component than might be expected are mainly in proximity to reefs, which are sources of carbonate sands. The 95th percentile estimates indicate that the existing dredged material placement site will tend to remain more sheltered compared with other ports but might experience shear-stress levels that would mobilise recently deposited sediments up to fine sand. However, locations within a few kilometres of the site, to both the east and west, are indicated to typically experience lower shear-stress which should be retentive for recently deposited sediments larger than coarse silt. " title="Figure 44. Percentage clay-silt (upper image) and sand (lower image) content in surface sediments within 50 km from the Port of Cairns.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_Exchange\delete\Revised\Cairns_%Mud.pn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396865" cy="3022343"/>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5945E468" wp14:editId="695850CE">
            <wp:extent cx="5396865" cy="3270250"/>
            <wp:effectExtent l="0" t="0" r="0" b="0"/>
            <wp:docPr id="37" name="Picture 37" descr="Figure 44 shows sediment mapping is consistent with the shear-stress modelling; with majority of the consisting of clay-silt sediments and areas with a somewhat higher sand component than might be expected are mainly in proximity to reefs, which are sources of carbonate sands. The 95th percentile estimates indicate that the existing dredged material placement site will tend to remain more sheltered compared with other ports but might experience shear-stress levels that would mobilise recently deposited sediments up to fine sand. However, locations within a few kilometres of the site, to both the east and west, are indicated to typically experience lower shear-stress which should be retentive for recently deposited sediments larger than coarse silt. " title="Figure 44. Percentage clay-silt (upper image) and sand (lower image) content in surface sediments within 50 km from the Port of Cairns.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_Exchange\delete\Revised\Cairns_%Sand.pn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p>
    <w:p w:rsidR="007A1B07" w:rsidRPr="007D6EB4" w:rsidRDefault="007A1B07" w:rsidP="00EC0510">
      <w:pPr>
        <w:pStyle w:val="Caption"/>
        <w:spacing w:line="240" w:lineRule="auto"/>
        <w:ind w:left="480" w:hanging="480"/>
        <w:jc w:val="left"/>
        <w:rPr>
          <w:lang w:val="en-AU" w:eastAsia="en-AU"/>
        </w:rPr>
      </w:pPr>
      <w:bookmarkStart w:id="151" w:name="_Ref338666656"/>
      <w:bookmarkStart w:id="152" w:name="_Toc361651527"/>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44</w:t>
      </w:r>
      <w:r w:rsidR="005F6FF5" w:rsidRPr="007D6EB4">
        <w:rPr>
          <w:b/>
          <w:lang w:val="en-AU"/>
        </w:rPr>
        <w:fldChar w:fldCharType="end"/>
      </w:r>
      <w:bookmarkEnd w:id="151"/>
      <w:r w:rsidR="00E5277F">
        <w:rPr>
          <w:lang w:val="en-AU"/>
        </w:rPr>
        <w:t>.</w:t>
      </w:r>
      <w:r w:rsidRPr="007D6EB4">
        <w:rPr>
          <w:lang w:val="en-AU"/>
        </w:rPr>
        <w:t xml:space="preserve"> Percentage </w:t>
      </w:r>
      <w:r w:rsidR="00B271C6">
        <w:rPr>
          <w:lang w:val="en-AU"/>
        </w:rPr>
        <w:t>clay-silt</w:t>
      </w:r>
      <w:r w:rsidRPr="007D6EB4">
        <w:rPr>
          <w:lang w:val="en-AU"/>
        </w:rPr>
        <w:t xml:space="preserve"> (upper image) and sand (lower image) content in surface sediments within 50 km from the Port of Cairns (</w:t>
      </w:r>
      <w:r w:rsidR="002C3746" w:rsidRPr="007D6EB4">
        <w:rPr>
          <w:lang w:val="en-AU"/>
        </w:rPr>
        <w:t>source: Geoscience</w:t>
      </w:r>
      <w:r w:rsidRPr="007D6EB4">
        <w:rPr>
          <w:lang w:val="en-AU"/>
        </w:rPr>
        <w:t xml:space="preserve"> Australia marine samples database 2007).</w:t>
      </w:r>
      <w:bookmarkEnd w:id="152"/>
    </w:p>
    <w:p w:rsidR="007A1B07" w:rsidRPr="007D6EB4" w:rsidRDefault="007A1B07" w:rsidP="00617543">
      <w:pPr>
        <w:pStyle w:val="Para0"/>
        <w:rPr>
          <w:lang w:val="en-AU"/>
        </w:rPr>
      </w:pPr>
    </w:p>
    <w:p w:rsidR="00900982" w:rsidRPr="007D6EB4" w:rsidRDefault="00900982" w:rsidP="00E46224">
      <w:pPr>
        <w:pStyle w:val="Heading2"/>
      </w:pPr>
      <w:bookmarkStart w:id="153" w:name="_Toc361929996"/>
      <w:r w:rsidRPr="007D6EB4">
        <w:t>Port of Cooktown</w:t>
      </w:r>
      <w:bookmarkEnd w:id="153"/>
    </w:p>
    <w:p w:rsidR="001C5FFB" w:rsidRDefault="00693B03" w:rsidP="00A6519A">
      <w:pPr>
        <w:spacing w:line="240" w:lineRule="auto"/>
        <w:jc w:val="left"/>
        <w:rPr>
          <w:lang w:val="en-AU"/>
        </w:rPr>
      </w:pPr>
      <w:r>
        <w:fldChar w:fldCharType="begin"/>
      </w:r>
      <w:r>
        <w:instrText xml:space="preserve"> REF _Ref338666875 \h  \* MERGEFORMAT </w:instrText>
      </w:r>
      <w:r>
        <w:fldChar w:fldCharType="separate"/>
      </w:r>
      <w:r w:rsidR="00751BC4" w:rsidRPr="00751BC4">
        <w:rPr>
          <w:lang w:val="en-AU"/>
        </w:rPr>
        <w:t xml:space="preserve">Figure </w:t>
      </w:r>
      <w:r w:rsidR="00751BC4" w:rsidRPr="00751BC4">
        <w:rPr>
          <w:noProof/>
          <w:lang w:val="en-AU"/>
        </w:rPr>
        <w:t>45</w:t>
      </w:r>
      <w:r>
        <w:fldChar w:fldCharType="end"/>
      </w:r>
      <w:r w:rsidR="00900982" w:rsidRPr="007D6EB4">
        <w:rPr>
          <w:lang w:val="en-AU"/>
        </w:rPr>
        <w:t xml:space="preserve"> shows the distribution of the estimated </w:t>
      </w:r>
      <w:r w:rsidR="00F7576C">
        <w:rPr>
          <w:lang w:val="en-AU"/>
        </w:rPr>
        <w:t>shear-stress</w:t>
      </w:r>
      <w:r w:rsidR="00900982" w:rsidRPr="007D6EB4">
        <w:rPr>
          <w:lang w:val="en-AU"/>
        </w:rPr>
        <w:t xml:space="preserve"> at the seabed based on 50</w:t>
      </w:r>
      <w:r w:rsidR="00900982" w:rsidRPr="007D6EB4">
        <w:rPr>
          <w:vertAlign w:val="superscript"/>
          <w:lang w:val="en-AU"/>
        </w:rPr>
        <w:t>th</w:t>
      </w:r>
      <w:r w:rsidR="00900982" w:rsidRPr="007D6EB4">
        <w:rPr>
          <w:lang w:val="en-AU"/>
        </w:rPr>
        <w:t xml:space="preserve"> and 95</w:t>
      </w:r>
      <w:r w:rsidR="00900982" w:rsidRPr="007D6EB4">
        <w:rPr>
          <w:vertAlign w:val="superscript"/>
          <w:lang w:val="en-AU"/>
        </w:rPr>
        <w:t>th</w:t>
      </w:r>
      <w:r w:rsidR="00900982" w:rsidRPr="007D6EB4">
        <w:rPr>
          <w:lang w:val="en-AU"/>
        </w:rPr>
        <w:t xml:space="preserve"> percentile calculations within 50 km from the Port of Cooktown.</w:t>
      </w:r>
      <w:r w:rsidR="0043422D">
        <w:rPr>
          <w:lang w:val="en-AU"/>
        </w:rPr>
        <w:t xml:space="preserve"> </w:t>
      </w:r>
      <w:r w:rsidR="005416E9">
        <w:rPr>
          <w:rFonts w:cs="Arial"/>
          <w:lang w:val="en-AU" w:eastAsia="en-AU"/>
        </w:rPr>
        <w:t xml:space="preserve">Similar to the Cairns study region, bed shear-stress modelling predicts relatively low sediment mobility within the Cooktown study area, with shear-stress sufficient only to mobilise unconsolidated clays along much of the immediate coastline, grading into shear-stresses sufficient to potentially mobilise fine and coarse silts moving offshore. Offshore reef-associated areas have predicted </w:t>
      </w:r>
      <w:r w:rsidR="003510FE">
        <w:rPr>
          <w:rFonts w:cs="Arial"/>
          <w:lang w:val="en-AU" w:eastAsia="en-AU"/>
        </w:rPr>
        <w:t>shear-stress</w:t>
      </w:r>
      <w:r w:rsidR="005416E9">
        <w:rPr>
          <w:rFonts w:cs="Arial"/>
          <w:lang w:val="en-AU" w:eastAsia="en-AU"/>
        </w:rPr>
        <w:t xml:space="preserve">es sufficient to mobilise coarse sands </w:t>
      </w:r>
      <w:r w:rsidR="005416E9" w:rsidRPr="006B5BBA">
        <w:rPr>
          <w:rFonts w:cs="Arial"/>
          <w:lang w:val="en-AU" w:eastAsia="en-AU"/>
        </w:rPr>
        <w:t>(</w:t>
      </w:r>
      <w:r w:rsidR="006B5BBA" w:rsidRPr="006B5BBA">
        <w:fldChar w:fldCharType="begin"/>
      </w:r>
      <w:r w:rsidR="006B5BBA" w:rsidRPr="006B5BBA">
        <w:instrText xml:space="preserve"> REF  _Ref338666875 \* Lower \h  \* MERGEFORMAT </w:instrText>
      </w:r>
      <w:r w:rsidR="006B5BBA" w:rsidRPr="006B5BBA">
        <w:fldChar w:fldCharType="separate"/>
      </w:r>
      <w:r w:rsidR="00751BC4" w:rsidRPr="00751BC4">
        <w:rPr>
          <w:lang w:val="en-AU"/>
        </w:rPr>
        <w:t xml:space="preserve">figure </w:t>
      </w:r>
      <w:r w:rsidR="00751BC4" w:rsidRPr="00751BC4">
        <w:rPr>
          <w:noProof/>
          <w:lang w:val="en-AU"/>
        </w:rPr>
        <w:t>45</w:t>
      </w:r>
      <w:r w:rsidR="006B5BBA" w:rsidRPr="006B5BBA">
        <w:fldChar w:fldCharType="end"/>
      </w:r>
      <w:r w:rsidR="005416E9">
        <w:rPr>
          <w:rFonts w:cs="Arial"/>
          <w:lang w:val="en-AU" w:eastAsia="en-AU"/>
        </w:rPr>
        <w:t>).</w:t>
      </w:r>
    </w:p>
    <w:p w:rsidR="000F7F2E" w:rsidRDefault="000F7F2E" w:rsidP="00A6519A">
      <w:pPr>
        <w:spacing w:line="240" w:lineRule="auto"/>
        <w:jc w:val="left"/>
        <w:rPr>
          <w:lang w:val="en-AU"/>
        </w:rPr>
      </w:pPr>
      <w:r w:rsidRPr="00290BDB">
        <w:rPr>
          <w:lang w:val="en-AU"/>
        </w:rPr>
        <w:lastRenderedPageBreak/>
        <w:t xml:space="preserve">Sediment mapping by Geoscience Australia is consistent with the shear-stress modelling; </w:t>
      </w:r>
      <w:r>
        <w:rPr>
          <w:lang w:val="en-AU"/>
        </w:rPr>
        <w:t xml:space="preserve">with majority of the </w:t>
      </w:r>
      <w:r w:rsidR="00DC3D2F">
        <w:rPr>
          <w:lang w:val="en-AU"/>
        </w:rPr>
        <w:t xml:space="preserve">sediments </w:t>
      </w:r>
      <w:r>
        <w:rPr>
          <w:lang w:val="en-AU"/>
        </w:rPr>
        <w:t>consisting of clay-silt</w:t>
      </w:r>
      <w:r w:rsidR="00DC3D2F">
        <w:rPr>
          <w:lang w:val="en-AU"/>
        </w:rPr>
        <w:t>s</w:t>
      </w:r>
      <w:r>
        <w:rPr>
          <w:lang w:val="en-AU"/>
        </w:rPr>
        <w:t xml:space="preserve"> </w:t>
      </w:r>
      <w:r w:rsidRPr="007D6EB4">
        <w:rPr>
          <w:rFonts w:cs="Arial"/>
          <w:lang w:val="en-AU"/>
        </w:rPr>
        <w:t>(</w:t>
      </w:r>
      <w:r w:rsidR="006B5BBA" w:rsidRPr="006B5BBA">
        <w:fldChar w:fldCharType="begin"/>
      </w:r>
      <w:r w:rsidR="006B5BBA" w:rsidRPr="006B5BBA">
        <w:instrText xml:space="preserve"> REF  _Ref338668147 \* Lower \h  \* MERGEFORMAT </w:instrText>
      </w:r>
      <w:r w:rsidR="006B5BBA" w:rsidRPr="006B5BBA">
        <w:fldChar w:fldCharType="separate"/>
      </w:r>
      <w:r w:rsidR="00751BC4" w:rsidRPr="00751BC4">
        <w:rPr>
          <w:lang w:val="en-AU"/>
        </w:rPr>
        <w:t xml:space="preserve">figure </w:t>
      </w:r>
      <w:r w:rsidR="00751BC4" w:rsidRPr="00751BC4">
        <w:rPr>
          <w:noProof/>
          <w:lang w:val="en-AU"/>
        </w:rPr>
        <w:t>46</w:t>
      </w:r>
      <w:r w:rsidR="006B5BBA" w:rsidRPr="006B5BBA">
        <w:fldChar w:fldCharType="end"/>
      </w:r>
      <w:r w:rsidRPr="007D6EB4">
        <w:rPr>
          <w:rFonts w:cs="Arial"/>
          <w:lang w:val="en-AU"/>
        </w:rPr>
        <w:t>)</w:t>
      </w:r>
      <w:r>
        <w:rPr>
          <w:rFonts w:cs="Arial"/>
          <w:lang w:val="en-AU"/>
        </w:rPr>
        <w:t>.</w:t>
      </w:r>
      <w:r w:rsidRPr="00290BDB">
        <w:rPr>
          <w:lang w:val="en-AU"/>
        </w:rPr>
        <w:t xml:space="preserve"> </w:t>
      </w:r>
    </w:p>
    <w:p w:rsidR="0073141D" w:rsidRDefault="00900982">
      <w:pPr>
        <w:spacing w:after="0" w:line="240" w:lineRule="auto"/>
        <w:jc w:val="left"/>
        <w:rPr>
          <w:lang w:val="en-AU"/>
        </w:rPr>
      </w:pPr>
      <w:r w:rsidRPr="007D6EB4">
        <w:rPr>
          <w:lang w:val="en-AU"/>
        </w:rPr>
        <w:t>The 95</w:t>
      </w:r>
      <w:r w:rsidRPr="007D6EB4">
        <w:rPr>
          <w:vertAlign w:val="superscript"/>
          <w:lang w:val="en-AU"/>
        </w:rPr>
        <w:t>th</w:t>
      </w:r>
      <w:r w:rsidRPr="007D6EB4">
        <w:rPr>
          <w:lang w:val="en-AU"/>
        </w:rPr>
        <w:t xml:space="preserve"> percentile estimates indicate that the inshore margin tends to remain sheltered from the more extreme </w:t>
      </w:r>
      <w:r w:rsidR="00F7576C">
        <w:rPr>
          <w:lang w:val="en-AU"/>
        </w:rPr>
        <w:t>shear-stress</w:t>
      </w:r>
      <w:r w:rsidRPr="007D6EB4">
        <w:rPr>
          <w:lang w:val="en-AU"/>
        </w:rPr>
        <w:t xml:space="preserve"> levels during periodic storms and thus are indicated to remain retentive.</w:t>
      </w:r>
      <w:r w:rsidR="0073141D">
        <w:rPr>
          <w:lang w:val="en-AU"/>
        </w:rPr>
        <w:br w:type="page"/>
      </w:r>
    </w:p>
    <w:p w:rsidR="00C41728" w:rsidRPr="007D6EB4" w:rsidRDefault="008A5C18" w:rsidP="00617543">
      <w:pPr>
        <w:pStyle w:val="Para0"/>
        <w:spacing w:before="0"/>
        <w:rPr>
          <w:lang w:val="en-AU"/>
        </w:rPr>
      </w:pPr>
      <w:r>
        <w:rPr>
          <w:noProof/>
          <w:lang w:val="en-AU" w:eastAsia="en-AU"/>
        </w:rPr>
        <w:lastRenderedPageBreak/>
        <w:drawing>
          <wp:inline distT="0" distB="0" distL="0" distR="0" wp14:anchorId="7C20E5AB" wp14:editId="1517D479">
            <wp:extent cx="5353050" cy="3238500"/>
            <wp:effectExtent l="19050" t="19050" r="0" b="0"/>
            <wp:docPr id="144" name="Picture 144" descr="Figure 45 shows the distribution of the estimated shear-stress at the seabed based on 50th and 95th percentile calculations within 50 km from the Port of Cooktown. Similar to the Cairns study region, bed shear-stress modelling predicts relatively low sediment mobility within the Cooktown study area, with shear-stress sufficient only to mobilise unconsolidated clays along much of the immediate coastline, grading into shear-stresses sufficient to potentially mobilise fine and coarse silts moving offshore. Offshore reef-associated areas have predicted shear-stresses sufficient to mobilise coarse sands." title="Figure 45. Distribution of the 50th (upper image) and 95th (lower image) percentile bed shear-stress estimates within 50 km from the Port of Cooktown.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Q:\Projects\Q0110 GBRMPA-SKM QLD disposal site selection\8. Figures\Bed_Shear_Stress_Final_Maps\Cooktown_Bed shear_50th Perc.pn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r>
        <w:rPr>
          <w:noProof/>
          <w:lang w:val="en-AU" w:eastAsia="en-AU"/>
        </w:rPr>
        <w:drawing>
          <wp:inline distT="0" distB="0" distL="0" distR="0" wp14:anchorId="4E3EE978" wp14:editId="5E8F6D52">
            <wp:extent cx="5353050" cy="3133725"/>
            <wp:effectExtent l="19050" t="19050" r="19050" b="28575"/>
            <wp:docPr id="145" name="Picture 145" descr="Figure 45 shows the distribution of the estimated shear-stress at the seabed based on 50th and 95th percentile calculations within 50 km from the Port of Cooktown. Similar to the Cairns study region, bed shear-stress modelling predicts relatively low sediment mobility within the Cooktown study area, with shear-stress sufficient only to mobilise unconsolidated clays along much of the immediate coastline, grading into shear-stresses sufficient to potentially mobilise fine and coarse silts moving offshore. Offshore reef-associated areas have predicted shear-stresses sufficient to mobilise coarse sands." title="Figure 45. Distribution of the 50th (upper image) and 95th (lower image) percentile bed shear-stress estimates within 50 km from the Port of Cooktown.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Q:\Projects\Q0110 GBRMPA-SKM QLD disposal site selection\8. Figures\Bed_Shear_Stress_Final_Maps\Cooktown_Bed shear_95th Perc.pn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353050" cy="3133725"/>
                    </a:xfrm>
                    <a:prstGeom prst="rect">
                      <a:avLst/>
                    </a:prstGeom>
                    <a:noFill/>
                    <a:ln>
                      <a:solidFill>
                        <a:schemeClr val="tx1"/>
                      </a:solidFill>
                    </a:ln>
                  </pic:spPr>
                </pic:pic>
              </a:graphicData>
            </a:graphic>
          </wp:inline>
        </w:drawing>
      </w:r>
    </w:p>
    <w:p w:rsidR="00900982" w:rsidRPr="007D6EB4" w:rsidRDefault="00900982" w:rsidP="00617543">
      <w:pPr>
        <w:pStyle w:val="Para0"/>
        <w:rPr>
          <w:lang w:val="en-AU"/>
        </w:rPr>
      </w:pPr>
      <w:bookmarkStart w:id="154" w:name="_Ref338666875"/>
      <w:bookmarkStart w:id="155" w:name="_Toc361651528"/>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45</w:t>
      </w:r>
      <w:r w:rsidR="005F6FF5" w:rsidRPr="007D6EB4">
        <w:rPr>
          <w:b/>
          <w:lang w:val="en-AU"/>
        </w:rPr>
        <w:fldChar w:fldCharType="end"/>
      </w:r>
      <w:bookmarkEnd w:id="154"/>
      <w:r w:rsidR="00E5277F">
        <w:rPr>
          <w:lang w:val="en-AU"/>
        </w:rPr>
        <w:t>.</w:t>
      </w:r>
      <w:r w:rsidRPr="007D6EB4">
        <w:rPr>
          <w:lang w:val="en-AU"/>
        </w:rPr>
        <w:t xml:space="preserve"> Distribution of the 50</w:t>
      </w:r>
      <w:r w:rsidRPr="007D6EB4">
        <w:rPr>
          <w:vertAlign w:val="superscript"/>
          <w:lang w:val="en-AU"/>
        </w:rPr>
        <w:t>th</w:t>
      </w:r>
      <w:r w:rsidRPr="007D6EB4">
        <w:rPr>
          <w:lang w:val="en-AU"/>
        </w:rPr>
        <w:t xml:space="preserve"> (upper image)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the Port of Cooktown.</w:t>
      </w:r>
      <w:r w:rsidR="0043422D">
        <w:rPr>
          <w:lang w:val="en-AU"/>
        </w:rPr>
        <w:t xml:space="preserve"> </w:t>
      </w:r>
      <w:r w:rsidRPr="007D6EB4">
        <w:rPr>
          <w:lang w:val="en-AU"/>
        </w:rPr>
        <w:t xml:space="preserve">The estimates were </w:t>
      </w:r>
      <w:r w:rsidRPr="007D6EB4">
        <w:rPr>
          <w:lang w:val="en-AU" w:eastAsia="en-AU"/>
        </w:rPr>
        <w:t xml:space="preserve">calculated at hourly steps for each grid cell during 2011 current and wave conditions. </w:t>
      </w:r>
      <w:r w:rsidRPr="007D6EB4">
        <w:rPr>
          <w:lang w:val="en-AU"/>
        </w:rPr>
        <w:t xml:space="preserve">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155"/>
    </w:p>
    <w:p w:rsidR="00900982" w:rsidRPr="007D6EB4" w:rsidRDefault="000F7F2E" w:rsidP="00617543">
      <w:pPr>
        <w:pStyle w:val="Para0"/>
        <w:spacing w:before="0"/>
        <w:rPr>
          <w:lang w:val="en-AU"/>
        </w:rPr>
      </w:pPr>
      <w:r w:rsidRPr="006A22FE">
        <w:rPr>
          <w:noProof/>
          <w:bdr w:val="single" w:sz="4" w:space="0" w:color="auto"/>
          <w:lang w:val="en-AU" w:eastAsia="en-AU"/>
        </w:rPr>
        <w:lastRenderedPageBreak/>
        <w:drawing>
          <wp:inline distT="0" distB="0" distL="0" distR="0" wp14:anchorId="3F61BCA1" wp14:editId="238E3E2A">
            <wp:extent cx="5396865" cy="3270250"/>
            <wp:effectExtent l="0" t="0" r="0" b="0"/>
            <wp:docPr id="55" name="Picture 55" descr="Figure 46 shows that sediment mapping is consistent with the shear-stress modelling; with majority of the sediments consisting of clay-silts.The 95th percentile estimates indicate that the inshore margin tends to remain sheltered from the more extreme shear-stress levels during periodic storms and thus are indicated to remain retentiv" title="Figure 46. Percentage clay-silt (upper image) and sand (lower image) content in surface sediments within 50 km from the Port of Cooktown.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_Exchange\delete\Revised\Cooktown_%Mud.pn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22F38449" wp14:editId="7326B2BE">
            <wp:extent cx="5396865" cy="3270250"/>
            <wp:effectExtent l="0" t="0" r="0" b="0"/>
            <wp:docPr id="54" name="Picture 54" descr="Figure 46 shows that sediment mapping is consistent with the shear-stress modelling; with majority of the sediments consisting of clay-silts.The 95th percentile estimates indicate that the inshore margin tends to remain sheltered from the more extreme shear-stress levels during periodic storms and thus are indicated to remain retentiv" title="Figure 46. Percentage clay-silt (upper image) and sand (lower image) content in surface sediments within 50 km from the Port of Cooktown.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_Exchange\delete\Revised\Cooktown_%Sand.png"/>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p>
    <w:p w:rsidR="00900982" w:rsidRPr="007D6EB4" w:rsidRDefault="00900982" w:rsidP="00EC0510">
      <w:pPr>
        <w:pStyle w:val="Caption"/>
        <w:spacing w:line="240" w:lineRule="auto"/>
        <w:ind w:left="480" w:hanging="480"/>
        <w:jc w:val="left"/>
        <w:rPr>
          <w:lang w:val="en-AU" w:eastAsia="en-AU"/>
        </w:rPr>
      </w:pPr>
      <w:bookmarkStart w:id="156" w:name="_Ref338668147"/>
      <w:bookmarkStart w:id="157" w:name="_Toc361651529"/>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46</w:t>
      </w:r>
      <w:r w:rsidR="005F6FF5" w:rsidRPr="007D6EB4">
        <w:rPr>
          <w:b/>
          <w:lang w:val="en-AU"/>
        </w:rPr>
        <w:fldChar w:fldCharType="end"/>
      </w:r>
      <w:bookmarkEnd w:id="156"/>
      <w:r w:rsidR="00E5277F">
        <w:rPr>
          <w:lang w:val="en-AU"/>
        </w:rPr>
        <w:t>.</w:t>
      </w:r>
      <w:r w:rsidRPr="007D6EB4">
        <w:rPr>
          <w:lang w:val="en-AU"/>
        </w:rPr>
        <w:t xml:space="preserve"> Percentage </w:t>
      </w:r>
      <w:r w:rsidR="00B271C6">
        <w:rPr>
          <w:lang w:val="en-AU"/>
        </w:rPr>
        <w:t>clay-silt</w:t>
      </w:r>
      <w:r w:rsidRPr="007D6EB4">
        <w:rPr>
          <w:lang w:val="en-AU"/>
        </w:rPr>
        <w:t xml:space="preserve"> (upper image) and sand (lower image) content in surface sediments within 50 km from the Port of Cooktown (</w:t>
      </w:r>
      <w:r w:rsidR="002C3746" w:rsidRPr="007D6EB4">
        <w:rPr>
          <w:lang w:val="en-AU"/>
        </w:rPr>
        <w:t>source: Geoscience</w:t>
      </w:r>
      <w:r w:rsidRPr="007D6EB4">
        <w:rPr>
          <w:lang w:val="en-AU"/>
        </w:rPr>
        <w:t xml:space="preserve"> Australia marine samples database 2007).</w:t>
      </w:r>
      <w:bookmarkEnd w:id="157"/>
    </w:p>
    <w:p w:rsidR="00900982" w:rsidRPr="007D6EB4" w:rsidRDefault="00900982" w:rsidP="00617543">
      <w:pPr>
        <w:pStyle w:val="Para0"/>
        <w:rPr>
          <w:lang w:val="en-AU"/>
        </w:rPr>
      </w:pPr>
    </w:p>
    <w:p w:rsidR="00900982" w:rsidRPr="007D6EB4" w:rsidRDefault="00900982" w:rsidP="00E46224">
      <w:pPr>
        <w:pStyle w:val="Heading2"/>
      </w:pPr>
      <w:bookmarkStart w:id="158" w:name="_Toc361929997"/>
      <w:r w:rsidRPr="007D6EB4">
        <w:t>Port of Cape Flattery</w:t>
      </w:r>
      <w:bookmarkEnd w:id="158"/>
    </w:p>
    <w:p w:rsidR="00900982" w:rsidRPr="007D6EB4" w:rsidRDefault="00693B03" w:rsidP="00EC0510">
      <w:pPr>
        <w:pStyle w:val="StyleLeft"/>
        <w:rPr>
          <w:color w:val="auto"/>
          <w:lang w:val="en-AU"/>
        </w:rPr>
      </w:pPr>
      <w:r>
        <w:fldChar w:fldCharType="begin"/>
      </w:r>
      <w:r>
        <w:instrText xml:space="preserve"> REF _Ref338668315 \h  \* MERGEFORMAT </w:instrText>
      </w:r>
      <w:r>
        <w:fldChar w:fldCharType="separate"/>
      </w:r>
      <w:r w:rsidR="00751BC4" w:rsidRPr="00751BC4">
        <w:rPr>
          <w:lang w:val="en-AU"/>
        </w:rPr>
        <w:t xml:space="preserve">Figure </w:t>
      </w:r>
      <w:r w:rsidR="00751BC4" w:rsidRPr="00751BC4">
        <w:rPr>
          <w:noProof/>
          <w:lang w:val="en-AU"/>
        </w:rPr>
        <w:t>47</w:t>
      </w:r>
      <w:r>
        <w:fldChar w:fldCharType="end"/>
      </w:r>
      <w:r w:rsidR="00900982" w:rsidRPr="007D6EB4">
        <w:rPr>
          <w:color w:val="FF0000"/>
          <w:lang w:val="en-AU"/>
        </w:rPr>
        <w:t xml:space="preserve"> </w:t>
      </w:r>
      <w:r w:rsidR="00900982" w:rsidRPr="007D6EB4">
        <w:rPr>
          <w:color w:val="auto"/>
          <w:lang w:val="en-AU"/>
        </w:rPr>
        <w:t xml:space="preserve">shows the distribution of the estimated </w:t>
      </w:r>
      <w:r w:rsidR="00F7576C">
        <w:rPr>
          <w:color w:val="auto"/>
          <w:lang w:val="en-AU"/>
        </w:rPr>
        <w:t>shear-stress</w:t>
      </w:r>
      <w:r w:rsidR="00900982" w:rsidRPr="007D6EB4">
        <w:rPr>
          <w:color w:val="auto"/>
          <w:lang w:val="en-AU"/>
        </w:rPr>
        <w:t xml:space="preserve"> at the seabed based on 50</w:t>
      </w:r>
      <w:r w:rsidR="00900982" w:rsidRPr="007D6EB4">
        <w:rPr>
          <w:color w:val="auto"/>
          <w:vertAlign w:val="superscript"/>
          <w:lang w:val="en-AU"/>
        </w:rPr>
        <w:t>th</w:t>
      </w:r>
      <w:r w:rsidR="00900982" w:rsidRPr="007D6EB4">
        <w:rPr>
          <w:color w:val="auto"/>
          <w:lang w:val="en-AU"/>
        </w:rPr>
        <w:t xml:space="preserve"> and 95</w:t>
      </w:r>
      <w:r w:rsidR="00900982" w:rsidRPr="007D6EB4">
        <w:rPr>
          <w:color w:val="auto"/>
          <w:vertAlign w:val="superscript"/>
          <w:lang w:val="en-AU"/>
        </w:rPr>
        <w:t>th</w:t>
      </w:r>
      <w:r w:rsidR="00900982" w:rsidRPr="007D6EB4">
        <w:rPr>
          <w:color w:val="auto"/>
          <w:lang w:val="en-AU"/>
        </w:rPr>
        <w:t xml:space="preserve"> percentile calculations within 50 km from the Port of Cape Flattery. </w:t>
      </w:r>
      <w:r w:rsidR="000F7F2E">
        <w:rPr>
          <w:color w:val="auto"/>
          <w:lang w:val="en-AU"/>
        </w:rPr>
        <w:t xml:space="preserve">In general, the model results indicate </w:t>
      </w:r>
      <w:r w:rsidR="000F7F2E">
        <w:rPr>
          <w:rFonts w:cs="Arial"/>
        </w:rPr>
        <w:t>a low-energetic retentive environment under average (50</w:t>
      </w:r>
      <w:r w:rsidR="000F7F2E" w:rsidRPr="005B5490">
        <w:rPr>
          <w:rFonts w:cs="Arial"/>
          <w:vertAlign w:val="superscript"/>
        </w:rPr>
        <w:t>th</w:t>
      </w:r>
      <w:r w:rsidR="000F7F2E">
        <w:rPr>
          <w:rFonts w:cs="Arial"/>
        </w:rPr>
        <w:t xml:space="preserve"> percentile) conditions. The majority of the study region is predicted to have stress values sufficient to mobilise unconsolidated clays along immediate near-shore regions and fine and coarse silts in adjacent waters.</w:t>
      </w:r>
    </w:p>
    <w:p w:rsidR="00900982" w:rsidRPr="007D6EB4" w:rsidRDefault="00DC3D2F" w:rsidP="00EC0510">
      <w:pPr>
        <w:pStyle w:val="StyleLeft"/>
        <w:rPr>
          <w:color w:val="auto"/>
          <w:szCs w:val="22"/>
          <w:lang w:val="en-AU"/>
        </w:rPr>
      </w:pPr>
      <w:r w:rsidRPr="00290BDB">
        <w:rPr>
          <w:lang w:val="en-AU"/>
        </w:rPr>
        <w:lastRenderedPageBreak/>
        <w:t xml:space="preserve">Sediment mapping by Geoscience Australia is consistent with the shear-stress modelling; </w:t>
      </w:r>
      <w:r>
        <w:rPr>
          <w:lang w:val="en-AU"/>
        </w:rPr>
        <w:t xml:space="preserve">with majority of the sediments consisting of clay-silts north of Cape Flattery </w:t>
      </w:r>
      <w:r w:rsidR="006B5BBA" w:rsidRPr="006B5BBA">
        <w:fldChar w:fldCharType="begin"/>
      </w:r>
      <w:r w:rsidR="006B5BBA" w:rsidRPr="006B5BBA">
        <w:instrText xml:space="preserve"> REF  _Ref338671711 \* Lower \h  \* MERGEFORMAT </w:instrText>
      </w:r>
      <w:r w:rsidR="006B5BBA" w:rsidRPr="006B5BBA">
        <w:fldChar w:fldCharType="separate"/>
      </w:r>
      <w:r w:rsidR="00751BC4" w:rsidRPr="00751BC4">
        <w:rPr>
          <w:lang w:val="en-AU"/>
        </w:rPr>
        <w:t xml:space="preserve">figure </w:t>
      </w:r>
      <w:r w:rsidR="00751BC4" w:rsidRPr="00751BC4">
        <w:rPr>
          <w:noProof/>
          <w:lang w:val="en-AU"/>
        </w:rPr>
        <w:t>48</w:t>
      </w:r>
      <w:r w:rsidR="006B5BBA" w:rsidRPr="006B5BBA">
        <w:fldChar w:fldCharType="end"/>
      </w:r>
      <w:r>
        <w:rPr>
          <w:color w:val="auto"/>
          <w:szCs w:val="22"/>
          <w:lang w:val="en-AU"/>
        </w:rPr>
        <w:t>.</w:t>
      </w:r>
      <w:r w:rsidR="00900982" w:rsidRPr="007D6EB4">
        <w:rPr>
          <w:color w:val="auto"/>
          <w:szCs w:val="22"/>
          <w:lang w:val="en-AU"/>
        </w:rPr>
        <w:t xml:space="preserve"> </w:t>
      </w:r>
    </w:p>
    <w:p w:rsidR="001C5FFB" w:rsidRDefault="00AD337A" w:rsidP="00A6519A">
      <w:pPr>
        <w:spacing w:line="240" w:lineRule="auto"/>
        <w:jc w:val="left"/>
      </w:pPr>
      <w:r>
        <w:t>Even u</w:t>
      </w:r>
      <w:r w:rsidR="0027309C">
        <w:t>nder 95</w:t>
      </w:r>
      <w:r w:rsidR="0027309C" w:rsidRPr="005B5490">
        <w:rPr>
          <w:vertAlign w:val="superscript"/>
        </w:rPr>
        <w:t>th</w:t>
      </w:r>
      <w:r w:rsidR="0027309C">
        <w:t xml:space="preserve"> percentile conditions, the </w:t>
      </w:r>
      <w:r>
        <w:t xml:space="preserve">immediate coastal waters are still classed as retentive with predicted shear-stress values only great enough to mobile clays and silts. </w:t>
      </w:r>
    </w:p>
    <w:p w:rsidR="00900982" w:rsidRPr="007D6EB4" w:rsidRDefault="00C41728" w:rsidP="00617543">
      <w:pPr>
        <w:pStyle w:val="Para0"/>
        <w:spacing w:before="0"/>
        <w:rPr>
          <w:lang w:val="en-AU"/>
        </w:rPr>
      </w:pPr>
      <w:r>
        <w:rPr>
          <w:noProof/>
          <w:lang w:val="en-AU" w:eastAsia="en-AU"/>
        </w:rPr>
        <w:drawing>
          <wp:inline distT="0" distB="0" distL="0" distR="0" wp14:anchorId="2EA41524" wp14:editId="67CBD221">
            <wp:extent cx="5400675" cy="3267075"/>
            <wp:effectExtent l="19050" t="19050" r="9525" b="9525"/>
            <wp:docPr id="148" name="Picture 148" descr="Figure 47 shows the distribution of the estimated shear-stress at the seabed based on 50th and 95th percentile calculations within 50 km from the Port of Cape Flattery. In general, the model results indicate a low-energetic retentive environment under average (50th percentile) conditions. The majority of the study region is predicted to have stress values sufficient to mobilise unconsolidated clays along immediate near-shore regions and fine and coarse silts in adjacent waters." title="Figure 47. Distribution of the 50th (upper image) and 95th (lower image) percentile bed shear-stress estimates within 50 km from the Port of Cape Flattery.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Q:\Projects\Q0110 GBRMPA-SKM QLD disposal site selection\8. Figures\Bed_Shear_Stress_Final_Maps\Cape Flattery_Bed shear_50th Perc.pn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400675" cy="3267075"/>
                    </a:xfrm>
                    <a:prstGeom prst="rect">
                      <a:avLst/>
                    </a:prstGeom>
                    <a:noFill/>
                    <a:ln>
                      <a:solidFill>
                        <a:schemeClr val="tx1"/>
                      </a:solidFill>
                    </a:ln>
                  </pic:spPr>
                </pic:pic>
              </a:graphicData>
            </a:graphic>
          </wp:inline>
        </w:drawing>
      </w:r>
      <w:r>
        <w:rPr>
          <w:noProof/>
          <w:lang w:val="en-AU" w:eastAsia="en-AU"/>
        </w:rPr>
        <w:drawing>
          <wp:inline distT="0" distB="0" distL="0" distR="0" wp14:anchorId="114923D8" wp14:editId="3DF0BF81">
            <wp:extent cx="5400675" cy="3267075"/>
            <wp:effectExtent l="19050" t="19050" r="9525" b="9525"/>
            <wp:docPr id="149" name="Picture 149" descr="Figure 47 shows the distribution of the estimated shear-stress at the seabed based on 50th and 95th percentile calculations within 50 km from the Port of Cape Flattery. In general, the model results indicate a low-energetic retentive environment under average (50th percentile) conditions. The majority of the study region is predicted to have stress values sufficient to mobilise unconsolidated clays along immediate near-shore regions and fine and coarse silts in adjacent waters." title="Figure 47. Distribution of the 50th (upper image) and 95th (lower image) percentile bed shear-stress estimates within 50 km from the Port of Cape Flattery.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Q:\Projects\Q0110 GBRMPA-SKM QLD disposal site selection\8. Figures\Bed_Shear_Stress_Final_Maps\Cape Flattery_Bed shear_95th Perc.png"/>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400675" cy="3267075"/>
                    </a:xfrm>
                    <a:prstGeom prst="rect">
                      <a:avLst/>
                    </a:prstGeom>
                    <a:noFill/>
                    <a:ln>
                      <a:solidFill>
                        <a:schemeClr val="tx1"/>
                      </a:solidFill>
                    </a:ln>
                  </pic:spPr>
                </pic:pic>
              </a:graphicData>
            </a:graphic>
          </wp:inline>
        </w:drawing>
      </w:r>
    </w:p>
    <w:p w:rsidR="00900982" w:rsidRPr="007D6EB4" w:rsidRDefault="00900982" w:rsidP="00EC0510">
      <w:pPr>
        <w:pStyle w:val="Caption"/>
        <w:spacing w:line="240" w:lineRule="auto"/>
        <w:ind w:left="482" w:hanging="482"/>
        <w:jc w:val="left"/>
        <w:rPr>
          <w:b/>
          <w:lang w:val="en-AU" w:eastAsia="en-AU"/>
        </w:rPr>
      </w:pPr>
      <w:bookmarkStart w:id="159" w:name="_Ref338668315"/>
      <w:bookmarkStart w:id="160" w:name="_Toc361651530"/>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47</w:t>
      </w:r>
      <w:r w:rsidR="005F6FF5" w:rsidRPr="007D6EB4">
        <w:rPr>
          <w:b/>
          <w:lang w:val="en-AU"/>
        </w:rPr>
        <w:fldChar w:fldCharType="end"/>
      </w:r>
      <w:bookmarkEnd w:id="159"/>
      <w:r w:rsidR="00E5277F">
        <w:rPr>
          <w:lang w:val="en-AU"/>
        </w:rPr>
        <w:t>.</w:t>
      </w:r>
      <w:r w:rsidRPr="007D6EB4">
        <w:rPr>
          <w:lang w:val="en-AU"/>
        </w:rPr>
        <w:t xml:space="preserve"> Distribution of the 50</w:t>
      </w:r>
      <w:r w:rsidRPr="007D6EB4">
        <w:rPr>
          <w:vertAlign w:val="superscript"/>
          <w:lang w:val="en-AU"/>
        </w:rPr>
        <w:t>th</w:t>
      </w:r>
      <w:r w:rsidRPr="007D6EB4">
        <w:rPr>
          <w:lang w:val="en-AU"/>
        </w:rPr>
        <w:t xml:space="preserve"> (upper image)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the Port of Cape Flattery.</w:t>
      </w:r>
      <w:r w:rsidR="0043422D">
        <w:rPr>
          <w:lang w:val="en-AU"/>
        </w:rPr>
        <w:t xml:space="preserve"> </w:t>
      </w:r>
      <w:r w:rsidRPr="007D6EB4">
        <w:rPr>
          <w:lang w:val="en-AU"/>
        </w:rPr>
        <w:t xml:space="preserve">The estimates were </w:t>
      </w:r>
      <w:r w:rsidRPr="007D6EB4">
        <w:rPr>
          <w:lang w:val="en-AU" w:eastAsia="en-AU"/>
        </w:rPr>
        <w:t xml:space="preserve">calculated at hourly steps for each grid cell during 2011 current and wave conditions. </w:t>
      </w:r>
      <w:r w:rsidRPr="007D6EB4">
        <w:rPr>
          <w:lang w:val="en-AU"/>
        </w:rPr>
        <w:t xml:space="preserve">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160"/>
    </w:p>
    <w:p w:rsidR="00900982" w:rsidRPr="007D6EB4" w:rsidRDefault="00900982" w:rsidP="00617543">
      <w:pPr>
        <w:pStyle w:val="Para0"/>
        <w:rPr>
          <w:lang w:val="en-AU"/>
        </w:rPr>
      </w:pPr>
    </w:p>
    <w:p w:rsidR="00900982" w:rsidRPr="007D6EB4" w:rsidRDefault="00B271C6" w:rsidP="00617543">
      <w:pPr>
        <w:pStyle w:val="Para0"/>
        <w:rPr>
          <w:lang w:val="en-AU"/>
        </w:rPr>
      </w:pPr>
      <w:r w:rsidRPr="006A22FE">
        <w:rPr>
          <w:noProof/>
          <w:bdr w:val="single" w:sz="4" w:space="0" w:color="auto"/>
          <w:lang w:val="en-AU" w:eastAsia="en-AU"/>
        </w:rPr>
        <w:lastRenderedPageBreak/>
        <w:drawing>
          <wp:inline distT="0" distB="0" distL="0" distR="0" wp14:anchorId="57EF8DE1" wp14:editId="1C22DEA9">
            <wp:extent cx="5396865" cy="3270250"/>
            <wp:effectExtent l="0" t="0" r="0" b="0"/>
            <wp:docPr id="61" name="Picture 61" descr="Figure 48 shows sediment mapping is consistent with the shear-stress modelling; with majority of the sediments consisting of clay-silts north of Cape Flattery.Even under 95th percentile conditions, the immediate coastal waters are still classed as retentive with predicted shear-stress values only great enough to mobile clays and silts." title="Figure 48. Percentage clay-silt (upper image) and sand (lower image) content in surface sediments within 50 km from the Port of Cape Flattery.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_Exchange\delete\Revised\Cape Flattery_%Mud.png"/>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r w:rsidR="000F7F2E" w:rsidRPr="006A22FE">
        <w:rPr>
          <w:noProof/>
          <w:bdr w:val="single" w:sz="4" w:space="0" w:color="auto"/>
          <w:lang w:val="en-AU" w:eastAsia="en-AU"/>
        </w:rPr>
        <w:drawing>
          <wp:inline distT="0" distB="0" distL="0" distR="0" wp14:anchorId="00C4BEC8" wp14:editId="16D7B9C7">
            <wp:extent cx="5347335" cy="3240405"/>
            <wp:effectExtent l="0" t="0" r="0" b="0"/>
            <wp:docPr id="56" name="Picture 56" descr="Figure 48 shows sediment mapping is consistent with the shear-stress modelling; with majority of the sediments consisting of clay-silts north of Cape Flattery.Even under 95th percentile conditions, the immediate coastal waters are still classed as retentive with predicted shear-stress values only great enough to mobile clays and silts." title="Figure 48. Percentage clay-silt (upper image) and sand (lower image) content in surface sediments within 50 km from the Port of Cape Flattery.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_Exchange\delete\Revised\Cape Flattery_%Sand.pn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347335" cy="3240405"/>
                    </a:xfrm>
                    <a:prstGeom prst="rect">
                      <a:avLst/>
                    </a:prstGeom>
                    <a:noFill/>
                    <a:ln>
                      <a:noFill/>
                    </a:ln>
                  </pic:spPr>
                </pic:pic>
              </a:graphicData>
            </a:graphic>
          </wp:inline>
        </w:drawing>
      </w:r>
    </w:p>
    <w:p w:rsidR="00900982" w:rsidRPr="007D6EB4" w:rsidRDefault="00900982" w:rsidP="00EC0510">
      <w:pPr>
        <w:pStyle w:val="Caption"/>
        <w:spacing w:line="240" w:lineRule="auto"/>
        <w:ind w:left="480" w:hanging="480"/>
        <w:jc w:val="left"/>
        <w:rPr>
          <w:b/>
          <w:lang w:val="en-AU"/>
        </w:rPr>
      </w:pPr>
      <w:bookmarkStart w:id="161" w:name="_Ref338671711"/>
      <w:bookmarkStart w:id="162" w:name="_Toc361651531"/>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48</w:t>
      </w:r>
      <w:r w:rsidR="005F6FF5" w:rsidRPr="007D6EB4">
        <w:rPr>
          <w:b/>
          <w:lang w:val="en-AU"/>
        </w:rPr>
        <w:fldChar w:fldCharType="end"/>
      </w:r>
      <w:bookmarkEnd w:id="161"/>
      <w:r w:rsidR="00E5277F">
        <w:rPr>
          <w:lang w:val="en-AU"/>
        </w:rPr>
        <w:t>.</w:t>
      </w:r>
      <w:r w:rsidRPr="007D6EB4">
        <w:rPr>
          <w:lang w:val="en-AU"/>
        </w:rPr>
        <w:t xml:space="preserve"> Percentage </w:t>
      </w:r>
      <w:r w:rsidR="00B271C6">
        <w:rPr>
          <w:lang w:val="en-AU"/>
        </w:rPr>
        <w:t>clay-silt</w:t>
      </w:r>
      <w:r w:rsidRPr="007D6EB4">
        <w:rPr>
          <w:lang w:val="en-AU"/>
        </w:rPr>
        <w:t xml:space="preserve"> (upper image) and sand (lower image) content in surface sediments within 50 km from the Port of Cape Flattery (</w:t>
      </w:r>
      <w:r w:rsidR="002C3746" w:rsidRPr="007D6EB4">
        <w:rPr>
          <w:lang w:val="en-AU"/>
        </w:rPr>
        <w:t>source: Geoscience</w:t>
      </w:r>
      <w:r w:rsidRPr="007D6EB4">
        <w:rPr>
          <w:lang w:val="en-AU"/>
        </w:rPr>
        <w:t xml:space="preserve"> Australia marine samples database 2007).</w:t>
      </w:r>
      <w:bookmarkEnd w:id="162"/>
    </w:p>
    <w:p w:rsidR="00900982" w:rsidRPr="007D6EB4" w:rsidRDefault="00900982" w:rsidP="00617543">
      <w:pPr>
        <w:pStyle w:val="Para0"/>
        <w:rPr>
          <w:lang w:val="en-AU"/>
        </w:rPr>
      </w:pPr>
    </w:p>
    <w:p w:rsidR="00900982" w:rsidRPr="007D6EB4" w:rsidRDefault="00900982" w:rsidP="00E46224">
      <w:pPr>
        <w:pStyle w:val="Heading2"/>
      </w:pPr>
      <w:bookmarkStart w:id="163" w:name="_Toc361929998"/>
      <w:r w:rsidRPr="007D6EB4">
        <w:t>Port of Quintell Beach</w:t>
      </w:r>
      <w:bookmarkEnd w:id="163"/>
    </w:p>
    <w:p w:rsidR="00900982" w:rsidRPr="007D6EB4" w:rsidRDefault="00693B03" w:rsidP="00EC0510">
      <w:pPr>
        <w:pStyle w:val="Para0"/>
        <w:rPr>
          <w:lang w:val="en-AU"/>
        </w:rPr>
      </w:pPr>
      <w:r>
        <w:fldChar w:fldCharType="begin"/>
      </w:r>
      <w:r>
        <w:instrText xml:space="preserve"> REF _Ref338671783 \h  \* MERGEFORMAT </w:instrText>
      </w:r>
      <w:r>
        <w:fldChar w:fldCharType="separate"/>
      </w:r>
      <w:r w:rsidR="00751BC4" w:rsidRPr="00751BC4">
        <w:rPr>
          <w:lang w:val="en-AU"/>
        </w:rPr>
        <w:t xml:space="preserve">Figure </w:t>
      </w:r>
      <w:r w:rsidR="00751BC4" w:rsidRPr="00751BC4">
        <w:rPr>
          <w:noProof/>
          <w:lang w:val="en-AU"/>
        </w:rPr>
        <w:t>49</w:t>
      </w:r>
      <w:r>
        <w:fldChar w:fldCharType="end"/>
      </w:r>
      <w:r w:rsidR="00900982" w:rsidRPr="007D6EB4">
        <w:rPr>
          <w:lang w:val="en-AU"/>
        </w:rPr>
        <w:t xml:space="preserve"> shows the distribution of the estimated </w:t>
      </w:r>
      <w:r w:rsidR="00F7576C">
        <w:rPr>
          <w:lang w:val="en-AU"/>
        </w:rPr>
        <w:t>shear-stress</w:t>
      </w:r>
      <w:r w:rsidR="00900982" w:rsidRPr="007D6EB4">
        <w:rPr>
          <w:lang w:val="en-AU"/>
        </w:rPr>
        <w:t xml:space="preserve"> at the seabed based on 50</w:t>
      </w:r>
      <w:r w:rsidR="00900982" w:rsidRPr="007D6EB4">
        <w:rPr>
          <w:vertAlign w:val="superscript"/>
          <w:lang w:val="en-AU"/>
        </w:rPr>
        <w:t>th</w:t>
      </w:r>
      <w:r w:rsidR="00900982" w:rsidRPr="007D6EB4">
        <w:rPr>
          <w:lang w:val="en-AU"/>
        </w:rPr>
        <w:t xml:space="preserve"> and 95</w:t>
      </w:r>
      <w:r w:rsidR="00900982" w:rsidRPr="007D6EB4">
        <w:rPr>
          <w:vertAlign w:val="superscript"/>
          <w:lang w:val="en-AU"/>
        </w:rPr>
        <w:t>th</w:t>
      </w:r>
      <w:r w:rsidR="00900982" w:rsidRPr="007D6EB4">
        <w:rPr>
          <w:lang w:val="en-AU"/>
        </w:rPr>
        <w:t xml:space="preserve"> percentile calculations within 50 km from the Port of Quintell Beach.</w:t>
      </w:r>
    </w:p>
    <w:p w:rsidR="00900982" w:rsidRPr="007D6EB4" w:rsidRDefault="00DC3D2F" w:rsidP="00EC0510">
      <w:pPr>
        <w:pStyle w:val="Para0"/>
        <w:rPr>
          <w:lang w:val="en-AU"/>
        </w:rPr>
      </w:pPr>
      <w:r>
        <w:rPr>
          <w:lang w:val="en-AU"/>
        </w:rPr>
        <w:t xml:space="preserve">Similar to the Port of Cape Flattery, the model results for the Port of Quintell Beach indicate </w:t>
      </w:r>
      <w:r>
        <w:rPr>
          <w:rFonts w:cs="Arial"/>
        </w:rPr>
        <w:t>a low-energetic retentive environment under average (50</w:t>
      </w:r>
      <w:r w:rsidRPr="005B5490">
        <w:rPr>
          <w:rFonts w:cs="Arial"/>
          <w:vertAlign w:val="superscript"/>
        </w:rPr>
        <w:t>th</w:t>
      </w:r>
      <w:r>
        <w:rPr>
          <w:rFonts w:cs="Arial"/>
        </w:rPr>
        <w:t xml:space="preserve"> percentile) </w:t>
      </w:r>
      <w:r>
        <w:rPr>
          <w:rFonts w:cs="Arial"/>
        </w:rPr>
        <w:lastRenderedPageBreak/>
        <w:t xml:space="preserve">conditions, with stress values sufficient to mobilise unconsolidated clays along immediate near-shore regions and fine and coarse silts in adjacent waters. </w:t>
      </w:r>
    </w:p>
    <w:p w:rsidR="00DC3D2F" w:rsidRDefault="00DC3D2F" w:rsidP="00EC0510">
      <w:pPr>
        <w:pStyle w:val="Para0"/>
        <w:rPr>
          <w:lang w:val="en-AU"/>
        </w:rPr>
      </w:pPr>
      <w:r w:rsidRPr="00290BDB">
        <w:rPr>
          <w:lang w:val="en-AU"/>
        </w:rPr>
        <w:t xml:space="preserve">Sediment mapping by Geoscience Australia is consistent with the shear-stress modelling; </w:t>
      </w:r>
      <w:r>
        <w:rPr>
          <w:lang w:val="en-AU"/>
        </w:rPr>
        <w:t>with majority of the sediments consisting of clay-silts (</w:t>
      </w:r>
      <w:r w:rsidR="00383842" w:rsidRPr="00383842">
        <w:fldChar w:fldCharType="begin"/>
      </w:r>
      <w:r w:rsidR="00383842" w:rsidRPr="00383842">
        <w:instrText xml:space="preserve"> REF  _Ref338672548 \* Lower \h  \* MERGEFORMAT </w:instrText>
      </w:r>
      <w:r w:rsidR="00383842" w:rsidRPr="00383842">
        <w:fldChar w:fldCharType="separate"/>
      </w:r>
      <w:r w:rsidR="00751BC4" w:rsidRPr="00751BC4">
        <w:rPr>
          <w:lang w:val="en-AU"/>
        </w:rPr>
        <w:t xml:space="preserve">figure </w:t>
      </w:r>
      <w:r w:rsidR="00751BC4" w:rsidRPr="00751BC4">
        <w:rPr>
          <w:noProof/>
          <w:lang w:val="en-AU"/>
        </w:rPr>
        <w:t>50</w:t>
      </w:r>
      <w:r w:rsidR="00383842" w:rsidRPr="00383842">
        <w:fldChar w:fldCharType="end"/>
      </w:r>
      <w:r w:rsidRPr="007D6EB4">
        <w:rPr>
          <w:lang w:val="en-AU"/>
        </w:rPr>
        <w:t>)</w:t>
      </w:r>
      <w:r w:rsidR="00C77241">
        <w:rPr>
          <w:lang w:val="en-AU"/>
        </w:rPr>
        <w:t>.</w:t>
      </w:r>
    </w:p>
    <w:p w:rsidR="0073141D" w:rsidRDefault="00DC3D2F">
      <w:pPr>
        <w:spacing w:after="0" w:line="240" w:lineRule="auto"/>
        <w:jc w:val="left"/>
      </w:pPr>
      <w:r>
        <w:t>Even under 95</w:t>
      </w:r>
      <w:r w:rsidRPr="005B5490">
        <w:rPr>
          <w:vertAlign w:val="superscript"/>
        </w:rPr>
        <w:t>th</w:t>
      </w:r>
      <w:r>
        <w:t xml:space="preserve"> percentile conditions, the immediate coastal waters are still classed as retentive with predicted shear-stress values only great enough to mobile clays and silts. However the majority of the study area is characterised by predicted bed shear-stress values sufficient to mobilise sediments up to coarse sand.</w:t>
      </w:r>
      <w:r w:rsidR="0073141D">
        <w:br w:type="page"/>
      </w:r>
    </w:p>
    <w:p w:rsidR="00900982" w:rsidRPr="007D6EB4" w:rsidRDefault="00C41728" w:rsidP="00617543">
      <w:pPr>
        <w:pStyle w:val="Para0"/>
        <w:spacing w:before="0"/>
        <w:rPr>
          <w:lang w:val="en-AU"/>
        </w:rPr>
      </w:pPr>
      <w:r>
        <w:rPr>
          <w:noProof/>
          <w:lang w:val="en-AU" w:eastAsia="en-AU"/>
        </w:rPr>
        <w:lastRenderedPageBreak/>
        <w:drawing>
          <wp:inline distT="0" distB="0" distL="0" distR="0" wp14:anchorId="6CFEC6D5" wp14:editId="051EBFEC">
            <wp:extent cx="5353050" cy="3238500"/>
            <wp:effectExtent l="19050" t="19050" r="0" b="0"/>
            <wp:docPr id="152" name="Picture 152" descr="Figure 49 shows the distribution of the estimated shear-stress at the seabed based on 50th and 95th percentile calculations within 50 km from the Port of Quintell Beach. The model results for the Port of Quintell Beach indicate a low-energetic retentive environment under average (50th percentile) conditions, with stress values sufficient to mobilise unconsolidated clays along immediate near-shore regions and fine and coarse silts in adjacent waters" title="Figure 49. Distribution of the 50th (upper image) and 95th (lower image) percentile bed shear-stress estimates within 50 km from the Port of Quintell Beach.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Q:\Projects\Q0110 GBRMPA-SKM QLD disposal site selection\8. Figures\Bed_Shear_Stress_Final_Maps\Quintell Beach_Bed shear_50th Perc.pn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r>
        <w:rPr>
          <w:noProof/>
          <w:lang w:val="en-AU" w:eastAsia="en-AU"/>
        </w:rPr>
        <w:drawing>
          <wp:inline distT="0" distB="0" distL="0" distR="0" wp14:anchorId="07B57736" wp14:editId="57AB081D">
            <wp:extent cx="5353050" cy="3238500"/>
            <wp:effectExtent l="19050" t="19050" r="0" b="0"/>
            <wp:docPr id="153" name="Picture 153" descr="Figure 49 shows the distribution of the estimated shear-stress at the seabed based on 50th and 95th percentile calculations within 50 km from the Port of Quintell Beach. The model results for the Port of Quintell Beach indicate a low-energetic retentive environment under average (50th percentile) conditions, with stress values sufficient to mobilise unconsolidated clays along immediate near-shore regions and fine and coarse silts in adjacent waters" title="Figure 49. Distribution of the 50th (upper image) and 95th (lower image) percentile bed shear-stress estimates within 50 km from the Port of Quintell Beach. The estimates were calculated at hourly steps for each grid cell during 2011 current and wave conditions. The insets show a close-up view of the bed shear-stress estimates adjacent to the existing disposal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Q:\Projects\Q0110 GBRMPA-SKM QLD disposal site selection\8. Figures\Bed_Shear_Stress_Final_Maps\Quintell Beach_Bed shear_95th Perc.png"/>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5353050" cy="3238500"/>
                    </a:xfrm>
                    <a:prstGeom prst="rect">
                      <a:avLst/>
                    </a:prstGeom>
                    <a:noFill/>
                    <a:ln>
                      <a:solidFill>
                        <a:schemeClr val="tx1"/>
                      </a:solidFill>
                    </a:ln>
                  </pic:spPr>
                </pic:pic>
              </a:graphicData>
            </a:graphic>
          </wp:inline>
        </w:drawing>
      </w:r>
    </w:p>
    <w:p w:rsidR="00900982" w:rsidRPr="007D6EB4" w:rsidRDefault="00900982" w:rsidP="00617543">
      <w:pPr>
        <w:pStyle w:val="Para0"/>
        <w:rPr>
          <w:lang w:val="en-AU"/>
        </w:rPr>
      </w:pPr>
      <w:bookmarkStart w:id="164" w:name="_Ref338671783"/>
      <w:bookmarkStart w:id="165" w:name="_Toc361651532"/>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49</w:t>
      </w:r>
      <w:r w:rsidR="005F6FF5" w:rsidRPr="007D6EB4">
        <w:rPr>
          <w:b/>
          <w:lang w:val="en-AU"/>
        </w:rPr>
        <w:fldChar w:fldCharType="end"/>
      </w:r>
      <w:bookmarkEnd w:id="164"/>
      <w:r w:rsidR="00E5277F">
        <w:rPr>
          <w:b/>
          <w:lang w:val="en-AU"/>
        </w:rPr>
        <w:t>.</w:t>
      </w:r>
      <w:r w:rsidRPr="007D6EB4">
        <w:rPr>
          <w:lang w:val="en-AU"/>
        </w:rPr>
        <w:t xml:space="preserve"> Distribution of the 50</w:t>
      </w:r>
      <w:r w:rsidRPr="007D6EB4">
        <w:rPr>
          <w:vertAlign w:val="superscript"/>
          <w:lang w:val="en-AU"/>
        </w:rPr>
        <w:t>th</w:t>
      </w:r>
      <w:r w:rsidRPr="007D6EB4">
        <w:rPr>
          <w:lang w:val="en-AU"/>
        </w:rPr>
        <w:t xml:space="preserve"> (upper image) and 95</w:t>
      </w:r>
      <w:r w:rsidRPr="007D6EB4">
        <w:rPr>
          <w:vertAlign w:val="superscript"/>
          <w:lang w:val="en-AU"/>
        </w:rPr>
        <w:t>th</w:t>
      </w:r>
      <w:r w:rsidRPr="007D6EB4">
        <w:rPr>
          <w:lang w:val="en-AU"/>
        </w:rPr>
        <w:t xml:space="preserve"> (lower image) percentile bed </w:t>
      </w:r>
      <w:r w:rsidR="00F7576C">
        <w:rPr>
          <w:lang w:val="en-AU"/>
        </w:rPr>
        <w:t>shear-stress</w:t>
      </w:r>
      <w:r w:rsidRPr="007D6EB4">
        <w:rPr>
          <w:lang w:val="en-AU"/>
        </w:rPr>
        <w:t xml:space="preserve"> estimates within </w:t>
      </w:r>
      <w:r w:rsidR="002C78DC">
        <w:rPr>
          <w:lang w:val="en-AU"/>
        </w:rPr>
        <w:t>50 km</w:t>
      </w:r>
      <w:r w:rsidRPr="007D6EB4">
        <w:rPr>
          <w:lang w:val="en-AU"/>
        </w:rPr>
        <w:t xml:space="preserve"> from the Port of Quintell Beach.</w:t>
      </w:r>
      <w:r w:rsidR="0043422D">
        <w:rPr>
          <w:lang w:val="en-AU"/>
        </w:rPr>
        <w:t xml:space="preserve"> </w:t>
      </w:r>
      <w:r w:rsidRPr="007D6EB4">
        <w:rPr>
          <w:lang w:val="en-AU"/>
        </w:rPr>
        <w:t xml:space="preserve">The estimates were </w:t>
      </w:r>
      <w:r w:rsidRPr="007D6EB4">
        <w:rPr>
          <w:lang w:val="en-AU" w:eastAsia="en-AU"/>
        </w:rPr>
        <w:t xml:space="preserve">calculated at hourly steps for each grid cell during 2011 current and wave conditions. </w:t>
      </w:r>
      <w:r w:rsidRPr="007D6EB4">
        <w:rPr>
          <w:lang w:val="en-AU"/>
        </w:rPr>
        <w:t xml:space="preserve">The insets show a </w:t>
      </w:r>
      <w:r w:rsidR="002D2769">
        <w:rPr>
          <w:lang w:val="en-AU"/>
        </w:rPr>
        <w:t>close-up</w:t>
      </w:r>
      <w:r w:rsidRPr="007D6EB4">
        <w:rPr>
          <w:lang w:val="en-AU"/>
        </w:rPr>
        <w:t xml:space="preserve"> view of the bed </w:t>
      </w:r>
      <w:r w:rsidR="00F7576C">
        <w:rPr>
          <w:lang w:val="en-AU"/>
        </w:rPr>
        <w:t>shear-stress</w:t>
      </w:r>
      <w:r w:rsidRPr="007D6EB4">
        <w:rPr>
          <w:lang w:val="en-AU"/>
        </w:rPr>
        <w:t xml:space="preserve"> estimates adjacent to the existing disposal site.</w:t>
      </w:r>
      <w:bookmarkEnd w:id="165"/>
    </w:p>
    <w:p w:rsidR="00900982" w:rsidRPr="007D6EB4" w:rsidRDefault="00B271C6" w:rsidP="00617543">
      <w:pPr>
        <w:pStyle w:val="Para0"/>
        <w:rPr>
          <w:lang w:val="en-AU"/>
        </w:rPr>
      </w:pPr>
      <w:r w:rsidRPr="006A22FE">
        <w:rPr>
          <w:noProof/>
          <w:bdr w:val="single" w:sz="4" w:space="0" w:color="auto"/>
          <w:lang w:val="en-AU" w:eastAsia="en-AU"/>
        </w:rPr>
        <w:lastRenderedPageBreak/>
        <w:drawing>
          <wp:inline distT="0" distB="0" distL="0" distR="0" wp14:anchorId="576334E6" wp14:editId="13F138C5">
            <wp:extent cx="5396865" cy="3270250"/>
            <wp:effectExtent l="0" t="0" r="0" b="0"/>
            <wp:docPr id="78" name="Picture 78" descr="Figure 50 shows that sediment mapping is consistent with the shear-stress modelling; with majority of the sediments consisting of clay-silts. Even under 95th percentile conditions, the immediate coastal waters are still classed as retentive with predicted shear-stress values only great enough to mobile clays and silts. However the majority of the study area is characterised by predicted bed shear-stress values sufficient to mobilise sediments up to coarse sand." title="Figure 50. Percentage clay-silt (upper image) and sand (lower image) content in surface sediments within 50 km from the Port of Quintell Beach.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_Exchange\delete\Revised\Quintell Beach_%Mud.png"/>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5396865" cy="3270250"/>
                    </a:xfrm>
                    <a:prstGeom prst="rect">
                      <a:avLst/>
                    </a:prstGeom>
                    <a:noFill/>
                    <a:ln>
                      <a:noFill/>
                    </a:ln>
                  </pic:spPr>
                </pic:pic>
              </a:graphicData>
            </a:graphic>
          </wp:inline>
        </w:drawing>
      </w:r>
      <w:r w:rsidRPr="006A22FE">
        <w:rPr>
          <w:noProof/>
          <w:bdr w:val="single" w:sz="4" w:space="0" w:color="auto"/>
          <w:lang w:val="en-AU" w:eastAsia="en-AU"/>
        </w:rPr>
        <w:drawing>
          <wp:inline distT="0" distB="0" distL="0" distR="0" wp14:anchorId="281B8F8C" wp14:editId="445EA741">
            <wp:extent cx="5343525" cy="3305175"/>
            <wp:effectExtent l="0" t="0" r="0" b="9525"/>
            <wp:docPr id="77" name="Picture 77" descr="Figure 50 shows that sediment mapping is consistent with the shear-stress modelling; with majority of the sediments consisting of clay-silts. Even under 95th percentile conditions, the immediate coastal waters are still classed as retentive with predicted shear-stress values only great enough to mobile clays and silts. However the majority of the study area is characterised by predicted bed shear-stress values sufficient to mobilise sediments up to coarse sand." title="Figure 50. Percentage clay-silt (upper image) and sand (lower image) content in surface sediments within 50 km from the Port of Quintell Beach. (source: Geoscience Australia marine samples database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_Exchange\delete\Revised\Quintell Beach_%Sand.png"/>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347335" cy="3307532"/>
                    </a:xfrm>
                    <a:prstGeom prst="rect">
                      <a:avLst/>
                    </a:prstGeom>
                    <a:noFill/>
                    <a:ln>
                      <a:noFill/>
                    </a:ln>
                  </pic:spPr>
                </pic:pic>
              </a:graphicData>
            </a:graphic>
          </wp:inline>
        </w:drawing>
      </w:r>
    </w:p>
    <w:p w:rsidR="007A1B07" w:rsidRPr="007D6EB4" w:rsidRDefault="00900982" w:rsidP="00A6519A">
      <w:pPr>
        <w:spacing w:line="240" w:lineRule="auto"/>
        <w:jc w:val="left"/>
        <w:rPr>
          <w:color w:val="auto"/>
          <w:lang w:val="en-AU" w:eastAsia="en-AU"/>
        </w:rPr>
      </w:pPr>
      <w:bookmarkStart w:id="166" w:name="_Ref338672548"/>
      <w:bookmarkStart w:id="167" w:name="_Toc361651533"/>
      <w:r w:rsidRPr="007D6EB4">
        <w:rPr>
          <w:b/>
          <w:lang w:val="en-AU"/>
        </w:rPr>
        <w:t xml:space="preserve">Figure </w:t>
      </w:r>
      <w:r w:rsidR="005F6FF5" w:rsidRPr="007D6EB4">
        <w:rPr>
          <w:b/>
          <w:lang w:val="en-AU"/>
        </w:rPr>
        <w:fldChar w:fldCharType="begin"/>
      </w:r>
      <w:r w:rsidRPr="007D6EB4">
        <w:rPr>
          <w:b/>
          <w:lang w:val="en-AU"/>
        </w:rPr>
        <w:instrText xml:space="preserve"> SEQ Figure \* ARABIC </w:instrText>
      </w:r>
      <w:r w:rsidR="005F6FF5" w:rsidRPr="007D6EB4">
        <w:rPr>
          <w:b/>
          <w:lang w:val="en-AU"/>
        </w:rPr>
        <w:fldChar w:fldCharType="separate"/>
      </w:r>
      <w:r w:rsidR="00751BC4">
        <w:rPr>
          <w:b/>
          <w:noProof/>
          <w:lang w:val="en-AU"/>
        </w:rPr>
        <w:t>50</w:t>
      </w:r>
      <w:r w:rsidR="005F6FF5" w:rsidRPr="007D6EB4">
        <w:rPr>
          <w:b/>
          <w:lang w:val="en-AU"/>
        </w:rPr>
        <w:fldChar w:fldCharType="end"/>
      </w:r>
      <w:bookmarkEnd w:id="166"/>
      <w:r w:rsidR="00E5277F">
        <w:rPr>
          <w:lang w:val="en-AU"/>
        </w:rPr>
        <w:t>.</w:t>
      </w:r>
      <w:r w:rsidRPr="007D6EB4">
        <w:rPr>
          <w:lang w:val="en-AU"/>
        </w:rPr>
        <w:t xml:space="preserve"> Percentage </w:t>
      </w:r>
      <w:r w:rsidR="00B271C6">
        <w:rPr>
          <w:lang w:val="en-AU"/>
        </w:rPr>
        <w:t>clay-silt</w:t>
      </w:r>
      <w:r w:rsidRPr="007D6EB4">
        <w:rPr>
          <w:lang w:val="en-AU"/>
        </w:rPr>
        <w:t xml:space="preserve"> (upper image) and sand (lower image) content in surface sediments within 50 km from the Port of Quintell Beach (</w:t>
      </w:r>
      <w:r w:rsidR="002C3746" w:rsidRPr="007D6EB4">
        <w:rPr>
          <w:lang w:val="en-AU"/>
        </w:rPr>
        <w:t>source: Geoscience</w:t>
      </w:r>
      <w:r w:rsidRPr="007D6EB4">
        <w:rPr>
          <w:lang w:val="en-AU"/>
        </w:rPr>
        <w:t xml:space="preserve"> Australia marine samples database 2007).</w:t>
      </w:r>
      <w:bookmarkEnd w:id="167"/>
    </w:p>
    <w:p w:rsidR="004768EC" w:rsidRDefault="00C5694D" w:rsidP="00E46224">
      <w:pPr>
        <w:pStyle w:val="Heading1"/>
        <w:rPr>
          <w:lang w:val="en-AU"/>
        </w:rPr>
      </w:pPr>
      <w:bookmarkStart w:id="168" w:name="_Toc361929999"/>
      <w:r>
        <w:rPr>
          <w:lang w:val="en-AU"/>
        </w:rPr>
        <w:lastRenderedPageBreak/>
        <w:t>CONCLUSION</w:t>
      </w:r>
      <w:r w:rsidR="00B3259E">
        <w:rPr>
          <w:lang w:val="en-AU"/>
        </w:rPr>
        <w:t>s</w:t>
      </w:r>
      <w:bookmarkEnd w:id="168"/>
    </w:p>
    <w:p w:rsidR="006921A1" w:rsidRPr="004768EC" w:rsidRDefault="006921A1" w:rsidP="00A6519A">
      <w:pPr>
        <w:spacing w:line="240" w:lineRule="auto"/>
        <w:jc w:val="left"/>
        <w:rPr>
          <w:rFonts w:cs="Arial"/>
          <w:szCs w:val="22"/>
          <w:lang w:val="en-AU"/>
        </w:rPr>
      </w:pPr>
      <w:r>
        <w:rPr>
          <w:rFonts w:cs="Arial"/>
          <w:szCs w:val="22"/>
          <w:lang w:val="en-AU"/>
        </w:rPr>
        <w:t xml:space="preserve">A </w:t>
      </w:r>
      <w:r w:rsidRPr="004768EC">
        <w:rPr>
          <w:rFonts w:cs="Arial"/>
          <w:szCs w:val="22"/>
          <w:lang w:val="en-AU"/>
        </w:rPr>
        <w:t xml:space="preserve">bed shear-stress modelling study was undertaken to </w:t>
      </w:r>
      <w:r>
        <w:rPr>
          <w:rFonts w:cs="Arial"/>
          <w:szCs w:val="22"/>
          <w:lang w:val="en-AU"/>
        </w:rPr>
        <w:t xml:space="preserve">provide </w:t>
      </w:r>
      <w:r w:rsidRPr="004768EC">
        <w:rPr>
          <w:rFonts w:cs="Arial"/>
          <w:szCs w:val="22"/>
        </w:rPr>
        <w:t>the Australian and Queensland governments</w:t>
      </w:r>
      <w:r w:rsidRPr="004768EC">
        <w:rPr>
          <w:rFonts w:cs="Arial"/>
          <w:szCs w:val="22"/>
          <w:lang w:val="en-AU"/>
        </w:rPr>
        <w:t xml:space="preserve"> with tools </w:t>
      </w:r>
      <w:r w:rsidRPr="004768EC">
        <w:rPr>
          <w:rFonts w:cs="Arial"/>
          <w:szCs w:val="22"/>
        </w:rPr>
        <w:t xml:space="preserve">to improve decision making with regards to dredge material </w:t>
      </w:r>
      <w:r>
        <w:rPr>
          <w:rFonts w:cs="Arial"/>
          <w:szCs w:val="22"/>
        </w:rPr>
        <w:t xml:space="preserve">placement sites </w:t>
      </w:r>
      <w:r w:rsidRPr="004768EC">
        <w:rPr>
          <w:rFonts w:cs="Arial"/>
          <w:szCs w:val="22"/>
          <w:lang w:val="en-AU" w:eastAsia="en-AU"/>
        </w:rPr>
        <w:t xml:space="preserve">for </w:t>
      </w:r>
      <w:r w:rsidR="00F22FDB">
        <w:rPr>
          <w:rFonts w:cs="Arial"/>
          <w:szCs w:val="22"/>
          <w:lang w:val="en-AU" w:eastAsia="en-AU"/>
        </w:rPr>
        <w:t>12 Queensland trading ports on the Great Barrier Reef.</w:t>
      </w:r>
    </w:p>
    <w:p w:rsidR="006921A1" w:rsidRDefault="006921A1" w:rsidP="00A6519A">
      <w:pPr>
        <w:spacing w:line="240" w:lineRule="auto"/>
        <w:jc w:val="left"/>
      </w:pPr>
      <w:r w:rsidRPr="004768EC">
        <w:rPr>
          <w:rFonts w:cs="Arial"/>
          <w:szCs w:val="22"/>
        </w:rPr>
        <w:t xml:space="preserve">This study </w:t>
      </w:r>
      <w:r>
        <w:rPr>
          <w:rFonts w:cs="Arial"/>
          <w:szCs w:val="22"/>
        </w:rPr>
        <w:t xml:space="preserve">is not intended to </w:t>
      </w:r>
      <w:r w:rsidRPr="004768EC">
        <w:rPr>
          <w:rFonts w:cs="Arial"/>
          <w:szCs w:val="22"/>
        </w:rPr>
        <w:t>replace the need for a detailed EIA as</w:t>
      </w:r>
      <w:r>
        <w:rPr>
          <w:rFonts w:cs="Arial"/>
          <w:szCs w:val="22"/>
        </w:rPr>
        <w:t>sociated with any future dredging project</w:t>
      </w:r>
      <w:r w:rsidR="00B13B8F">
        <w:rPr>
          <w:rFonts w:cs="Arial"/>
          <w:szCs w:val="22"/>
        </w:rPr>
        <w:t>,</w:t>
      </w:r>
      <w:r>
        <w:rPr>
          <w:rFonts w:cs="Arial"/>
          <w:szCs w:val="22"/>
        </w:rPr>
        <w:t xml:space="preserve"> but is rather a screening </w:t>
      </w:r>
      <w:r w:rsidRPr="004768EC">
        <w:rPr>
          <w:rFonts w:cs="Arial"/>
          <w:szCs w:val="22"/>
        </w:rPr>
        <w:t>study</w:t>
      </w:r>
      <w:r>
        <w:rPr>
          <w:rFonts w:cs="Arial"/>
          <w:szCs w:val="22"/>
        </w:rPr>
        <w:t>. Predictions of bed shear-stresses</w:t>
      </w:r>
      <w:r w:rsidRPr="004768EC">
        <w:rPr>
          <w:rFonts w:cs="Arial"/>
          <w:szCs w:val="22"/>
        </w:rPr>
        <w:t xml:space="preserve"> </w:t>
      </w:r>
      <w:r>
        <w:rPr>
          <w:rFonts w:cs="Arial"/>
          <w:szCs w:val="22"/>
        </w:rPr>
        <w:t xml:space="preserve">help </w:t>
      </w:r>
      <w:r w:rsidRPr="004768EC">
        <w:rPr>
          <w:rFonts w:cs="Arial"/>
          <w:szCs w:val="22"/>
          <w:lang w:val="en-AU" w:eastAsia="en-AU"/>
        </w:rPr>
        <w:t>identify</w:t>
      </w:r>
      <w:r w:rsidRPr="004768EC">
        <w:rPr>
          <w:rFonts w:cs="Arial"/>
          <w:szCs w:val="22"/>
        </w:rPr>
        <w:t xml:space="preserve"> </w:t>
      </w:r>
      <w:r w:rsidRPr="004768EC">
        <w:rPr>
          <w:rFonts w:cs="Arial"/>
          <w:szCs w:val="22"/>
          <w:lang w:val="en-AU" w:eastAsia="en-AU"/>
        </w:rPr>
        <w:t xml:space="preserve">areas that are </w:t>
      </w:r>
      <w:r w:rsidR="00B13B8F">
        <w:rPr>
          <w:rFonts w:cs="Arial"/>
          <w:szCs w:val="22"/>
          <w:lang w:val="en-AU" w:eastAsia="en-AU"/>
        </w:rPr>
        <w:t xml:space="preserve">likely to be </w:t>
      </w:r>
      <w:r w:rsidRPr="004768EC">
        <w:rPr>
          <w:rFonts w:cs="Arial"/>
          <w:szCs w:val="22"/>
          <w:lang w:val="en-AU" w:eastAsia="en-AU"/>
        </w:rPr>
        <w:t xml:space="preserve">dispersive </w:t>
      </w:r>
      <w:r w:rsidR="00B13B8F">
        <w:rPr>
          <w:rFonts w:cs="Arial"/>
          <w:szCs w:val="22"/>
          <w:lang w:val="en-AU" w:eastAsia="en-AU"/>
        </w:rPr>
        <w:t xml:space="preserve">or </w:t>
      </w:r>
      <w:r w:rsidR="00B13B8F">
        <w:rPr>
          <w:rFonts w:cs="Arial"/>
          <w:szCs w:val="22"/>
        </w:rPr>
        <w:t>retentive</w:t>
      </w:r>
      <w:r w:rsidRPr="004768EC">
        <w:rPr>
          <w:rFonts w:cs="Arial"/>
          <w:szCs w:val="22"/>
        </w:rPr>
        <w:t xml:space="preserve"> </w:t>
      </w:r>
      <w:r w:rsidR="00B13B8F">
        <w:rPr>
          <w:rFonts w:cs="Arial"/>
          <w:szCs w:val="22"/>
        </w:rPr>
        <w:t xml:space="preserve">of different sediment particle size fractions </w:t>
      </w:r>
      <w:r w:rsidRPr="004768EC">
        <w:rPr>
          <w:rFonts w:cs="Arial"/>
          <w:szCs w:val="22"/>
        </w:rPr>
        <w:t>wit</w:t>
      </w:r>
      <w:r>
        <w:rPr>
          <w:rFonts w:cs="Arial"/>
          <w:szCs w:val="22"/>
        </w:rPr>
        <w:t>hin</w:t>
      </w:r>
      <w:r w:rsidR="00F22FDB">
        <w:rPr>
          <w:rFonts w:cs="Arial"/>
          <w:szCs w:val="22"/>
        </w:rPr>
        <w:t xml:space="preserve"> a</w:t>
      </w:r>
      <w:r>
        <w:rPr>
          <w:rFonts w:cs="Arial"/>
          <w:szCs w:val="22"/>
        </w:rPr>
        <w:t xml:space="preserve"> 50 km radius of each port. </w:t>
      </w:r>
      <w:r>
        <w:t>The predictions are based on the analysis of year-long current and wave data (2011)</w:t>
      </w:r>
      <w:r w:rsidR="00B13B8F">
        <w:t>,</w:t>
      </w:r>
      <w:r>
        <w:t xml:space="preserve"> and summarised </w:t>
      </w:r>
      <w:r w:rsidRPr="007D6EB4">
        <w:t>statistically as 50</w:t>
      </w:r>
      <w:r w:rsidRPr="007D6EB4">
        <w:rPr>
          <w:vertAlign w:val="superscript"/>
        </w:rPr>
        <w:t>th</w:t>
      </w:r>
      <w:r w:rsidRPr="007D6EB4">
        <w:t xml:space="preserve"> and </w:t>
      </w:r>
      <w:r>
        <w:t xml:space="preserve">the </w:t>
      </w:r>
      <w:r w:rsidRPr="007D6EB4">
        <w:t>95</w:t>
      </w:r>
      <w:r w:rsidRPr="007D6EB4">
        <w:rPr>
          <w:vertAlign w:val="superscript"/>
        </w:rPr>
        <w:t>th</w:t>
      </w:r>
      <w:r w:rsidRPr="007D6EB4">
        <w:rPr>
          <w:sz w:val="13"/>
          <w:szCs w:val="13"/>
        </w:rPr>
        <w:t xml:space="preserve"> </w:t>
      </w:r>
      <w:r w:rsidRPr="007D6EB4">
        <w:t>percentile</w:t>
      </w:r>
      <w:r>
        <w:t xml:space="preserve"> </w:t>
      </w:r>
      <w:r w:rsidRPr="007D6EB4">
        <w:t>(extreme conditions</w:t>
      </w:r>
      <w:r>
        <w:t xml:space="preserve"> only exceeded 5</w:t>
      </w:r>
      <w:r w:rsidR="00383842">
        <w:t xml:space="preserve"> per cent</w:t>
      </w:r>
      <w:r>
        <w:t xml:space="preserve"> of the time</w:t>
      </w:r>
      <w:r w:rsidRPr="007D6EB4">
        <w:t xml:space="preserve">) </w:t>
      </w:r>
      <w:r>
        <w:t>estimate</w:t>
      </w:r>
      <w:r w:rsidRPr="007D6EB4">
        <w:t>s</w:t>
      </w:r>
      <w:r>
        <w:t>.</w:t>
      </w:r>
    </w:p>
    <w:p w:rsidR="006921A1" w:rsidRDefault="006921A1" w:rsidP="00A6519A">
      <w:pPr>
        <w:spacing w:line="240" w:lineRule="auto"/>
        <w:jc w:val="left"/>
        <w:rPr>
          <w:color w:val="auto"/>
          <w:lang w:val="en-AU" w:eastAsia="en-AU"/>
        </w:rPr>
      </w:pPr>
      <w:r w:rsidRPr="007D6EB4">
        <w:rPr>
          <w:lang w:val="en-AU"/>
        </w:rPr>
        <w:t xml:space="preserve">An assessment of the </w:t>
      </w:r>
      <w:r>
        <w:rPr>
          <w:lang w:val="en-AU"/>
        </w:rPr>
        <w:t>50</w:t>
      </w:r>
      <w:r w:rsidRPr="007D6EB4">
        <w:rPr>
          <w:vertAlign w:val="superscript"/>
          <w:lang w:val="en-AU"/>
        </w:rPr>
        <w:t>th</w:t>
      </w:r>
      <w:r w:rsidRPr="007D6EB4">
        <w:rPr>
          <w:lang w:val="en-AU"/>
        </w:rPr>
        <w:t xml:space="preserve"> percentile </w:t>
      </w:r>
      <w:r>
        <w:rPr>
          <w:lang w:val="en-AU"/>
        </w:rPr>
        <w:t>bed shear-</w:t>
      </w:r>
      <w:r w:rsidRPr="007D6EB4">
        <w:rPr>
          <w:lang w:val="en-AU"/>
        </w:rPr>
        <w:t>stress</w:t>
      </w:r>
      <w:r>
        <w:rPr>
          <w:lang w:val="en-AU"/>
        </w:rPr>
        <w:t xml:space="preserve"> levels showed that ports between Gladstone to Hay Point are energetic (i.e. </w:t>
      </w:r>
      <w:r>
        <w:t>dispersive)</w:t>
      </w:r>
      <w:r w:rsidRPr="000D66BA">
        <w:t xml:space="preserve">, </w:t>
      </w:r>
      <w:r>
        <w:t xml:space="preserve">with the potential to mobilise </w:t>
      </w:r>
      <w:r w:rsidRPr="000D66BA">
        <w:t>unconsolidated material up to coarse sand under average conditions</w:t>
      </w:r>
      <w:r>
        <w:t>. The ports between</w:t>
      </w:r>
      <w:r w:rsidR="00B13B8F">
        <w:t xml:space="preserve"> Abbot Point and Quintell Beach</w:t>
      </w:r>
      <w:r>
        <w:t xml:space="preserve"> typically exhibit </w:t>
      </w:r>
      <w:r w:rsidRPr="00D739DC">
        <w:t>relatively low-energy and retentive environment</w:t>
      </w:r>
      <w:r w:rsidR="00F22FDB">
        <w:t>s</w:t>
      </w:r>
      <w:r w:rsidRPr="00D739DC">
        <w:t xml:space="preserve"> under average (50</w:t>
      </w:r>
      <w:r w:rsidRPr="00D739DC">
        <w:rPr>
          <w:vertAlign w:val="superscript"/>
        </w:rPr>
        <w:t>th</w:t>
      </w:r>
      <w:r w:rsidRPr="00D739DC">
        <w:t xml:space="preserve"> percentile) conditions. </w:t>
      </w:r>
      <w:r>
        <w:t xml:space="preserve">Bed shear-stresses were predicted </w:t>
      </w:r>
      <w:r>
        <w:rPr>
          <w:color w:val="auto"/>
          <w:lang w:val="en-AU" w:eastAsia="en-AU"/>
        </w:rPr>
        <w:t xml:space="preserve">to mobilise unconsolidated clays along the immediate coastline, grading into shear-stresses sufficient to potentially mobilise fine and coarse silts further offshore. Only a few reef-associated areas have predicted shear-stresses sufficient to mobilise fine to coarse sands. </w:t>
      </w:r>
      <w:r w:rsidRPr="007D6EB4">
        <w:rPr>
          <w:rFonts w:cs="Arial"/>
          <w:lang w:val="en-AU"/>
        </w:rPr>
        <w:t xml:space="preserve">The findings </w:t>
      </w:r>
      <w:r>
        <w:rPr>
          <w:rFonts w:cs="Arial"/>
          <w:lang w:val="en-AU"/>
        </w:rPr>
        <w:t xml:space="preserve">from the modelling were found to generally </w:t>
      </w:r>
      <w:r w:rsidRPr="007D6EB4">
        <w:rPr>
          <w:rFonts w:cs="Arial"/>
          <w:lang w:val="en-AU"/>
        </w:rPr>
        <w:t xml:space="preserve">correspond well with the </w:t>
      </w:r>
      <w:r>
        <w:rPr>
          <w:rFonts w:cs="Arial"/>
          <w:lang w:val="en-AU"/>
        </w:rPr>
        <w:t>Geoscience Australia</w:t>
      </w:r>
      <w:r w:rsidRPr="007D6EB4">
        <w:rPr>
          <w:rFonts w:cs="Arial"/>
          <w:lang w:val="en-AU"/>
        </w:rPr>
        <w:t xml:space="preserve"> surface sediment maps</w:t>
      </w:r>
      <w:r>
        <w:rPr>
          <w:rFonts w:cs="Arial"/>
          <w:lang w:val="en-AU"/>
        </w:rPr>
        <w:t>.</w:t>
      </w:r>
    </w:p>
    <w:p w:rsidR="00C5694D" w:rsidRDefault="006921A1" w:rsidP="00A6519A">
      <w:pPr>
        <w:spacing w:line="240" w:lineRule="auto"/>
        <w:jc w:val="left"/>
        <w:rPr>
          <w:rFonts w:ascii="Century Gothic" w:hAnsi="Century Gothic" w:cs="Century Gothic"/>
          <w:sz w:val="23"/>
          <w:szCs w:val="23"/>
        </w:rPr>
      </w:pPr>
      <w:r>
        <w:rPr>
          <w:lang w:val="en-AU"/>
        </w:rPr>
        <w:t xml:space="preserve">Modelling results for the </w:t>
      </w:r>
      <w:r w:rsidRPr="007D6EB4">
        <w:rPr>
          <w:lang w:val="en-AU"/>
        </w:rPr>
        <w:t>95</w:t>
      </w:r>
      <w:r w:rsidRPr="007D6EB4">
        <w:rPr>
          <w:vertAlign w:val="superscript"/>
          <w:lang w:val="en-AU"/>
        </w:rPr>
        <w:t>th</w:t>
      </w:r>
      <w:r w:rsidRPr="007D6EB4">
        <w:rPr>
          <w:lang w:val="en-AU"/>
        </w:rPr>
        <w:t xml:space="preserve"> percentile </w:t>
      </w:r>
      <w:r>
        <w:rPr>
          <w:lang w:val="en-AU"/>
        </w:rPr>
        <w:t>bed shear-</w:t>
      </w:r>
      <w:r w:rsidRPr="007D6EB4">
        <w:rPr>
          <w:lang w:val="en-AU"/>
        </w:rPr>
        <w:t>stress</w:t>
      </w:r>
      <w:r>
        <w:rPr>
          <w:lang w:val="en-AU"/>
        </w:rPr>
        <w:t xml:space="preserve"> levels showed that for all of the 12 Queensland trading ports, the majority of the study areas would become highly energetic (i.e. more dispersive)</w:t>
      </w:r>
      <w:r w:rsidR="00B13B8F">
        <w:rPr>
          <w:lang w:val="en-AU"/>
        </w:rPr>
        <w:t>,</w:t>
      </w:r>
      <w:r>
        <w:rPr>
          <w:lang w:val="en-AU"/>
        </w:rPr>
        <w:t xml:space="preserve"> with the potential to mobilise unconsolidated sediments as large as coarse sand. </w:t>
      </w:r>
    </w:p>
    <w:p w:rsidR="00880FA4" w:rsidRPr="007D6EB4" w:rsidRDefault="00880FA4" w:rsidP="00E46224">
      <w:pPr>
        <w:pStyle w:val="Heading1"/>
        <w:rPr>
          <w:lang w:val="en-AU"/>
        </w:rPr>
      </w:pPr>
      <w:bookmarkStart w:id="169" w:name="_Toc361930000"/>
      <w:r w:rsidRPr="007D6EB4">
        <w:rPr>
          <w:lang w:val="en-AU"/>
        </w:rPr>
        <w:lastRenderedPageBreak/>
        <w:t>REFERENCES</w:t>
      </w:r>
      <w:bookmarkEnd w:id="169"/>
    </w:p>
    <w:p w:rsidR="003376AF" w:rsidRDefault="00F94193" w:rsidP="00617543">
      <w:pPr>
        <w:autoSpaceDE w:val="0"/>
        <w:autoSpaceDN w:val="0"/>
        <w:adjustRightInd w:val="0"/>
        <w:spacing w:after="0" w:line="240" w:lineRule="auto"/>
        <w:jc w:val="left"/>
        <w:rPr>
          <w:rFonts w:cs="Arial"/>
          <w:szCs w:val="22"/>
          <w:lang w:val="en-AU"/>
        </w:rPr>
      </w:pPr>
      <w:r>
        <w:rPr>
          <w:rFonts w:cs="Arial"/>
          <w:szCs w:val="22"/>
          <w:lang w:val="en-AU"/>
        </w:rPr>
        <w:t xml:space="preserve">Andutta, F.P., Ridd, P.V. &amp; Wolanski, E. 2011. Dynamics of a hypersaline coastal waters in the Great Barrier Reef. </w:t>
      </w:r>
      <w:r w:rsidR="001C5FFB" w:rsidRPr="001C5FFB">
        <w:rPr>
          <w:rFonts w:cs="Arial"/>
          <w:i/>
          <w:szCs w:val="22"/>
          <w:lang w:val="en-AU"/>
        </w:rPr>
        <w:t>Estuarine, Coastal and Shelf Science</w:t>
      </w:r>
      <w:r>
        <w:rPr>
          <w:rFonts w:cs="Arial"/>
          <w:szCs w:val="22"/>
          <w:lang w:val="en-AU"/>
        </w:rPr>
        <w:t>, 94, 299-305.</w:t>
      </w:r>
    </w:p>
    <w:p w:rsidR="00F94193" w:rsidRPr="007D6EB4" w:rsidRDefault="00F94193" w:rsidP="00617543">
      <w:pPr>
        <w:autoSpaceDE w:val="0"/>
        <w:autoSpaceDN w:val="0"/>
        <w:adjustRightInd w:val="0"/>
        <w:spacing w:after="0" w:line="240" w:lineRule="auto"/>
        <w:jc w:val="left"/>
        <w:rPr>
          <w:rFonts w:cs="Arial"/>
          <w:szCs w:val="22"/>
          <w:lang w:val="en-AU"/>
        </w:rPr>
      </w:pPr>
    </w:p>
    <w:p w:rsidR="009B567A" w:rsidRPr="007D6EB4" w:rsidRDefault="009B567A" w:rsidP="00617543">
      <w:pPr>
        <w:autoSpaceDE w:val="0"/>
        <w:autoSpaceDN w:val="0"/>
        <w:adjustRightInd w:val="0"/>
        <w:spacing w:after="0" w:line="240" w:lineRule="auto"/>
        <w:jc w:val="left"/>
        <w:rPr>
          <w:rFonts w:cs="Arial"/>
          <w:szCs w:val="22"/>
          <w:lang w:val="en-AU"/>
        </w:rPr>
      </w:pPr>
      <w:r w:rsidRPr="007D6EB4">
        <w:rPr>
          <w:rFonts w:cs="Arial"/>
          <w:szCs w:val="22"/>
          <w:lang w:val="en-AU"/>
        </w:rPr>
        <w:t>Australian Bureau of Meteorology. 2012, ‘The Southern Oscillation Index’,</w:t>
      </w:r>
      <w:r w:rsidRPr="007D6EB4">
        <w:rPr>
          <w:szCs w:val="22"/>
          <w:lang w:val="en-AU"/>
        </w:rPr>
        <w:t xml:space="preserve"> Available from: &lt;</w:t>
      </w:r>
      <w:r w:rsidRPr="007D6EB4">
        <w:rPr>
          <w:rFonts w:cs="Arial"/>
          <w:szCs w:val="22"/>
          <w:lang w:val="en-AU"/>
        </w:rPr>
        <w:t>http://www.bom.gov.au/climate/glossary/soi.shtml&gt;</w:t>
      </w:r>
    </w:p>
    <w:p w:rsidR="009B567A" w:rsidRPr="007D6EB4" w:rsidRDefault="009B567A" w:rsidP="00617543">
      <w:pPr>
        <w:autoSpaceDE w:val="0"/>
        <w:autoSpaceDN w:val="0"/>
        <w:adjustRightInd w:val="0"/>
        <w:spacing w:after="0" w:line="240" w:lineRule="auto"/>
        <w:jc w:val="left"/>
        <w:rPr>
          <w:rFonts w:cs="Arial"/>
          <w:szCs w:val="22"/>
          <w:lang w:val="en-AU"/>
        </w:rPr>
      </w:pPr>
    </w:p>
    <w:p w:rsidR="009B567A" w:rsidRPr="007D6EB4" w:rsidRDefault="009B567A" w:rsidP="00617543">
      <w:pPr>
        <w:spacing w:after="0" w:line="240" w:lineRule="auto"/>
        <w:jc w:val="left"/>
        <w:rPr>
          <w:rFonts w:cs="Arial"/>
          <w:color w:val="auto"/>
          <w:szCs w:val="22"/>
          <w:lang w:val="en-AU" w:eastAsia="en-AU"/>
        </w:rPr>
      </w:pPr>
      <w:r w:rsidRPr="007D6EB4">
        <w:rPr>
          <w:rFonts w:cs="Arial"/>
          <w:color w:val="auto"/>
          <w:szCs w:val="22"/>
          <w:lang w:val="en-AU" w:eastAsia="en-AU"/>
        </w:rPr>
        <w:t xml:space="preserve">Booij, N., Holthuijsen, L.H. &amp; Ris. R.C. 1996, ‘The “SWAN" wave model for shallow water’, Proceedings Coastal Engineering Conference, </w:t>
      </w:r>
      <w:r w:rsidRPr="007D6EB4">
        <w:rPr>
          <w:color w:val="auto"/>
          <w:szCs w:val="22"/>
          <w:lang w:val="en-AU"/>
        </w:rPr>
        <w:t>American Society of Civil Engineers</w:t>
      </w:r>
      <w:r w:rsidRPr="007D6EB4">
        <w:rPr>
          <w:rFonts w:cs="Arial"/>
          <w:color w:val="auto"/>
          <w:szCs w:val="22"/>
          <w:lang w:val="en-AU" w:eastAsia="en-AU"/>
        </w:rPr>
        <w:t>, vol. 1 668–676.</w:t>
      </w:r>
    </w:p>
    <w:p w:rsidR="009B567A" w:rsidRPr="007D6EB4" w:rsidRDefault="009B567A" w:rsidP="00617543">
      <w:pPr>
        <w:pStyle w:val="Para0"/>
        <w:rPr>
          <w:color w:val="auto"/>
          <w:szCs w:val="22"/>
          <w:lang w:val="en-AU"/>
        </w:rPr>
      </w:pPr>
      <w:r w:rsidRPr="007D6EB4">
        <w:rPr>
          <w:color w:val="auto"/>
          <w:szCs w:val="22"/>
          <w:lang w:val="en-AU"/>
        </w:rPr>
        <w:t>Booij, N., Ris, R.C. &amp; Holthuijsen, L.H. 1999, ‘</w:t>
      </w:r>
      <w:r w:rsidRPr="007D6EB4">
        <w:rPr>
          <w:rStyle w:val="Title1"/>
          <w:color w:val="auto"/>
          <w:szCs w:val="22"/>
          <w:lang w:val="en-AU"/>
        </w:rPr>
        <w:t>A third-generation wave model for coastal regions: 1. Model description and validation’</w:t>
      </w:r>
      <w:r w:rsidRPr="007D6EB4">
        <w:rPr>
          <w:color w:val="auto"/>
          <w:szCs w:val="22"/>
          <w:lang w:val="en-AU"/>
        </w:rPr>
        <w:t xml:space="preserve">, </w:t>
      </w:r>
      <w:r w:rsidRPr="007D6EB4">
        <w:rPr>
          <w:rStyle w:val="ital"/>
          <w:i/>
          <w:iCs/>
          <w:color w:val="auto"/>
          <w:szCs w:val="22"/>
          <w:lang w:val="en-AU"/>
        </w:rPr>
        <w:t>Journal of Geophysical Research</w:t>
      </w:r>
      <w:r w:rsidRPr="007D6EB4">
        <w:rPr>
          <w:color w:val="auto"/>
          <w:szCs w:val="22"/>
          <w:lang w:val="en-AU"/>
        </w:rPr>
        <w:t xml:space="preserve">, </w:t>
      </w:r>
      <w:r w:rsidRPr="007D6EB4">
        <w:rPr>
          <w:rStyle w:val="ital"/>
          <w:color w:val="auto"/>
          <w:szCs w:val="22"/>
          <w:lang w:val="en-AU"/>
        </w:rPr>
        <w:t>104</w:t>
      </w:r>
      <w:r w:rsidRPr="007D6EB4">
        <w:rPr>
          <w:color w:val="auto"/>
          <w:szCs w:val="22"/>
          <w:lang w:val="en-AU"/>
        </w:rPr>
        <w:t>, 7649–7666.</w:t>
      </w:r>
    </w:p>
    <w:p w:rsidR="009B567A" w:rsidRPr="007D6EB4" w:rsidRDefault="009B567A" w:rsidP="00617543">
      <w:pPr>
        <w:autoSpaceDE w:val="0"/>
        <w:autoSpaceDN w:val="0"/>
        <w:adjustRightInd w:val="0"/>
        <w:spacing w:after="0" w:line="240" w:lineRule="auto"/>
        <w:jc w:val="left"/>
        <w:rPr>
          <w:rFonts w:cs="Arial"/>
          <w:color w:val="auto"/>
          <w:szCs w:val="22"/>
          <w:lang w:val="en-AU"/>
        </w:rPr>
      </w:pPr>
    </w:p>
    <w:p w:rsidR="009B567A" w:rsidRPr="007D6EB4" w:rsidRDefault="009B567A" w:rsidP="00617543">
      <w:pPr>
        <w:spacing w:after="0" w:line="240" w:lineRule="auto"/>
        <w:jc w:val="left"/>
        <w:rPr>
          <w:rFonts w:cs="Arial"/>
          <w:color w:val="auto"/>
          <w:szCs w:val="22"/>
          <w:lang w:val="en-AU" w:eastAsia="en-AU"/>
        </w:rPr>
      </w:pPr>
      <w:r w:rsidRPr="007D6EB4">
        <w:rPr>
          <w:rFonts w:cs="Arial"/>
          <w:color w:val="auto"/>
          <w:szCs w:val="22"/>
          <w:lang w:val="en-AU" w:eastAsia="en-AU"/>
        </w:rPr>
        <w:t xml:space="preserve">Chassignet, E.P., Harley, E.H., Smedstad, O.M., Halliwell, G.R., Hogan, P.J., Wallcraft, A.J., Baraille, R. &amp; Bleck, R. 2007, ‘The HYCOM (hybrid coordinate ocean model) data assimilative system’, </w:t>
      </w:r>
      <w:r w:rsidRPr="007D6EB4">
        <w:rPr>
          <w:rFonts w:cs="Arial"/>
          <w:i/>
          <w:iCs/>
          <w:color w:val="auto"/>
          <w:szCs w:val="22"/>
          <w:lang w:val="en-AU" w:eastAsia="en-AU"/>
        </w:rPr>
        <w:t>Journal of Marine Systems,</w:t>
      </w:r>
      <w:r w:rsidRPr="007D6EB4">
        <w:rPr>
          <w:rFonts w:cs="Arial"/>
          <w:color w:val="auto"/>
          <w:szCs w:val="22"/>
          <w:lang w:val="en-AU" w:eastAsia="en-AU"/>
        </w:rPr>
        <w:t xml:space="preserve"> 65, 60–83.</w:t>
      </w:r>
    </w:p>
    <w:p w:rsidR="009B567A" w:rsidRPr="007D6EB4" w:rsidRDefault="009B567A" w:rsidP="00617543">
      <w:pPr>
        <w:pStyle w:val="Para0"/>
        <w:rPr>
          <w:szCs w:val="22"/>
          <w:lang w:val="en-AU"/>
        </w:rPr>
      </w:pPr>
      <w:r w:rsidRPr="007D6EB4">
        <w:rPr>
          <w:szCs w:val="22"/>
          <w:lang w:val="en-AU"/>
        </w:rPr>
        <w:t xml:space="preserve">Chassignet, E.P., Hurlburt, H.E., Metzger, E.J., Smedstad, O.M., Cummings, J.A., Halliwell, G.R., Bleck, R., Baraille, R., Wallcraft, A.J., Lozano, C., Tolman, H.L., Srinivasan, A., Hankin, S., Cornillon, P., Weisberg, R., Barth, A., He, R., Werner, F. &amp; Wilkin, J. 2009, ‘US GODAE Global Ocean Prediction with the Hybrid Coordinate Ocean Model (HYCMOM)’, </w:t>
      </w:r>
      <w:r w:rsidRPr="007D6EB4">
        <w:rPr>
          <w:i/>
          <w:szCs w:val="22"/>
          <w:lang w:val="en-AU"/>
        </w:rPr>
        <w:t>Oceanography</w:t>
      </w:r>
      <w:r w:rsidRPr="007D6EB4">
        <w:rPr>
          <w:szCs w:val="22"/>
          <w:lang w:val="en-AU"/>
        </w:rPr>
        <w:t>, 22, 64–75.</w:t>
      </w:r>
    </w:p>
    <w:p w:rsidR="009B567A" w:rsidRPr="007D6EB4" w:rsidRDefault="009B567A" w:rsidP="00617543">
      <w:pPr>
        <w:autoSpaceDE w:val="0"/>
        <w:autoSpaceDN w:val="0"/>
        <w:adjustRightInd w:val="0"/>
        <w:spacing w:after="0" w:line="240" w:lineRule="auto"/>
        <w:jc w:val="left"/>
        <w:rPr>
          <w:rFonts w:cs="Arial"/>
          <w:color w:val="auto"/>
          <w:szCs w:val="22"/>
          <w:lang w:val="en-AU"/>
        </w:rPr>
      </w:pPr>
    </w:p>
    <w:p w:rsidR="009B567A" w:rsidRPr="007D6EB4" w:rsidRDefault="009B567A" w:rsidP="00617543">
      <w:pPr>
        <w:spacing w:after="0" w:line="240" w:lineRule="auto"/>
        <w:jc w:val="left"/>
        <w:rPr>
          <w:rFonts w:cs="Arial"/>
          <w:color w:val="auto"/>
          <w:szCs w:val="22"/>
          <w:lang w:val="en-AU" w:eastAsia="en-AU"/>
        </w:rPr>
      </w:pPr>
      <w:r w:rsidRPr="007D6EB4">
        <w:rPr>
          <w:rFonts w:cs="Arial"/>
          <w:color w:val="auto"/>
          <w:szCs w:val="22"/>
          <w:lang w:val="en-AU" w:eastAsia="en-AU"/>
        </w:rPr>
        <w:t xml:space="preserve">Chu, P.C., Qi, Y., Chen, Y., Shi, P. &amp; Mao, Q. 2004, ‘South China Sea Wind-Wave Characteristics. Part I: Validation of Wavewatch-III Using TOPEX/Poseidon Data’, </w:t>
      </w:r>
      <w:r w:rsidRPr="007D6EB4">
        <w:rPr>
          <w:rFonts w:cs="Arial"/>
          <w:i/>
          <w:iCs/>
          <w:color w:val="auto"/>
          <w:szCs w:val="22"/>
          <w:lang w:val="en-AU" w:eastAsia="en-AU"/>
        </w:rPr>
        <w:t>Journal of atmospheric and oceanic technology</w:t>
      </w:r>
      <w:r w:rsidRPr="007D6EB4">
        <w:rPr>
          <w:rFonts w:cs="Arial"/>
          <w:color w:val="auto"/>
          <w:szCs w:val="22"/>
          <w:lang w:val="en-AU" w:eastAsia="en-AU"/>
        </w:rPr>
        <w:t xml:space="preserve">, </w:t>
      </w:r>
      <w:r w:rsidRPr="007D6EB4">
        <w:rPr>
          <w:rFonts w:cs="Arial"/>
          <w:i/>
          <w:iCs/>
          <w:color w:val="auto"/>
          <w:szCs w:val="22"/>
          <w:lang w:val="en-AU" w:eastAsia="en-AU"/>
        </w:rPr>
        <w:t>21</w:t>
      </w:r>
      <w:r w:rsidRPr="007D6EB4">
        <w:rPr>
          <w:rFonts w:cs="Arial"/>
          <w:color w:val="auto"/>
          <w:szCs w:val="22"/>
          <w:lang w:val="en-AU" w:eastAsia="en-AU"/>
        </w:rPr>
        <w:t>, 1718–1733.</w:t>
      </w:r>
    </w:p>
    <w:p w:rsidR="009B567A" w:rsidRPr="007D6EB4" w:rsidRDefault="009B567A" w:rsidP="00617543">
      <w:pPr>
        <w:autoSpaceDE w:val="0"/>
        <w:autoSpaceDN w:val="0"/>
        <w:adjustRightInd w:val="0"/>
        <w:spacing w:after="0" w:line="240" w:lineRule="auto"/>
        <w:jc w:val="left"/>
        <w:rPr>
          <w:rFonts w:cs="Arial"/>
          <w:color w:val="auto"/>
          <w:szCs w:val="22"/>
          <w:lang w:val="en-AU"/>
        </w:rPr>
      </w:pPr>
    </w:p>
    <w:p w:rsidR="009B567A" w:rsidRPr="007D6EB4" w:rsidRDefault="009B567A" w:rsidP="00617543">
      <w:pPr>
        <w:autoSpaceDE w:val="0"/>
        <w:autoSpaceDN w:val="0"/>
        <w:adjustRightInd w:val="0"/>
        <w:spacing w:after="0" w:line="240" w:lineRule="auto"/>
        <w:jc w:val="left"/>
        <w:rPr>
          <w:rFonts w:cs="Arial"/>
          <w:color w:val="auto"/>
          <w:szCs w:val="22"/>
          <w:lang w:val="en-AU"/>
        </w:rPr>
      </w:pPr>
      <w:r w:rsidRPr="007D6EB4">
        <w:rPr>
          <w:rFonts w:cs="Arial"/>
          <w:color w:val="auto"/>
          <w:szCs w:val="22"/>
          <w:lang w:val="en-AU"/>
        </w:rPr>
        <w:t>Great Barrier Reef Marine Park Authority. 2009, ‘</w:t>
      </w:r>
      <w:r w:rsidRPr="007D6EB4">
        <w:rPr>
          <w:rFonts w:cs="Arial"/>
          <w:i/>
          <w:color w:val="auto"/>
          <w:szCs w:val="22"/>
          <w:lang w:val="en-AU"/>
        </w:rPr>
        <w:t>Great Barrier Reef outlook report 2009</w:t>
      </w:r>
      <w:r w:rsidRPr="007D6EB4">
        <w:rPr>
          <w:rFonts w:cs="Arial"/>
          <w:color w:val="auto"/>
          <w:szCs w:val="22"/>
          <w:lang w:val="en-AU"/>
        </w:rPr>
        <w:t>’, Great Barrier Reef Marine Park Authority, Townsville</w:t>
      </w:r>
    </w:p>
    <w:p w:rsidR="009B567A" w:rsidRDefault="009B567A" w:rsidP="00617543">
      <w:pPr>
        <w:pStyle w:val="Para0"/>
        <w:spacing w:before="0"/>
        <w:rPr>
          <w:color w:val="auto"/>
          <w:szCs w:val="22"/>
          <w:lang w:val="en-AU"/>
        </w:rPr>
      </w:pPr>
    </w:p>
    <w:p w:rsidR="006B629D" w:rsidRDefault="00B47F3D" w:rsidP="00617543">
      <w:pPr>
        <w:pStyle w:val="Para0"/>
        <w:spacing w:before="0"/>
        <w:rPr>
          <w:color w:val="auto"/>
          <w:szCs w:val="22"/>
          <w:lang w:val="en-AU"/>
        </w:rPr>
      </w:pPr>
      <w:r w:rsidRPr="007D6EB4">
        <w:rPr>
          <w:rFonts w:cs="Arial"/>
          <w:color w:val="auto"/>
          <w:szCs w:val="22"/>
          <w:lang w:val="en-AU"/>
        </w:rPr>
        <w:t>Great Barrier Reef Mari</w:t>
      </w:r>
      <w:r>
        <w:rPr>
          <w:rFonts w:cs="Arial"/>
          <w:color w:val="auto"/>
          <w:szCs w:val="22"/>
          <w:lang w:val="en-AU"/>
        </w:rPr>
        <w:t xml:space="preserve">ne Park Authority. 2012, ‘The use of hydrodynamic numerical modelling for dredging projects in the Great barrier Reef Marine Park’, </w:t>
      </w:r>
      <w:r w:rsidRPr="007D6EB4">
        <w:rPr>
          <w:rFonts w:cs="Arial"/>
          <w:color w:val="auto"/>
          <w:szCs w:val="22"/>
          <w:lang w:val="en-AU"/>
        </w:rPr>
        <w:t>Great Barrier Reef Marine Park Authority</w:t>
      </w:r>
      <w:r>
        <w:rPr>
          <w:rFonts w:cs="Arial"/>
          <w:color w:val="auto"/>
          <w:szCs w:val="22"/>
          <w:lang w:val="en-AU"/>
        </w:rPr>
        <w:t>, Townsville</w:t>
      </w:r>
    </w:p>
    <w:p w:rsidR="006B629D" w:rsidRPr="007D6EB4" w:rsidRDefault="006B629D" w:rsidP="00617543">
      <w:pPr>
        <w:pStyle w:val="Para0"/>
        <w:spacing w:before="0"/>
        <w:rPr>
          <w:color w:val="auto"/>
          <w:szCs w:val="22"/>
          <w:lang w:val="en-AU"/>
        </w:rPr>
      </w:pPr>
    </w:p>
    <w:p w:rsidR="00655B4E" w:rsidRPr="007D6EB4" w:rsidRDefault="00655B4E" w:rsidP="00617543">
      <w:pPr>
        <w:spacing w:after="0" w:line="240" w:lineRule="auto"/>
        <w:jc w:val="left"/>
        <w:rPr>
          <w:rFonts w:cs="Arial"/>
          <w:color w:val="auto"/>
          <w:szCs w:val="22"/>
          <w:lang w:val="en-AU" w:eastAsia="en-AU"/>
        </w:rPr>
      </w:pPr>
      <w:r w:rsidRPr="007D6EB4">
        <w:rPr>
          <w:rFonts w:cs="Arial"/>
          <w:color w:val="auto"/>
          <w:szCs w:val="22"/>
          <w:lang w:val="en-AU" w:eastAsia="en-AU"/>
        </w:rPr>
        <w:t xml:space="preserve">Griffin, D.A., Middleton, J.H. &amp; Bode, L. 1987, "The tidal and longer-period circulation of Capricornia, Southern Great Barrier Reef’, </w:t>
      </w:r>
      <w:r w:rsidRPr="007D6EB4">
        <w:rPr>
          <w:rFonts w:cs="Arial"/>
          <w:i/>
          <w:iCs/>
          <w:color w:val="auto"/>
          <w:szCs w:val="22"/>
          <w:lang w:val="en-AU" w:eastAsia="en-AU"/>
        </w:rPr>
        <w:t>Marine and Freshwater Research,</w:t>
      </w:r>
      <w:r w:rsidRPr="007D6EB4">
        <w:rPr>
          <w:rFonts w:cs="Arial"/>
          <w:color w:val="auto"/>
          <w:szCs w:val="22"/>
          <w:lang w:val="en-AU" w:eastAsia="en-AU"/>
        </w:rPr>
        <w:t xml:space="preserve"> 38, 461–474.</w:t>
      </w:r>
    </w:p>
    <w:p w:rsidR="009B567A" w:rsidRPr="007D6EB4" w:rsidRDefault="009B567A" w:rsidP="00617543">
      <w:pPr>
        <w:pStyle w:val="Para0"/>
        <w:rPr>
          <w:color w:val="auto"/>
          <w:szCs w:val="22"/>
          <w:lang w:val="en-AU"/>
        </w:rPr>
      </w:pPr>
      <w:r w:rsidRPr="007D6EB4">
        <w:rPr>
          <w:color w:val="auto"/>
          <w:szCs w:val="22"/>
          <w:lang w:val="en-AU"/>
        </w:rPr>
        <w:t xml:space="preserve">Holthuijsen, L.H., Booij, N., Ris, R., Andorka Gal, J.H. &amp; de Jong, J.C.M. 1997, ‘A verification of the third-generation wave model "SWAN" along the southern North Sea coast’, </w:t>
      </w:r>
      <w:r w:rsidRPr="007D6EB4">
        <w:rPr>
          <w:iCs/>
          <w:color w:val="auto"/>
          <w:szCs w:val="22"/>
          <w:lang w:val="en-AU"/>
        </w:rPr>
        <w:t>Proceedings 3</w:t>
      </w:r>
      <w:r w:rsidRPr="007D6EB4">
        <w:rPr>
          <w:iCs/>
          <w:color w:val="auto"/>
          <w:szCs w:val="22"/>
          <w:vertAlign w:val="superscript"/>
          <w:lang w:val="en-AU"/>
        </w:rPr>
        <w:t>rd</w:t>
      </w:r>
      <w:r w:rsidRPr="007D6EB4">
        <w:rPr>
          <w:iCs/>
          <w:color w:val="auto"/>
          <w:szCs w:val="22"/>
          <w:lang w:val="en-AU"/>
        </w:rPr>
        <w:t xml:space="preserve"> International Symposium on Ocean Wave Measurement and Analysis, WAVES '97</w:t>
      </w:r>
      <w:r w:rsidRPr="007D6EB4">
        <w:rPr>
          <w:color w:val="auto"/>
          <w:szCs w:val="22"/>
          <w:lang w:val="en-AU"/>
        </w:rPr>
        <w:t>, American Society of Civil Engineers, 49–63.</w:t>
      </w:r>
    </w:p>
    <w:p w:rsidR="0044679A" w:rsidRPr="007D6EB4" w:rsidRDefault="009B567A" w:rsidP="00C609AB">
      <w:pPr>
        <w:pStyle w:val="Para0"/>
        <w:spacing w:after="220"/>
        <w:rPr>
          <w:szCs w:val="22"/>
          <w:lang w:val="en-AU"/>
        </w:rPr>
      </w:pPr>
      <w:r w:rsidRPr="007D6EB4">
        <w:rPr>
          <w:szCs w:val="22"/>
          <w:lang w:val="en-AU"/>
        </w:rPr>
        <w:t xml:space="preserve">Isaji, T. &amp; Spaulding, M. 1984, ‘A Model of the Tidally Induced Residual Circulation in the Gulf of Maine and Georges Bank’, </w:t>
      </w:r>
      <w:r w:rsidRPr="007D6EB4">
        <w:rPr>
          <w:i/>
          <w:szCs w:val="22"/>
          <w:lang w:val="en-AU"/>
        </w:rPr>
        <w:t xml:space="preserve">Journal of Physical Oceanography, </w:t>
      </w:r>
      <w:r w:rsidRPr="007D6EB4">
        <w:rPr>
          <w:szCs w:val="22"/>
          <w:lang w:val="en-AU"/>
        </w:rPr>
        <w:t>Notes and Correspondence, 1119–1126.</w:t>
      </w:r>
    </w:p>
    <w:p w:rsidR="009B567A" w:rsidRPr="007D6EB4" w:rsidRDefault="009B567A" w:rsidP="00EC0510">
      <w:pPr>
        <w:pStyle w:val="StyleLeft"/>
        <w:rPr>
          <w:lang w:val="en-AU"/>
        </w:rPr>
      </w:pPr>
      <w:r w:rsidRPr="007D6EB4">
        <w:rPr>
          <w:lang w:val="en-AU"/>
        </w:rPr>
        <w:t xml:space="preserve">King, B. &amp; Wolanski, E. 1992, ‘Coastal dynamics along a rugged coastline’. pp 577–598 in, </w:t>
      </w:r>
      <w:r w:rsidRPr="007D6EB4">
        <w:rPr>
          <w:i/>
          <w:lang w:val="en-AU"/>
        </w:rPr>
        <w:t>Dynamics and exchanges in estuaries and the coastal zone</w:t>
      </w:r>
      <w:r w:rsidRPr="007D6EB4">
        <w:rPr>
          <w:lang w:val="en-AU"/>
        </w:rPr>
        <w:t>, ed. D. Prandle, Coastal and Estuarine Studies, Volume 40, New York.</w:t>
      </w:r>
    </w:p>
    <w:p w:rsidR="009B567A" w:rsidRPr="007D6EB4" w:rsidRDefault="009B567A" w:rsidP="00EC0510">
      <w:pPr>
        <w:pStyle w:val="StyleLeft"/>
        <w:rPr>
          <w:lang w:val="en-AU"/>
        </w:rPr>
      </w:pPr>
      <w:r w:rsidRPr="007D6EB4">
        <w:rPr>
          <w:lang w:val="en-AU"/>
        </w:rPr>
        <w:t xml:space="preserve">King, B. &amp; Wolanski, E. 1996, ‘Tidal mixing in the Central Great Barrier Reef’, </w:t>
      </w:r>
      <w:r w:rsidRPr="007D6EB4">
        <w:rPr>
          <w:i/>
          <w:lang w:val="en-AU"/>
        </w:rPr>
        <w:t>Journal of Marine Systems</w:t>
      </w:r>
      <w:r w:rsidRPr="007D6EB4">
        <w:rPr>
          <w:lang w:val="en-AU"/>
        </w:rPr>
        <w:t>, 9, 187–202.</w:t>
      </w:r>
    </w:p>
    <w:p w:rsidR="009B567A" w:rsidRDefault="009B567A" w:rsidP="00617543">
      <w:pPr>
        <w:pStyle w:val="Para0"/>
        <w:rPr>
          <w:szCs w:val="22"/>
          <w:lang w:val="en-AU"/>
        </w:rPr>
      </w:pPr>
      <w:r w:rsidRPr="007D6EB4">
        <w:rPr>
          <w:szCs w:val="22"/>
          <w:lang w:val="en-AU"/>
        </w:rPr>
        <w:lastRenderedPageBreak/>
        <w:t>Kostianoy, A.G., Ginzburg, A.I.,</w:t>
      </w:r>
      <w:r w:rsidR="006D4E6A">
        <w:rPr>
          <w:szCs w:val="22"/>
          <w:lang w:val="en-AU"/>
        </w:rPr>
        <w:t xml:space="preserve"> </w:t>
      </w:r>
      <w:r w:rsidRPr="007D6EB4">
        <w:rPr>
          <w:szCs w:val="22"/>
          <w:lang w:val="en-AU"/>
        </w:rPr>
        <w:t xml:space="preserve">Lebedev, S.A., Frankignoulle, M. &amp; Delille, B. 2003, ‘Fronts and mesoscale variability in the southern Indian Ocean as inferred from the TOPEX/POSEIDON and ERS-2 Altimetry data’, </w:t>
      </w:r>
      <w:r w:rsidRPr="007D6EB4">
        <w:rPr>
          <w:i/>
          <w:szCs w:val="22"/>
          <w:lang w:val="en-AU"/>
        </w:rPr>
        <w:t>Oceanology</w:t>
      </w:r>
      <w:r w:rsidRPr="007D6EB4">
        <w:rPr>
          <w:szCs w:val="22"/>
          <w:lang w:val="en-AU"/>
        </w:rPr>
        <w:t xml:space="preserve"> 43: 632–642.</w:t>
      </w:r>
    </w:p>
    <w:p w:rsidR="00A03DE5" w:rsidRDefault="00A03DE5" w:rsidP="00617543">
      <w:pPr>
        <w:spacing w:after="0" w:line="240" w:lineRule="auto"/>
        <w:jc w:val="left"/>
        <w:rPr>
          <w:rFonts w:cs="Arial"/>
          <w:color w:val="222222"/>
          <w:szCs w:val="22"/>
          <w:lang w:val="en-AU" w:eastAsia="en-AU"/>
        </w:rPr>
      </w:pPr>
    </w:p>
    <w:p w:rsidR="00897D99" w:rsidRPr="00C609AB" w:rsidRDefault="00897D99" w:rsidP="00617543">
      <w:pPr>
        <w:spacing w:after="0" w:line="240" w:lineRule="auto"/>
        <w:jc w:val="left"/>
        <w:rPr>
          <w:rFonts w:cs="Arial"/>
          <w:color w:val="auto"/>
          <w:szCs w:val="22"/>
          <w:lang w:val="en-AU" w:eastAsia="en-AU"/>
        </w:rPr>
      </w:pPr>
      <w:r w:rsidRPr="00C609AB">
        <w:rPr>
          <w:rFonts w:cs="Arial"/>
          <w:color w:val="auto"/>
          <w:szCs w:val="22"/>
          <w:lang w:val="en-AU" w:eastAsia="en-AU"/>
        </w:rPr>
        <w:t xml:space="preserve">Lambeck, A. &amp; Woolfe, K.J. 2000, ‘Composition and textural variability along the 10 m isobath, Great Barrier Reef: evidence for pervasive northward sediment transport’, </w:t>
      </w:r>
      <w:r w:rsidRPr="00C609AB">
        <w:rPr>
          <w:rFonts w:cs="Arial"/>
          <w:i/>
          <w:iCs/>
          <w:color w:val="auto"/>
          <w:szCs w:val="22"/>
          <w:lang w:val="en-AU" w:eastAsia="en-AU"/>
        </w:rPr>
        <w:t>Australian Journal of Earth Sciences,</w:t>
      </w:r>
      <w:r w:rsidRPr="00C609AB">
        <w:rPr>
          <w:rFonts w:cs="Arial"/>
          <w:color w:val="auto"/>
          <w:szCs w:val="22"/>
          <w:lang w:val="en-AU" w:eastAsia="en-AU"/>
        </w:rPr>
        <w:t xml:space="preserve"> 47, 327–335.</w:t>
      </w:r>
    </w:p>
    <w:p w:rsidR="0044679A" w:rsidRPr="007D6EB4" w:rsidRDefault="0044679A" w:rsidP="00617543">
      <w:pPr>
        <w:spacing w:after="0" w:line="240" w:lineRule="auto"/>
        <w:jc w:val="left"/>
        <w:rPr>
          <w:rFonts w:cs="Arial"/>
          <w:color w:val="222222"/>
          <w:szCs w:val="22"/>
          <w:lang w:val="en-AU" w:eastAsia="en-AU"/>
        </w:rPr>
      </w:pPr>
    </w:p>
    <w:p w:rsidR="009B567A" w:rsidRPr="007D6EB4" w:rsidRDefault="009B567A" w:rsidP="00EC0510">
      <w:pPr>
        <w:pStyle w:val="StyleLeft"/>
        <w:rPr>
          <w:lang w:val="en-AU"/>
        </w:rPr>
      </w:pPr>
      <w:r w:rsidRPr="007D6EB4">
        <w:rPr>
          <w:lang w:val="en-AU"/>
        </w:rPr>
        <w:t xml:space="preserve">Lambrechts, J., Humphrey, C., McKinna, L., Gourge, O., Fabricius, K.E., Mehta, A.J., Lewis, S. &amp; Wolanski, E. 2010, ‘Importance of wave-induced bed liquefaction in the fine sediment budget of Cleveland Bay, Great Barrier Reef’ </w:t>
      </w:r>
      <w:r w:rsidRPr="007D6EB4">
        <w:rPr>
          <w:i/>
          <w:lang w:val="en-AU"/>
        </w:rPr>
        <w:t>Estuarine, Coastal and Shelf Science</w:t>
      </w:r>
      <w:r w:rsidRPr="007D6EB4">
        <w:rPr>
          <w:lang w:val="en-AU"/>
        </w:rPr>
        <w:t>, 89, 154–162.</w:t>
      </w:r>
    </w:p>
    <w:p w:rsidR="009B567A" w:rsidRDefault="009B567A" w:rsidP="00617543">
      <w:pPr>
        <w:pStyle w:val="Para0"/>
        <w:rPr>
          <w:szCs w:val="22"/>
          <w:lang w:val="en-AU"/>
        </w:rPr>
      </w:pPr>
      <w:r w:rsidRPr="007D6EB4">
        <w:rPr>
          <w:szCs w:val="22"/>
          <w:lang w:val="en-AU"/>
        </w:rPr>
        <w:t xml:space="preserve">Ludicone, D., Santoleri, R., Marullo, S. &amp; Gerosa, P. 1998, ‘Sea level variability and surface eddy statistics in the Mediterranean Sea from TOPEX/POSEIDON data’, </w:t>
      </w:r>
      <w:r w:rsidRPr="007D6EB4">
        <w:rPr>
          <w:i/>
          <w:szCs w:val="22"/>
          <w:lang w:val="en-AU"/>
        </w:rPr>
        <w:t>Journal of Geophysical Research,</w:t>
      </w:r>
      <w:r w:rsidRPr="007D6EB4">
        <w:rPr>
          <w:szCs w:val="22"/>
          <w:lang w:val="en-AU"/>
        </w:rPr>
        <w:t xml:space="preserve"> 103, 2995–3011.</w:t>
      </w:r>
    </w:p>
    <w:p w:rsidR="006B629D" w:rsidRPr="007D6EB4" w:rsidRDefault="006B629D" w:rsidP="00617543">
      <w:pPr>
        <w:pStyle w:val="Para0"/>
        <w:rPr>
          <w:szCs w:val="22"/>
          <w:lang w:val="en-AU"/>
        </w:rPr>
      </w:pPr>
      <w:r>
        <w:rPr>
          <w:szCs w:val="22"/>
          <w:lang w:val="en-AU"/>
        </w:rPr>
        <w:t xml:space="preserve">Luick, J.L., Mason, L., Hardy, T. &amp; Furnas, M.J. 2007. Circulations in the Great reef barrier lagoon using numerical tracers and in situ data. </w:t>
      </w:r>
      <w:r w:rsidR="001C5FFB" w:rsidRPr="001C5FFB">
        <w:rPr>
          <w:i/>
          <w:szCs w:val="22"/>
          <w:lang w:val="en-AU"/>
        </w:rPr>
        <w:t>Continental Shelf Research</w:t>
      </w:r>
      <w:r>
        <w:rPr>
          <w:szCs w:val="22"/>
          <w:lang w:val="en-AU"/>
        </w:rPr>
        <w:t>, 27, 757-778.</w:t>
      </w:r>
    </w:p>
    <w:p w:rsidR="009B567A" w:rsidRPr="007D6EB4" w:rsidRDefault="009B567A" w:rsidP="00617543">
      <w:pPr>
        <w:pStyle w:val="Para0"/>
        <w:rPr>
          <w:szCs w:val="22"/>
          <w:lang w:val="en-AU"/>
        </w:rPr>
      </w:pPr>
      <w:r w:rsidRPr="007D6EB4">
        <w:rPr>
          <w:szCs w:val="22"/>
          <w:lang w:val="en-AU"/>
        </w:rPr>
        <w:t>Mathews, El., Heap., &amp; Woods, P. 2007, ‘Inter-reefal seabed sediments and geomorphology of the Great Barrier Reef, a spatial analysis’,</w:t>
      </w:r>
      <w:r w:rsidR="0043422D">
        <w:rPr>
          <w:szCs w:val="22"/>
          <w:lang w:val="en-AU"/>
        </w:rPr>
        <w:t xml:space="preserve"> </w:t>
      </w:r>
      <w:r w:rsidRPr="007D6EB4">
        <w:rPr>
          <w:szCs w:val="22"/>
          <w:lang w:val="en-AU"/>
        </w:rPr>
        <w:t>An Australian Government report, Geoscience Australia, 2007/09.</w:t>
      </w:r>
    </w:p>
    <w:p w:rsidR="0044679A" w:rsidRPr="007D6EB4" w:rsidRDefault="009B567A" w:rsidP="00C609AB">
      <w:pPr>
        <w:pStyle w:val="Para0"/>
        <w:spacing w:after="220"/>
        <w:rPr>
          <w:szCs w:val="22"/>
          <w:lang w:val="en-AU"/>
        </w:rPr>
      </w:pPr>
      <w:r w:rsidRPr="007D6EB4">
        <w:rPr>
          <w:szCs w:val="22"/>
          <w:lang w:val="en-AU"/>
        </w:rPr>
        <w:t xml:space="preserve">Qiu, B. &amp; Chen, S. 2010, ‘Eddy-mean flow interaction in the decadally modulating Kuroshio Extension system’, </w:t>
      </w:r>
      <w:r w:rsidRPr="007D6EB4">
        <w:rPr>
          <w:i/>
          <w:szCs w:val="22"/>
          <w:lang w:val="en-AU"/>
        </w:rPr>
        <w:t>Deep-Sea Research</w:t>
      </w:r>
      <w:r w:rsidRPr="007D6EB4">
        <w:rPr>
          <w:szCs w:val="22"/>
          <w:lang w:val="en-AU"/>
        </w:rPr>
        <w:t xml:space="preserve"> </w:t>
      </w:r>
      <w:r w:rsidRPr="007D6EB4">
        <w:rPr>
          <w:i/>
          <w:szCs w:val="22"/>
          <w:lang w:val="en-AU"/>
        </w:rPr>
        <w:t>II,</w:t>
      </w:r>
      <w:r w:rsidRPr="007D6EB4">
        <w:rPr>
          <w:szCs w:val="22"/>
          <w:lang w:val="en-AU"/>
        </w:rPr>
        <w:t xml:space="preserve"> 57, 1098–1110</w:t>
      </w:r>
    </w:p>
    <w:p w:rsidR="00B17654" w:rsidRPr="007D6EB4" w:rsidRDefault="00B17654" w:rsidP="00EC0510">
      <w:pPr>
        <w:pStyle w:val="StyleLeft"/>
        <w:rPr>
          <w:lang w:val="en-AU"/>
        </w:rPr>
      </w:pPr>
      <w:r w:rsidRPr="007D6EB4">
        <w:rPr>
          <w:lang w:val="en-AU"/>
        </w:rPr>
        <w:t>Soulsby, R. 1997, Dynamics of marine sands - A manual for practical applications, London, Thomas Telford Publications.</w:t>
      </w:r>
    </w:p>
    <w:p w:rsidR="0044679A" w:rsidRPr="007D6EB4" w:rsidRDefault="009B567A" w:rsidP="00C609AB">
      <w:pPr>
        <w:pStyle w:val="Para0"/>
        <w:spacing w:after="220"/>
        <w:rPr>
          <w:szCs w:val="22"/>
          <w:lang w:val="en-AU"/>
        </w:rPr>
      </w:pPr>
      <w:r w:rsidRPr="007D6EB4">
        <w:rPr>
          <w:szCs w:val="22"/>
          <w:lang w:val="en-AU"/>
        </w:rPr>
        <w:t>Tolman, H.L. 2009, ‘</w:t>
      </w:r>
      <w:r w:rsidRPr="007D6EB4">
        <w:rPr>
          <w:i/>
          <w:szCs w:val="22"/>
          <w:lang w:val="en-AU"/>
        </w:rPr>
        <w:t>User manual and system documentation of WAVEWATCH III version 3.14</w:t>
      </w:r>
      <w:r w:rsidRPr="007D6EB4">
        <w:rPr>
          <w:szCs w:val="22"/>
          <w:lang w:val="en-AU"/>
        </w:rPr>
        <w:t>’, National Oceanic and Atmospheric Administration (National Centers for Environmental Prediction).</w:t>
      </w:r>
    </w:p>
    <w:p w:rsidR="009B567A" w:rsidRDefault="009B567A" w:rsidP="00617543">
      <w:pPr>
        <w:spacing w:after="0" w:line="240" w:lineRule="auto"/>
        <w:jc w:val="left"/>
        <w:rPr>
          <w:rFonts w:cs="Arial"/>
          <w:color w:val="auto"/>
          <w:szCs w:val="22"/>
          <w:lang w:val="en-AU" w:eastAsia="en-AU"/>
        </w:rPr>
      </w:pPr>
      <w:r w:rsidRPr="007D6EB4">
        <w:rPr>
          <w:rFonts w:cs="Arial"/>
          <w:color w:val="auto"/>
          <w:szCs w:val="22"/>
          <w:lang w:val="en-AU" w:eastAsia="en-AU"/>
        </w:rPr>
        <w:t xml:space="preserve">Wallcraft, A., Carroll, S.N., Kelly, K.A. &amp; Rushing, K.V. 2003, ‘Hybrid Coordinate Ocean Model (HYCOM), version 2.1 User’s Guide’, </w:t>
      </w:r>
      <w:r w:rsidRPr="007D6EB4">
        <w:rPr>
          <w:rFonts w:cs="Arial"/>
          <w:iCs/>
          <w:color w:val="auto"/>
          <w:szCs w:val="22"/>
          <w:lang w:val="en-AU" w:eastAsia="en-AU"/>
        </w:rPr>
        <w:t>Available from &lt;panoramix.rsmas.miami. edu/hycom/documentation. html</w:t>
      </w:r>
      <w:r w:rsidRPr="007D6EB4">
        <w:rPr>
          <w:rFonts w:cs="Arial"/>
          <w:color w:val="auto"/>
          <w:szCs w:val="22"/>
          <w:lang w:val="en-AU" w:eastAsia="en-AU"/>
        </w:rPr>
        <w:t>.&gt;</w:t>
      </w:r>
    </w:p>
    <w:p w:rsidR="0044679A" w:rsidRPr="007D6EB4" w:rsidRDefault="0044679A" w:rsidP="00617543">
      <w:pPr>
        <w:spacing w:after="0" w:line="240" w:lineRule="auto"/>
        <w:jc w:val="left"/>
        <w:rPr>
          <w:rFonts w:cs="Arial"/>
          <w:color w:val="auto"/>
          <w:szCs w:val="22"/>
          <w:lang w:val="en-AU" w:eastAsia="en-AU"/>
        </w:rPr>
      </w:pPr>
    </w:p>
    <w:p w:rsidR="0021025C" w:rsidRPr="00C609AB" w:rsidRDefault="0021025C" w:rsidP="00617543">
      <w:pPr>
        <w:spacing w:after="0" w:line="240" w:lineRule="auto"/>
        <w:jc w:val="left"/>
        <w:rPr>
          <w:rFonts w:cs="Arial"/>
          <w:color w:val="auto"/>
          <w:szCs w:val="22"/>
          <w:lang w:val="en-AU" w:eastAsia="en-AU"/>
        </w:rPr>
      </w:pPr>
      <w:r w:rsidRPr="00C609AB">
        <w:rPr>
          <w:rFonts w:cs="Arial"/>
          <w:color w:val="auto"/>
          <w:szCs w:val="22"/>
          <w:lang w:val="en-AU" w:eastAsia="en-AU"/>
        </w:rPr>
        <w:t xml:space="preserve">Wolanski, E., Gibbs, R., Ridd, P., &amp; Mehta, A. 1992, ‘Settling of ocean-dumped dredged material, Townsville, Australia’, </w:t>
      </w:r>
      <w:r w:rsidRPr="00C609AB">
        <w:rPr>
          <w:rFonts w:cs="Arial"/>
          <w:i/>
          <w:iCs/>
          <w:color w:val="auto"/>
          <w:szCs w:val="22"/>
          <w:lang w:val="en-AU" w:eastAsia="en-AU"/>
        </w:rPr>
        <w:t>Estuarine, Coastal and Shelf Science</w:t>
      </w:r>
      <w:r w:rsidRPr="00C609AB">
        <w:rPr>
          <w:rFonts w:cs="Arial"/>
          <w:color w:val="auto"/>
          <w:szCs w:val="22"/>
          <w:lang w:val="en-AU" w:eastAsia="en-AU"/>
        </w:rPr>
        <w:t xml:space="preserve">, </w:t>
      </w:r>
      <w:r w:rsidRPr="00C609AB">
        <w:rPr>
          <w:rFonts w:cs="Arial"/>
          <w:i/>
          <w:iCs/>
          <w:color w:val="auto"/>
          <w:szCs w:val="22"/>
          <w:lang w:val="en-AU" w:eastAsia="en-AU"/>
        </w:rPr>
        <w:t>35</w:t>
      </w:r>
      <w:r w:rsidRPr="00C609AB">
        <w:rPr>
          <w:rFonts w:cs="Arial"/>
          <w:color w:val="auto"/>
          <w:szCs w:val="22"/>
          <w:lang w:val="en-AU" w:eastAsia="en-AU"/>
        </w:rPr>
        <w:t>, 473-489.</w:t>
      </w:r>
    </w:p>
    <w:p w:rsidR="009B567A" w:rsidRPr="007D6EB4" w:rsidRDefault="009B567A" w:rsidP="00617543">
      <w:pPr>
        <w:pStyle w:val="Para0"/>
        <w:rPr>
          <w:szCs w:val="22"/>
          <w:lang w:val="en-AU"/>
        </w:rPr>
      </w:pPr>
      <w:r w:rsidRPr="007D6EB4">
        <w:rPr>
          <w:rFonts w:cs="Arial"/>
          <w:color w:val="auto"/>
          <w:szCs w:val="22"/>
          <w:lang w:val="en-AU"/>
        </w:rPr>
        <w:t xml:space="preserve">Wolanski, E. 1994, </w:t>
      </w:r>
      <w:r w:rsidRPr="007D6EB4">
        <w:rPr>
          <w:rFonts w:cs="Arial"/>
          <w:i/>
          <w:color w:val="auto"/>
          <w:szCs w:val="22"/>
          <w:lang w:val="en-AU"/>
        </w:rPr>
        <w:t>Oceanographic Processes of the Great Barrier Reef</w:t>
      </w:r>
      <w:r w:rsidRPr="007D6EB4">
        <w:rPr>
          <w:rFonts w:cs="Arial"/>
          <w:color w:val="auto"/>
          <w:szCs w:val="22"/>
          <w:lang w:val="en-AU"/>
        </w:rPr>
        <w:t>, CRC Press, Boca Raton, Florida.</w:t>
      </w:r>
    </w:p>
    <w:p w:rsidR="009B567A" w:rsidRPr="007D6EB4" w:rsidRDefault="009B567A" w:rsidP="00617543">
      <w:pPr>
        <w:pStyle w:val="Para0"/>
        <w:rPr>
          <w:szCs w:val="22"/>
          <w:lang w:val="en-AU"/>
        </w:rPr>
      </w:pPr>
      <w:r w:rsidRPr="007D6EB4">
        <w:rPr>
          <w:szCs w:val="22"/>
          <w:lang w:val="en-AU"/>
        </w:rPr>
        <w:t xml:space="preserve">Yaremchuk, M. &amp; Tangdong, Q. 2004, ‘Seasonal Variability of the Large-Scale Currents near the Coast of the Philippines’, </w:t>
      </w:r>
      <w:r w:rsidRPr="007D6EB4">
        <w:rPr>
          <w:i/>
          <w:szCs w:val="22"/>
          <w:lang w:val="en-AU"/>
        </w:rPr>
        <w:t>Journal of Physical Oceanography,</w:t>
      </w:r>
      <w:r w:rsidRPr="007D6EB4">
        <w:rPr>
          <w:szCs w:val="22"/>
          <w:lang w:val="en-AU"/>
        </w:rPr>
        <w:t xml:space="preserve"> 34, 844–855.</w:t>
      </w:r>
    </w:p>
    <w:sectPr w:rsidR="009B567A" w:rsidRPr="007D6EB4" w:rsidSect="00791DEB">
      <w:pgSz w:w="11907" w:h="16840" w:code="9"/>
      <w:pgMar w:top="1418" w:right="1701" w:bottom="1418" w:left="1701" w:header="567" w:footer="567" w:gutter="0"/>
      <w:cols w:space="720"/>
      <w:formProt w:val="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2A47" w:rsidRDefault="004D2A47">
      <w:r>
        <w:separator/>
      </w:r>
    </w:p>
  </w:endnote>
  <w:endnote w:type="continuationSeparator" w:id="0">
    <w:p w:rsidR="004D2A47" w:rsidRDefault="004D2A47">
      <w:r>
        <w:continuationSeparator/>
      </w:r>
    </w:p>
  </w:endnote>
  <w:endnote w:type="continuationNotice" w:id="1">
    <w:p w:rsidR="004D2A47" w:rsidRDefault="004D2A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A47" w:rsidRPr="00576973" w:rsidRDefault="004D2A47" w:rsidP="007D44B8">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C64E39">
      <w:rPr>
        <w:rFonts w:ascii="Arial" w:hAnsi="Arial"/>
        <w:color w:val="auto"/>
        <w:sz w:val="24"/>
      </w:rPr>
      <w:t>viii</w:t>
    </w:r>
    <w:r w:rsidRPr="007D44B8">
      <w:rPr>
        <w:rFonts w:ascii="Arial" w:hAnsi="Arial"/>
        <w:color w:val="auto"/>
        <w:sz w:val="24"/>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A47" w:rsidRPr="004C5A33" w:rsidRDefault="004D2A47" w:rsidP="004C5A3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A47" w:rsidRDefault="004D2A47">
    <w:pPr>
      <w:pStyle w:val="Footer"/>
      <w:jc w:val="center"/>
    </w:pPr>
    <w:r>
      <w:fldChar w:fldCharType="begin"/>
    </w:r>
    <w:r>
      <w:instrText xml:space="preserve"> PAGE   \* MERGEFORMAT </w:instrText>
    </w:r>
    <w:r>
      <w:fldChar w:fldCharType="separate"/>
    </w:r>
    <w:r>
      <w:t>1</w:t>
    </w:r>
    <w:r>
      <w:fldChar w:fldCharType="end"/>
    </w:r>
  </w:p>
  <w:p w:rsidR="004D2A47" w:rsidRPr="001F5825" w:rsidRDefault="004D2A47" w:rsidP="001F582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A47" w:rsidRPr="00576973" w:rsidRDefault="004D2A47" w:rsidP="004C5A33">
    <w:pPr>
      <w:pStyle w:val="Footer"/>
      <w:jc w:val="center"/>
    </w:pPr>
    <w:r w:rsidRPr="007D44B8">
      <w:rPr>
        <w:rFonts w:ascii="Arial" w:hAnsi="Arial"/>
        <w:color w:val="auto"/>
        <w:sz w:val="24"/>
      </w:rPr>
      <w:fldChar w:fldCharType="begin"/>
    </w:r>
    <w:r w:rsidRPr="007D44B8">
      <w:rPr>
        <w:rFonts w:ascii="Arial" w:hAnsi="Arial"/>
        <w:color w:val="auto"/>
        <w:sz w:val="24"/>
      </w:rPr>
      <w:instrText xml:space="preserve"> PAGE   \* MERGEFORMAT </w:instrText>
    </w:r>
    <w:r w:rsidRPr="007D44B8">
      <w:rPr>
        <w:rFonts w:ascii="Arial" w:hAnsi="Arial"/>
        <w:color w:val="auto"/>
        <w:sz w:val="24"/>
      </w:rPr>
      <w:fldChar w:fldCharType="separate"/>
    </w:r>
    <w:r w:rsidR="00C64E39">
      <w:rPr>
        <w:rFonts w:ascii="Arial" w:hAnsi="Arial"/>
        <w:color w:val="auto"/>
        <w:sz w:val="24"/>
      </w:rPr>
      <w:t>80</w:t>
    </w:r>
    <w:r w:rsidRPr="007D44B8">
      <w:rPr>
        <w:rFonts w:ascii="Arial" w:hAnsi="Arial"/>
        <w:color w:val="auto"/>
        <w:sz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2A47" w:rsidRDefault="004D2A47">
      <w:r>
        <w:separator/>
      </w:r>
    </w:p>
  </w:footnote>
  <w:footnote w:type="continuationSeparator" w:id="0">
    <w:p w:rsidR="004D2A47" w:rsidRDefault="004D2A47">
      <w:r>
        <w:continuationSeparator/>
      </w:r>
    </w:p>
  </w:footnote>
  <w:footnote w:type="continuationNotice" w:id="1">
    <w:p w:rsidR="004D2A47" w:rsidRDefault="004D2A47">
      <w:pPr>
        <w:spacing w:after="0" w:line="240" w:lineRule="auto"/>
      </w:pPr>
    </w:p>
  </w:footnote>
  <w:footnote w:id="2">
    <w:p w:rsidR="004D2A47" w:rsidRPr="009E7705" w:rsidRDefault="004D2A47" w:rsidP="00893FBC">
      <w:pPr>
        <w:spacing w:line="240" w:lineRule="auto"/>
        <w:rPr>
          <w:rFonts w:eastAsiaTheme="minorEastAsia"/>
          <w:sz w:val="20"/>
        </w:rPr>
      </w:pPr>
      <w:r>
        <w:rPr>
          <w:rStyle w:val="FootnoteReference"/>
        </w:rPr>
        <w:footnoteRef/>
      </w:r>
      <w:r>
        <w:t xml:space="preserve"> </w:t>
      </w:r>
      <w:r w:rsidRPr="009E7705">
        <w:rPr>
          <w:sz w:val="20"/>
        </w:rPr>
        <w:t>Mean absolute error equation:</w:t>
      </w:r>
      <w:r>
        <w:rPr>
          <w:sz w:val="20"/>
        </w:rPr>
        <w:t xml:space="preserve"> </w:t>
      </w:r>
      <m:oMath>
        <m:r>
          <w:rPr>
            <w:rFonts w:ascii="Cambria Math" w:hAnsi="Cambria Math"/>
            <w:sz w:val="20"/>
          </w:rPr>
          <m:t>MAE=</m:t>
        </m:r>
        <m:f>
          <m:fPr>
            <m:ctrlPr>
              <w:rPr>
                <w:rFonts w:ascii="Cambria Math" w:hAnsi="Cambria Math"/>
                <w:i/>
                <w:sz w:val="20"/>
              </w:rPr>
            </m:ctrlPr>
          </m:fPr>
          <m:num>
            <m:r>
              <w:rPr>
                <w:rFonts w:ascii="Cambria Math" w:hAnsi="Cambria Math"/>
                <w:sz w:val="20"/>
              </w:rPr>
              <m:t>1</m:t>
            </m:r>
          </m:num>
          <m:den>
            <m:r>
              <w:rPr>
                <w:rFonts w:ascii="Cambria Math" w:hAnsi="Cambria Math"/>
                <w:sz w:val="20"/>
              </w:rPr>
              <m:t>n</m:t>
            </m:r>
          </m:den>
        </m:f>
        <m:nary>
          <m:naryPr>
            <m:chr m:val="∑"/>
            <m:limLoc m:val="undOvr"/>
            <m:ctrlPr>
              <w:rPr>
                <w:rFonts w:ascii="Cambria Math" w:hAnsi="Cambria Math"/>
                <w:i/>
                <w:sz w:val="20"/>
              </w:rPr>
            </m:ctrlPr>
          </m:naryPr>
          <m:sub>
            <m:r>
              <w:rPr>
                <w:rFonts w:ascii="Cambria Math" w:hAnsi="Cambria Math"/>
                <w:sz w:val="20"/>
              </w:rPr>
              <m:t>i=1</m:t>
            </m:r>
          </m:sub>
          <m:sup>
            <m:r>
              <w:rPr>
                <w:rFonts w:ascii="Cambria Math" w:hAnsi="Cambria Math"/>
                <w:sz w:val="20"/>
              </w:rPr>
              <m:t>n</m:t>
            </m:r>
          </m:sup>
          <m:e>
            <m:r>
              <w:rPr>
                <w:rFonts w:ascii="Cambria Math" w:hAnsi="Cambria Math"/>
                <w:sz w:val="20"/>
              </w:rPr>
              <m:t>|modelled</m:t>
            </m:r>
            <m:sSub>
              <m:sSubPr>
                <m:ctrlPr>
                  <w:rPr>
                    <w:rFonts w:ascii="Cambria Math" w:hAnsi="Cambria Math"/>
                    <w:i/>
                    <w:sz w:val="20"/>
                  </w:rPr>
                </m:ctrlPr>
              </m:sSubPr>
              <m:e>
                <m:r>
                  <m:rPr>
                    <m:sty m:val="p"/>
                  </m:rPr>
                  <w:rPr>
                    <w:rFonts w:ascii="Cambria Math" w:hAnsi="Cambria Math"/>
                    <w:sz w:val="20"/>
                  </w:rPr>
                  <w:noBreakHyphen/>
                </m:r>
              </m:e>
              <m:sub>
                <m:r>
                  <w:rPr>
                    <w:rFonts w:ascii="Cambria Math" w:hAnsi="Cambria Math"/>
                    <w:sz w:val="20"/>
                  </w:rPr>
                  <m:t>i</m:t>
                </m:r>
              </m:sub>
            </m:sSub>
            <m:r>
              <w:rPr>
                <w:rFonts w:ascii="Cambria Math" w:hAnsi="Cambria Math"/>
                <w:sz w:val="20"/>
              </w:rPr>
              <m:t>-</m:t>
            </m:r>
          </m:e>
        </m:nary>
        <m:r>
          <w:rPr>
            <w:rFonts w:ascii="Cambria Math" w:hAnsi="Cambria Math"/>
            <w:sz w:val="20"/>
          </w:rPr>
          <m:t>measure</m:t>
        </m:r>
        <m:sSub>
          <m:sSubPr>
            <m:ctrlPr>
              <w:rPr>
                <w:rFonts w:ascii="Cambria Math" w:hAnsi="Cambria Math"/>
                <w:i/>
                <w:sz w:val="20"/>
              </w:rPr>
            </m:ctrlPr>
          </m:sSubPr>
          <m:e>
            <m:r>
              <w:rPr>
                <w:rFonts w:ascii="Cambria Math" w:hAnsi="Cambria Math"/>
                <w:sz w:val="20"/>
              </w:rPr>
              <m:t>d</m:t>
            </m:r>
          </m:e>
          <m:sub>
            <m:r>
              <w:rPr>
                <w:rFonts w:ascii="Cambria Math" w:hAnsi="Cambria Math"/>
                <w:sz w:val="20"/>
              </w:rPr>
              <m:t>i</m:t>
            </m:r>
          </m:sub>
        </m:sSub>
        <m:r>
          <w:rPr>
            <w:rFonts w:ascii="Cambria Math" w:hAnsi="Cambria Math"/>
            <w:sz w:val="20"/>
          </w:rPr>
          <m:t>|</m:t>
        </m:r>
      </m:oMath>
      <w:r w:rsidRPr="009E7705">
        <w:rPr>
          <w:rFonts w:eastAsiaTheme="minorEastAsia"/>
          <w:sz w:val="20"/>
        </w:rPr>
        <w:t xml:space="preserve"> </w:t>
      </w:r>
    </w:p>
    <w:p w:rsidR="004D2A47" w:rsidRPr="009E7705" w:rsidRDefault="004D2A47" w:rsidP="00893FBC">
      <w:pPr>
        <w:pStyle w:val="FootnoteText"/>
        <w:rPr>
          <w:lang w:val="en-AU"/>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A47" w:rsidRDefault="004D2A47">
    <w:pPr>
      <w:pStyle w:val="Header"/>
    </w:pPr>
    <w:bookmarkStart w:id="1" w:name="DocTitle"/>
    <w:bookmarkEnd w:id="1"/>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A47" w:rsidRPr="00576973" w:rsidRDefault="004D2A47" w:rsidP="0057697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B7E4148E"/>
    <w:lvl w:ilvl="0">
      <w:start w:val="1"/>
      <w:numFmt w:val="bullet"/>
      <w:lvlText w:val=""/>
      <w:lvlJc w:val="left"/>
      <w:pPr>
        <w:tabs>
          <w:tab w:val="num" w:pos="360"/>
        </w:tabs>
        <w:ind w:left="360" w:hanging="360"/>
      </w:pPr>
      <w:rPr>
        <w:rFonts w:ascii="Symbol" w:hAnsi="Symbol" w:hint="default"/>
      </w:rPr>
    </w:lvl>
  </w:abstractNum>
  <w:abstractNum w:abstractNumId="1">
    <w:nsid w:val="03271D4C"/>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nsid w:val="07295582"/>
    <w:multiLevelType w:val="hybridMultilevel"/>
    <w:tmpl w:val="24BE13DE"/>
    <w:lvl w:ilvl="0" w:tplc="BE08A810">
      <w:start w:val="1"/>
      <w:numFmt w:val="lowerRoman"/>
      <w:pStyle w:val="Para1Roman"/>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3">
    <w:nsid w:val="07D76713"/>
    <w:multiLevelType w:val="hybridMultilevel"/>
    <w:tmpl w:val="AB58F984"/>
    <w:lvl w:ilvl="0" w:tplc="FFEED89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020D15"/>
    <w:multiLevelType w:val="multilevel"/>
    <w:tmpl w:val="8B525E08"/>
    <w:lvl w:ilvl="0">
      <w:start w:val="1"/>
      <w:numFmt w:val="decimal"/>
      <w:lvlText w:val="%1."/>
      <w:lvlJc w:val="left"/>
      <w:pPr>
        <w:ind w:left="502" w:hanging="360"/>
      </w:pPr>
      <w:rPr>
        <w:rFonts w:cs="Times New Roman"/>
        <w:bCs w:val="0"/>
        <w:i w:val="0"/>
        <w:iCs w:val="0"/>
        <w:smallCaps w:val="0"/>
        <w:strike w:val="0"/>
        <w:dstrike w:val="0"/>
        <w:noProof w:val="0"/>
        <w:vanish w:val="0"/>
        <w:color w:val="000000"/>
        <w:spacing w:val="0"/>
        <w:kern w:val="0"/>
        <w:position w:val="0"/>
        <w:u w:val="none"/>
        <w:vertAlign w:val="baseline"/>
        <w:em w:val="none"/>
      </w:rPr>
    </w:lvl>
    <w:lvl w:ilvl="1">
      <w:start w:val="1"/>
      <w:numFmt w:val="decimal"/>
      <w:lvlText w:val="%1.%2."/>
      <w:lvlJc w:val="left"/>
      <w:pPr>
        <w:ind w:left="934" w:hanging="432"/>
      </w:pPr>
    </w:lvl>
    <w:lvl w:ilvl="2">
      <w:start w:val="1"/>
      <w:numFmt w:val="decimal"/>
      <w:lvlText w:val="%1.%2.%3."/>
      <w:lvlJc w:val="left"/>
      <w:pPr>
        <w:ind w:left="1366" w:hanging="504"/>
      </w:p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5">
    <w:nsid w:val="16097DE7"/>
    <w:multiLevelType w:val="singleLevel"/>
    <w:tmpl w:val="9B94E4FC"/>
    <w:lvl w:ilvl="0">
      <w:start w:val="1"/>
      <w:numFmt w:val="bullet"/>
      <w:pStyle w:val="Para0bullet"/>
      <w:lvlText w:val=""/>
      <w:lvlJc w:val="left"/>
      <w:pPr>
        <w:tabs>
          <w:tab w:val="num" w:pos="397"/>
        </w:tabs>
        <w:ind w:left="397" w:hanging="397"/>
      </w:pPr>
      <w:rPr>
        <w:rFonts w:ascii="Wingdings" w:hAnsi="Wingdings" w:hint="default"/>
        <w:sz w:val="12"/>
      </w:rPr>
    </w:lvl>
  </w:abstractNum>
  <w:abstractNum w:abstractNumId="6">
    <w:nsid w:val="16503484"/>
    <w:multiLevelType w:val="singleLevel"/>
    <w:tmpl w:val="CCCA14D0"/>
    <w:lvl w:ilvl="0">
      <w:start w:val="1"/>
      <w:numFmt w:val="bullet"/>
      <w:pStyle w:val="Para3dash"/>
      <w:lvlText w:val="–"/>
      <w:lvlJc w:val="left"/>
      <w:pPr>
        <w:tabs>
          <w:tab w:val="num" w:pos="1588"/>
        </w:tabs>
        <w:ind w:left="1588" w:hanging="397"/>
      </w:pPr>
      <w:rPr>
        <w:rFonts w:ascii="Arial" w:hAnsi="Arial" w:hint="default"/>
        <w:position w:val="0"/>
        <w:sz w:val="22"/>
      </w:rPr>
    </w:lvl>
  </w:abstractNum>
  <w:abstractNum w:abstractNumId="7">
    <w:nsid w:val="189E10A2"/>
    <w:multiLevelType w:val="singleLevel"/>
    <w:tmpl w:val="9E92DC8E"/>
    <w:lvl w:ilvl="0">
      <w:start w:val="1"/>
      <w:numFmt w:val="bullet"/>
      <w:lvlText w:val=""/>
      <w:lvlJc w:val="left"/>
      <w:pPr>
        <w:tabs>
          <w:tab w:val="num" w:pos="397"/>
        </w:tabs>
        <w:ind w:left="397" w:hanging="397"/>
      </w:pPr>
      <w:rPr>
        <w:rFonts w:ascii="Wingdings" w:hAnsi="Wingdings" w:hint="default"/>
        <w:sz w:val="12"/>
      </w:rPr>
    </w:lvl>
  </w:abstractNum>
  <w:abstractNum w:abstractNumId="8">
    <w:nsid w:val="1B9610B7"/>
    <w:multiLevelType w:val="hybridMultilevel"/>
    <w:tmpl w:val="BCFA453C"/>
    <w:lvl w:ilvl="0" w:tplc="803CEDE0">
      <w:start w:val="1"/>
      <w:numFmt w:val="bullet"/>
      <w:lvlText w:val="•"/>
      <w:lvlJc w:val="left"/>
      <w:pPr>
        <w:tabs>
          <w:tab w:val="num" w:pos="720"/>
        </w:tabs>
        <w:ind w:left="720" w:hanging="360"/>
      </w:pPr>
      <w:rPr>
        <w:rFonts w:ascii="Times New Roman" w:hAnsi="Times New Roman" w:hint="default"/>
      </w:rPr>
    </w:lvl>
    <w:lvl w:ilvl="1" w:tplc="2D20A988" w:tentative="1">
      <w:start w:val="1"/>
      <w:numFmt w:val="bullet"/>
      <w:lvlText w:val="•"/>
      <w:lvlJc w:val="left"/>
      <w:pPr>
        <w:tabs>
          <w:tab w:val="num" w:pos="1440"/>
        </w:tabs>
        <w:ind w:left="1440" w:hanging="360"/>
      </w:pPr>
      <w:rPr>
        <w:rFonts w:ascii="Times New Roman" w:hAnsi="Times New Roman" w:hint="default"/>
      </w:rPr>
    </w:lvl>
    <w:lvl w:ilvl="2" w:tplc="6DAA6B94" w:tentative="1">
      <w:start w:val="1"/>
      <w:numFmt w:val="bullet"/>
      <w:lvlText w:val="•"/>
      <w:lvlJc w:val="left"/>
      <w:pPr>
        <w:tabs>
          <w:tab w:val="num" w:pos="2160"/>
        </w:tabs>
        <w:ind w:left="2160" w:hanging="360"/>
      </w:pPr>
      <w:rPr>
        <w:rFonts w:ascii="Times New Roman" w:hAnsi="Times New Roman" w:hint="default"/>
      </w:rPr>
    </w:lvl>
    <w:lvl w:ilvl="3" w:tplc="740214DA" w:tentative="1">
      <w:start w:val="1"/>
      <w:numFmt w:val="bullet"/>
      <w:lvlText w:val="•"/>
      <w:lvlJc w:val="left"/>
      <w:pPr>
        <w:tabs>
          <w:tab w:val="num" w:pos="2880"/>
        </w:tabs>
        <w:ind w:left="2880" w:hanging="360"/>
      </w:pPr>
      <w:rPr>
        <w:rFonts w:ascii="Times New Roman" w:hAnsi="Times New Roman" w:hint="default"/>
      </w:rPr>
    </w:lvl>
    <w:lvl w:ilvl="4" w:tplc="4BD4649E" w:tentative="1">
      <w:start w:val="1"/>
      <w:numFmt w:val="bullet"/>
      <w:lvlText w:val="•"/>
      <w:lvlJc w:val="left"/>
      <w:pPr>
        <w:tabs>
          <w:tab w:val="num" w:pos="3600"/>
        </w:tabs>
        <w:ind w:left="3600" w:hanging="360"/>
      </w:pPr>
      <w:rPr>
        <w:rFonts w:ascii="Times New Roman" w:hAnsi="Times New Roman" w:hint="default"/>
      </w:rPr>
    </w:lvl>
    <w:lvl w:ilvl="5" w:tplc="6B1ED062" w:tentative="1">
      <w:start w:val="1"/>
      <w:numFmt w:val="bullet"/>
      <w:lvlText w:val="•"/>
      <w:lvlJc w:val="left"/>
      <w:pPr>
        <w:tabs>
          <w:tab w:val="num" w:pos="4320"/>
        </w:tabs>
        <w:ind w:left="4320" w:hanging="360"/>
      </w:pPr>
      <w:rPr>
        <w:rFonts w:ascii="Times New Roman" w:hAnsi="Times New Roman" w:hint="default"/>
      </w:rPr>
    </w:lvl>
    <w:lvl w:ilvl="6" w:tplc="C0C26524" w:tentative="1">
      <w:start w:val="1"/>
      <w:numFmt w:val="bullet"/>
      <w:lvlText w:val="•"/>
      <w:lvlJc w:val="left"/>
      <w:pPr>
        <w:tabs>
          <w:tab w:val="num" w:pos="5040"/>
        </w:tabs>
        <w:ind w:left="5040" w:hanging="360"/>
      </w:pPr>
      <w:rPr>
        <w:rFonts w:ascii="Times New Roman" w:hAnsi="Times New Roman" w:hint="default"/>
      </w:rPr>
    </w:lvl>
    <w:lvl w:ilvl="7" w:tplc="9A509934" w:tentative="1">
      <w:start w:val="1"/>
      <w:numFmt w:val="bullet"/>
      <w:lvlText w:val="•"/>
      <w:lvlJc w:val="left"/>
      <w:pPr>
        <w:tabs>
          <w:tab w:val="num" w:pos="5760"/>
        </w:tabs>
        <w:ind w:left="5760" w:hanging="360"/>
      </w:pPr>
      <w:rPr>
        <w:rFonts w:ascii="Times New Roman" w:hAnsi="Times New Roman" w:hint="default"/>
      </w:rPr>
    </w:lvl>
    <w:lvl w:ilvl="8" w:tplc="F1EA3AA4" w:tentative="1">
      <w:start w:val="1"/>
      <w:numFmt w:val="bullet"/>
      <w:lvlText w:val="•"/>
      <w:lvlJc w:val="left"/>
      <w:pPr>
        <w:tabs>
          <w:tab w:val="num" w:pos="6480"/>
        </w:tabs>
        <w:ind w:left="6480" w:hanging="360"/>
      </w:pPr>
      <w:rPr>
        <w:rFonts w:ascii="Times New Roman" w:hAnsi="Times New Roman" w:hint="default"/>
      </w:rPr>
    </w:lvl>
  </w:abstractNum>
  <w:abstractNum w:abstractNumId="9">
    <w:nsid w:val="1BA25A2E"/>
    <w:multiLevelType w:val="hybridMultilevel"/>
    <w:tmpl w:val="7EA4C258"/>
    <w:lvl w:ilvl="0" w:tplc="04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1C243EFA"/>
    <w:multiLevelType w:val="multilevel"/>
    <w:tmpl w:val="15F24812"/>
    <w:lvl w:ilvl="0">
      <w:start w:val="1"/>
      <w:numFmt w:val="decimal"/>
      <w:lvlText w:val="%1."/>
      <w:lvlJc w:val="left"/>
      <w:pPr>
        <w:tabs>
          <w:tab w:val="num" w:pos="851"/>
        </w:tabs>
        <w:ind w:left="851" w:hanging="851"/>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1E0A2128"/>
    <w:multiLevelType w:val="singleLevel"/>
    <w:tmpl w:val="0EDC5D56"/>
    <w:lvl w:ilvl="0">
      <w:start w:val="1"/>
      <w:numFmt w:val="decimal"/>
      <w:lvlText w:val="%1)"/>
      <w:lvlJc w:val="left"/>
      <w:pPr>
        <w:tabs>
          <w:tab w:val="num" w:pos="794"/>
        </w:tabs>
        <w:ind w:left="794" w:hanging="397"/>
      </w:pPr>
    </w:lvl>
  </w:abstractNum>
  <w:abstractNum w:abstractNumId="12">
    <w:nsid w:val="1F3C757D"/>
    <w:multiLevelType w:val="multilevel"/>
    <w:tmpl w:val="5978BFA0"/>
    <w:lvl w:ilvl="0">
      <w:start w:val="1"/>
      <w:numFmt w:val="decimal"/>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21EC0BCE"/>
    <w:multiLevelType w:val="hybridMultilevel"/>
    <w:tmpl w:val="08608DEC"/>
    <w:lvl w:ilvl="0" w:tplc="AC5006F6">
      <w:start w:val="1"/>
      <w:numFmt w:val="lowerLetter"/>
      <w:pStyle w:val="Para1letter"/>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4">
    <w:nsid w:val="234B2B80"/>
    <w:multiLevelType w:val="singleLevel"/>
    <w:tmpl w:val="84E4943A"/>
    <w:lvl w:ilvl="0">
      <w:start w:val="1"/>
      <w:numFmt w:val="bullet"/>
      <w:pStyle w:val="Para3bullet"/>
      <w:lvlText w:val=""/>
      <w:lvlJc w:val="left"/>
      <w:pPr>
        <w:tabs>
          <w:tab w:val="num" w:pos="1588"/>
        </w:tabs>
        <w:ind w:left="1588" w:hanging="397"/>
      </w:pPr>
      <w:rPr>
        <w:rFonts w:ascii="Wingdings" w:hAnsi="Wingdings" w:hint="default"/>
        <w:sz w:val="12"/>
      </w:rPr>
    </w:lvl>
  </w:abstractNum>
  <w:abstractNum w:abstractNumId="15">
    <w:nsid w:val="25590297"/>
    <w:multiLevelType w:val="singleLevel"/>
    <w:tmpl w:val="EE422368"/>
    <w:lvl w:ilvl="0">
      <w:start w:val="1"/>
      <w:numFmt w:val="lowerLetter"/>
      <w:pStyle w:val="Para2letter"/>
      <w:lvlText w:val="%1)"/>
      <w:lvlJc w:val="left"/>
      <w:pPr>
        <w:tabs>
          <w:tab w:val="num" w:pos="1191"/>
        </w:tabs>
        <w:ind w:left="1191" w:hanging="397"/>
      </w:pPr>
    </w:lvl>
  </w:abstractNum>
  <w:abstractNum w:abstractNumId="16">
    <w:nsid w:val="25850AE4"/>
    <w:multiLevelType w:val="singleLevel"/>
    <w:tmpl w:val="DD9C5A5E"/>
    <w:lvl w:ilvl="0">
      <w:start w:val="1"/>
      <w:numFmt w:val="lowerLetter"/>
      <w:pStyle w:val="Para3letter"/>
      <w:lvlText w:val="%1)"/>
      <w:lvlJc w:val="left"/>
      <w:pPr>
        <w:tabs>
          <w:tab w:val="num" w:pos="1588"/>
        </w:tabs>
        <w:ind w:left="1588" w:hanging="397"/>
      </w:pPr>
      <w:rPr>
        <w:rFonts w:hint="default"/>
      </w:rPr>
    </w:lvl>
  </w:abstractNum>
  <w:abstractNum w:abstractNumId="17">
    <w:nsid w:val="273F45FE"/>
    <w:multiLevelType w:val="hybridMultilevel"/>
    <w:tmpl w:val="F864D268"/>
    <w:lvl w:ilvl="0" w:tplc="0E90FF54">
      <w:start w:val="1"/>
      <w:numFmt w:val="decimal"/>
      <w:pStyle w:val="Para1number"/>
      <w:lvlText w:val="%1)"/>
      <w:lvlJc w:val="left"/>
      <w:pPr>
        <w:tabs>
          <w:tab w:val="num" w:pos="794"/>
        </w:tabs>
        <w:ind w:left="794"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8">
    <w:nsid w:val="29335181"/>
    <w:multiLevelType w:val="hybridMultilevel"/>
    <w:tmpl w:val="0002CCAE"/>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nsid w:val="30060D45"/>
    <w:multiLevelType w:val="hybridMultilevel"/>
    <w:tmpl w:val="00FC34DC"/>
    <w:lvl w:ilvl="0" w:tplc="0409000F">
      <w:start w:val="1"/>
      <w:numFmt w:val="decimal"/>
      <w:lvlText w:val="%1."/>
      <w:lvlJc w:val="left"/>
      <w:pPr>
        <w:tabs>
          <w:tab w:val="num" w:pos="720"/>
        </w:tabs>
        <w:ind w:left="720" w:hanging="360"/>
      </w:pPr>
      <w:rPr>
        <w:rFonts w:cs="Times New Roman"/>
      </w:rPr>
    </w:lvl>
    <w:lvl w:ilvl="1" w:tplc="46C20B94">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30FE3975"/>
    <w:multiLevelType w:val="singleLevel"/>
    <w:tmpl w:val="E8D02C40"/>
    <w:lvl w:ilvl="0">
      <w:start w:val="1"/>
      <w:numFmt w:val="bullet"/>
      <w:pStyle w:val="FlysheetVersion"/>
      <w:lvlText w:val=""/>
      <w:lvlJc w:val="left"/>
      <w:pPr>
        <w:tabs>
          <w:tab w:val="num" w:pos="360"/>
        </w:tabs>
        <w:ind w:left="284" w:hanging="284"/>
      </w:pPr>
      <w:rPr>
        <w:rFonts w:ascii="Wingdings" w:hAnsi="Wingdings" w:hint="default"/>
        <w:sz w:val="16"/>
      </w:rPr>
    </w:lvl>
  </w:abstractNum>
  <w:abstractNum w:abstractNumId="21">
    <w:nsid w:val="328F686E"/>
    <w:multiLevelType w:val="hybridMultilevel"/>
    <w:tmpl w:val="00FC34DC"/>
    <w:lvl w:ilvl="0" w:tplc="0409000F">
      <w:start w:val="1"/>
      <w:numFmt w:val="decimal"/>
      <w:lvlText w:val="%1."/>
      <w:lvlJc w:val="left"/>
      <w:pPr>
        <w:tabs>
          <w:tab w:val="num" w:pos="720"/>
        </w:tabs>
        <w:ind w:left="720" w:hanging="360"/>
      </w:pPr>
      <w:rPr>
        <w:rFonts w:cs="Times New Roman"/>
      </w:rPr>
    </w:lvl>
    <w:lvl w:ilvl="1" w:tplc="46C20B94">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36A920B6"/>
    <w:multiLevelType w:val="hybridMultilevel"/>
    <w:tmpl w:val="534AA9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43C107DA"/>
    <w:multiLevelType w:val="multilevel"/>
    <w:tmpl w:val="2E7A7B3C"/>
    <w:lvl w:ilvl="0">
      <w:start w:val="1"/>
      <w:numFmt w:val="upperLetter"/>
      <w:pStyle w:val="Appendix1"/>
      <w:lvlText w:val="Appendix %1"/>
      <w:lvlJc w:val="left"/>
      <w:pPr>
        <w:tabs>
          <w:tab w:val="num" w:pos="2268"/>
        </w:tabs>
        <w:ind w:left="2268" w:hanging="2268"/>
      </w:pPr>
      <w:rPr>
        <w:rFonts w:ascii="Arial" w:hAnsi="Arial" w:hint="default"/>
        <w:b/>
        <w:i w:val="0"/>
        <w:sz w:val="36"/>
      </w:rPr>
    </w:lvl>
    <w:lvl w:ilvl="1">
      <w:start w:val="1"/>
      <w:numFmt w:val="decimal"/>
      <w:pStyle w:val="Appendix2"/>
      <w:lvlText w:val="%1.%2"/>
      <w:lvlJc w:val="left"/>
      <w:pPr>
        <w:tabs>
          <w:tab w:val="num" w:pos="851"/>
        </w:tabs>
        <w:ind w:left="851" w:hanging="851"/>
      </w:pPr>
      <w:rPr>
        <w:rFonts w:ascii="Arial" w:hAnsi="Arial" w:hint="default"/>
        <w:b/>
        <w:i w:val="0"/>
        <w:sz w:val="22"/>
      </w:rPr>
    </w:lvl>
    <w:lvl w:ilvl="2">
      <w:start w:val="1"/>
      <w:numFmt w:val="decimal"/>
      <w:pStyle w:val="Appendix3"/>
      <w:lvlText w:val="%1.%2.%3"/>
      <w:lvlJc w:val="left"/>
      <w:pPr>
        <w:tabs>
          <w:tab w:val="num" w:pos="851"/>
        </w:tabs>
        <w:ind w:left="851" w:hanging="851"/>
      </w:pPr>
      <w:rPr>
        <w:rFonts w:ascii="Arial" w:hAnsi="Arial" w:hint="default"/>
        <w:b/>
        <w:i w:val="0"/>
        <w:sz w:val="22"/>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nsid w:val="44344ABD"/>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nsid w:val="46270CC2"/>
    <w:multiLevelType w:val="hybridMultilevel"/>
    <w:tmpl w:val="2B6067B0"/>
    <w:lvl w:ilvl="0" w:tplc="48381A5C">
      <w:start w:val="1"/>
      <w:numFmt w:val="lowerRoman"/>
      <w:pStyle w:val="Para2Roman"/>
      <w:lvlText w:val="%1."/>
      <w:lvlJc w:val="left"/>
      <w:pPr>
        <w:tabs>
          <w:tab w:val="num" w:pos="1191"/>
        </w:tabs>
        <w:ind w:left="1191"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6">
    <w:nsid w:val="46CC550A"/>
    <w:multiLevelType w:val="hybridMultilevel"/>
    <w:tmpl w:val="44700D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49980CC6"/>
    <w:multiLevelType w:val="hybridMultilevel"/>
    <w:tmpl w:val="56A2045A"/>
    <w:lvl w:ilvl="0" w:tplc="83FAB5F2">
      <w:start w:val="1"/>
      <w:numFmt w:val="lowerRoman"/>
      <w:pStyle w:val="Para3Roman"/>
      <w:lvlText w:val="%1."/>
      <w:lvlJc w:val="left"/>
      <w:pPr>
        <w:tabs>
          <w:tab w:val="num" w:pos="1588"/>
        </w:tabs>
        <w:ind w:left="1588"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8">
    <w:nsid w:val="49F46B6B"/>
    <w:multiLevelType w:val="singleLevel"/>
    <w:tmpl w:val="14742818"/>
    <w:lvl w:ilvl="0">
      <w:start w:val="1"/>
      <w:numFmt w:val="bullet"/>
      <w:pStyle w:val="Para1dash"/>
      <w:lvlText w:val="–"/>
      <w:lvlJc w:val="left"/>
      <w:pPr>
        <w:tabs>
          <w:tab w:val="num" w:pos="794"/>
        </w:tabs>
        <w:ind w:left="794" w:hanging="397"/>
      </w:pPr>
      <w:rPr>
        <w:rFonts w:ascii="Arial" w:hAnsi="Arial" w:hint="default"/>
        <w:sz w:val="22"/>
      </w:rPr>
    </w:lvl>
  </w:abstractNum>
  <w:abstractNum w:abstractNumId="29">
    <w:nsid w:val="51892ED4"/>
    <w:multiLevelType w:val="singleLevel"/>
    <w:tmpl w:val="05306890"/>
    <w:lvl w:ilvl="0">
      <w:start w:val="1"/>
      <w:numFmt w:val="decimal"/>
      <w:pStyle w:val="Para2number"/>
      <w:lvlText w:val="%1)"/>
      <w:lvlJc w:val="left"/>
      <w:pPr>
        <w:tabs>
          <w:tab w:val="num" w:pos="1191"/>
        </w:tabs>
        <w:ind w:left="1191" w:hanging="397"/>
      </w:pPr>
      <w:rPr>
        <w:rFonts w:hint="default"/>
      </w:rPr>
    </w:lvl>
  </w:abstractNum>
  <w:abstractNum w:abstractNumId="30">
    <w:nsid w:val="53262D45"/>
    <w:multiLevelType w:val="singleLevel"/>
    <w:tmpl w:val="D5D01DAA"/>
    <w:lvl w:ilvl="0">
      <w:start w:val="1"/>
      <w:numFmt w:val="decimal"/>
      <w:pStyle w:val="Para3number"/>
      <w:lvlText w:val="%1)"/>
      <w:lvlJc w:val="left"/>
      <w:pPr>
        <w:tabs>
          <w:tab w:val="num" w:pos="1588"/>
        </w:tabs>
        <w:ind w:left="1588" w:hanging="397"/>
      </w:pPr>
      <w:rPr>
        <w:rFonts w:hint="default"/>
      </w:rPr>
    </w:lvl>
  </w:abstractNum>
  <w:abstractNum w:abstractNumId="31">
    <w:nsid w:val="55D93159"/>
    <w:multiLevelType w:val="singleLevel"/>
    <w:tmpl w:val="C72ED878"/>
    <w:lvl w:ilvl="0">
      <w:start w:val="1"/>
      <w:numFmt w:val="lowerLetter"/>
      <w:pStyle w:val="Para0letter"/>
      <w:lvlText w:val="%1)"/>
      <w:lvlJc w:val="left"/>
      <w:pPr>
        <w:tabs>
          <w:tab w:val="num" w:pos="397"/>
        </w:tabs>
        <w:ind w:left="397" w:hanging="397"/>
      </w:pPr>
      <w:rPr>
        <w:rFonts w:hint="default"/>
      </w:rPr>
    </w:lvl>
  </w:abstractNum>
  <w:abstractNum w:abstractNumId="32">
    <w:nsid w:val="59CA70FF"/>
    <w:multiLevelType w:val="singleLevel"/>
    <w:tmpl w:val="A92EEC36"/>
    <w:lvl w:ilvl="0">
      <w:start w:val="1"/>
      <w:numFmt w:val="bullet"/>
      <w:pStyle w:val="Para2dash"/>
      <w:lvlText w:val="–"/>
      <w:lvlJc w:val="left"/>
      <w:pPr>
        <w:tabs>
          <w:tab w:val="num" w:pos="1191"/>
        </w:tabs>
        <w:ind w:left="1191" w:hanging="397"/>
      </w:pPr>
      <w:rPr>
        <w:rFonts w:ascii="Arial" w:hAnsi="Arial" w:hint="default"/>
        <w:position w:val="0"/>
        <w:sz w:val="22"/>
      </w:rPr>
    </w:lvl>
  </w:abstractNum>
  <w:abstractNum w:abstractNumId="33">
    <w:nsid w:val="5BC011D6"/>
    <w:multiLevelType w:val="singleLevel"/>
    <w:tmpl w:val="8AB4A292"/>
    <w:lvl w:ilvl="0">
      <w:start w:val="1"/>
      <w:numFmt w:val="bullet"/>
      <w:pStyle w:val="CoverSubject"/>
      <w:lvlText w:val=""/>
      <w:lvlJc w:val="left"/>
      <w:pPr>
        <w:tabs>
          <w:tab w:val="num" w:pos="539"/>
        </w:tabs>
        <w:ind w:left="539" w:hanging="539"/>
      </w:pPr>
      <w:rPr>
        <w:rFonts w:ascii="Wingdings" w:hAnsi="Wingdings" w:hint="default"/>
        <w:sz w:val="16"/>
      </w:rPr>
    </w:lvl>
  </w:abstractNum>
  <w:abstractNum w:abstractNumId="34">
    <w:nsid w:val="607541B1"/>
    <w:multiLevelType w:val="singleLevel"/>
    <w:tmpl w:val="AA5CFB52"/>
    <w:lvl w:ilvl="0">
      <w:start w:val="1"/>
      <w:numFmt w:val="bullet"/>
      <w:pStyle w:val="Para0dash"/>
      <w:lvlText w:val="–"/>
      <w:lvlJc w:val="left"/>
      <w:pPr>
        <w:tabs>
          <w:tab w:val="num" w:pos="397"/>
        </w:tabs>
        <w:ind w:left="397" w:hanging="397"/>
      </w:pPr>
      <w:rPr>
        <w:rFonts w:ascii="Arial" w:hAnsi="Arial" w:hint="default"/>
        <w:position w:val="0"/>
        <w:sz w:val="22"/>
      </w:rPr>
    </w:lvl>
  </w:abstractNum>
  <w:abstractNum w:abstractNumId="35">
    <w:nsid w:val="63C672A0"/>
    <w:multiLevelType w:val="multilevel"/>
    <w:tmpl w:val="0C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nsid w:val="6407341B"/>
    <w:multiLevelType w:val="multilevel"/>
    <w:tmpl w:val="962EC910"/>
    <w:lvl w:ilvl="0">
      <w:start w:val="1"/>
      <w:numFmt w:val="decimal"/>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nsid w:val="66A10C37"/>
    <w:multiLevelType w:val="singleLevel"/>
    <w:tmpl w:val="67C209AA"/>
    <w:lvl w:ilvl="0">
      <w:start w:val="1"/>
      <w:numFmt w:val="bullet"/>
      <w:pStyle w:val="Para2bullet"/>
      <w:lvlText w:val=""/>
      <w:lvlJc w:val="left"/>
      <w:pPr>
        <w:tabs>
          <w:tab w:val="num" w:pos="1191"/>
        </w:tabs>
        <w:ind w:left="1191" w:hanging="397"/>
      </w:pPr>
      <w:rPr>
        <w:rFonts w:ascii="Wingdings" w:hAnsi="Wingdings" w:hint="default"/>
        <w:sz w:val="12"/>
      </w:rPr>
    </w:lvl>
  </w:abstractNum>
  <w:abstractNum w:abstractNumId="38">
    <w:nsid w:val="6B04426D"/>
    <w:multiLevelType w:val="singleLevel"/>
    <w:tmpl w:val="5D16ACFC"/>
    <w:lvl w:ilvl="0">
      <w:start w:val="1"/>
      <w:numFmt w:val="bullet"/>
      <w:pStyle w:val="TableFontbullet"/>
      <w:lvlText w:val=""/>
      <w:lvlJc w:val="left"/>
      <w:pPr>
        <w:tabs>
          <w:tab w:val="num" w:pos="397"/>
        </w:tabs>
        <w:ind w:left="397" w:hanging="397"/>
      </w:pPr>
      <w:rPr>
        <w:rFonts w:ascii="Wingdings" w:hAnsi="Wingdings" w:hint="default"/>
        <w:sz w:val="12"/>
      </w:rPr>
    </w:lvl>
  </w:abstractNum>
  <w:abstractNum w:abstractNumId="39">
    <w:nsid w:val="6D5B1328"/>
    <w:multiLevelType w:val="singleLevel"/>
    <w:tmpl w:val="10F4D800"/>
    <w:lvl w:ilvl="0">
      <w:start w:val="1"/>
      <w:numFmt w:val="bullet"/>
      <w:pStyle w:val="Para1bullet"/>
      <w:lvlText w:val=""/>
      <w:lvlJc w:val="left"/>
      <w:pPr>
        <w:tabs>
          <w:tab w:val="num" w:pos="794"/>
        </w:tabs>
        <w:ind w:left="794" w:hanging="397"/>
      </w:pPr>
      <w:rPr>
        <w:rFonts w:ascii="Wingdings" w:hAnsi="Wingdings" w:hint="default"/>
        <w:sz w:val="12"/>
      </w:rPr>
    </w:lvl>
  </w:abstractNum>
  <w:abstractNum w:abstractNumId="40">
    <w:nsid w:val="7383306D"/>
    <w:multiLevelType w:val="hybridMultilevel"/>
    <w:tmpl w:val="8A6274EE"/>
    <w:lvl w:ilvl="0" w:tplc="27F6853A">
      <w:start w:val="1"/>
      <w:numFmt w:val="lowerRoman"/>
      <w:pStyle w:val="Para0Roman"/>
      <w:lvlText w:val="%1."/>
      <w:lvlJc w:val="left"/>
      <w:pPr>
        <w:tabs>
          <w:tab w:val="num" w:pos="397"/>
        </w:tabs>
        <w:ind w:left="397" w:hanging="397"/>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41">
    <w:nsid w:val="74D01D58"/>
    <w:multiLevelType w:val="singleLevel"/>
    <w:tmpl w:val="5978BFA0"/>
    <w:lvl w:ilvl="0">
      <w:start w:val="1"/>
      <w:numFmt w:val="decimal"/>
      <w:pStyle w:val="Para0number"/>
      <w:lvlText w:val="%1)"/>
      <w:lvlJc w:val="left"/>
      <w:pPr>
        <w:tabs>
          <w:tab w:val="num" w:pos="397"/>
        </w:tabs>
        <w:ind w:left="397" w:hanging="397"/>
      </w:pPr>
      <w:rPr>
        <w:rFonts w:hint="default"/>
      </w:rPr>
    </w:lvl>
  </w:abstractNum>
  <w:abstractNum w:abstractNumId="42">
    <w:nsid w:val="7745566E"/>
    <w:multiLevelType w:val="hybridMultilevel"/>
    <w:tmpl w:val="0002CCAE"/>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0"/>
  </w:num>
  <w:num w:numId="2">
    <w:abstractNumId w:val="7"/>
  </w:num>
  <w:num w:numId="3">
    <w:abstractNumId w:val="5"/>
  </w:num>
  <w:num w:numId="4">
    <w:abstractNumId w:val="34"/>
  </w:num>
  <w:num w:numId="5">
    <w:abstractNumId w:val="31"/>
  </w:num>
  <w:num w:numId="6">
    <w:abstractNumId w:val="41"/>
  </w:num>
  <w:num w:numId="7">
    <w:abstractNumId w:val="39"/>
  </w:num>
  <w:num w:numId="8">
    <w:abstractNumId w:val="28"/>
  </w:num>
  <w:num w:numId="9">
    <w:abstractNumId w:val="11"/>
  </w:num>
  <w:num w:numId="10">
    <w:abstractNumId w:val="4"/>
  </w:num>
  <w:num w:numId="11">
    <w:abstractNumId w:val="37"/>
  </w:num>
  <w:num w:numId="12">
    <w:abstractNumId w:val="32"/>
  </w:num>
  <w:num w:numId="13">
    <w:abstractNumId w:val="15"/>
  </w:num>
  <w:num w:numId="14">
    <w:abstractNumId w:val="29"/>
  </w:num>
  <w:num w:numId="15">
    <w:abstractNumId w:val="14"/>
  </w:num>
  <w:num w:numId="16">
    <w:abstractNumId w:val="6"/>
  </w:num>
  <w:num w:numId="17">
    <w:abstractNumId w:val="16"/>
  </w:num>
  <w:num w:numId="18">
    <w:abstractNumId w:val="30"/>
  </w:num>
  <w:num w:numId="19">
    <w:abstractNumId w:val="23"/>
  </w:num>
  <w:num w:numId="20">
    <w:abstractNumId w:val="33"/>
  </w:num>
  <w:num w:numId="21">
    <w:abstractNumId w:val="20"/>
  </w:num>
  <w:num w:numId="22">
    <w:abstractNumId w:val="38"/>
  </w:num>
  <w:num w:numId="23">
    <w:abstractNumId w:val="13"/>
  </w:num>
  <w:num w:numId="24">
    <w:abstractNumId w:val="10"/>
  </w:num>
  <w:num w:numId="25">
    <w:abstractNumId w:val="40"/>
  </w:num>
  <w:num w:numId="26">
    <w:abstractNumId w:val="24"/>
  </w:num>
  <w:num w:numId="27">
    <w:abstractNumId w:val="35"/>
  </w:num>
  <w:num w:numId="28">
    <w:abstractNumId w:val="1"/>
  </w:num>
  <w:num w:numId="29">
    <w:abstractNumId w:val="2"/>
  </w:num>
  <w:num w:numId="30">
    <w:abstractNumId w:val="25"/>
  </w:num>
  <w:num w:numId="31">
    <w:abstractNumId w:val="27"/>
  </w:num>
  <w:num w:numId="32">
    <w:abstractNumId w:val="17"/>
  </w:num>
  <w:num w:numId="33">
    <w:abstractNumId w:val="36"/>
  </w:num>
  <w:num w:numId="34">
    <w:abstractNumId w:val="12"/>
  </w:num>
  <w:num w:numId="35">
    <w:abstractNumId w:val="9"/>
  </w:num>
  <w:num w:numId="36">
    <w:abstractNumId w:val="19"/>
  </w:num>
  <w:num w:numId="37">
    <w:abstractNumId w:val="21"/>
  </w:num>
  <w:num w:numId="38">
    <w:abstractNumId w:val="42"/>
  </w:num>
  <w:num w:numId="39">
    <w:abstractNumId w:val="18"/>
  </w:num>
  <w:num w:numId="40">
    <w:abstractNumId w:val="3"/>
  </w:num>
  <w:num w:numId="41">
    <w:abstractNumId w:val="8"/>
  </w:num>
  <w:num w:numId="42">
    <w:abstractNumId w:val="22"/>
  </w:num>
  <w:num w:numId="43">
    <w:abstractNumId w:val="2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defaultTabStop w:val="1134"/>
  <w:drawingGridHorizontalSpacing w:val="110"/>
  <w:displayHorizontalDrawingGridEvery w:val="0"/>
  <w:displayVerticalDrawingGridEvery w:val="0"/>
  <w:noPunctuationKerning/>
  <w:characterSpacingControl w:val="doNotCompress"/>
  <w:hdrShapeDefaults>
    <o:shapedefaults v:ext="edit" spidmax="49153"/>
  </w:hdrShapeDefaults>
  <w:footnotePr>
    <w:footnote w:id="-1"/>
    <w:footnote w:id="0"/>
    <w:footnote w:id="1"/>
  </w:footnotePr>
  <w:endnotePr>
    <w:endnote w:id="-1"/>
    <w:endnote w:id="0"/>
    <w:endnote w:id="1"/>
  </w:endnotePr>
  <w:compat>
    <w:compatSetting w:name="compatibilityMode" w:uri="http://schemas.microsoft.com/office/word" w:val="14"/>
  </w:compat>
  <w:docVars>
    <w:docVar w:name="Blue Lines" w:val="Yes"/>
    <w:docVar w:name="DocType" w:val="CV"/>
    <w:docVar w:name="IncLine" w:val="2"/>
    <w:docVar w:name="LastUNC" w:val="C:\Program Files\skmword\Template New\CV.dot"/>
    <w:docVar w:name="TemplateCreated" w:val=" 15-Dec-1999  16:47"/>
    <w:docVar w:name="TemplateSize" w:val="280,064 Bytes"/>
  </w:docVars>
  <w:rsids>
    <w:rsidRoot w:val="00576973"/>
    <w:rsid w:val="00001259"/>
    <w:rsid w:val="00001C79"/>
    <w:rsid w:val="00001FDE"/>
    <w:rsid w:val="00005A5E"/>
    <w:rsid w:val="000071D0"/>
    <w:rsid w:val="00012A88"/>
    <w:rsid w:val="00015B92"/>
    <w:rsid w:val="00020DB0"/>
    <w:rsid w:val="0003128D"/>
    <w:rsid w:val="00031C1F"/>
    <w:rsid w:val="00032D7D"/>
    <w:rsid w:val="00034900"/>
    <w:rsid w:val="000423FF"/>
    <w:rsid w:val="00042851"/>
    <w:rsid w:val="000448EC"/>
    <w:rsid w:val="000458E8"/>
    <w:rsid w:val="00046E21"/>
    <w:rsid w:val="000727DA"/>
    <w:rsid w:val="00073B38"/>
    <w:rsid w:val="000751B6"/>
    <w:rsid w:val="00077D9C"/>
    <w:rsid w:val="000821A2"/>
    <w:rsid w:val="00083B18"/>
    <w:rsid w:val="000902E8"/>
    <w:rsid w:val="00090ACE"/>
    <w:rsid w:val="00094871"/>
    <w:rsid w:val="00096728"/>
    <w:rsid w:val="000977FA"/>
    <w:rsid w:val="000A3111"/>
    <w:rsid w:val="000A537A"/>
    <w:rsid w:val="000A76D9"/>
    <w:rsid w:val="000B1F47"/>
    <w:rsid w:val="000C5A38"/>
    <w:rsid w:val="000C5F56"/>
    <w:rsid w:val="000C6FAB"/>
    <w:rsid w:val="000D4082"/>
    <w:rsid w:val="000F067A"/>
    <w:rsid w:val="000F4137"/>
    <w:rsid w:val="000F7F2E"/>
    <w:rsid w:val="00106623"/>
    <w:rsid w:val="0012372D"/>
    <w:rsid w:val="00125AD4"/>
    <w:rsid w:val="001276D6"/>
    <w:rsid w:val="001426BF"/>
    <w:rsid w:val="00142AA1"/>
    <w:rsid w:val="00155DDE"/>
    <w:rsid w:val="00161802"/>
    <w:rsid w:val="00162819"/>
    <w:rsid w:val="00176450"/>
    <w:rsid w:val="00182180"/>
    <w:rsid w:val="00184116"/>
    <w:rsid w:val="001851CB"/>
    <w:rsid w:val="0019026F"/>
    <w:rsid w:val="0019611D"/>
    <w:rsid w:val="001A1145"/>
    <w:rsid w:val="001A3FEE"/>
    <w:rsid w:val="001A5FA2"/>
    <w:rsid w:val="001B10F1"/>
    <w:rsid w:val="001B1AFE"/>
    <w:rsid w:val="001B24A0"/>
    <w:rsid w:val="001C0826"/>
    <w:rsid w:val="001C5FFB"/>
    <w:rsid w:val="001C78E0"/>
    <w:rsid w:val="001D0872"/>
    <w:rsid w:val="001D50AC"/>
    <w:rsid w:val="001F1FCF"/>
    <w:rsid w:val="001F243A"/>
    <w:rsid w:val="001F517F"/>
    <w:rsid w:val="001F5825"/>
    <w:rsid w:val="0021025C"/>
    <w:rsid w:val="00213137"/>
    <w:rsid w:val="00215BB7"/>
    <w:rsid w:val="00224070"/>
    <w:rsid w:val="00226F69"/>
    <w:rsid w:val="00230C10"/>
    <w:rsid w:val="0023181E"/>
    <w:rsid w:val="00244E0C"/>
    <w:rsid w:val="00255082"/>
    <w:rsid w:val="00263979"/>
    <w:rsid w:val="00265274"/>
    <w:rsid w:val="00267138"/>
    <w:rsid w:val="00272AC9"/>
    <w:rsid w:val="0027309C"/>
    <w:rsid w:val="002740AC"/>
    <w:rsid w:val="00291C75"/>
    <w:rsid w:val="00294C64"/>
    <w:rsid w:val="002969E0"/>
    <w:rsid w:val="00297994"/>
    <w:rsid w:val="002A0287"/>
    <w:rsid w:val="002A1E59"/>
    <w:rsid w:val="002A20DE"/>
    <w:rsid w:val="002A64B3"/>
    <w:rsid w:val="002B7282"/>
    <w:rsid w:val="002B76CE"/>
    <w:rsid w:val="002C2BEC"/>
    <w:rsid w:val="002C30D0"/>
    <w:rsid w:val="002C3746"/>
    <w:rsid w:val="002C4A81"/>
    <w:rsid w:val="002C6459"/>
    <w:rsid w:val="002C78DC"/>
    <w:rsid w:val="002D2769"/>
    <w:rsid w:val="002D314E"/>
    <w:rsid w:val="002D5549"/>
    <w:rsid w:val="002E03C6"/>
    <w:rsid w:val="002E1076"/>
    <w:rsid w:val="002E1FC8"/>
    <w:rsid w:val="002E4AA7"/>
    <w:rsid w:val="002E5E8C"/>
    <w:rsid w:val="002E6FCE"/>
    <w:rsid w:val="002F1A7C"/>
    <w:rsid w:val="00303718"/>
    <w:rsid w:val="00307B61"/>
    <w:rsid w:val="003126E7"/>
    <w:rsid w:val="00313131"/>
    <w:rsid w:val="00315A1D"/>
    <w:rsid w:val="00317DD2"/>
    <w:rsid w:val="003242B6"/>
    <w:rsid w:val="003337B5"/>
    <w:rsid w:val="003358B0"/>
    <w:rsid w:val="00335FB8"/>
    <w:rsid w:val="003376AF"/>
    <w:rsid w:val="003443BD"/>
    <w:rsid w:val="003510FE"/>
    <w:rsid w:val="00351CB1"/>
    <w:rsid w:val="00353856"/>
    <w:rsid w:val="00355509"/>
    <w:rsid w:val="00360275"/>
    <w:rsid w:val="00361CC2"/>
    <w:rsid w:val="00363EB9"/>
    <w:rsid w:val="00380F2C"/>
    <w:rsid w:val="00383842"/>
    <w:rsid w:val="00387432"/>
    <w:rsid w:val="00391597"/>
    <w:rsid w:val="0039405F"/>
    <w:rsid w:val="00397EED"/>
    <w:rsid w:val="003A2909"/>
    <w:rsid w:val="003A7950"/>
    <w:rsid w:val="003B7FFC"/>
    <w:rsid w:val="003C4081"/>
    <w:rsid w:val="003D5171"/>
    <w:rsid w:val="003E1638"/>
    <w:rsid w:val="003E2B24"/>
    <w:rsid w:val="003E53AA"/>
    <w:rsid w:val="003E61F0"/>
    <w:rsid w:val="003F0E19"/>
    <w:rsid w:val="00403810"/>
    <w:rsid w:val="00407237"/>
    <w:rsid w:val="004126D1"/>
    <w:rsid w:val="0041351D"/>
    <w:rsid w:val="00413C56"/>
    <w:rsid w:val="0041654C"/>
    <w:rsid w:val="00425118"/>
    <w:rsid w:val="0042678C"/>
    <w:rsid w:val="00426D1B"/>
    <w:rsid w:val="00427BDB"/>
    <w:rsid w:val="0043126A"/>
    <w:rsid w:val="00431DAD"/>
    <w:rsid w:val="0043422D"/>
    <w:rsid w:val="004360B4"/>
    <w:rsid w:val="00436662"/>
    <w:rsid w:val="00440A09"/>
    <w:rsid w:val="004434C3"/>
    <w:rsid w:val="0044679A"/>
    <w:rsid w:val="00453C6C"/>
    <w:rsid w:val="0045654E"/>
    <w:rsid w:val="004622A2"/>
    <w:rsid w:val="00462939"/>
    <w:rsid w:val="004632C9"/>
    <w:rsid w:val="00464BC0"/>
    <w:rsid w:val="0046551B"/>
    <w:rsid w:val="004755C5"/>
    <w:rsid w:val="00476222"/>
    <w:rsid w:val="004768EC"/>
    <w:rsid w:val="00486533"/>
    <w:rsid w:val="00492767"/>
    <w:rsid w:val="00494945"/>
    <w:rsid w:val="004A29A5"/>
    <w:rsid w:val="004A6925"/>
    <w:rsid w:val="004B506F"/>
    <w:rsid w:val="004C0082"/>
    <w:rsid w:val="004C0AE5"/>
    <w:rsid w:val="004C50CF"/>
    <w:rsid w:val="004C5A33"/>
    <w:rsid w:val="004D2A47"/>
    <w:rsid w:val="004D2D94"/>
    <w:rsid w:val="004D502E"/>
    <w:rsid w:val="004D6650"/>
    <w:rsid w:val="004E3BB3"/>
    <w:rsid w:val="004E7B85"/>
    <w:rsid w:val="004F566A"/>
    <w:rsid w:val="004F5B43"/>
    <w:rsid w:val="004F658A"/>
    <w:rsid w:val="004F7A19"/>
    <w:rsid w:val="004F7A39"/>
    <w:rsid w:val="0050542B"/>
    <w:rsid w:val="00512955"/>
    <w:rsid w:val="00514377"/>
    <w:rsid w:val="00525868"/>
    <w:rsid w:val="005267C9"/>
    <w:rsid w:val="00534F70"/>
    <w:rsid w:val="0053514C"/>
    <w:rsid w:val="005416E9"/>
    <w:rsid w:val="00544AEF"/>
    <w:rsid w:val="00544DE5"/>
    <w:rsid w:val="005468C6"/>
    <w:rsid w:val="00550496"/>
    <w:rsid w:val="005518BC"/>
    <w:rsid w:val="00552ED1"/>
    <w:rsid w:val="005531F5"/>
    <w:rsid w:val="0055717A"/>
    <w:rsid w:val="00557E64"/>
    <w:rsid w:val="00563034"/>
    <w:rsid w:val="00564400"/>
    <w:rsid w:val="00565986"/>
    <w:rsid w:val="00573ADD"/>
    <w:rsid w:val="0057592E"/>
    <w:rsid w:val="00576784"/>
    <w:rsid w:val="00576973"/>
    <w:rsid w:val="00582E7E"/>
    <w:rsid w:val="0058324A"/>
    <w:rsid w:val="00584CF8"/>
    <w:rsid w:val="00590683"/>
    <w:rsid w:val="005911A0"/>
    <w:rsid w:val="0059128B"/>
    <w:rsid w:val="005957C1"/>
    <w:rsid w:val="00597E87"/>
    <w:rsid w:val="005A3D65"/>
    <w:rsid w:val="005B3A34"/>
    <w:rsid w:val="005B5437"/>
    <w:rsid w:val="005B7757"/>
    <w:rsid w:val="005D3FD0"/>
    <w:rsid w:val="005D4F8B"/>
    <w:rsid w:val="005E4F73"/>
    <w:rsid w:val="005E7345"/>
    <w:rsid w:val="005F5BA5"/>
    <w:rsid w:val="005F66F4"/>
    <w:rsid w:val="005F6707"/>
    <w:rsid w:val="005F6FF5"/>
    <w:rsid w:val="005F7C41"/>
    <w:rsid w:val="00607CF9"/>
    <w:rsid w:val="006119F2"/>
    <w:rsid w:val="006131A4"/>
    <w:rsid w:val="00613D9B"/>
    <w:rsid w:val="00617543"/>
    <w:rsid w:val="00620ED5"/>
    <w:rsid w:val="0063467C"/>
    <w:rsid w:val="006348E3"/>
    <w:rsid w:val="006409E3"/>
    <w:rsid w:val="00643946"/>
    <w:rsid w:val="00652465"/>
    <w:rsid w:val="00652A04"/>
    <w:rsid w:val="00655B4E"/>
    <w:rsid w:val="0066092F"/>
    <w:rsid w:val="006727F0"/>
    <w:rsid w:val="006857B5"/>
    <w:rsid w:val="00685C48"/>
    <w:rsid w:val="00686F8E"/>
    <w:rsid w:val="006921A1"/>
    <w:rsid w:val="00693B03"/>
    <w:rsid w:val="006A22FE"/>
    <w:rsid w:val="006A56A6"/>
    <w:rsid w:val="006B2E38"/>
    <w:rsid w:val="006B441B"/>
    <w:rsid w:val="006B5810"/>
    <w:rsid w:val="006B5BBA"/>
    <w:rsid w:val="006B629D"/>
    <w:rsid w:val="006C2774"/>
    <w:rsid w:val="006D22DA"/>
    <w:rsid w:val="006D4E6A"/>
    <w:rsid w:val="006D642C"/>
    <w:rsid w:val="006E5450"/>
    <w:rsid w:val="006E5676"/>
    <w:rsid w:val="006F215D"/>
    <w:rsid w:val="006F4DCE"/>
    <w:rsid w:val="006F647F"/>
    <w:rsid w:val="006F6FBF"/>
    <w:rsid w:val="00704B87"/>
    <w:rsid w:val="00705F57"/>
    <w:rsid w:val="00707D0D"/>
    <w:rsid w:val="00714D2F"/>
    <w:rsid w:val="00723D02"/>
    <w:rsid w:val="00727169"/>
    <w:rsid w:val="007274B4"/>
    <w:rsid w:val="0073141D"/>
    <w:rsid w:val="00737E81"/>
    <w:rsid w:val="00751BC4"/>
    <w:rsid w:val="00763BE0"/>
    <w:rsid w:val="007649B2"/>
    <w:rsid w:val="007673A1"/>
    <w:rsid w:val="00771BE4"/>
    <w:rsid w:val="007755E2"/>
    <w:rsid w:val="00783FE8"/>
    <w:rsid w:val="00785ECE"/>
    <w:rsid w:val="007860EB"/>
    <w:rsid w:val="007865F5"/>
    <w:rsid w:val="00791DEB"/>
    <w:rsid w:val="00792E36"/>
    <w:rsid w:val="007941E3"/>
    <w:rsid w:val="00794DE6"/>
    <w:rsid w:val="007978C7"/>
    <w:rsid w:val="007A1B07"/>
    <w:rsid w:val="007A1B81"/>
    <w:rsid w:val="007A290B"/>
    <w:rsid w:val="007A537B"/>
    <w:rsid w:val="007A71F7"/>
    <w:rsid w:val="007B0370"/>
    <w:rsid w:val="007B7DE1"/>
    <w:rsid w:val="007C0735"/>
    <w:rsid w:val="007C0AA7"/>
    <w:rsid w:val="007C2E04"/>
    <w:rsid w:val="007C53C0"/>
    <w:rsid w:val="007D03AC"/>
    <w:rsid w:val="007D27C8"/>
    <w:rsid w:val="007D44B8"/>
    <w:rsid w:val="007D6EB4"/>
    <w:rsid w:val="007E08CA"/>
    <w:rsid w:val="007F03E2"/>
    <w:rsid w:val="007F0F1D"/>
    <w:rsid w:val="007F0F88"/>
    <w:rsid w:val="007F2C56"/>
    <w:rsid w:val="007F6331"/>
    <w:rsid w:val="007F67A1"/>
    <w:rsid w:val="008014F0"/>
    <w:rsid w:val="00805DE7"/>
    <w:rsid w:val="0082020C"/>
    <w:rsid w:val="008218DC"/>
    <w:rsid w:val="008223F3"/>
    <w:rsid w:val="00825799"/>
    <w:rsid w:val="00830895"/>
    <w:rsid w:val="00831276"/>
    <w:rsid w:val="00831BE8"/>
    <w:rsid w:val="00832E91"/>
    <w:rsid w:val="008642F2"/>
    <w:rsid w:val="00873C51"/>
    <w:rsid w:val="00876632"/>
    <w:rsid w:val="00880FA4"/>
    <w:rsid w:val="0088209D"/>
    <w:rsid w:val="00886446"/>
    <w:rsid w:val="00893FBC"/>
    <w:rsid w:val="00894AE5"/>
    <w:rsid w:val="0089532F"/>
    <w:rsid w:val="00897D99"/>
    <w:rsid w:val="008A0B00"/>
    <w:rsid w:val="008A1E9B"/>
    <w:rsid w:val="008A5C18"/>
    <w:rsid w:val="008A71C0"/>
    <w:rsid w:val="008B480F"/>
    <w:rsid w:val="008B5A13"/>
    <w:rsid w:val="008C3CC5"/>
    <w:rsid w:val="008C6952"/>
    <w:rsid w:val="008C7234"/>
    <w:rsid w:val="008E04C7"/>
    <w:rsid w:val="008E10EB"/>
    <w:rsid w:val="008E2AC9"/>
    <w:rsid w:val="008E3A54"/>
    <w:rsid w:val="008F0968"/>
    <w:rsid w:val="008F58DC"/>
    <w:rsid w:val="00900071"/>
    <w:rsid w:val="00900982"/>
    <w:rsid w:val="00902AC3"/>
    <w:rsid w:val="00906D79"/>
    <w:rsid w:val="00913734"/>
    <w:rsid w:val="00916D65"/>
    <w:rsid w:val="00927AF2"/>
    <w:rsid w:val="00930164"/>
    <w:rsid w:val="0093530B"/>
    <w:rsid w:val="00945E3A"/>
    <w:rsid w:val="00946F03"/>
    <w:rsid w:val="00966ED9"/>
    <w:rsid w:val="009715DB"/>
    <w:rsid w:val="009813AF"/>
    <w:rsid w:val="00986F31"/>
    <w:rsid w:val="00992C25"/>
    <w:rsid w:val="00994FCE"/>
    <w:rsid w:val="009959C4"/>
    <w:rsid w:val="0099749C"/>
    <w:rsid w:val="009A722F"/>
    <w:rsid w:val="009A7CCA"/>
    <w:rsid w:val="009B0FA1"/>
    <w:rsid w:val="009B2E78"/>
    <w:rsid w:val="009B5281"/>
    <w:rsid w:val="009B567A"/>
    <w:rsid w:val="009C1458"/>
    <w:rsid w:val="009C77D5"/>
    <w:rsid w:val="009C7D51"/>
    <w:rsid w:val="009D23CD"/>
    <w:rsid w:val="009E0E26"/>
    <w:rsid w:val="009E1B74"/>
    <w:rsid w:val="009F7AB8"/>
    <w:rsid w:val="00A00A21"/>
    <w:rsid w:val="00A0399A"/>
    <w:rsid w:val="00A03DE5"/>
    <w:rsid w:val="00A07D7D"/>
    <w:rsid w:val="00A10C6A"/>
    <w:rsid w:val="00A241FF"/>
    <w:rsid w:val="00A2463F"/>
    <w:rsid w:val="00A407E7"/>
    <w:rsid w:val="00A418D0"/>
    <w:rsid w:val="00A41D04"/>
    <w:rsid w:val="00A44844"/>
    <w:rsid w:val="00A477E9"/>
    <w:rsid w:val="00A505E9"/>
    <w:rsid w:val="00A52BB4"/>
    <w:rsid w:val="00A564BF"/>
    <w:rsid w:val="00A56BF8"/>
    <w:rsid w:val="00A6519A"/>
    <w:rsid w:val="00A6620A"/>
    <w:rsid w:val="00A67A59"/>
    <w:rsid w:val="00A7261A"/>
    <w:rsid w:val="00A74626"/>
    <w:rsid w:val="00A94FF9"/>
    <w:rsid w:val="00AB30F6"/>
    <w:rsid w:val="00AC4379"/>
    <w:rsid w:val="00AC5D71"/>
    <w:rsid w:val="00AD337A"/>
    <w:rsid w:val="00AD433D"/>
    <w:rsid w:val="00AD6F3E"/>
    <w:rsid w:val="00AD714D"/>
    <w:rsid w:val="00AE03A5"/>
    <w:rsid w:val="00AE67F3"/>
    <w:rsid w:val="00AE6EA2"/>
    <w:rsid w:val="00AF0050"/>
    <w:rsid w:val="00AF326D"/>
    <w:rsid w:val="00AF460D"/>
    <w:rsid w:val="00AF5954"/>
    <w:rsid w:val="00AF7717"/>
    <w:rsid w:val="00B02D5F"/>
    <w:rsid w:val="00B072EE"/>
    <w:rsid w:val="00B13B8F"/>
    <w:rsid w:val="00B1449D"/>
    <w:rsid w:val="00B16E7E"/>
    <w:rsid w:val="00B1760C"/>
    <w:rsid w:val="00B17654"/>
    <w:rsid w:val="00B17B4E"/>
    <w:rsid w:val="00B207F0"/>
    <w:rsid w:val="00B22FA8"/>
    <w:rsid w:val="00B234B9"/>
    <w:rsid w:val="00B2501B"/>
    <w:rsid w:val="00B271C6"/>
    <w:rsid w:val="00B30A15"/>
    <w:rsid w:val="00B3259E"/>
    <w:rsid w:val="00B33496"/>
    <w:rsid w:val="00B377BF"/>
    <w:rsid w:val="00B4498A"/>
    <w:rsid w:val="00B47F3D"/>
    <w:rsid w:val="00B50FE5"/>
    <w:rsid w:val="00B51F31"/>
    <w:rsid w:val="00B53094"/>
    <w:rsid w:val="00B5647E"/>
    <w:rsid w:val="00B60912"/>
    <w:rsid w:val="00B61445"/>
    <w:rsid w:val="00B747BB"/>
    <w:rsid w:val="00B76389"/>
    <w:rsid w:val="00B77480"/>
    <w:rsid w:val="00B80C9D"/>
    <w:rsid w:val="00B80FD1"/>
    <w:rsid w:val="00B82C2B"/>
    <w:rsid w:val="00B8358F"/>
    <w:rsid w:val="00B84F3C"/>
    <w:rsid w:val="00B858E6"/>
    <w:rsid w:val="00B85EEB"/>
    <w:rsid w:val="00B96F51"/>
    <w:rsid w:val="00BA53EB"/>
    <w:rsid w:val="00BB1522"/>
    <w:rsid w:val="00BB292E"/>
    <w:rsid w:val="00BB4796"/>
    <w:rsid w:val="00BB7329"/>
    <w:rsid w:val="00BC5F76"/>
    <w:rsid w:val="00BD22BF"/>
    <w:rsid w:val="00BE3800"/>
    <w:rsid w:val="00BE4C32"/>
    <w:rsid w:val="00BE7727"/>
    <w:rsid w:val="00BF00B7"/>
    <w:rsid w:val="00BF07E9"/>
    <w:rsid w:val="00C0603C"/>
    <w:rsid w:val="00C10444"/>
    <w:rsid w:val="00C16F64"/>
    <w:rsid w:val="00C31F0C"/>
    <w:rsid w:val="00C32339"/>
    <w:rsid w:val="00C375FC"/>
    <w:rsid w:val="00C41728"/>
    <w:rsid w:val="00C45C1E"/>
    <w:rsid w:val="00C46B49"/>
    <w:rsid w:val="00C51CAC"/>
    <w:rsid w:val="00C52031"/>
    <w:rsid w:val="00C5238B"/>
    <w:rsid w:val="00C5694D"/>
    <w:rsid w:val="00C57490"/>
    <w:rsid w:val="00C57AB6"/>
    <w:rsid w:val="00C609AB"/>
    <w:rsid w:val="00C64E39"/>
    <w:rsid w:val="00C655DE"/>
    <w:rsid w:val="00C664A1"/>
    <w:rsid w:val="00C7091F"/>
    <w:rsid w:val="00C70AD9"/>
    <w:rsid w:val="00C77241"/>
    <w:rsid w:val="00C77A72"/>
    <w:rsid w:val="00C8218F"/>
    <w:rsid w:val="00C84E9F"/>
    <w:rsid w:val="00C92358"/>
    <w:rsid w:val="00C926FF"/>
    <w:rsid w:val="00C936A8"/>
    <w:rsid w:val="00C967AD"/>
    <w:rsid w:val="00C9728C"/>
    <w:rsid w:val="00CB0E66"/>
    <w:rsid w:val="00CB4F3D"/>
    <w:rsid w:val="00CB56AE"/>
    <w:rsid w:val="00CB783F"/>
    <w:rsid w:val="00CC08CE"/>
    <w:rsid w:val="00CC1366"/>
    <w:rsid w:val="00CC4847"/>
    <w:rsid w:val="00CC5931"/>
    <w:rsid w:val="00CC639F"/>
    <w:rsid w:val="00CF1411"/>
    <w:rsid w:val="00CF2F8A"/>
    <w:rsid w:val="00CF502B"/>
    <w:rsid w:val="00CF7A40"/>
    <w:rsid w:val="00CF7FCF"/>
    <w:rsid w:val="00D000B3"/>
    <w:rsid w:val="00D1419F"/>
    <w:rsid w:val="00D202E8"/>
    <w:rsid w:val="00D2260D"/>
    <w:rsid w:val="00D24FAE"/>
    <w:rsid w:val="00D413E7"/>
    <w:rsid w:val="00D415C0"/>
    <w:rsid w:val="00D431FA"/>
    <w:rsid w:val="00D46125"/>
    <w:rsid w:val="00D510AA"/>
    <w:rsid w:val="00D70723"/>
    <w:rsid w:val="00D70C99"/>
    <w:rsid w:val="00D747ED"/>
    <w:rsid w:val="00D74D23"/>
    <w:rsid w:val="00D7532B"/>
    <w:rsid w:val="00D761CD"/>
    <w:rsid w:val="00D81533"/>
    <w:rsid w:val="00D8222B"/>
    <w:rsid w:val="00D86672"/>
    <w:rsid w:val="00D91F10"/>
    <w:rsid w:val="00D93412"/>
    <w:rsid w:val="00DB3632"/>
    <w:rsid w:val="00DB504F"/>
    <w:rsid w:val="00DB5DDF"/>
    <w:rsid w:val="00DB62F0"/>
    <w:rsid w:val="00DB7C6C"/>
    <w:rsid w:val="00DC091D"/>
    <w:rsid w:val="00DC3D2F"/>
    <w:rsid w:val="00DC52E3"/>
    <w:rsid w:val="00DC7C17"/>
    <w:rsid w:val="00DD4674"/>
    <w:rsid w:val="00DE74C2"/>
    <w:rsid w:val="00DF1D15"/>
    <w:rsid w:val="00DF46B3"/>
    <w:rsid w:val="00DF5336"/>
    <w:rsid w:val="00DF7718"/>
    <w:rsid w:val="00E034AB"/>
    <w:rsid w:val="00E055EB"/>
    <w:rsid w:val="00E131E0"/>
    <w:rsid w:val="00E20781"/>
    <w:rsid w:val="00E26895"/>
    <w:rsid w:val="00E3321E"/>
    <w:rsid w:val="00E35859"/>
    <w:rsid w:val="00E40167"/>
    <w:rsid w:val="00E46224"/>
    <w:rsid w:val="00E5277F"/>
    <w:rsid w:val="00E53FAD"/>
    <w:rsid w:val="00E57434"/>
    <w:rsid w:val="00E75876"/>
    <w:rsid w:val="00E76A0A"/>
    <w:rsid w:val="00E77EA3"/>
    <w:rsid w:val="00E82FB6"/>
    <w:rsid w:val="00E91BF9"/>
    <w:rsid w:val="00EA0F10"/>
    <w:rsid w:val="00EA30A2"/>
    <w:rsid w:val="00EA4FBF"/>
    <w:rsid w:val="00EA7192"/>
    <w:rsid w:val="00EB0318"/>
    <w:rsid w:val="00EB1E90"/>
    <w:rsid w:val="00EB2682"/>
    <w:rsid w:val="00EC00AA"/>
    <w:rsid w:val="00EC0510"/>
    <w:rsid w:val="00ED66ED"/>
    <w:rsid w:val="00EE3FDB"/>
    <w:rsid w:val="00EF13BE"/>
    <w:rsid w:val="00EF24D9"/>
    <w:rsid w:val="00EF44A6"/>
    <w:rsid w:val="00EF4E47"/>
    <w:rsid w:val="00F00FCA"/>
    <w:rsid w:val="00F01FBF"/>
    <w:rsid w:val="00F021B6"/>
    <w:rsid w:val="00F03600"/>
    <w:rsid w:val="00F0546E"/>
    <w:rsid w:val="00F06F6D"/>
    <w:rsid w:val="00F21041"/>
    <w:rsid w:val="00F22683"/>
    <w:rsid w:val="00F22FDB"/>
    <w:rsid w:val="00F31E2B"/>
    <w:rsid w:val="00F423BD"/>
    <w:rsid w:val="00F43433"/>
    <w:rsid w:val="00F47C5F"/>
    <w:rsid w:val="00F52BB5"/>
    <w:rsid w:val="00F5786E"/>
    <w:rsid w:val="00F6496C"/>
    <w:rsid w:val="00F7576C"/>
    <w:rsid w:val="00F75AAC"/>
    <w:rsid w:val="00F766D7"/>
    <w:rsid w:val="00F822E1"/>
    <w:rsid w:val="00F82F7B"/>
    <w:rsid w:val="00F83FD4"/>
    <w:rsid w:val="00F8518A"/>
    <w:rsid w:val="00F94193"/>
    <w:rsid w:val="00F94B3B"/>
    <w:rsid w:val="00FA00AC"/>
    <w:rsid w:val="00FA6E78"/>
    <w:rsid w:val="00FB0CD3"/>
    <w:rsid w:val="00FB1100"/>
    <w:rsid w:val="00FB2624"/>
    <w:rsid w:val="00FB4DFC"/>
    <w:rsid w:val="00FB5428"/>
    <w:rsid w:val="00FB659E"/>
    <w:rsid w:val="00FB67A6"/>
    <w:rsid w:val="00FC1684"/>
    <w:rsid w:val="00FC2C3F"/>
    <w:rsid w:val="00FC2D8B"/>
    <w:rsid w:val="00FD12E7"/>
    <w:rsid w:val="00FF2B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footnote text" w:uiPriority="99"/>
    <w:lsdException w:name="footer" w:uiPriority="99"/>
    <w:lsdException w:name="caption" w:qFormat="1"/>
    <w:lsdException w:name="table of figures" w:uiPriority="99"/>
    <w:lsdException w:name="footnote reference" w:uiPriority="99"/>
    <w:lsdException w:name="Title" w:qFormat="1"/>
    <w:lsdException w:name="Default Paragraph Font" w:uiPriority="1"/>
    <w:lsdException w:name="Subtitle" w:qFormat="1"/>
    <w:lsdException w:name="Body Text 2" w:uiPriority="99"/>
    <w:lsdException w:name="Hyperlink" w:uiPriority="99"/>
    <w:lsdException w:name="Strong" w:qFormat="1"/>
    <w:lsdException w:name="Emphasis" w:uiPriority="20"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2260D"/>
    <w:pPr>
      <w:spacing w:after="220" w:line="300" w:lineRule="auto"/>
      <w:jc w:val="both"/>
    </w:pPr>
    <w:rPr>
      <w:rFonts w:ascii="Arial" w:hAnsi="Arial"/>
      <w:color w:val="000000"/>
      <w:sz w:val="22"/>
      <w:lang w:val="en-GB" w:eastAsia="en-US"/>
    </w:rPr>
  </w:style>
  <w:style w:type="paragraph" w:styleId="Heading1">
    <w:name w:val="heading 1"/>
    <w:basedOn w:val="Para0"/>
    <w:next w:val="Para0"/>
    <w:qFormat/>
    <w:rsid w:val="00E91BF9"/>
    <w:pPr>
      <w:keepNext/>
      <w:pageBreakBefore/>
      <w:spacing w:after="120"/>
      <w:outlineLvl w:val="0"/>
    </w:pPr>
    <w:rPr>
      <w:b/>
      <w:caps/>
      <w:sz w:val="24"/>
    </w:rPr>
  </w:style>
  <w:style w:type="paragraph" w:styleId="Heading2">
    <w:name w:val="heading 2"/>
    <w:basedOn w:val="Heading1"/>
    <w:next w:val="Para0"/>
    <w:qFormat/>
    <w:rsid w:val="00E91BF9"/>
    <w:pPr>
      <w:pageBreakBefore w:val="0"/>
      <w:numPr>
        <w:ilvl w:val="1"/>
      </w:numPr>
      <w:outlineLvl w:val="1"/>
    </w:pPr>
    <w:rPr>
      <w:caps w:val="0"/>
      <w:sz w:val="22"/>
      <w:szCs w:val="22"/>
      <w:lang w:val="en-AU"/>
    </w:rPr>
  </w:style>
  <w:style w:type="paragraph" w:styleId="Heading3">
    <w:name w:val="heading 3"/>
    <w:basedOn w:val="Heading2"/>
    <w:next w:val="Para0"/>
    <w:qFormat/>
    <w:rsid w:val="00EA7192"/>
    <w:pPr>
      <w:numPr>
        <w:ilvl w:val="2"/>
      </w:numPr>
      <w:outlineLvl w:val="2"/>
    </w:pPr>
    <w:rPr>
      <w:i/>
    </w:rPr>
  </w:style>
  <w:style w:type="paragraph" w:styleId="Heading4">
    <w:name w:val="heading 4"/>
    <w:basedOn w:val="Heading3"/>
    <w:next w:val="Para0"/>
    <w:qFormat/>
    <w:rsid w:val="00EA7192"/>
    <w:pPr>
      <w:numPr>
        <w:ilvl w:val="3"/>
      </w:numPr>
      <w:ind w:firstLine="567"/>
      <w:outlineLvl w:val="3"/>
    </w:pPr>
    <w:rPr>
      <w:b w:val="0"/>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1B1AFE"/>
    <w:pPr>
      <w:spacing w:before="240" w:after="0" w:line="240" w:lineRule="auto"/>
      <w:jc w:val="left"/>
    </w:pPr>
  </w:style>
  <w:style w:type="paragraph" w:styleId="Header">
    <w:name w:val="header"/>
    <w:basedOn w:val="Para0"/>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aliases w:val="Caption Char1 Char,Caption Char1,อักขระ,Caption1 Char,Caption Char Char Char Char1 Char,Caption Char Char Char Char Char Char Char Char Char1 Char,Caption1 Char Char,Caption Char Char Char Char1 Char Char Char,Caption Char1 Ch,Table Caption,TABL"/>
    <w:basedOn w:val="Normal"/>
    <w:next w:val="Normal"/>
    <w:link w:val="CaptionChar"/>
    <w:qFormat/>
    <w:rsid w:val="00B53094"/>
    <w:pPr>
      <w:jc w:val="center"/>
    </w:p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880FA4"/>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F43433"/>
    <w:pPr>
      <w:numPr>
        <w:numId w:val="3"/>
      </w:numPr>
      <w:spacing w:after="60"/>
    </w:pPr>
  </w:style>
  <w:style w:type="paragraph" w:customStyle="1" w:styleId="Para0dash">
    <w:name w:val="Para 0 dash"/>
    <w:basedOn w:val="Para0"/>
    <w:rsid w:val="00F43433"/>
    <w:pPr>
      <w:numPr>
        <w:numId w:val="4"/>
      </w:numPr>
      <w:spacing w:after="60"/>
    </w:pPr>
  </w:style>
  <w:style w:type="paragraph" w:customStyle="1" w:styleId="Para0letter">
    <w:name w:val="Para 0 letter"/>
    <w:basedOn w:val="Para0"/>
    <w:rsid w:val="0059128B"/>
    <w:pPr>
      <w:numPr>
        <w:numId w:val="5"/>
      </w:numPr>
      <w:spacing w:after="60"/>
    </w:pPr>
  </w:style>
  <w:style w:type="paragraph" w:customStyle="1" w:styleId="Para0number">
    <w:name w:val="Para 0 number"/>
    <w:basedOn w:val="Para0"/>
    <w:rsid w:val="00B85EEB"/>
    <w:pPr>
      <w:numPr>
        <w:numId w:val="6"/>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F43433"/>
    <w:pPr>
      <w:numPr>
        <w:numId w:val="7"/>
      </w:numPr>
      <w:spacing w:after="60"/>
    </w:pPr>
  </w:style>
  <w:style w:type="paragraph" w:customStyle="1" w:styleId="Para1dash">
    <w:name w:val="Para 1 dash"/>
    <w:basedOn w:val="Para1"/>
    <w:rsid w:val="00F43433"/>
    <w:pPr>
      <w:numPr>
        <w:numId w:val="8"/>
      </w:numPr>
      <w:spacing w:after="60"/>
    </w:pPr>
  </w:style>
  <w:style w:type="paragraph" w:customStyle="1" w:styleId="Para1letter">
    <w:name w:val="Para 1 letter"/>
    <w:basedOn w:val="Para1"/>
    <w:rsid w:val="006F647F"/>
    <w:pPr>
      <w:numPr>
        <w:numId w:val="23"/>
      </w:numPr>
      <w:spacing w:after="60"/>
    </w:pPr>
  </w:style>
  <w:style w:type="paragraph" w:customStyle="1" w:styleId="Para1number">
    <w:name w:val="Para 1 number"/>
    <w:basedOn w:val="Para1"/>
    <w:rsid w:val="00B85EEB"/>
    <w:pPr>
      <w:numPr>
        <w:numId w:val="32"/>
      </w:numPr>
      <w:spacing w:after="60"/>
    </w:pPr>
  </w:style>
  <w:style w:type="paragraph" w:customStyle="1" w:styleId="TableFont">
    <w:name w:val="TableFont"/>
    <w:basedOn w:val="Para0"/>
    <w:rsid w:val="004C5A33"/>
    <w:pPr>
      <w:spacing w:before="40" w:after="40"/>
    </w:pPr>
    <w:rPr>
      <w:sz w:val="20"/>
    </w:rPr>
  </w:style>
  <w:style w:type="paragraph" w:customStyle="1" w:styleId="TableFontH">
    <w:name w:val="TableFontH"/>
    <w:basedOn w:val="TableFont"/>
    <w:rsid w:val="004C5A33"/>
    <w:pPr>
      <w:keepNext/>
      <w:spacing w:before="60" w:after="60"/>
    </w:pPr>
    <w:rPr>
      <w:b/>
      <w:color w:val="auto"/>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8A71C0"/>
    <w:pPr>
      <w:tabs>
        <w:tab w:val="left" w:leader="dot" w:pos="567"/>
        <w:tab w:val="right" w:pos="8505"/>
      </w:tabs>
      <w:spacing w:before="120" w:after="120"/>
    </w:pPr>
    <w:rPr>
      <w:b/>
      <w:caps/>
      <w:noProof/>
      <w:sz w:val="24"/>
    </w:rPr>
  </w:style>
  <w:style w:type="paragraph" w:styleId="TOC2">
    <w:name w:val="toc 2"/>
    <w:basedOn w:val="TOC1"/>
    <w:next w:val="Para0"/>
    <w:uiPriority w:val="39"/>
    <w:rsid w:val="00880FA4"/>
    <w:pPr>
      <w:tabs>
        <w:tab w:val="clear" w:pos="567"/>
        <w:tab w:val="left" w:pos="1276"/>
      </w:tabs>
      <w:spacing w:before="0" w:after="60"/>
      <w:ind w:left="567"/>
    </w:pPr>
    <w:rPr>
      <w:caps w:val="0"/>
      <w:sz w:val="22"/>
    </w:rPr>
  </w:style>
  <w:style w:type="paragraph" w:styleId="TOC3">
    <w:name w:val="toc 3"/>
    <w:basedOn w:val="TOC1"/>
    <w:next w:val="Para0"/>
    <w:uiPriority w:val="39"/>
    <w:rsid w:val="00880FA4"/>
    <w:pPr>
      <w:tabs>
        <w:tab w:val="clear" w:pos="567"/>
        <w:tab w:val="left" w:pos="1276"/>
      </w:tabs>
      <w:spacing w:before="0" w:after="60"/>
      <w:ind w:left="567"/>
    </w:pPr>
    <w:rPr>
      <w:b w:val="0"/>
      <w:caps w:val="0"/>
      <w:sz w:val="20"/>
    </w:rPr>
  </w:style>
  <w:style w:type="paragraph" w:styleId="TOC4">
    <w:name w:val="toc 4"/>
    <w:basedOn w:val="TOC1"/>
    <w:next w:val="Para0"/>
    <w:uiPriority w:val="39"/>
    <w:rsid w:val="00F43433"/>
    <w:pPr>
      <w:tabs>
        <w:tab w:val="clear" w:pos="567"/>
        <w:tab w:val="left" w:pos="1418"/>
      </w:tabs>
      <w:spacing w:before="0" w:after="60"/>
      <w:ind w:left="567"/>
    </w:pPr>
    <w:rPr>
      <w:b w:val="0"/>
      <w:sz w:val="20"/>
    </w:rPr>
  </w:style>
  <w:style w:type="paragraph" w:styleId="TOC5">
    <w:name w:val="toc 5"/>
    <w:basedOn w:val="TOC1"/>
    <w:next w:val="Para0"/>
    <w:semiHidden/>
    <w:rsid w:val="00F43433"/>
    <w:pPr>
      <w:tabs>
        <w:tab w:val="clear" w:pos="567"/>
        <w:tab w:val="left" w:pos="1559"/>
      </w:tabs>
      <w:spacing w:before="0" w:after="60"/>
      <w:ind w:left="567"/>
    </w:pPr>
    <w:rPr>
      <w:b w:val="0"/>
      <w:sz w:val="20"/>
    </w:rPr>
  </w:style>
  <w:style w:type="paragraph" w:styleId="TOC6">
    <w:name w:val="toc 6"/>
    <w:basedOn w:val="TOC1"/>
    <w:next w:val="Para0"/>
    <w:semiHidden/>
    <w:rsid w:val="00F43433"/>
    <w:pPr>
      <w:tabs>
        <w:tab w:val="clear" w:pos="567"/>
        <w:tab w:val="left" w:pos="1701"/>
      </w:tabs>
      <w:spacing w:before="0" w:after="60"/>
      <w:ind w:left="567"/>
    </w:pPr>
    <w:rPr>
      <w:b w:val="0"/>
      <w:sz w:val="20"/>
    </w:rPr>
  </w:style>
  <w:style w:type="paragraph" w:styleId="TOC7">
    <w:name w:val="toc 7"/>
    <w:basedOn w:val="TOC1"/>
    <w:next w:val="Para0"/>
    <w:semiHidden/>
    <w:rsid w:val="00F43433"/>
    <w:pPr>
      <w:tabs>
        <w:tab w:val="clear" w:pos="567"/>
        <w:tab w:val="left" w:pos="1843"/>
      </w:tabs>
      <w:spacing w:before="0" w:after="60"/>
      <w:ind w:left="567"/>
    </w:pPr>
    <w:rPr>
      <w:b w:val="0"/>
      <w:sz w:val="20"/>
    </w:rPr>
  </w:style>
  <w:style w:type="paragraph" w:styleId="TOC8">
    <w:name w:val="toc 8"/>
    <w:basedOn w:val="TOC1"/>
    <w:next w:val="Para0"/>
    <w:semiHidden/>
    <w:rsid w:val="00F43433"/>
    <w:pPr>
      <w:tabs>
        <w:tab w:val="clear" w:pos="567"/>
        <w:tab w:val="left" w:pos="1985"/>
      </w:tabs>
      <w:spacing w:before="0" w:after="60"/>
      <w:ind w:left="567"/>
    </w:pPr>
    <w:rPr>
      <w:b w:val="0"/>
      <w:sz w:val="20"/>
    </w:rPr>
  </w:style>
  <w:style w:type="paragraph" w:styleId="TOC9">
    <w:name w:val="toc 9"/>
    <w:basedOn w:val="TOC1"/>
    <w:next w:val="Para0"/>
    <w:semiHidden/>
    <w:rsid w:val="00F43433"/>
    <w:pPr>
      <w:tabs>
        <w:tab w:val="clear" w:pos="567"/>
        <w:tab w:val="left" w:pos="2835"/>
      </w:tabs>
    </w:pPr>
  </w:style>
  <w:style w:type="paragraph" w:customStyle="1" w:styleId="Heading1-NoTOC">
    <w:name w:val="Heading 1 - No TOC"/>
    <w:basedOn w:val="Heading1"/>
    <w:next w:val="Para0"/>
    <w:rsid w:val="00F43433"/>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Normal"/>
    <w:next w:val="Para0"/>
    <w:rsid w:val="00F43433"/>
    <w:rPr>
      <w:b/>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11"/>
      </w:numPr>
      <w:spacing w:after="60"/>
    </w:pPr>
  </w:style>
  <w:style w:type="paragraph" w:customStyle="1" w:styleId="Para2dash">
    <w:name w:val="Para 2 dash"/>
    <w:basedOn w:val="Para2"/>
    <w:rsid w:val="00F43433"/>
    <w:pPr>
      <w:numPr>
        <w:numId w:val="12"/>
      </w:numPr>
      <w:spacing w:after="60"/>
    </w:pPr>
  </w:style>
  <w:style w:type="paragraph" w:customStyle="1" w:styleId="Para2letter">
    <w:name w:val="Para 2 letter"/>
    <w:basedOn w:val="Para2"/>
    <w:rsid w:val="00F43433"/>
    <w:pPr>
      <w:numPr>
        <w:numId w:val="13"/>
      </w:numPr>
      <w:spacing w:after="60"/>
    </w:pPr>
  </w:style>
  <w:style w:type="paragraph" w:customStyle="1" w:styleId="Para2number">
    <w:name w:val="Para 2 number"/>
    <w:basedOn w:val="Para2"/>
    <w:rsid w:val="00B85EEB"/>
    <w:pPr>
      <w:numPr>
        <w:numId w:val="14"/>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5"/>
      </w:numPr>
      <w:spacing w:after="60"/>
    </w:pPr>
  </w:style>
  <w:style w:type="paragraph" w:customStyle="1" w:styleId="Para3dash">
    <w:name w:val="Para 3 dash"/>
    <w:basedOn w:val="Para3"/>
    <w:rsid w:val="00F43433"/>
    <w:pPr>
      <w:numPr>
        <w:numId w:val="16"/>
      </w:numPr>
      <w:spacing w:after="60"/>
    </w:pPr>
  </w:style>
  <w:style w:type="paragraph" w:customStyle="1" w:styleId="Para3letter">
    <w:name w:val="Para 3 letter"/>
    <w:basedOn w:val="Para3"/>
    <w:rsid w:val="008B5A13"/>
    <w:pPr>
      <w:numPr>
        <w:numId w:val="17"/>
      </w:numPr>
      <w:spacing w:after="60"/>
    </w:pPr>
  </w:style>
  <w:style w:type="paragraph" w:customStyle="1" w:styleId="Para3number">
    <w:name w:val="Para 3 number"/>
    <w:basedOn w:val="Para3"/>
    <w:rsid w:val="00B85EEB"/>
    <w:pPr>
      <w:numPr>
        <w:numId w:val="18"/>
      </w:numPr>
      <w:spacing w:after="60"/>
    </w:pPr>
  </w:style>
  <w:style w:type="paragraph" w:customStyle="1" w:styleId="DocStatusH">
    <w:name w:val="DocStatusH"/>
    <w:basedOn w:val="DocStatus"/>
    <w:rsid w:val="00F43433"/>
    <w:pPr>
      <w:spacing w:before="60" w:after="60"/>
    </w:pPr>
    <w:rPr>
      <w:b/>
    </w:rPr>
  </w:style>
  <w:style w:type="paragraph" w:customStyle="1" w:styleId="DocStatus">
    <w:name w:val="DocStatus"/>
    <w:basedOn w:val="TableFont"/>
    <w:rsid w:val="00F43433"/>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F43433"/>
    <w:pPr>
      <w:numPr>
        <w:numId w:val="19"/>
      </w:numPr>
    </w:pPr>
  </w:style>
  <w:style w:type="paragraph" w:customStyle="1" w:styleId="Appendix2">
    <w:name w:val="Appendix 2"/>
    <w:basedOn w:val="Appendix1"/>
    <w:next w:val="Para0"/>
    <w:rsid w:val="00F43433"/>
    <w:pPr>
      <w:pageBreakBefore w:val="0"/>
      <w:numPr>
        <w:ilvl w:val="1"/>
      </w:numPr>
      <w:spacing w:before="120" w:after="40"/>
      <w:outlineLvl w:val="1"/>
    </w:pPr>
    <w:rPr>
      <w:sz w:val="22"/>
    </w:rPr>
  </w:style>
  <w:style w:type="paragraph" w:customStyle="1" w:styleId="Appendix3">
    <w:name w:val="Appendix 3"/>
    <w:basedOn w:val="Appendix1"/>
    <w:next w:val="Para0"/>
    <w:rsid w:val="00F43433"/>
    <w:pPr>
      <w:pageBreakBefore w:val="0"/>
      <w:numPr>
        <w:ilvl w:val="2"/>
      </w:numPr>
      <w:spacing w:before="120" w:after="40"/>
      <w:outlineLvl w:val="2"/>
    </w:pPr>
    <w:rPr>
      <w:sz w:val="22"/>
    </w:r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20"/>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21"/>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8A71C0"/>
    <w:rPr>
      <w:b w:val="0"/>
      <w:caps w:val="0"/>
      <w:sz w:val="20"/>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25"/>
      </w:numPr>
      <w:spacing w:after="60"/>
    </w:pPr>
  </w:style>
  <w:style w:type="paragraph" w:customStyle="1" w:styleId="TableFontbullet">
    <w:name w:val="TableFont bullet"/>
    <w:basedOn w:val="TableFont"/>
    <w:rsid w:val="00F43433"/>
    <w:pPr>
      <w:numPr>
        <w:numId w:val="22"/>
      </w:numPr>
      <w:spacing w:before="20" w:after="0"/>
    </w:pPr>
  </w:style>
  <w:style w:type="paragraph" w:customStyle="1" w:styleId="Para1Roman">
    <w:name w:val="Para 1 Roman"/>
    <w:basedOn w:val="Para1"/>
    <w:rsid w:val="00B377BF"/>
    <w:pPr>
      <w:numPr>
        <w:numId w:val="29"/>
      </w:numPr>
      <w:spacing w:after="60"/>
    </w:pPr>
  </w:style>
  <w:style w:type="paragraph" w:customStyle="1" w:styleId="Para2Roman">
    <w:name w:val="Para 2 Roman"/>
    <w:basedOn w:val="Para2"/>
    <w:rsid w:val="00226F69"/>
    <w:pPr>
      <w:numPr>
        <w:numId w:val="30"/>
      </w:numPr>
      <w:spacing w:after="60"/>
    </w:pPr>
  </w:style>
  <w:style w:type="paragraph" w:customStyle="1" w:styleId="Para3Roman">
    <w:name w:val="Para 3 Roman"/>
    <w:basedOn w:val="Para3"/>
    <w:rsid w:val="008B5A13"/>
    <w:pPr>
      <w:numPr>
        <w:numId w:val="31"/>
      </w:numPr>
      <w:spacing w:after="60"/>
    </w:pPr>
  </w:style>
  <w:style w:type="paragraph" w:styleId="BalloonText">
    <w:name w:val="Balloon Text"/>
    <w:basedOn w:val="Normal"/>
    <w:link w:val="BalloonTextChar"/>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Normal"/>
    <w:rsid w:val="00FC2C3F"/>
    <w:rPr>
      <w:bCs/>
    </w:rPr>
  </w:style>
  <w:style w:type="paragraph" w:customStyle="1" w:styleId="StyleCaptionBefore0pt1">
    <w:name w:val="Style Caption + Before:  0 pt1"/>
    <w:basedOn w:val="Normal"/>
    <w:rsid w:val="00FC2C3F"/>
    <w:rPr>
      <w:bCs/>
    </w:rPr>
  </w:style>
  <w:style w:type="paragraph" w:customStyle="1" w:styleId="Default">
    <w:name w:val="Default"/>
    <w:rsid w:val="00D2260D"/>
    <w:pPr>
      <w:autoSpaceDE w:val="0"/>
      <w:autoSpaceDN w:val="0"/>
      <w:adjustRightInd w:val="0"/>
    </w:pPr>
    <w:rPr>
      <w:rFonts w:ascii="Arial" w:hAnsi="Arial" w:cs="Arial"/>
      <w:color w:val="000000"/>
      <w:sz w:val="24"/>
      <w:szCs w:val="24"/>
    </w:rPr>
  </w:style>
  <w:style w:type="character" w:customStyle="1" w:styleId="CaptionChar">
    <w:name w:val="Caption Char"/>
    <w:aliases w:val="Caption Char1 Char Char,Caption Char1 Char1,อักขระ Char,Caption1 Char Char1,Caption Char Char Char Char1 Char Char,Caption Char Char Char Char Char Char Char Char Char1 Char Char,Caption1 Char Char Char,Caption Char1 Ch Char,TABL Char"/>
    <w:link w:val="Caption"/>
    <w:uiPriority w:val="35"/>
    <w:locked/>
    <w:rsid w:val="009B567A"/>
    <w:rPr>
      <w:rFonts w:ascii="Arial" w:hAnsi="Arial"/>
      <w:sz w:val="22"/>
      <w:lang w:val="en-GB" w:eastAsia="en-US"/>
    </w:rPr>
  </w:style>
  <w:style w:type="paragraph" w:styleId="BodyText2">
    <w:name w:val="Body Text 2"/>
    <w:basedOn w:val="Normal"/>
    <w:link w:val="BodyText2Char"/>
    <w:uiPriority w:val="99"/>
    <w:unhideWhenUsed/>
    <w:rsid w:val="001F1FCF"/>
    <w:pPr>
      <w:spacing w:before="160" w:after="120" w:line="480" w:lineRule="auto"/>
    </w:pPr>
    <w:rPr>
      <w:rFonts w:eastAsiaTheme="minorHAnsi" w:cs="Arial"/>
      <w:color w:val="auto"/>
      <w:szCs w:val="22"/>
      <w:lang w:val="en-AU" w:eastAsia="ar-SA"/>
    </w:rPr>
  </w:style>
  <w:style w:type="character" w:customStyle="1" w:styleId="BodyText2Char">
    <w:name w:val="Body Text 2 Char"/>
    <w:basedOn w:val="DefaultParagraphFont"/>
    <w:link w:val="BodyText2"/>
    <w:uiPriority w:val="99"/>
    <w:rsid w:val="001F1FCF"/>
    <w:rPr>
      <w:rFonts w:ascii="Arial" w:eastAsiaTheme="minorHAnsi" w:hAnsi="Arial" w:cs="Arial"/>
      <w:sz w:val="22"/>
      <w:szCs w:val="22"/>
      <w:lang w:eastAsia="ar-SA"/>
    </w:rPr>
  </w:style>
  <w:style w:type="paragraph" w:styleId="NormalWeb">
    <w:name w:val="Normal (Web)"/>
    <w:basedOn w:val="Normal"/>
    <w:uiPriority w:val="99"/>
    <w:unhideWhenUsed/>
    <w:rsid w:val="004126D1"/>
    <w:pPr>
      <w:spacing w:before="100" w:beforeAutospacing="1" w:after="100" w:afterAutospacing="1" w:line="240" w:lineRule="auto"/>
      <w:jc w:val="left"/>
    </w:pPr>
    <w:rPr>
      <w:rFonts w:ascii="Times New Roman" w:eastAsiaTheme="minorEastAsia" w:hAnsi="Times New Roman"/>
      <w:color w:val="auto"/>
      <w:sz w:val="24"/>
      <w:szCs w:val="24"/>
      <w:lang w:val="en-AU" w:eastAsia="en-AU"/>
    </w:rPr>
  </w:style>
  <w:style w:type="character" w:styleId="CommentReference">
    <w:name w:val="annotation reference"/>
    <w:basedOn w:val="DefaultParagraphFont"/>
    <w:rsid w:val="00514377"/>
    <w:rPr>
      <w:sz w:val="16"/>
      <w:szCs w:val="16"/>
    </w:rPr>
  </w:style>
  <w:style w:type="paragraph" w:styleId="CommentText">
    <w:name w:val="annotation text"/>
    <w:basedOn w:val="Normal"/>
    <w:link w:val="CommentTextChar"/>
    <w:rsid w:val="00514377"/>
    <w:pPr>
      <w:spacing w:line="240" w:lineRule="auto"/>
    </w:pPr>
    <w:rPr>
      <w:sz w:val="20"/>
    </w:rPr>
  </w:style>
  <w:style w:type="character" w:customStyle="1" w:styleId="CommentTextChar">
    <w:name w:val="Comment Text Char"/>
    <w:basedOn w:val="DefaultParagraphFont"/>
    <w:link w:val="CommentText"/>
    <w:rsid w:val="00514377"/>
    <w:rPr>
      <w:rFonts w:ascii="Arial" w:hAnsi="Arial"/>
      <w:color w:val="000000"/>
      <w:lang w:val="en-GB" w:eastAsia="en-US"/>
    </w:rPr>
  </w:style>
  <w:style w:type="paragraph" w:styleId="CommentSubject">
    <w:name w:val="annotation subject"/>
    <w:basedOn w:val="CommentText"/>
    <w:next w:val="CommentText"/>
    <w:link w:val="CommentSubjectChar"/>
    <w:rsid w:val="00514377"/>
    <w:rPr>
      <w:b/>
      <w:bCs/>
    </w:rPr>
  </w:style>
  <w:style w:type="character" w:customStyle="1" w:styleId="CommentSubjectChar">
    <w:name w:val="Comment Subject Char"/>
    <w:basedOn w:val="CommentTextChar"/>
    <w:link w:val="CommentSubject"/>
    <w:rsid w:val="00514377"/>
    <w:rPr>
      <w:rFonts w:ascii="Arial" w:hAnsi="Arial"/>
      <w:b/>
      <w:bCs/>
      <w:color w:val="000000"/>
      <w:lang w:val="en-GB" w:eastAsia="en-US"/>
    </w:rPr>
  </w:style>
  <w:style w:type="character" w:styleId="Hyperlink">
    <w:name w:val="Hyperlink"/>
    <w:uiPriority w:val="99"/>
    <w:rsid w:val="00ED66ED"/>
    <w:rPr>
      <w:color w:val="0000FF"/>
      <w:u w:val="single"/>
    </w:rPr>
  </w:style>
  <w:style w:type="character" w:customStyle="1" w:styleId="Title1">
    <w:name w:val="Title1"/>
    <w:basedOn w:val="DefaultParagraphFont"/>
    <w:rsid w:val="00B747BB"/>
  </w:style>
  <w:style w:type="character" w:customStyle="1" w:styleId="ital">
    <w:name w:val="ital"/>
    <w:basedOn w:val="DefaultParagraphFont"/>
    <w:rsid w:val="00B747BB"/>
  </w:style>
  <w:style w:type="paragraph" w:styleId="ListParagraph">
    <w:name w:val="List Paragraph"/>
    <w:basedOn w:val="Normal"/>
    <w:uiPriority w:val="34"/>
    <w:qFormat/>
    <w:rsid w:val="00E26895"/>
    <w:pPr>
      <w:ind w:left="720"/>
      <w:contextualSpacing/>
    </w:pPr>
  </w:style>
  <w:style w:type="character" w:styleId="Emphasis">
    <w:name w:val="Emphasis"/>
    <w:uiPriority w:val="20"/>
    <w:qFormat/>
    <w:rsid w:val="00A07D7D"/>
    <w:rPr>
      <w:rFonts w:cs="Times New Roman"/>
      <w:i/>
      <w:iCs/>
    </w:rPr>
  </w:style>
  <w:style w:type="table" w:styleId="TableGrid">
    <w:name w:val="Table Grid"/>
    <w:basedOn w:val="TableNormal"/>
    <w:uiPriority w:val="59"/>
    <w:rsid w:val="00090AC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C926FF"/>
    <w:rPr>
      <w:rFonts w:ascii="Arial" w:hAnsi="Arial"/>
      <w:color w:val="000000"/>
      <w:sz w:val="22"/>
      <w:lang w:val="en-GB" w:eastAsia="en-US"/>
    </w:rPr>
  </w:style>
  <w:style w:type="paragraph" w:styleId="Subtitle">
    <w:name w:val="Subtitle"/>
    <w:basedOn w:val="Normal"/>
    <w:next w:val="Normal"/>
    <w:link w:val="SubtitleChar"/>
    <w:qFormat/>
    <w:rsid w:val="009715D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9715DB"/>
    <w:rPr>
      <w:rFonts w:asciiTheme="majorHAnsi" w:eastAsiaTheme="majorEastAsia" w:hAnsiTheme="majorHAnsi" w:cstheme="majorBidi"/>
      <w:i/>
      <w:iCs/>
      <w:color w:val="4F81BD" w:themeColor="accent1"/>
      <w:spacing w:val="15"/>
      <w:sz w:val="24"/>
      <w:szCs w:val="24"/>
      <w:lang w:val="en-GB" w:eastAsia="en-US"/>
    </w:rPr>
  </w:style>
  <w:style w:type="paragraph" w:styleId="DocumentMap">
    <w:name w:val="Document Map"/>
    <w:basedOn w:val="Normal"/>
    <w:link w:val="DocumentMapChar"/>
    <w:rsid w:val="000751B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0751B6"/>
    <w:rPr>
      <w:rFonts w:ascii="Tahoma" w:hAnsi="Tahoma" w:cs="Tahoma"/>
      <w:color w:val="000000"/>
      <w:sz w:val="16"/>
      <w:szCs w:val="16"/>
      <w:lang w:val="en-GB" w:eastAsia="en-US"/>
    </w:rPr>
  </w:style>
  <w:style w:type="character" w:customStyle="1" w:styleId="Para0Char">
    <w:name w:val="Para 0 Char"/>
    <w:basedOn w:val="DefaultParagraphFont"/>
    <w:link w:val="Para0"/>
    <w:uiPriority w:val="99"/>
    <w:locked/>
    <w:rsid w:val="001B1AFE"/>
    <w:rPr>
      <w:rFonts w:ascii="Arial" w:hAnsi="Arial"/>
      <w:color w:val="000000"/>
      <w:sz w:val="22"/>
      <w:lang w:val="en-GB" w:eastAsia="en-US"/>
    </w:rPr>
  </w:style>
  <w:style w:type="paragraph" w:styleId="FootnoteText">
    <w:name w:val="footnote text"/>
    <w:basedOn w:val="Normal"/>
    <w:link w:val="FootnoteTextChar"/>
    <w:uiPriority w:val="99"/>
    <w:unhideWhenUsed/>
    <w:rsid w:val="00893FBC"/>
    <w:pPr>
      <w:spacing w:after="0" w:line="240" w:lineRule="auto"/>
    </w:pPr>
    <w:rPr>
      <w:sz w:val="20"/>
    </w:rPr>
  </w:style>
  <w:style w:type="character" w:customStyle="1" w:styleId="FootnoteTextChar">
    <w:name w:val="Footnote Text Char"/>
    <w:basedOn w:val="DefaultParagraphFont"/>
    <w:link w:val="FootnoteText"/>
    <w:uiPriority w:val="99"/>
    <w:rsid w:val="00893FBC"/>
    <w:rPr>
      <w:rFonts w:ascii="Arial" w:hAnsi="Arial"/>
      <w:color w:val="000000"/>
      <w:lang w:val="en-GB" w:eastAsia="en-US"/>
    </w:rPr>
  </w:style>
  <w:style w:type="character" w:styleId="FootnoteReference">
    <w:name w:val="footnote reference"/>
    <w:basedOn w:val="DefaultParagraphFont"/>
    <w:uiPriority w:val="99"/>
    <w:unhideWhenUsed/>
    <w:rsid w:val="00893FBC"/>
    <w:rPr>
      <w:vertAlign w:val="superscript"/>
    </w:rPr>
  </w:style>
  <w:style w:type="paragraph" w:customStyle="1" w:styleId="StyleLeft">
    <w:name w:val="Style Left"/>
    <w:basedOn w:val="Normal"/>
    <w:rsid w:val="00EC0510"/>
    <w:pPr>
      <w:spacing w:line="240" w:lineRule="auto"/>
      <w:jc w:val="left"/>
    </w:pPr>
  </w:style>
  <w:style w:type="character" w:customStyle="1" w:styleId="apple-converted-space">
    <w:name w:val="apple-converted-space"/>
    <w:basedOn w:val="DefaultParagraphFont"/>
    <w:rsid w:val="002D314E"/>
  </w:style>
  <w:style w:type="character" w:customStyle="1" w:styleId="searchmatch">
    <w:name w:val="searchmatch"/>
    <w:basedOn w:val="DefaultParagraphFont"/>
    <w:rsid w:val="002D314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footnote text" w:uiPriority="99"/>
    <w:lsdException w:name="footer" w:uiPriority="99"/>
    <w:lsdException w:name="caption" w:qFormat="1"/>
    <w:lsdException w:name="table of figures" w:uiPriority="99"/>
    <w:lsdException w:name="footnote reference" w:uiPriority="99"/>
    <w:lsdException w:name="Title" w:qFormat="1"/>
    <w:lsdException w:name="Default Paragraph Font" w:uiPriority="1"/>
    <w:lsdException w:name="Subtitle" w:qFormat="1"/>
    <w:lsdException w:name="Body Text 2" w:uiPriority="99"/>
    <w:lsdException w:name="Hyperlink" w:uiPriority="99"/>
    <w:lsdException w:name="Strong" w:qFormat="1"/>
    <w:lsdException w:name="Emphasis" w:uiPriority="20"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2260D"/>
    <w:pPr>
      <w:spacing w:after="220" w:line="300" w:lineRule="auto"/>
      <w:jc w:val="both"/>
    </w:pPr>
    <w:rPr>
      <w:rFonts w:ascii="Arial" w:hAnsi="Arial"/>
      <w:color w:val="000000"/>
      <w:sz w:val="22"/>
      <w:lang w:val="en-GB" w:eastAsia="en-US"/>
    </w:rPr>
  </w:style>
  <w:style w:type="paragraph" w:styleId="Heading1">
    <w:name w:val="heading 1"/>
    <w:basedOn w:val="Para0"/>
    <w:next w:val="Para0"/>
    <w:qFormat/>
    <w:rsid w:val="00E91BF9"/>
    <w:pPr>
      <w:keepNext/>
      <w:pageBreakBefore/>
      <w:spacing w:after="120"/>
      <w:outlineLvl w:val="0"/>
    </w:pPr>
    <w:rPr>
      <w:b/>
      <w:caps/>
      <w:sz w:val="24"/>
    </w:rPr>
  </w:style>
  <w:style w:type="paragraph" w:styleId="Heading2">
    <w:name w:val="heading 2"/>
    <w:basedOn w:val="Heading1"/>
    <w:next w:val="Para0"/>
    <w:qFormat/>
    <w:rsid w:val="00E91BF9"/>
    <w:pPr>
      <w:pageBreakBefore w:val="0"/>
      <w:numPr>
        <w:ilvl w:val="1"/>
      </w:numPr>
      <w:outlineLvl w:val="1"/>
    </w:pPr>
    <w:rPr>
      <w:caps w:val="0"/>
      <w:sz w:val="22"/>
      <w:szCs w:val="22"/>
      <w:lang w:val="en-AU"/>
    </w:rPr>
  </w:style>
  <w:style w:type="paragraph" w:styleId="Heading3">
    <w:name w:val="heading 3"/>
    <w:basedOn w:val="Heading2"/>
    <w:next w:val="Para0"/>
    <w:qFormat/>
    <w:rsid w:val="00EA7192"/>
    <w:pPr>
      <w:numPr>
        <w:ilvl w:val="2"/>
      </w:numPr>
      <w:outlineLvl w:val="2"/>
    </w:pPr>
    <w:rPr>
      <w:i/>
    </w:rPr>
  </w:style>
  <w:style w:type="paragraph" w:styleId="Heading4">
    <w:name w:val="heading 4"/>
    <w:basedOn w:val="Heading3"/>
    <w:next w:val="Para0"/>
    <w:qFormat/>
    <w:rsid w:val="00EA7192"/>
    <w:pPr>
      <w:numPr>
        <w:ilvl w:val="3"/>
      </w:numPr>
      <w:ind w:firstLine="567"/>
      <w:outlineLvl w:val="3"/>
    </w:pPr>
    <w:rPr>
      <w:b w:val="0"/>
      <w:i w:val="0"/>
    </w:rPr>
  </w:style>
  <w:style w:type="paragraph" w:styleId="Heading5">
    <w:name w:val="heading 5"/>
    <w:basedOn w:val="Heading4"/>
    <w:next w:val="Para0"/>
    <w:qFormat/>
    <w:rsid w:val="00DC091D"/>
    <w:pPr>
      <w:numPr>
        <w:ilvl w:val="4"/>
      </w:numPr>
      <w:ind w:left="1134" w:hanging="1134"/>
      <w:outlineLvl w:val="4"/>
    </w:pPr>
  </w:style>
  <w:style w:type="paragraph" w:styleId="Heading6">
    <w:name w:val="heading 6"/>
    <w:basedOn w:val="Heading5"/>
    <w:next w:val="Para0"/>
    <w:qFormat/>
    <w:rsid w:val="00DC091D"/>
    <w:pPr>
      <w:numPr>
        <w:ilvl w:val="5"/>
      </w:numPr>
      <w:tabs>
        <w:tab w:val="left" w:pos="1276"/>
      </w:tabs>
      <w:ind w:left="1276" w:hanging="1276"/>
      <w:outlineLvl w:val="5"/>
    </w:pPr>
  </w:style>
  <w:style w:type="paragraph" w:styleId="Heading7">
    <w:name w:val="heading 7"/>
    <w:basedOn w:val="Heading6"/>
    <w:next w:val="Para0"/>
    <w:qFormat/>
    <w:rsid w:val="00DC091D"/>
    <w:pPr>
      <w:numPr>
        <w:ilvl w:val="6"/>
      </w:numPr>
      <w:tabs>
        <w:tab w:val="clear" w:pos="1276"/>
        <w:tab w:val="left" w:pos="1418"/>
      </w:tabs>
      <w:ind w:left="1418" w:hanging="1418"/>
      <w:outlineLvl w:val="6"/>
    </w:pPr>
  </w:style>
  <w:style w:type="paragraph" w:styleId="Heading8">
    <w:name w:val="heading 8"/>
    <w:basedOn w:val="Heading7"/>
    <w:next w:val="Para0"/>
    <w:qFormat/>
    <w:rsid w:val="00DC091D"/>
    <w:pPr>
      <w:numPr>
        <w:ilvl w:val="7"/>
      </w:numPr>
      <w:tabs>
        <w:tab w:val="clear" w:pos="1418"/>
        <w:tab w:val="left" w:pos="1560"/>
      </w:tabs>
      <w:ind w:left="1560" w:hanging="1560"/>
      <w:outlineLvl w:val="7"/>
    </w:pPr>
  </w:style>
  <w:style w:type="paragraph" w:styleId="Heading9">
    <w:name w:val="heading 9"/>
    <w:basedOn w:val="Heading1"/>
    <w:next w:val="Para0"/>
    <w:qFormat/>
    <w:rsid w:val="00F43433"/>
    <w:pPr>
      <w:pageBreakBefore w:val="0"/>
      <w:spacing w:before="120" w:after="40"/>
      <w:outlineLvl w:val="8"/>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1B1AFE"/>
    <w:pPr>
      <w:spacing w:before="240" w:after="0" w:line="240" w:lineRule="auto"/>
      <w:jc w:val="left"/>
    </w:pPr>
  </w:style>
  <w:style w:type="paragraph" w:styleId="Header">
    <w:name w:val="header"/>
    <w:basedOn w:val="Para0"/>
    <w:rsid w:val="00F43433"/>
    <w:pPr>
      <w:tabs>
        <w:tab w:val="right" w:pos="8647"/>
      </w:tabs>
    </w:pPr>
    <w:rPr>
      <w:rFonts w:ascii="Arial Narrow" w:hAnsi="Arial Narrow"/>
      <w:b/>
      <w:color w:val="808080"/>
      <w:sz w:val="20"/>
    </w:rPr>
  </w:style>
  <w:style w:type="paragraph" w:customStyle="1" w:styleId="Graphic">
    <w:name w:val="Graphic"/>
    <w:basedOn w:val="Para0"/>
    <w:next w:val="Para0"/>
    <w:rsid w:val="00F43433"/>
    <w:pPr>
      <w:spacing w:before="60" w:after="60"/>
    </w:pPr>
  </w:style>
  <w:style w:type="paragraph" w:styleId="Caption">
    <w:name w:val="caption"/>
    <w:aliases w:val="Caption Char1 Char,Caption Char1,อักขระ,Caption1 Char,Caption Char Char Char Char1 Char,Caption Char Char Char Char Char Char Char Char Char1 Char,Caption1 Char Char,Caption Char Char Char Char1 Char Char Char,Caption Char1 Ch,Table Caption,TABL"/>
    <w:basedOn w:val="Normal"/>
    <w:next w:val="Normal"/>
    <w:link w:val="CaptionChar"/>
    <w:qFormat/>
    <w:rsid w:val="00B53094"/>
    <w:pPr>
      <w:jc w:val="center"/>
    </w:pPr>
  </w:style>
  <w:style w:type="paragraph" w:styleId="Footer">
    <w:name w:val="footer"/>
    <w:basedOn w:val="Normal"/>
    <w:link w:val="FooterChar"/>
    <w:uiPriority w:val="99"/>
    <w:rsid w:val="00F43433"/>
    <w:pPr>
      <w:tabs>
        <w:tab w:val="right" w:pos="8647"/>
      </w:tabs>
      <w:spacing w:after="0" w:line="240" w:lineRule="exact"/>
    </w:pPr>
    <w:rPr>
      <w:rFonts w:ascii="Arial Narrow" w:hAnsi="Arial Narrow"/>
      <w:noProof/>
      <w:color w:val="808080"/>
      <w:sz w:val="16"/>
    </w:rPr>
  </w:style>
  <w:style w:type="paragraph" w:customStyle="1" w:styleId="Head1manual">
    <w:name w:val="Head 1 manual"/>
    <w:basedOn w:val="Heading1"/>
    <w:next w:val="Para0"/>
    <w:rsid w:val="00880FA4"/>
    <w:pPr>
      <w:pageBreakBefore w:val="0"/>
      <w:outlineLvl w:val="9"/>
    </w:pPr>
  </w:style>
  <w:style w:type="paragraph" w:customStyle="1" w:styleId="Head2manual">
    <w:name w:val="Head 2 manual"/>
    <w:basedOn w:val="Head1manual"/>
    <w:next w:val="Para0"/>
    <w:rsid w:val="00F43433"/>
    <w:pPr>
      <w:spacing w:before="120" w:after="40"/>
    </w:pPr>
    <w:rPr>
      <w:sz w:val="22"/>
    </w:rPr>
  </w:style>
  <w:style w:type="paragraph" w:customStyle="1" w:styleId="Head3manual">
    <w:name w:val="Head 3 manual"/>
    <w:basedOn w:val="Head1manual"/>
    <w:next w:val="Para0"/>
    <w:rsid w:val="00F43433"/>
    <w:pPr>
      <w:spacing w:before="120" w:after="40"/>
    </w:pPr>
    <w:rPr>
      <w:sz w:val="22"/>
    </w:rPr>
  </w:style>
  <w:style w:type="character" w:styleId="PageNumber">
    <w:name w:val="page number"/>
    <w:basedOn w:val="DefaultParagraphFont"/>
    <w:rsid w:val="00F43433"/>
  </w:style>
  <w:style w:type="paragraph" w:customStyle="1" w:styleId="Para0bullet">
    <w:name w:val="Para 0 bullet"/>
    <w:basedOn w:val="Para0"/>
    <w:rsid w:val="00F43433"/>
    <w:pPr>
      <w:numPr>
        <w:numId w:val="3"/>
      </w:numPr>
      <w:spacing w:after="60"/>
    </w:pPr>
  </w:style>
  <w:style w:type="paragraph" w:customStyle="1" w:styleId="Para0dash">
    <w:name w:val="Para 0 dash"/>
    <w:basedOn w:val="Para0"/>
    <w:rsid w:val="00F43433"/>
    <w:pPr>
      <w:numPr>
        <w:numId w:val="4"/>
      </w:numPr>
      <w:spacing w:after="60"/>
    </w:pPr>
  </w:style>
  <w:style w:type="paragraph" w:customStyle="1" w:styleId="Para0letter">
    <w:name w:val="Para 0 letter"/>
    <w:basedOn w:val="Para0"/>
    <w:rsid w:val="0059128B"/>
    <w:pPr>
      <w:numPr>
        <w:numId w:val="5"/>
      </w:numPr>
      <w:spacing w:after="60"/>
    </w:pPr>
  </w:style>
  <w:style w:type="paragraph" w:customStyle="1" w:styleId="Para0number">
    <w:name w:val="Para 0 number"/>
    <w:basedOn w:val="Para0"/>
    <w:rsid w:val="00B85EEB"/>
    <w:pPr>
      <w:numPr>
        <w:numId w:val="6"/>
      </w:numPr>
      <w:spacing w:after="60"/>
    </w:pPr>
  </w:style>
  <w:style w:type="paragraph" w:customStyle="1" w:styleId="Para1">
    <w:name w:val="Para 1"/>
    <w:basedOn w:val="Para0"/>
    <w:rsid w:val="00F43433"/>
    <w:pPr>
      <w:ind w:left="397"/>
    </w:pPr>
  </w:style>
  <w:style w:type="paragraph" w:customStyle="1" w:styleId="Para1bullet">
    <w:name w:val="Para 1 bullet"/>
    <w:basedOn w:val="Para1"/>
    <w:rsid w:val="00F43433"/>
    <w:pPr>
      <w:numPr>
        <w:numId w:val="7"/>
      </w:numPr>
      <w:spacing w:after="60"/>
    </w:pPr>
  </w:style>
  <w:style w:type="paragraph" w:customStyle="1" w:styleId="Para1dash">
    <w:name w:val="Para 1 dash"/>
    <w:basedOn w:val="Para1"/>
    <w:rsid w:val="00F43433"/>
    <w:pPr>
      <w:numPr>
        <w:numId w:val="8"/>
      </w:numPr>
      <w:spacing w:after="60"/>
    </w:pPr>
  </w:style>
  <w:style w:type="paragraph" w:customStyle="1" w:styleId="Para1letter">
    <w:name w:val="Para 1 letter"/>
    <w:basedOn w:val="Para1"/>
    <w:rsid w:val="006F647F"/>
    <w:pPr>
      <w:numPr>
        <w:numId w:val="23"/>
      </w:numPr>
      <w:spacing w:after="60"/>
    </w:pPr>
  </w:style>
  <w:style w:type="paragraph" w:customStyle="1" w:styleId="Para1number">
    <w:name w:val="Para 1 number"/>
    <w:basedOn w:val="Para1"/>
    <w:rsid w:val="00B85EEB"/>
    <w:pPr>
      <w:numPr>
        <w:numId w:val="32"/>
      </w:numPr>
      <w:spacing w:after="60"/>
    </w:pPr>
  </w:style>
  <w:style w:type="paragraph" w:customStyle="1" w:styleId="TableFont">
    <w:name w:val="TableFont"/>
    <w:basedOn w:val="Para0"/>
    <w:rsid w:val="004C5A33"/>
    <w:pPr>
      <w:spacing w:before="40" w:after="40"/>
    </w:pPr>
    <w:rPr>
      <w:sz w:val="20"/>
    </w:rPr>
  </w:style>
  <w:style w:type="paragraph" w:customStyle="1" w:styleId="TableFontH">
    <w:name w:val="TableFontH"/>
    <w:basedOn w:val="TableFont"/>
    <w:rsid w:val="004C5A33"/>
    <w:pPr>
      <w:keepNext/>
      <w:spacing w:before="60" w:after="60"/>
    </w:pPr>
    <w:rPr>
      <w:b/>
      <w:color w:val="auto"/>
    </w:rPr>
  </w:style>
  <w:style w:type="paragraph" w:customStyle="1" w:styleId="BusName">
    <w:name w:val="BusName"/>
    <w:basedOn w:val="Footer"/>
    <w:rsid w:val="00F43433"/>
    <w:pPr>
      <w:spacing w:after="220" w:line="240" w:lineRule="auto"/>
    </w:pPr>
    <w:rPr>
      <w:b/>
      <w:color w:val="000000"/>
    </w:rPr>
  </w:style>
  <w:style w:type="paragraph" w:styleId="TOC1">
    <w:name w:val="toc 1"/>
    <w:basedOn w:val="Para0"/>
    <w:next w:val="Para0"/>
    <w:uiPriority w:val="39"/>
    <w:rsid w:val="008A71C0"/>
    <w:pPr>
      <w:tabs>
        <w:tab w:val="left" w:leader="dot" w:pos="567"/>
        <w:tab w:val="right" w:pos="8505"/>
      </w:tabs>
      <w:spacing w:before="120" w:after="120"/>
    </w:pPr>
    <w:rPr>
      <w:b/>
      <w:caps/>
      <w:noProof/>
      <w:sz w:val="24"/>
    </w:rPr>
  </w:style>
  <w:style w:type="paragraph" w:styleId="TOC2">
    <w:name w:val="toc 2"/>
    <w:basedOn w:val="TOC1"/>
    <w:next w:val="Para0"/>
    <w:uiPriority w:val="39"/>
    <w:rsid w:val="00880FA4"/>
    <w:pPr>
      <w:tabs>
        <w:tab w:val="clear" w:pos="567"/>
        <w:tab w:val="left" w:pos="1276"/>
      </w:tabs>
      <w:spacing w:before="0" w:after="60"/>
      <w:ind w:left="567"/>
    </w:pPr>
    <w:rPr>
      <w:caps w:val="0"/>
      <w:sz w:val="22"/>
    </w:rPr>
  </w:style>
  <w:style w:type="paragraph" w:styleId="TOC3">
    <w:name w:val="toc 3"/>
    <w:basedOn w:val="TOC1"/>
    <w:next w:val="Para0"/>
    <w:uiPriority w:val="39"/>
    <w:rsid w:val="00880FA4"/>
    <w:pPr>
      <w:tabs>
        <w:tab w:val="clear" w:pos="567"/>
        <w:tab w:val="left" w:pos="1276"/>
      </w:tabs>
      <w:spacing w:before="0" w:after="60"/>
      <w:ind w:left="567"/>
    </w:pPr>
    <w:rPr>
      <w:b w:val="0"/>
      <w:caps w:val="0"/>
      <w:sz w:val="20"/>
    </w:rPr>
  </w:style>
  <w:style w:type="paragraph" w:styleId="TOC4">
    <w:name w:val="toc 4"/>
    <w:basedOn w:val="TOC1"/>
    <w:next w:val="Para0"/>
    <w:uiPriority w:val="39"/>
    <w:rsid w:val="00F43433"/>
    <w:pPr>
      <w:tabs>
        <w:tab w:val="clear" w:pos="567"/>
        <w:tab w:val="left" w:pos="1418"/>
      </w:tabs>
      <w:spacing w:before="0" w:after="60"/>
      <w:ind w:left="567"/>
    </w:pPr>
    <w:rPr>
      <w:b w:val="0"/>
      <w:sz w:val="20"/>
    </w:rPr>
  </w:style>
  <w:style w:type="paragraph" w:styleId="TOC5">
    <w:name w:val="toc 5"/>
    <w:basedOn w:val="TOC1"/>
    <w:next w:val="Para0"/>
    <w:semiHidden/>
    <w:rsid w:val="00F43433"/>
    <w:pPr>
      <w:tabs>
        <w:tab w:val="clear" w:pos="567"/>
        <w:tab w:val="left" w:pos="1559"/>
      </w:tabs>
      <w:spacing w:before="0" w:after="60"/>
      <w:ind w:left="567"/>
    </w:pPr>
    <w:rPr>
      <w:b w:val="0"/>
      <w:sz w:val="20"/>
    </w:rPr>
  </w:style>
  <w:style w:type="paragraph" w:styleId="TOC6">
    <w:name w:val="toc 6"/>
    <w:basedOn w:val="TOC1"/>
    <w:next w:val="Para0"/>
    <w:semiHidden/>
    <w:rsid w:val="00F43433"/>
    <w:pPr>
      <w:tabs>
        <w:tab w:val="clear" w:pos="567"/>
        <w:tab w:val="left" w:pos="1701"/>
      </w:tabs>
      <w:spacing w:before="0" w:after="60"/>
      <w:ind w:left="567"/>
    </w:pPr>
    <w:rPr>
      <w:b w:val="0"/>
      <w:sz w:val="20"/>
    </w:rPr>
  </w:style>
  <w:style w:type="paragraph" w:styleId="TOC7">
    <w:name w:val="toc 7"/>
    <w:basedOn w:val="TOC1"/>
    <w:next w:val="Para0"/>
    <w:semiHidden/>
    <w:rsid w:val="00F43433"/>
    <w:pPr>
      <w:tabs>
        <w:tab w:val="clear" w:pos="567"/>
        <w:tab w:val="left" w:pos="1843"/>
      </w:tabs>
      <w:spacing w:before="0" w:after="60"/>
      <w:ind w:left="567"/>
    </w:pPr>
    <w:rPr>
      <w:b w:val="0"/>
      <w:sz w:val="20"/>
    </w:rPr>
  </w:style>
  <w:style w:type="paragraph" w:styleId="TOC8">
    <w:name w:val="toc 8"/>
    <w:basedOn w:val="TOC1"/>
    <w:next w:val="Para0"/>
    <w:semiHidden/>
    <w:rsid w:val="00F43433"/>
    <w:pPr>
      <w:tabs>
        <w:tab w:val="clear" w:pos="567"/>
        <w:tab w:val="left" w:pos="1985"/>
      </w:tabs>
      <w:spacing w:before="0" w:after="60"/>
      <w:ind w:left="567"/>
    </w:pPr>
    <w:rPr>
      <w:b w:val="0"/>
      <w:sz w:val="20"/>
    </w:rPr>
  </w:style>
  <w:style w:type="paragraph" w:styleId="TOC9">
    <w:name w:val="toc 9"/>
    <w:basedOn w:val="TOC1"/>
    <w:next w:val="Para0"/>
    <w:semiHidden/>
    <w:rsid w:val="00F43433"/>
    <w:pPr>
      <w:tabs>
        <w:tab w:val="clear" w:pos="567"/>
        <w:tab w:val="left" w:pos="2835"/>
      </w:tabs>
    </w:pPr>
  </w:style>
  <w:style w:type="paragraph" w:customStyle="1" w:styleId="Heading1-NoTOC">
    <w:name w:val="Heading 1 - No TOC"/>
    <w:basedOn w:val="Heading1"/>
    <w:next w:val="Para0"/>
    <w:rsid w:val="00F43433"/>
    <w:pPr>
      <w:tabs>
        <w:tab w:val="left" w:pos="851"/>
      </w:tabs>
      <w:outlineLvl w:val="9"/>
    </w:pPr>
  </w:style>
  <w:style w:type="paragraph" w:customStyle="1" w:styleId="Para2">
    <w:name w:val="Para 2"/>
    <w:basedOn w:val="Para0"/>
    <w:rsid w:val="00F43433"/>
    <w:pPr>
      <w:ind w:left="794"/>
    </w:pPr>
  </w:style>
  <w:style w:type="paragraph" w:customStyle="1" w:styleId="Graphiccaption">
    <w:name w:val="Graphic caption"/>
    <w:basedOn w:val="Normal"/>
    <w:next w:val="Para0"/>
    <w:rsid w:val="00F43433"/>
    <w:rPr>
      <w:b/>
      <w:i/>
    </w:rPr>
  </w:style>
  <w:style w:type="paragraph" w:customStyle="1" w:styleId="Hiddenreference">
    <w:name w:val="Hidden reference"/>
    <w:basedOn w:val="Para0"/>
    <w:next w:val="Para0"/>
    <w:rsid w:val="00F43433"/>
    <w:pPr>
      <w:spacing w:before="40" w:after="40"/>
    </w:pPr>
    <w:rPr>
      <w:vanish/>
      <w:color w:val="FF0000"/>
      <w:sz w:val="20"/>
    </w:rPr>
  </w:style>
  <w:style w:type="paragraph" w:customStyle="1" w:styleId="Para2bullet">
    <w:name w:val="Para 2 bullet"/>
    <w:basedOn w:val="Para2"/>
    <w:rsid w:val="00F43433"/>
    <w:pPr>
      <w:numPr>
        <w:numId w:val="11"/>
      </w:numPr>
      <w:spacing w:after="60"/>
    </w:pPr>
  </w:style>
  <w:style w:type="paragraph" w:customStyle="1" w:styleId="Para2dash">
    <w:name w:val="Para 2 dash"/>
    <w:basedOn w:val="Para2"/>
    <w:rsid w:val="00F43433"/>
    <w:pPr>
      <w:numPr>
        <w:numId w:val="12"/>
      </w:numPr>
      <w:spacing w:after="60"/>
    </w:pPr>
  </w:style>
  <w:style w:type="paragraph" w:customStyle="1" w:styleId="Para2letter">
    <w:name w:val="Para 2 letter"/>
    <w:basedOn w:val="Para2"/>
    <w:rsid w:val="00F43433"/>
    <w:pPr>
      <w:numPr>
        <w:numId w:val="13"/>
      </w:numPr>
      <w:spacing w:after="60"/>
    </w:pPr>
  </w:style>
  <w:style w:type="paragraph" w:customStyle="1" w:styleId="Para2number">
    <w:name w:val="Para 2 number"/>
    <w:basedOn w:val="Para2"/>
    <w:rsid w:val="00B85EEB"/>
    <w:pPr>
      <w:numPr>
        <w:numId w:val="14"/>
      </w:numPr>
      <w:spacing w:after="60"/>
    </w:pPr>
  </w:style>
  <w:style w:type="paragraph" w:customStyle="1" w:styleId="Para3">
    <w:name w:val="Para 3"/>
    <w:basedOn w:val="Para0"/>
    <w:rsid w:val="00F43433"/>
    <w:pPr>
      <w:ind w:left="1191"/>
    </w:pPr>
  </w:style>
  <w:style w:type="paragraph" w:customStyle="1" w:styleId="Para3bullet">
    <w:name w:val="Para 3 bullet"/>
    <w:basedOn w:val="Para3"/>
    <w:rsid w:val="00F43433"/>
    <w:pPr>
      <w:numPr>
        <w:numId w:val="15"/>
      </w:numPr>
      <w:spacing w:after="60"/>
    </w:pPr>
  </w:style>
  <w:style w:type="paragraph" w:customStyle="1" w:styleId="Para3dash">
    <w:name w:val="Para 3 dash"/>
    <w:basedOn w:val="Para3"/>
    <w:rsid w:val="00F43433"/>
    <w:pPr>
      <w:numPr>
        <w:numId w:val="16"/>
      </w:numPr>
      <w:spacing w:after="60"/>
    </w:pPr>
  </w:style>
  <w:style w:type="paragraph" w:customStyle="1" w:styleId="Para3letter">
    <w:name w:val="Para 3 letter"/>
    <w:basedOn w:val="Para3"/>
    <w:rsid w:val="008B5A13"/>
    <w:pPr>
      <w:numPr>
        <w:numId w:val="17"/>
      </w:numPr>
      <w:spacing w:after="60"/>
    </w:pPr>
  </w:style>
  <w:style w:type="paragraph" w:customStyle="1" w:styleId="Para3number">
    <w:name w:val="Para 3 number"/>
    <w:basedOn w:val="Para3"/>
    <w:rsid w:val="00B85EEB"/>
    <w:pPr>
      <w:numPr>
        <w:numId w:val="18"/>
      </w:numPr>
      <w:spacing w:after="60"/>
    </w:pPr>
  </w:style>
  <w:style w:type="paragraph" w:customStyle="1" w:styleId="DocStatusH">
    <w:name w:val="DocStatusH"/>
    <w:basedOn w:val="DocStatus"/>
    <w:rsid w:val="00F43433"/>
    <w:pPr>
      <w:spacing w:before="60" w:after="60"/>
    </w:pPr>
    <w:rPr>
      <w:b/>
    </w:rPr>
  </w:style>
  <w:style w:type="paragraph" w:customStyle="1" w:styleId="DocStatus">
    <w:name w:val="DocStatus"/>
    <w:basedOn w:val="TableFont"/>
    <w:rsid w:val="00F43433"/>
    <w:rPr>
      <w:sz w:val="16"/>
    </w:rPr>
  </w:style>
  <w:style w:type="paragraph" w:customStyle="1" w:styleId="Head4manual">
    <w:name w:val="Head 4 manual"/>
    <w:basedOn w:val="Head1manual"/>
    <w:rsid w:val="00F43433"/>
    <w:pPr>
      <w:spacing w:before="120" w:after="40"/>
    </w:pPr>
    <w:rPr>
      <w:sz w:val="22"/>
    </w:rPr>
  </w:style>
  <w:style w:type="paragraph" w:customStyle="1" w:styleId="Summaryheading">
    <w:name w:val="Summary heading"/>
    <w:basedOn w:val="Heading1"/>
    <w:next w:val="Para0"/>
    <w:rsid w:val="00F43433"/>
    <w:pPr>
      <w:tabs>
        <w:tab w:val="left" w:pos="851"/>
      </w:tabs>
    </w:pPr>
  </w:style>
  <w:style w:type="paragraph" w:customStyle="1" w:styleId="Margincomment">
    <w:name w:val="Margin comment"/>
    <w:basedOn w:val="Para0"/>
    <w:rsid w:val="00F43433"/>
    <w:pPr>
      <w:jc w:val="right"/>
    </w:pPr>
    <w:rPr>
      <w:rFonts w:ascii="Arial Narrow" w:hAnsi="Arial Narrow"/>
      <w:i/>
      <w:color w:val="808000"/>
      <w:sz w:val="18"/>
    </w:rPr>
  </w:style>
  <w:style w:type="paragraph" w:customStyle="1" w:styleId="Appendix1">
    <w:name w:val="Appendix 1"/>
    <w:basedOn w:val="Heading1"/>
    <w:next w:val="Para0"/>
    <w:rsid w:val="00F43433"/>
    <w:pPr>
      <w:numPr>
        <w:numId w:val="19"/>
      </w:numPr>
    </w:pPr>
  </w:style>
  <w:style w:type="paragraph" w:customStyle="1" w:styleId="Appendix2">
    <w:name w:val="Appendix 2"/>
    <w:basedOn w:val="Appendix1"/>
    <w:next w:val="Para0"/>
    <w:rsid w:val="00F43433"/>
    <w:pPr>
      <w:pageBreakBefore w:val="0"/>
      <w:numPr>
        <w:ilvl w:val="1"/>
      </w:numPr>
      <w:spacing w:before="120" w:after="40"/>
      <w:outlineLvl w:val="1"/>
    </w:pPr>
    <w:rPr>
      <w:sz w:val="22"/>
    </w:rPr>
  </w:style>
  <w:style w:type="paragraph" w:customStyle="1" w:styleId="Appendix3">
    <w:name w:val="Appendix 3"/>
    <w:basedOn w:val="Appendix1"/>
    <w:next w:val="Para0"/>
    <w:rsid w:val="00F43433"/>
    <w:pPr>
      <w:pageBreakBefore w:val="0"/>
      <w:numPr>
        <w:ilvl w:val="2"/>
      </w:numPr>
      <w:spacing w:before="120" w:after="40"/>
      <w:outlineLvl w:val="2"/>
    </w:pPr>
    <w:rPr>
      <w:sz w:val="22"/>
    </w:rPr>
  </w:style>
  <w:style w:type="paragraph" w:customStyle="1" w:styleId="CoverHeading">
    <w:name w:val="CoverHeading"/>
    <w:basedOn w:val="Para0"/>
    <w:next w:val="Para0"/>
    <w:rsid w:val="00F43433"/>
    <w:pPr>
      <w:keepNext/>
    </w:pPr>
    <w:rPr>
      <w:rFonts w:ascii="Arial Narrow" w:hAnsi="Arial Narrow"/>
      <w:b/>
      <w:sz w:val="44"/>
    </w:rPr>
  </w:style>
  <w:style w:type="paragraph" w:customStyle="1" w:styleId="CoverTitle">
    <w:name w:val="CoverTitle"/>
    <w:basedOn w:val="Para0"/>
    <w:next w:val="Para0"/>
    <w:rsid w:val="00F43433"/>
    <w:pPr>
      <w:spacing w:after="180"/>
    </w:pPr>
    <w:rPr>
      <w:rFonts w:ascii="Arial Narrow" w:hAnsi="Arial Narrow"/>
      <w:caps/>
      <w:sz w:val="28"/>
    </w:rPr>
  </w:style>
  <w:style w:type="paragraph" w:customStyle="1" w:styleId="CoverSubject">
    <w:name w:val="CoverSubject"/>
    <w:basedOn w:val="Para0"/>
    <w:next w:val="Para0"/>
    <w:rsid w:val="00F43433"/>
    <w:pPr>
      <w:numPr>
        <w:numId w:val="20"/>
      </w:numPr>
      <w:spacing w:after="120"/>
    </w:pPr>
    <w:rPr>
      <w:rFonts w:ascii="Arial Narrow" w:hAnsi="Arial Narrow"/>
      <w:color w:val="808080"/>
      <w:sz w:val="24"/>
    </w:rPr>
  </w:style>
  <w:style w:type="paragraph" w:customStyle="1" w:styleId="CoverVersion">
    <w:name w:val="CoverVersion"/>
    <w:basedOn w:val="CoverSubject"/>
    <w:next w:val="Para0"/>
    <w:rsid w:val="00F43433"/>
  </w:style>
  <w:style w:type="paragraph" w:customStyle="1" w:styleId="CoverDate">
    <w:name w:val="CoverDate"/>
    <w:basedOn w:val="CoverSubject"/>
    <w:next w:val="Para0"/>
    <w:rsid w:val="00F43433"/>
  </w:style>
  <w:style w:type="paragraph" w:customStyle="1" w:styleId="FlysheetHeading">
    <w:name w:val="FlysheetHeading"/>
    <w:basedOn w:val="CoverHeading"/>
    <w:next w:val="Para0"/>
    <w:rsid w:val="00F43433"/>
  </w:style>
  <w:style w:type="paragraph" w:customStyle="1" w:styleId="FlysheetTitle">
    <w:name w:val="FlysheetTitle"/>
    <w:basedOn w:val="CoverTitle"/>
    <w:next w:val="Para0"/>
    <w:rsid w:val="00F43433"/>
  </w:style>
  <w:style w:type="paragraph" w:customStyle="1" w:styleId="FlysheetVersion">
    <w:name w:val="FlysheetVersion"/>
    <w:basedOn w:val="CoverVersion"/>
    <w:next w:val="Para0"/>
    <w:rsid w:val="00F43433"/>
    <w:pPr>
      <w:numPr>
        <w:numId w:val="21"/>
      </w:numPr>
      <w:tabs>
        <w:tab w:val="clear" w:pos="360"/>
        <w:tab w:val="left" w:pos="284"/>
      </w:tabs>
    </w:pPr>
  </w:style>
  <w:style w:type="paragraph" w:customStyle="1" w:styleId="FlysheetDate">
    <w:name w:val="FlysheetDate"/>
    <w:basedOn w:val="FlysheetVersion"/>
    <w:next w:val="Para0"/>
    <w:rsid w:val="00F43433"/>
  </w:style>
  <w:style w:type="paragraph" w:customStyle="1" w:styleId="Address">
    <w:name w:val="Address"/>
    <w:basedOn w:val="Para0"/>
    <w:rsid w:val="00F43433"/>
    <w:pPr>
      <w:tabs>
        <w:tab w:val="left" w:pos="737"/>
      </w:tabs>
      <w:ind w:left="284"/>
    </w:pPr>
    <w:rPr>
      <w:rFonts w:ascii="Arial Narrow" w:hAnsi="Arial Narrow"/>
      <w:sz w:val="20"/>
    </w:rPr>
  </w:style>
  <w:style w:type="paragraph" w:customStyle="1" w:styleId="CoverCopyright">
    <w:name w:val="CoverCopyright"/>
    <w:basedOn w:val="Para0"/>
    <w:next w:val="Para0"/>
    <w:rsid w:val="00F43433"/>
    <w:pPr>
      <w:spacing w:before="120"/>
    </w:pPr>
    <w:rPr>
      <w:sz w:val="16"/>
    </w:rPr>
  </w:style>
  <w:style w:type="paragraph" w:customStyle="1" w:styleId="CoverFooter">
    <w:name w:val="CoverFooter"/>
    <w:basedOn w:val="Footer"/>
    <w:rsid w:val="00F43433"/>
    <w:pPr>
      <w:tabs>
        <w:tab w:val="clear" w:pos="8647"/>
        <w:tab w:val="right" w:pos="6946"/>
      </w:tabs>
    </w:pPr>
  </w:style>
  <w:style w:type="paragraph" w:styleId="TableofFigures">
    <w:name w:val="table of figures"/>
    <w:basedOn w:val="TOC1"/>
    <w:next w:val="Para0"/>
    <w:uiPriority w:val="99"/>
    <w:rsid w:val="008A71C0"/>
    <w:rPr>
      <w:b w:val="0"/>
      <w:caps w:val="0"/>
      <w:sz w:val="20"/>
    </w:rPr>
  </w:style>
  <w:style w:type="paragraph" w:customStyle="1" w:styleId="Instruction">
    <w:name w:val="Instruction"/>
    <w:basedOn w:val="Para0"/>
    <w:next w:val="Para0"/>
    <w:rsid w:val="00F43433"/>
    <w:pPr>
      <w:spacing w:after="120"/>
    </w:pPr>
    <w:rPr>
      <w:color w:val="FF0000"/>
    </w:rPr>
  </w:style>
  <w:style w:type="paragraph" w:customStyle="1" w:styleId="Para0Roman">
    <w:name w:val="Para 0 Roman"/>
    <w:basedOn w:val="Para0"/>
    <w:rsid w:val="00D413E7"/>
    <w:pPr>
      <w:numPr>
        <w:numId w:val="25"/>
      </w:numPr>
      <w:spacing w:after="60"/>
    </w:pPr>
  </w:style>
  <w:style w:type="paragraph" w:customStyle="1" w:styleId="TableFontbullet">
    <w:name w:val="TableFont bullet"/>
    <w:basedOn w:val="TableFont"/>
    <w:rsid w:val="00F43433"/>
    <w:pPr>
      <w:numPr>
        <w:numId w:val="22"/>
      </w:numPr>
      <w:spacing w:before="20" w:after="0"/>
    </w:pPr>
  </w:style>
  <w:style w:type="paragraph" w:customStyle="1" w:styleId="Para1Roman">
    <w:name w:val="Para 1 Roman"/>
    <w:basedOn w:val="Para1"/>
    <w:rsid w:val="00B377BF"/>
    <w:pPr>
      <w:numPr>
        <w:numId w:val="29"/>
      </w:numPr>
      <w:spacing w:after="60"/>
    </w:pPr>
  </w:style>
  <w:style w:type="paragraph" w:customStyle="1" w:styleId="Para2Roman">
    <w:name w:val="Para 2 Roman"/>
    <w:basedOn w:val="Para2"/>
    <w:rsid w:val="00226F69"/>
    <w:pPr>
      <w:numPr>
        <w:numId w:val="30"/>
      </w:numPr>
      <w:spacing w:after="60"/>
    </w:pPr>
  </w:style>
  <w:style w:type="paragraph" w:customStyle="1" w:styleId="Para3Roman">
    <w:name w:val="Para 3 Roman"/>
    <w:basedOn w:val="Para3"/>
    <w:rsid w:val="008B5A13"/>
    <w:pPr>
      <w:numPr>
        <w:numId w:val="31"/>
      </w:numPr>
      <w:spacing w:after="60"/>
    </w:pPr>
  </w:style>
  <w:style w:type="paragraph" w:styleId="BalloonText">
    <w:name w:val="Balloon Text"/>
    <w:basedOn w:val="Normal"/>
    <w:link w:val="BalloonTextChar"/>
    <w:rsid w:val="00DC0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DC091D"/>
    <w:rPr>
      <w:rFonts w:ascii="Tahoma" w:hAnsi="Tahoma" w:cs="Tahoma"/>
      <w:color w:val="000000"/>
      <w:sz w:val="16"/>
      <w:szCs w:val="16"/>
      <w:lang w:val="en-GB" w:eastAsia="en-US"/>
    </w:rPr>
  </w:style>
  <w:style w:type="character" w:customStyle="1" w:styleId="FooterChar">
    <w:name w:val="Footer Char"/>
    <w:basedOn w:val="DefaultParagraphFont"/>
    <w:link w:val="Footer"/>
    <w:uiPriority w:val="99"/>
    <w:rsid w:val="00576973"/>
    <w:rPr>
      <w:rFonts w:ascii="Arial Narrow" w:hAnsi="Arial Narrow"/>
      <w:noProof/>
      <w:color w:val="808080"/>
      <w:sz w:val="16"/>
      <w:lang w:val="en-GB" w:eastAsia="en-US"/>
    </w:rPr>
  </w:style>
  <w:style w:type="paragraph" w:customStyle="1" w:styleId="StyleCaptionBefore0pt">
    <w:name w:val="Style Caption + Before:  0 pt"/>
    <w:basedOn w:val="Normal"/>
    <w:rsid w:val="00FC2C3F"/>
    <w:rPr>
      <w:bCs/>
    </w:rPr>
  </w:style>
  <w:style w:type="paragraph" w:customStyle="1" w:styleId="StyleCaptionBefore0pt1">
    <w:name w:val="Style Caption + Before:  0 pt1"/>
    <w:basedOn w:val="Normal"/>
    <w:rsid w:val="00FC2C3F"/>
    <w:rPr>
      <w:bCs/>
    </w:rPr>
  </w:style>
  <w:style w:type="paragraph" w:customStyle="1" w:styleId="Default">
    <w:name w:val="Default"/>
    <w:rsid w:val="00D2260D"/>
    <w:pPr>
      <w:autoSpaceDE w:val="0"/>
      <w:autoSpaceDN w:val="0"/>
      <w:adjustRightInd w:val="0"/>
    </w:pPr>
    <w:rPr>
      <w:rFonts w:ascii="Arial" w:hAnsi="Arial" w:cs="Arial"/>
      <w:color w:val="000000"/>
      <w:sz w:val="24"/>
      <w:szCs w:val="24"/>
    </w:rPr>
  </w:style>
  <w:style w:type="character" w:customStyle="1" w:styleId="CaptionChar">
    <w:name w:val="Caption Char"/>
    <w:aliases w:val="Caption Char1 Char Char,Caption Char1 Char1,อักขระ Char,Caption1 Char Char1,Caption Char Char Char Char1 Char Char,Caption Char Char Char Char Char Char Char Char Char1 Char Char,Caption1 Char Char Char,Caption Char1 Ch Char,TABL Char"/>
    <w:link w:val="Caption"/>
    <w:uiPriority w:val="35"/>
    <w:locked/>
    <w:rsid w:val="009B567A"/>
    <w:rPr>
      <w:rFonts w:ascii="Arial" w:hAnsi="Arial"/>
      <w:sz w:val="22"/>
      <w:lang w:val="en-GB" w:eastAsia="en-US"/>
    </w:rPr>
  </w:style>
  <w:style w:type="paragraph" w:styleId="BodyText2">
    <w:name w:val="Body Text 2"/>
    <w:basedOn w:val="Normal"/>
    <w:link w:val="BodyText2Char"/>
    <w:uiPriority w:val="99"/>
    <w:unhideWhenUsed/>
    <w:rsid w:val="001F1FCF"/>
    <w:pPr>
      <w:spacing w:before="160" w:after="120" w:line="480" w:lineRule="auto"/>
    </w:pPr>
    <w:rPr>
      <w:rFonts w:eastAsiaTheme="minorHAnsi" w:cs="Arial"/>
      <w:color w:val="auto"/>
      <w:szCs w:val="22"/>
      <w:lang w:val="en-AU" w:eastAsia="ar-SA"/>
    </w:rPr>
  </w:style>
  <w:style w:type="character" w:customStyle="1" w:styleId="BodyText2Char">
    <w:name w:val="Body Text 2 Char"/>
    <w:basedOn w:val="DefaultParagraphFont"/>
    <w:link w:val="BodyText2"/>
    <w:uiPriority w:val="99"/>
    <w:rsid w:val="001F1FCF"/>
    <w:rPr>
      <w:rFonts w:ascii="Arial" w:eastAsiaTheme="minorHAnsi" w:hAnsi="Arial" w:cs="Arial"/>
      <w:sz w:val="22"/>
      <w:szCs w:val="22"/>
      <w:lang w:eastAsia="ar-SA"/>
    </w:rPr>
  </w:style>
  <w:style w:type="paragraph" w:styleId="NormalWeb">
    <w:name w:val="Normal (Web)"/>
    <w:basedOn w:val="Normal"/>
    <w:uiPriority w:val="99"/>
    <w:unhideWhenUsed/>
    <w:rsid w:val="004126D1"/>
    <w:pPr>
      <w:spacing w:before="100" w:beforeAutospacing="1" w:after="100" w:afterAutospacing="1" w:line="240" w:lineRule="auto"/>
      <w:jc w:val="left"/>
    </w:pPr>
    <w:rPr>
      <w:rFonts w:ascii="Times New Roman" w:eastAsiaTheme="minorEastAsia" w:hAnsi="Times New Roman"/>
      <w:color w:val="auto"/>
      <w:sz w:val="24"/>
      <w:szCs w:val="24"/>
      <w:lang w:val="en-AU" w:eastAsia="en-AU"/>
    </w:rPr>
  </w:style>
  <w:style w:type="character" w:styleId="CommentReference">
    <w:name w:val="annotation reference"/>
    <w:basedOn w:val="DefaultParagraphFont"/>
    <w:rsid w:val="00514377"/>
    <w:rPr>
      <w:sz w:val="16"/>
      <w:szCs w:val="16"/>
    </w:rPr>
  </w:style>
  <w:style w:type="paragraph" w:styleId="CommentText">
    <w:name w:val="annotation text"/>
    <w:basedOn w:val="Normal"/>
    <w:link w:val="CommentTextChar"/>
    <w:rsid w:val="00514377"/>
    <w:pPr>
      <w:spacing w:line="240" w:lineRule="auto"/>
    </w:pPr>
    <w:rPr>
      <w:sz w:val="20"/>
    </w:rPr>
  </w:style>
  <w:style w:type="character" w:customStyle="1" w:styleId="CommentTextChar">
    <w:name w:val="Comment Text Char"/>
    <w:basedOn w:val="DefaultParagraphFont"/>
    <w:link w:val="CommentText"/>
    <w:rsid w:val="00514377"/>
    <w:rPr>
      <w:rFonts w:ascii="Arial" w:hAnsi="Arial"/>
      <w:color w:val="000000"/>
      <w:lang w:val="en-GB" w:eastAsia="en-US"/>
    </w:rPr>
  </w:style>
  <w:style w:type="paragraph" w:styleId="CommentSubject">
    <w:name w:val="annotation subject"/>
    <w:basedOn w:val="CommentText"/>
    <w:next w:val="CommentText"/>
    <w:link w:val="CommentSubjectChar"/>
    <w:rsid w:val="00514377"/>
    <w:rPr>
      <w:b/>
      <w:bCs/>
    </w:rPr>
  </w:style>
  <w:style w:type="character" w:customStyle="1" w:styleId="CommentSubjectChar">
    <w:name w:val="Comment Subject Char"/>
    <w:basedOn w:val="CommentTextChar"/>
    <w:link w:val="CommentSubject"/>
    <w:rsid w:val="00514377"/>
    <w:rPr>
      <w:rFonts w:ascii="Arial" w:hAnsi="Arial"/>
      <w:b/>
      <w:bCs/>
      <w:color w:val="000000"/>
      <w:lang w:val="en-GB" w:eastAsia="en-US"/>
    </w:rPr>
  </w:style>
  <w:style w:type="character" w:styleId="Hyperlink">
    <w:name w:val="Hyperlink"/>
    <w:uiPriority w:val="99"/>
    <w:rsid w:val="00ED66ED"/>
    <w:rPr>
      <w:color w:val="0000FF"/>
      <w:u w:val="single"/>
    </w:rPr>
  </w:style>
  <w:style w:type="character" w:customStyle="1" w:styleId="Title1">
    <w:name w:val="Title1"/>
    <w:basedOn w:val="DefaultParagraphFont"/>
    <w:rsid w:val="00B747BB"/>
  </w:style>
  <w:style w:type="character" w:customStyle="1" w:styleId="ital">
    <w:name w:val="ital"/>
    <w:basedOn w:val="DefaultParagraphFont"/>
    <w:rsid w:val="00B747BB"/>
  </w:style>
  <w:style w:type="paragraph" w:styleId="ListParagraph">
    <w:name w:val="List Paragraph"/>
    <w:basedOn w:val="Normal"/>
    <w:uiPriority w:val="34"/>
    <w:qFormat/>
    <w:rsid w:val="00E26895"/>
    <w:pPr>
      <w:ind w:left="720"/>
      <w:contextualSpacing/>
    </w:pPr>
  </w:style>
  <w:style w:type="character" w:styleId="Emphasis">
    <w:name w:val="Emphasis"/>
    <w:uiPriority w:val="20"/>
    <w:qFormat/>
    <w:rsid w:val="00A07D7D"/>
    <w:rPr>
      <w:rFonts w:cs="Times New Roman"/>
      <w:i/>
      <w:iCs/>
    </w:rPr>
  </w:style>
  <w:style w:type="table" w:styleId="TableGrid">
    <w:name w:val="Table Grid"/>
    <w:basedOn w:val="TableNormal"/>
    <w:uiPriority w:val="59"/>
    <w:rsid w:val="00090AC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C926FF"/>
    <w:rPr>
      <w:rFonts w:ascii="Arial" w:hAnsi="Arial"/>
      <w:color w:val="000000"/>
      <w:sz w:val="22"/>
      <w:lang w:val="en-GB" w:eastAsia="en-US"/>
    </w:rPr>
  </w:style>
  <w:style w:type="paragraph" w:styleId="Subtitle">
    <w:name w:val="Subtitle"/>
    <w:basedOn w:val="Normal"/>
    <w:next w:val="Normal"/>
    <w:link w:val="SubtitleChar"/>
    <w:qFormat/>
    <w:rsid w:val="009715D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9715DB"/>
    <w:rPr>
      <w:rFonts w:asciiTheme="majorHAnsi" w:eastAsiaTheme="majorEastAsia" w:hAnsiTheme="majorHAnsi" w:cstheme="majorBidi"/>
      <w:i/>
      <w:iCs/>
      <w:color w:val="4F81BD" w:themeColor="accent1"/>
      <w:spacing w:val="15"/>
      <w:sz w:val="24"/>
      <w:szCs w:val="24"/>
      <w:lang w:val="en-GB" w:eastAsia="en-US"/>
    </w:rPr>
  </w:style>
  <w:style w:type="paragraph" w:styleId="DocumentMap">
    <w:name w:val="Document Map"/>
    <w:basedOn w:val="Normal"/>
    <w:link w:val="DocumentMapChar"/>
    <w:rsid w:val="000751B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rsid w:val="000751B6"/>
    <w:rPr>
      <w:rFonts w:ascii="Tahoma" w:hAnsi="Tahoma" w:cs="Tahoma"/>
      <w:color w:val="000000"/>
      <w:sz w:val="16"/>
      <w:szCs w:val="16"/>
      <w:lang w:val="en-GB" w:eastAsia="en-US"/>
    </w:rPr>
  </w:style>
  <w:style w:type="character" w:customStyle="1" w:styleId="Para0Char">
    <w:name w:val="Para 0 Char"/>
    <w:basedOn w:val="DefaultParagraphFont"/>
    <w:link w:val="Para0"/>
    <w:uiPriority w:val="99"/>
    <w:locked/>
    <w:rsid w:val="001B1AFE"/>
    <w:rPr>
      <w:rFonts w:ascii="Arial" w:hAnsi="Arial"/>
      <w:color w:val="000000"/>
      <w:sz w:val="22"/>
      <w:lang w:val="en-GB" w:eastAsia="en-US"/>
    </w:rPr>
  </w:style>
  <w:style w:type="paragraph" w:styleId="FootnoteText">
    <w:name w:val="footnote text"/>
    <w:basedOn w:val="Normal"/>
    <w:link w:val="FootnoteTextChar"/>
    <w:uiPriority w:val="99"/>
    <w:unhideWhenUsed/>
    <w:rsid w:val="00893FBC"/>
    <w:pPr>
      <w:spacing w:after="0" w:line="240" w:lineRule="auto"/>
    </w:pPr>
    <w:rPr>
      <w:sz w:val="20"/>
    </w:rPr>
  </w:style>
  <w:style w:type="character" w:customStyle="1" w:styleId="FootnoteTextChar">
    <w:name w:val="Footnote Text Char"/>
    <w:basedOn w:val="DefaultParagraphFont"/>
    <w:link w:val="FootnoteText"/>
    <w:uiPriority w:val="99"/>
    <w:rsid w:val="00893FBC"/>
    <w:rPr>
      <w:rFonts w:ascii="Arial" w:hAnsi="Arial"/>
      <w:color w:val="000000"/>
      <w:lang w:val="en-GB" w:eastAsia="en-US"/>
    </w:rPr>
  </w:style>
  <w:style w:type="character" w:styleId="FootnoteReference">
    <w:name w:val="footnote reference"/>
    <w:basedOn w:val="DefaultParagraphFont"/>
    <w:uiPriority w:val="99"/>
    <w:unhideWhenUsed/>
    <w:rsid w:val="00893FBC"/>
    <w:rPr>
      <w:vertAlign w:val="superscript"/>
    </w:rPr>
  </w:style>
  <w:style w:type="paragraph" w:customStyle="1" w:styleId="StyleLeft">
    <w:name w:val="Style Left"/>
    <w:basedOn w:val="Normal"/>
    <w:rsid w:val="00EC0510"/>
    <w:pPr>
      <w:spacing w:line="240" w:lineRule="auto"/>
      <w:jc w:val="left"/>
    </w:pPr>
  </w:style>
  <w:style w:type="character" w:customStyle="1" w:styleId="apple-converted-space">
    <w:name w:val="apple-converted-space"/>
    <w:basedOn w:val="DefaultParagraphFont"/>
    <w:rsid w:val="002D314E"/>
  </w:style>
  <w:style w:type="character" w:customStyle="1" w:styleId="searchmatch">
    <w:name w:val="searchmatch"/>
    <w:basedOn w:val="DefaultParagraphFont"/>
    <w:rsid w:val="002D31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526">
      <w:bodyDiv w:val="1"/>
      <w:marLeft w:val="0"/>
      <w:marRight w:val="0"/>
      <w:marTop w:val="0"/>
      <w:marBottom w:val="0"/>
      <w:divBdr>
        <w:top w:val="none" w:sz="0" w:space="0" w:color="auto"/>
        <w:left w:val="none" w:sz="0" w:space="0" w:color="auto"/>
        <w:bottom w:val="none" w:sz="0" w:space="0" w:color="auto"/>
        <w:right w:val="none" w:sz="0" w:space="0" w:color="auto"/>
      </w:divBdr>
    </w:div>
    <w:div w:id="71052769">
      <w:bodyDiv w:val="1"/>
      <w:marLeft w:val="0"/>
      <w:marRight w:val="0"/>
      <w:marTop w:val="0"/>
      <w:marBottom w:val="0"/>
      <w:divBdr>
        <w:top w:val="none" w:sz="0" w:space="0" w:color="auto"/>
        <w:left w:val="none" w:sz="0" w:space="0" w:color="auto"/>
        <w:bottom w:val="none" w:sz="0" w:space="0" w:color="auto"/>
        <w:right w:val="none" w:sz="0" w:space="0" w:color="auto"/>
      </w:divBdr>
      <w:divsChild>
        <w:div w:id="809245204">
          <w:marLeft w:val="0"/>
          <w:marRight w:val="0"/>
          <w:marTop w:val="0"/>
          <w:marBottom w:val="0"/>
          <w:divBdr>
            <w:top w:val="none" w:sz="0" w:space="0" w:color="auto"/>
            <w:left w:val="none" w:sz="0" w:space="0" w:color="auto"/>
            <w:bottom w:val="none" w:sz="0" w:space="0" w:color="auto"/>
            <w:right w:val="none" w:sz="0" w:space="0" w:color="auto"/>
          </w:divBdr>
          <w:divsChild>
            <w:div w:id="1675456501">
              <w:marLeft w:val="0"/>
              <w:marRight w:val="0"/>
              <w:marTop w:val="0"/>
              <w:marBottom w:val="0"/>
              <w:divBdr>
                <w:top w:val="none" w:sz="0" w:space="0" w:color="auto"/>
                <w:left w:val="none" w:sz="0" w:space="0" w:color="auto"/>
                <w:bottom w:val="none" w:sz="0" w:space="0" w:color="auto"/>
                <w:right w:val="none" w:sz="0" w:space="0" w:color="auto"/>
              </w:divBdr>
              <w:divsChild>
                <w:div w:id="2122458758">
                  <w:marLeft w:val="0"/>
                  <w:marRight w:val="0"/>
                  <w:marTop w:val="0"/>
                  <w:marBottom w:val="0"/>
                  <w:divBdr>
                    <w:top w:val="none" w:sz="0" w:space="0" w:color="auto"/>
                    <w:left w:val="none" w:sz="0" w:space="0" w:color="auto"/>
                    <w:bottom w:val="none" w:sz="0" w:space="0" w:color="auto"/>
                    <w:right w:val="none" w:sz="0" w:space="0" w:color="auto"/>
                  </w:divBdr>
                  <w:divsChild>
                    <w:div w:id="1203244647">
                      <w:marLeft w:val="0"/>
                      <w:marRight w:val="0"/>
                      <w:marTop w:val="0"/>
                      <w:marBottom w:val="0"/>
                      <w:divBdr>
                        <w:top w:val="none" w:sz="0" w:space="0" w:color="auto"/>
                        <w:left w:val="none" w:sz="0" w:space="0" w:color="auto"/>
                        <w:bottom w:val="none" w:sz="0" w:space="0" w:color="auto"/>
                        <w:right w:val="none" w:sz="0" w:space="0" w:color="auto"/>
                      </w:divBdr>
                      <w:divsChild>
                        <w:div w:id="1218930967">
                          <w:marLeft w:val="0"/>
                          <w:marRight w:val="0"/>
                          <w:marTop w:val="0"/>
                          <w:marBottom w:val="0"/>
                          <w:divBdr>
                            <w:top w:val="none" w:sz="0" w:space="0" w:color="auto"/>
                            <w:left w:val="none" w:sz="0" w:space="0" w:color="auto"/>
                            <w:bottom w:val="none" w:sz="0" w:space="0" w:color="auto"/>
                            <w:right w:val="none" w:sz="0" w:space="0" w:color="auto"/>
                          </w:divBdr>
                          <w:divsChild>
                            <w:div w:id="160133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261066">
      <w:bodyDiv w:val="1"/>
      <w:marLeft w:val="0"/>
      <w:marRight w:val="0"/>
      <w:marTop w:val="0"/>
      <w:marBottom w:val="0"/>
      <w:divBdr>
        <w:top w:val="none" w:sz="0" w:space="0" w:color="auto"/>
        <w:left w:val="none" w:sz="0" w:space="0" w:color="auto"/>
        <w:bottom w:val="none" w:sz="0" w:space="0" w:color="auto"/>
        <w:right w:val="none" w:sz="0" w:space="0" w:color="auto"/>
      </w:divBdr>
      <w:divsChild>
        <w:div w:id="1430857704">
          <w:marLeft w:val="0"/>
          <w:marRight w:val="0"/>
          <w:marTop w:val="0"/>
          <w:marBottom w:val="0"/>
          <w:divBdr>
            <w:top w:val="none" w:sz="0" w:space="0" w:color="auto"/>
            <w:left w:val="none" w:sz="0" w:space="0" w:color="auto"/>
            <w:bottom w:val="none" w:sz="0" w:space="0" w:color="auto"/>
            <w:right w:val="none" w:sz="0" w:space="0" w:color="auto"/>
          </w:divBdr>
          <w:divsChild>
            <w:div w:id="547185666">
              <w:marLeft w:val="0"/>
              <w:marRight w:val="0"/>
              <w:marTop w:val="0"/>
              <w:marBottom w:val="0"/>
              <w:divBdr>
                <w:top w:val="none" w:sz="0" w:space="0" w:color="auto"/>
                <w:left w:val="none" w:sz="0" w:space="0" w:color="auto"/>
                <w:bottom w:val="none" w:sz="0" w:space="0" w:color="auto"/>
                <w:right w:val="none" w:sz="0" w:space="0" w:color="auto"/>
              </w:divBdr>
              <w:divsChild>
                <w:div w:id="2108691485">
                  <w:marLeft w:val="0"/>
                  <w:marRight w:val="0"/>
                  <w:marTop w:val="0"/>
                  <w:marBottom w:val="0"/>
                  <w:divBdr>
                    <w:top w:val="none" w:sz="0" w:space="0" w:color="auto"/>
                    <w:left w:val="none" w:sz="0" w:space="0" w:color="auto"/>
                    <w:bottom w:val="none" w:sz="0" w:space="0" w:color="auto"/>
                    <w:right w:val="none" w:sz="0" w:space="0" w:color="auto"/>
                  </w:divBdr>
                  <w:divsChild>
                    <w:div w:id="196310141">
                      <w:marLeft w:val="0"/>
                      <w:marRight w:val="0"/>
                      <w:marTop w:val="0"/>
                      <w:marBottom w:val="0"/>
                      <w:divBdr>
                        <w:top w:val="none" w:sz="0" w:space="0" w:color="auto"/>
                        <w:left w:val="none" w:sz="0" w:space="0" w:color="auto"/>
                        <w:bottom w:val="none" w:sz="0" w:space="0" w:color="auto"/>
                        <w:right w:val="none" w:sz="0" w:space="0" w:color="auto"/>
                      </w:divBdr>
                      <w:divsChild>
                        <w:div w:id="1050107187">
                          <w:marLeft w:val="0"/>
                          <w:marRight w:val="0"/>
                          <w:marTop w:val="0"/>
                          <w:marBottom w:val="0"/>
                          <w:divBdr>
                            <w:top w:val="none" w:sz="0" w:space="0" w:color="auto"/>
                            <w:left w:val="none" w:sz="0" w:space="0" w:color="auto"/>
                            <w:bottom w:val="none" w:sz="0" w:space="0" w:color="auto"/>
                            <w:right w:val="none" w:sz="0" w:space="0" w:color="auto"/>
                          </w:divBdr>
                          <w:divsChild>
                            <w:div w:id="199629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287921">
      <w:bodyDiv w:val="1"/>
      <w:marLeft w:val="0"/>
      <w:marRight w:val="0"/>
      <w:marTop w:val="0"/>
      <w:marBottom w:val="0"/>
      <w:divBdr>
        <w:top w:val="none" w:sz="0" w:space="0" w:color="auto"/>
        <w:left w:val="none" w:sz="0" w:space="0" w:color="auto"/>
        <w:bottom w:val="none" w:sz="0" w:space="0" w:color="auto"/>
        <w:right w:val="none" w:sz="0" w:space="0" w:color="auto"/>
      </w:divBdr>
      <w:divsChild>
        <w:div w:id="1523087442">
          <w:marLeft w:val="0"/>
          <w:marRight w:val="0"/>
          <w:marTop w:val="0"/>
          <w:marBottom w:val="0"/>
          <w:divBdr>
            <w:top w:val="none" w:sz="0" w:space="0" w:color="auto"/>
            <w:left w:val="none" w:sz="0" w:space="0" w:color="auto"/>
            <w:bottom w:val="none" w:sz="0" w:space="0" w:color="auto"/>
            <w:right w:val="none" w:sz="0" w:space="0" w:color="auto"/>
          </w:divBdr>
          <w:divsChild>
            <w:div w:id="1657686337">
              <w:marLeft w:val="0"/>
              <w:marRight w:val="0"/>
              <w:marTop w:val="0"/>
              <w:marBottom w:val="0"/>
              <w:divBdr>
                <w:top w:val="none" w:sz="0" w:space="0" w:color="auto"/>
                <w:left w:val="none" w:sz="0" w:space="0" w:color="auto"/>
                <w:bottom w:val="none" w:sz="0" w:space="0" w:color="auto"/>
                <w:right w:val="none" w:sz="0" w:space="0" w:color="auto"/>
              </w:divBdr>
              <w:divsChild>
                <w:div w:id="671880676">
                  <w:marLeft w:val="0"/>
                  <w:marRight w:val="0"/>
                  <w:marTop w:val="0"/>
                  <w:marBottom w:val="0"/>
                  <w:divBdr>
                    <w:top w:val="none" w:sz="0" w:space="0" w:color="auto"/>
                    <w:left w:val="none" w:sz="0" w:space="0" w:color="auto"/>
                    <w:bottom w:val="none" w:sz="0" w:space="0" w:color="auto"/>
                    <w:right w:val="none" w:sz="0" w:space="0" w:color="auto"/>
                  </w:divBdr>
                  <w:divsChild>
                    <w:div w:id="2105151380">
                      <w:marLeft w:val="0"/>
                      <w:marRight w:val="0"/>
                      <w:marTop w:val="0"/>
                      <w:marBottom w:val="0"/>
                      <w:divBdr>
                        <w:top w:val="none" w:sz="0" w:space="0" w:color="auto"/>
                        <w:left w:val="none" w:sz="0" w:space="0" w:color="auto"/>
                        <w:bottom w:val="none" w:sz="0" w:space="0" w:color="auto"/>
                        <w:right w:val="none" w:sz="0" w:space="0" w:color="auto"/>
                      </w:divBdr>
                      <w:divsChild>
                        <w:div w:id="1474061112">
                          <w:marLeft w:val="0"/>
                          <w:marRight w:val="0"/>
                          <w:marTop w:val="0"/>
                          <w:marBottom w:val="0"/>
                          <w:divBdr>
                            <w:top w:val="none" w:sz="0" w:space="0" w:color="auto"/>
                            <w:left w:val="none" w:sz="0" w:space="0" w:color="auto"/>
                            <w:bottom w:val="none" w:sz="0" w:space="0" w:color="auto"/>
                            <w:right w:val="none" w:sz="0" w:space="0" w:color="auto"/>
                          </w:divBdr>
                          <w:divsChild>
                            <w:div w:id="768282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6477963">
      <w:bodyDiv w:val="1"/>
      <w:marLeft w:val="0"/>
      <w:marRight w:val="0"/>
      <w:marTop w:val="0"/>
      <w:marBottom w:val="0"/>
      <w:divBdr>
        <w:top w:val="none" w:sz="0" w:space="0" w:color="auto"/>
        <w:left w:val="none" w:sz="0" w:space="0" w:color="auto"/>
        <w:bottom w:val="none" w:sz="0" w:space="0" w:color="auto"/>
        <w:right w:val="none" w:sz="0" w:space="0" w:color="auto"/>
      </w:divBdr>
    </w:div>
    <w:div w:id="236667397">
      <w:bodyDiv w:val="1"/>
      <w:marLeft w:val="0"/>
      <w:marRight w:val="0"/>
      <w:marTop w:val="0"/>
      <w:marBottom w:val="0"/>
      <w:divBdr>
        <w:top w:val="none" w:sz="0" w:space="0" w:color="auto"/>
        <w:left w:val="none" w:sz="0" w:space="0" w:color="auto"/>
        <w:bottom w:val="none" w:sz="0" w:space="0" w:color="auto"/>
        <w:right w:val="none" w:sz="0" w:space="0" w:color="auto"/>
      </w:divBdr>
      <w:divsChild>
        <w:div w:id="1941598056">
          <w:marLeft w:val="0"/>
          <w:marRight w:val="0"/>
          <w:marTop w:val="0"/>
          <w:marBottom w:val="0"/>
          <w:divBdr>
            <w:top w:val="none" w:sz="0" w:space="0" w:color="auto"/>
            <w:left w:val="none" w:sz="0" w:space="0" w:color="auto"/>
            <w:bottom w:val="none" w:sz="0" w:space="0" w:color="auto"/>
            <w:right w:val="none" w:sz="0" w:space="0" w:color="auto"/>
          </w:divBdr>
          <w:divsChild>
            <w:div w:id="137454045">
              <w:marLeft w:val="0"/>
              <w:marRight w:val="0"/>
              <w:marTop w:val="0"/>
              <w:marBottom w:val="0"/>
              <w:divBdr>
                <w:top w:val="none" w:sz="0" w:space="0" w:color="auto"/>
                <w:left w:val="none" w:sz="0" w:space="0" w:color="auto"/>
                <w:bottom w:val="none" w:sz="0" w:space="0" w:color="auto"/>
                <w:right w:val="none" w:sz="0" w:space="0" w:color="auto"/>
              </w:divBdr>
              <w:divsChild>
                <w:div w:id="451628308">
                  <w:marLeft w:val="0"/>
                  <w:marRight w:val="0"/>
                  <w:marTop w:val="0"/>
                  <w:marBottom w:val="0"/>
                  <w:divBdr>
                    <w:top w:val="none" w:sz="0" w:space="0" w:color="auto"/>
                    <w:left w:val="none" w:sz="0" w:space="0" w:color="auto"/>
                    <w:bottom w:val="none" w:sz="0" w:space="0" w:color="auto"/>
                    <w:right w:val="none" w:sz="0" w:space="0" w:color="auto"/>
                  </w:divBdr>
                  <w:divsChild>
                    <w:div w:id="1867599808">
                      <w:marLeft w:val="0"/>
                      <w:marRight w:val="0"/>
                      <w:marTop w:val="0"/>
                      <w:marBottom w:val="0"/>
                      <w:divBdr>
                        <w:top w:val="none" w:sz="0" w:space="0" w:color="auto"/>
                        <w:left w:val="none" w:sz="0" w:space="0" w:color="auto"/>
                        <w:bottom w:val="none" w:sz="0" w:space="0" w:color="auto"/>
                        <w:right w:val="none" w:sz="0" w:space="0" w:color="auto"/>
                      </w:divBdr>
                      <w:divsChild>
                        <w:div w:id="661198929">
                          <w:marLeft w:val="0"/>
                          <w:marRight w:val="0"/>
                          <w:marTop w:val="0"/>
                          <w:marBottom w:val="0"/>
                          <w:divBdr>
                            <w:top w:val="none" w:sz="0" w:space="0" w:color="auto"/>
                            <w:left w:val="none" w:sz="0" w:space="0" w:color="auto"/>
                            <w:bottom w:val="none" w:sz="0" w:space="0" w:color="auto"/>
                            <w:right w:val="none" w:sz="0" w:space="0" w:color="auto"/>
                          </w:divBdr>
                          <w:divsChild>
                            <w:div w:id="115194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1594959">
      <w:bodyDiv w:val="1"/>
      <w:marLeft w:val="0"/>
      <w:marRight w:val="0"/>
      <w:marTop w:val="0"/>
      <w:marBottom w:val="0"/>
      <w:divBdr>
        <w:top w:val="none" w:sz="0" w:space="0" w:color="auto"/>
        <w:left w:val="none" w:sz="0" w:space="0" w:color="auto"/>
        <w:bottom w:val="none" w:sz="0" w:space="0" w:color="auto"/>
        <w:right w:val="none" w:sz="0" w:space="0" w:color="auto"/>
      </w:divBdr>
    </w:div>
    <w:div w:id="302121605">
      <w:bodyDiv w:val="1"/>
      <w:marLeft w:val="0"/>
      <w:marRight w:val="0"/>
      <w:marTop w:val="0"/>
      <w:marBottom w:val="0"/>
      <w:divBdr>
        <w:top w:val="none" w:sz="0" w:space="0" w:color="auto"/>
        <w:left w:val="none" w:sz="0" w:space="0" w:color="auto"/>
        <w:bottom w:val="none" w:sz="0" w:space="0" w:color="auto"/>
        <w:right w:val="none" w:sz="0" w:space="0" w:color="auto"/>
      </w:divBdr>
    </w:div>
    <w:div w:id="310134319">
      <w:bodyDiv w:val="1"/>
      <w:marLeft w:val="0"/>
      <w:marRight w:val="0"/>
      <w:marTop w:val="0"/>
      <w:marBottom w:val="0"/>
      <w:divBdr>
        <w:top w:val="none" w:sz="0" w:space="0" w:color="auto"/>
        <w:left w:val="none" w:sz="0" w:space="0" w:color="auto"/>
        <w:bottom w:val="none" w:sz="0" w:space="0" w:color="auto"/>
        <w:right w:val="none" w:sz="0" w:space="0" w:color="auto"/>
      </w:divBdr>
    </w:div>
    <w:div w:id="763917211">
      <w:bodyDiv w:val="1"/>
      <w:marLeft w:val="0"/>
      <w:marRight w:val="0"/>
      <w:marTop w:val="0"/>
      <w:marBottom w:val="0"/>
      <w:divBdr>
        <w:top w:val="none" w:sz="0" w:space="0" w:color="auto"/>
        <w:left w:val="none" w:sz="0" w:space="0" w:color="auto"/>
        <w:bottom w:val="none" w:sz="0" w:space="0" w:color="auto"/>
        <w:right w:val="none" w:sz="0" w:space="0" w:color="auto"/>
      </w:divBdr>
    </w:div>
    <w:div w:id="794835327">
      <w:bodyDiv w:val="1"/>
      <w:marLeft w:val="0"/>
      <w:marRight w:val="0"/>
      <w:marTop w:val="0"/>
      <w:marBottom w:val="0"/>
      <w:divBdr>
        <w:top w:val="none" w:sz="0" w:space="0" w:color="auto"/>
        <w:left w:val="none" w:sz="0" w:space="0" w:color="auto"/>
        <w:bottom w:val="none" w:sz="0" w:space="0" w:color="auto"/>
        <w:right w:val="none" w:sz="0" w:space="0" w:color="auto"/>
      </w:divBdr>
    </w:div>
    <w:div w:id="806824968">
      <w:bodyDiv w:val="1"/>
      <w:marLeft w:val="0"/>
      <w:marRight w:val="0"/>
      <w:marTop w:val="0"/>
      <w:marBottom w:val="0"/>
      <w:divBdr>
        <w:top w:val="none" w:sz="0" w:space="0" w:color="auto"/>
        <w:left w:val="none" w:sz="0" w:space="0" w:color="auto"/>
        <w:bottom w:val="none" w:sz="0" w:space="0" w:color="auto"/>
        <w:right w:val="none" w:sz="0" w:space="0" w:color="auto"/>
      </w:divBdr>
    </w:div>
    <w:div w:id="812677794">
      <w:bodyDiv w:val="1"/>
      <w:marLeft w:val="0"/>
      <w:marRight w:val="0"/>
      <w:marTop w:val="0"/>
      <w:marBottom w:val="0"/>
      <w:divBdr>
        <w:top w:val="none" w:sz="0" w:space="0" w:color="auto"/>
        <w:left w:val="none" w:sz="0" w:space="0" w:color="auto"/>
        <w:bottom w:val="none" w:sz="0" w:space="0" w:color="auto"/>
        <w:right w:val="none" w:sz="0" w:space="0" w:color="auto"/>
      </w:divBdr>
    </w:div>
    <w:div w:id="908004654">
      <w:bodyDiv w:val="1"/>
      <w:marLeft w:val="0"/>
      <w:marRight w:val="0"/>
      <w:marTop w:val="0"/>
      <w:marBottom w:val="0"/>
      <w:divBdr>
        <w:top w:val="none" w:sz="0" w:space="0" w:color="auto"/>
        <w:left w:val="none" w:sz="0" w:space="0" w:color="auto"/>
        <w:bottom w:val="none" w:sz="0" w:space="0" w:color="auto"/>
        <w:right w:val="none" w:sz="0" w:space="0" w:color="auto"/>
      </w:divBdr>
    </w:div>
    <w:div w:id="947347826">
      <w:bodyDiv w:val="1"/>
      <w:marLeft w:val="0"/>
      <w:marRight w:val="0"/>
      <w:marTop w:val="0"/>
      <w:marBottom w:val="0"/>
      <w:divBdr>
        <w:top w:val="none" w:sz="0" w:space="0" w:color="auto"/>
        <w:left w:val="none" w:sz="0" w:space="0" w:color="auto"/>
        <w:bottom w:val="none" w:sz="0" w:space="0" w:color="auto"/>
        <w:right w:val="none" w:sz="0" w:space="0" w:color="auto"/>
      </w:divBdr>
    </w:div>
    <w:div w:id="1014113614">
      <w:bodyDiv w:val="1"/>
      <w:marLeft w:val="0"/>
      <w:marRight w:val="0"/>
      <w:marTop w:val="0"/>
      <w:marBottom w:val="0"/>
      <w:divBdr>
        <w:top w:val="none" w:sz="0" w:space="0" w:color="auto"/>
        <w:left w:val="none" w:sz="0" w:space="0" w:color="auto"/>
        <w:bottom w:val="none" w:sz="0" w:space="0" w:color="auto"/>
        <w:right w:val="none" w:sz="0" w:space="0" w:color="auto"/>
      </w:divBdr>
    </w:div>
    <w:div w:id="1049378136">
      <w:bodyDiv w:val="1"/>
      <w:marLeft w:val="0"/>
      <w:marRight w:val="0"/>
      <w:marTop w:val="0"/>
      <w:marBottom w:val="0"/>
      <w:divBdr>
        <w:top w:val="none" w:sz="0" w:space="0" w:color="auto"/>
        <w:left w:val="none" w:sz="0" w:space="0" w:color="auto"/>
        <w:bottom w:val="none" w:sz="0" w:space="0" w:color="auto"/>
        <w:right w:val="none" w:sz="0" w:space="0" w:color="auto"/>
      </w:divBdr>
      <w:divsChild>
        <w:div w:id="1403024881">
          <w:marLeft w:val="0"/>
          <w:marRight w:val="0"/>
          <w:marTop w:val="0"/>
          <w:marBottom w:val="0"/>
          <w:divBdr>
            <w:top w:val="none" w:sz="0" w:space="0" w:color="auto"/>
            <w:left w:val="none" w:sz="0" w:space="0" w:color="auto"/>
            <w:bottom w:val="none" w:sz="0" w:space="0" w:color="auto"/>
            <w:right w:val="none" w:sz="0" w:space="0" w:color="auto"/>
          </w:divBdr>
          <w:divsChild>
            <w:div w:id="407270100">
              <w:marLeft w:val="0"/>
              <w:marRight w:val="0"/>
              <w:marTop w:val="0"/>
              <w:marBottom w:val="0"/>
              <w:divBdr>
                <w:top w:val="none" w:sz="0" w:space="0" w:color="auto"/>
                <w:left w:val="none" w:sz="0" w:space="0" w:color="auto"/>
                <w:bottom w:val="none" w:sz="0" w:space="0" w:color="auto"/>
                <w:right w:val="none" w:sz="0" w:space="0" w:color="auto"/>
              </w:divBdr>
              <w:divsChild>
                <w:div w:id="1089278194">
                  <w:marLeft w:val="0"/>
                  <w:marRight w:val="0"/>
                  <w:marTop w:val="0"/>
                  <w:marBottom w:val="0"/>
                  <w:divBdr>
                    <w:top w:val="none" w:sz="0" w:space="0" w:color="auto"/>
                    <w:left w:val="none" w:sz="0" w:space="0" w:color="auto"/>
                    <w:bottom w:val="none" w:sz="0" w:space="0" w:color="auto"/>
                    <w:right w:val="none" w:sz="0" w:space="0" w:color="auto"/>
                  </w:divBdr>
                  <w:divsChild>
                    <w:div w:id="188417159">
                      <w:marLeft w:val="0"/>
                      <w:marRight w:val="0"/>
                      <w:marTop w:val="0"/>
                      <w:marBottom w:val="0"/>
                      <w:divBdr>
                        <w:top w:val="none" w:sz="0" w:space="0" w:color="auto"/>
                        <w:left w:val="none" w:sz="0" w:space="0" w:color="auto"/>
                        <w:bottom w:val="none" w:sz="0" w:space="0" w:color="auto"/>
                        <w:right w:val="none" w:sz="0" w:space="0" w:color="auto"/>
                      </w:divBdr>
                      <w:divsChild>
                        <w:div w:id="627321496">
                          <w:marLeft w:val="0"/>
                          <w:marRight w:val="0"/>
                          <w:marTop w:val="0"/>
                          <w:marBottom w:val="0"/>
                          <w:divBdr>
                            <w:top w:val="none" w:sz="0" w:space="0" w:color="auto"/>
                            <w:left w:val="none" w:sz="0" w:space="0" w:color="auto"/>
                            <w:bottom w:val="none" w:sz="0" w:space="0" w:color="auto"/>
                            <w:right w:val="none" w:sz="0" w:space="0" w:color="auto"/>
                          </w:divBdr>
                          <w:divsChild>
                            <w:div w:id="50660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687738">
      <w:bodyDiv w:val="1"/>
      <w:marLeft w:val="0"/>
      <w:marRight w:val="0"/>
      <w:marTop w:val="0"/>
      <w:marBottom w:val="0"/>
      <w:divBdr>
        <w:top w:val="none" w:sz="0" w:space="0" w:color="auto"/>
        <w:left w:val="none" w:sz="0" w:space="0" w:color="auto"/>
        <w:bottom w:val="none" w:sz="0" w:space="0" w:color="auto"/>
        <w:right w:val="none" w:sz="0" w:space="0" w:color="auto"/>
      </w:divBdr>
      <w:divsChild>
        <w:div w:id="177429312">
          <w:marLeft w:val="0"/>
          <w:marRight w:val="0"/>
          <w:marTop w:val="0"/>
          <w:marBottom w:val="0"/>
          <w:divBdr>
            <w:top w:val="none" w:sz="0" w:space="0" w:color="auto"/>
            <w:left w:val="none" w:sz="0" w:space="0" w:color="auto"/>
            <w:bottom w:val="none" w:sz="0" w:space="0" w:color="auto"/>
            <w:right w:val="none" w:sz="0" w:space="0" w:color="auto"/>
          </w:divBdr>
          <w:divsChild>
            <w:div w:id="1550874719">
              <w:marLeft w:val="0"/>
              <w:marRight w:val="0"/>
              <w:marTop w:val="0"/>
              <w:marBottom w:val="0"/>
              <w:divBdr>
                <w:top w:val="none" w:sz="0" w:space="0" w:color="auto"/>
                <w:left w:val="none" w:sz="0" w:space="0" w:color="auto"/>
                <w:bottom w:val="none" w:sz="0" w:space="0" w:color="auto"/>
                <w:right w:val="none" w:sz="0" w:space="0" w:color="auto"/>
              </w:divBdr>
              <w:divsChild>
                <w:div w:id="1075280984">
                  <w:marLeft w:val="0"/>
                  <w:marRight w:val="0"/>
                  <w:marTop w:val="0"/>
                  <w:marBottom w:val="0"/>
                  <w:divBdr>
                    <w:top w:val="none" w:sz="0" w:space="0" w:color="auto"/>
                    <w:left w:val="none" w:sz="0" w:space="0" w:color="auto"/>
                    <w:bottom w:val="none" w:sz="0" w:space="0" w:color="auto"/>
                    <w:right w:val="none" w:sz="0" w:space="0" w:color="auto"/>
                  </w:divBdr>
                  <w:divsChild>
                    <w:div w:id="409426555">
                      <w:marLeft w:val="0"/>
                      <w:marRight w:val="0"/>
                      <w:marTop w:val="0"/>
                      <w:marBottom w:val="0"/>
                      <w:divBdr>
                        <w:top w:val="none" w:sz="0" w:space="0" w:color="auto"/>
                        <w:left w:val="none" w:sz="0" w:space="0" w:color="auto"/>
                        <w:bottom w:val="none" w:sz="0" w:space="0" w:color="auto"/>
                        <w:right w:val="none" w:sz="0" w:space="0" w:color="auto"/>
                      </w:divBdr>
                      <w:divsChild>
                        <w:div w:id="533886598">
                          <w:marLeft w:val="0"/>
                          <w:marRight w:val="0"/>
                          <w:marTop w:val="0"/>
                          <w:marBottom w:val="0"/>
                          <w:divBdr>
                            <w:top w:val="none" w:sz="0" w:space="0" w:color="auto"/>
                            <w:left w:val="none" w:sz="0" w:space="0" w:color="auto"/>
                            <w:bottom w:val="none" w:sz="0" w:space="0" w:color="auto"/>
                            <w:right w:val="none" w:sz="0" w:space="0" w:color="auto"/>
                          </w:divBdr>
                          <w:divsChild>
                            <w:div w:id="1053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8492322">
      <w:bodyDiv w:val="1"/>
      <w:marLeft w:val="0"/>
      <w:marRight w:val="0"/>
      <w:marTop w:val="0"/>
      <w:marBottom w:val="0"/>
      <w:divBdr>
        <w:top w:val="none" w:sz="0" w:space="0" w:color="auto"/>
        <w:left w:val="none" w:sz="0" w:space="0" w:color="auto"/>
        <w:bottom w:val="none" w:sz="0" w:space="0" w:color="auto"/>
        <w:right w:val="none" w:sz="0" w:space="0" w:color="auto"/>
      </w:divBdr>
      <w:divsChild>
        <w:div w:id="99841911">
          <w:marLeft w:val="0"/>
          <w:marRight w:val="0"/>
          <w:marTop w:val="0"/>
          <w:marBottom w:val="0"/>
          <w:divBdr>
            <w:top w:val="none" w:sz="0" w:space="0" w:color="auto"/>
            <w:left w:val="none" w:sz="0" w:space="0" w:color="auto"/>
            <w:bottom w:val="none" w:sz="0" w:space="0" w:color="auto"/>
            <w:right w:val="none" w:sz="0" w:space="0" w:color="auto"/>
          </w:divBdr>
          <w:divsChild>
            <w:div w:id="219832107">
              <w:marLeft w:val="0"/>
              <w:marRight w:val="0"/>
              <w:marTop w:val="0"/>
              <w:marBottom w:val="0"/>
              <w:divBdr>
                <w:top w:val="none" w:sz="0" w:space="0" w:color="auto"/>
                <w:left w:val="none" w:sz="0" w:space="0" w:color="auto"/>
                <w:bottom w:val="none" w:sz="0" w:space="0" w:color="auto"/>
                <w:right w:val="none" w:sz="0" w:space="0" w:color="auto"/>
              </w:divBdr>
              <w:divsChild>
                <w:div w:id="12653830">
                  <w:marLeft w:val="0"/>
                  <w:marRight w:val="0"/>
                  <w:marTop w:val="0"/>
                  <w:marBottom w:val="0"/>
                  <w:divBdr>
                    <w:top w:val="none" w:sz="0" w:space="0" w:color="auto"/>
                    <w:left w:val="none" w:sz="0" w:space="0" w:color="auto"/>
                    <w:bottom w:val="none" w:sz="0" w:space="0" w:color="auto"/>
                    <w:right w:val="none" w:sz="0" w:space="0" w:color="auto"/>
                  </w:divBdr>
                  <w:divsChild>
                    <w:div w:id="745804888">
                      <w:marLeft w:val="0"/>
                      <w:marRight w:val="0"/>
                      <w:marTop w:val="0"/>
                      <w:marBottom w:val="0"/>
                      <w:divBdr>
                        <w:top w:val="none" w:sz="0" w:space="0" w:color="auto"/>
                        <w:left w:val="none" w:sz="0" w:space="0" w:color="auto"/>
                        <w:bottom w:val="none" w:sz="0" w:space="0" w:color="auto"/>
                        <w:right w:val="none" w:sz="0" w:space="0" w:color="auto"/>
                      </w:divBdr>
                      <w:divsChild>
                        <w:div w:id="1639334607">
                          <w:marLeft w:val="0"/>
                          <w:marRight w:val="0"/>
                          <w:marTop w:val="0"/>
                          <w:marBottom w:val="0"/>
                          <w:divBdr>
                            <w:top w:val="none" w:sz="0" w:space="0" w:color="auto"/>
                            <w:left w:val="none" w:sz="0" w:space="0" w:color="auto"/>
                            <w:bottom w:val="none" w:sz="0" w:space="0" w:color="auto"/>
                            <w:right w:val="none" w:sz="0" w:space="0" w:color="auto"/>
                          </w:divBdr>
                          <w:divsChild>
                            <w:div w:id="211080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3052137">
      <w:bodyDiv w:val="1"/>
      <w:marLeft w:val="0"/>
      <w:marRight w:val="0"/>
      <w:marTop w:val="0"/>
      <w:marBottom w:val="0"/>
      <w:divBdr>
        <w:top w:val="none" w:sz="0" w:space="0" w:color="auto"/>
        <w:left w:val="none" w:sz="0" w:space="0" w:color="auto"/>
        <w:bottom w:val="none" w:sz="0" w:space="0" w:color="auto"/>
        <w:right w:val="none" w:sz="0" w:space="0" w:color="auto"/>
      </w:divBdr>
    </w:div>
    <w:div w:id="1466123674">
      <w:bodyDiv w:val="1"/>
      <w:marLeft w:val="0"/>
      <w:marRight w:val="0"/>
      <w:marTop w:val="0"/>
      <w:marBottom w:val="0"/>
      <w:divBdr>
        <w:top w:val="none" w:sz="0" w:space="0" w:color="auto"/>
        <w:left w:val="none" w:sz="0" w:space="0" w:color="auto"/>
        <w:bottom w:val="none" w:sz="0" w:space="0" w:color="auto"/>
        <w:right w:val="none" w:sz="0" w:space="0" w:color="auto"/>
      </w:divBdr>
      <w:divsChild>
        <w:div w:id="537936389">
          <w:marLeft w:val="0"/>
          <w:marRight w:val="0"/>
          <w:marTop w:val="0"/>
          <w:marBottom w:val="0"/>
          <w:divBdr>
            <w:top w:val="none" w:sz="0" w:space="0" w:color="auto"/>
            <w:left w:val="none" w:sz="0" w:space="0" w:color="auto"/>
            <w:bottom w:val="none" w:sz="0" w:space="0" w:color="auto"/>
            <w:right w:val="none" w:sz="0" w:space="0" w:color="auto"/>
          </w:divBdr>
          <w:divsChild>
            <w:div w:id="284317349">
              <w:marLeft w:val="0"/>
              <w:marRight w:val="0"/>
              <w:marTop w:val="0"/>
              <w:marBottom w:val="0"/>
              <w:divBdr>
                <w:top w:val="none" w:sz="0" w:space="0" w:color="auto"/>
                <w:left w:val="none" w:sz="0" w:space="0" w:color="auto"/>
                <w:bottom w:val="none" w:sz="0" w:space="0" w:color="auto"/>
                <w:right w:val="none" w:sz="0" w:space="0" w:color="auto"/>
              </w:divBdr>
              <w:divsChild>
                <w:div w:id="1513717222">
                  <w:marLeft w:val="0"/>
                  <w:marRight w:val="0"/>
                  <w:marTop w:val="0"/>
                  <w:marBottom w:val="0"/>
                  <w:divBdr>
                    <w:top w:val="none" w:sz="0" w:space="0" w:color="auto"/>
                    <w:left w:val="none" w:sz="0" w:space="0" w:color="auto"/>
                    <w:bottom w:val="none" w:sz="0" w:space="0" w:color="auto"/>
                    <w:right w:val="none" w:sz="0" w:space="0" w:color="auto"/>
                  </w:divBdr>
                  <w:divsChild>
                    <w:div w:id="330985679">
                      <w:marLeft w:val="0"/>
                      <w:marRight w:val="0"/>
                      <w:marTop w:val="0"/>
                      <w:marBottom w:val="0"/>
                      <w:divBdr>
                        <w:top w:val="none" w:sz="0" w:space="0" w:color="auto"/>
                        <w:left w:val="none" w:sz="0" w:space="0" w:color="auto"/>
                        <w:bottom w:val="none" w:sz="0" w:space="0" w:color="auto"/>
                        <w:right w:val="none" w:sz="0" w:space="0" w:color="auto"/>
                      </w:divBdr>
                      <w:divsChild>
                        <w:div w:id="1313676447">
                          <w:marLeft w:val="0"/>
                          <w:marRight w:val="0"/>
                          <w:marTop w:val="0"/>
                          <w:marBottom w:val="0"/>
                          <w:divBdr>
                            <w:top w:val="none" w:sz="0" w:space="0" w:color="auto"/>
                            <w:left w:val="none" w:sz="0" w:space="0" w:color="auto"/>
                            <w:bottom w:val="none" w:sz="0" w:space="0" w:color="auto"/>
                            <w:right w:val="none" w:sz="0" w:space="0" w:color="auto"/>
                          </w:divBdr>
                          <w:divsChild>
                            <w:div w:id="1788162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2077438">
      <w:bodyDiv w:val="1"/>
      <w:marLeft w:val="0"/>
      <w:marRight w:val="0"/>
      <w:marTop w:val="0"/>
      <w:marBottom w:val="0"/>
      <w:divBdr>
        <w:top w:val="none" w:sz="0" w:space="0" w:color="auto"/>
        <w:left w:val="none" w:sz="0" w:space="0" w:color="auto"/>
        <w:bottom w:val="none" w:sz="0" w:space="0" w:color="auto"/>
        <w:right w:val="none" w:sz="0" w:space="0" w:color="auto"/>
      </w:divBdr>
    </w:div>
    <w:div w:id="1914772418">
      <w:bodyDiv w:val="1"/>
      <w:marLeft w:val="0"/>
      <w:marRight w:val="0"/>
      <w:marTop w:val="0"/>
      <w:marBottom w:val="0"/>
      <w:divBdr>
        <w:top w:val="none" w:sz="0" w:space="0" w:color="auto"/>
        <w:left w:val="none" w:sz="0" w:space="0" w:color="auto"/>
        <w:bottom w:val="none" w:sz="0" w:space="0" w:color="auto"/>
        <w:right w:val="none" w:sz="0" w:space="0" w:color="auto"/>
      </w:divBdr>
      <w:divsChild>
        <w:div w:id="1515877714">
          <w:marLeft w:val="0"/>
          <w:marRight w:val="0"/>
          <w:marTop w:val="0"/>
          <w:marBottom w:val="0"/>
          <w:divBdr>
            <w:top w:val="none" w:sz="0" w:space="0" w:color="auto"/>
            <w:left w:val="none" w:sz="0" w:space="0" w:color="auto"/>
            <w:bottom w:val="none" w:sz="0" w:space="0" w:color="auto"/>
            <w:right w:val="none" w:sz="0" w:space="0" w:color="auto"/>
          </w:divBdr>
          <w:divsChild>
            <w:div w:id="1182282661">
              <w:marLeft w:val="0"/>
              <w:marRight w:val="0"/>
              <w:marTop w:val="0"/>
              <w:marBottom w:val="0"/>
              <w:divBdr>
                <w:top w:val="none" w:sz="0" w:space="0" w:color="auto"/>
                <w:left w:val="none" w:sz="0" w:space="0" w:color="auto"/>
                <w:bottom w:val="none" w:sz="0" w:space="0" w:color="auto"/>
                <w:right w:val="none" w:sz="0" w:space="0" w:color="auto"/>
              </w:divBdr>
              <w:divsChild>
                <w:div w:id="1926768214">
                  <w:marLeft w:val="0"/>
                  <w:marRight w:val="0"/>
                  <w:marTop w:val="0"/>
                  <w:marBottom w:val="0"/>
                  <w:divBdr>
                    <w:top w:val="none" w:sz="0" w:space="0" w:color="auto"/>
                    <w:left w:val="none" w:sz="0" w:space="0" w:color="auto"/>
                    <w:bottom w:val="none" w:sz="0" w:space="0" w:color="auto"/>
                    <w:right w:val="none" w:sz="0" w:space="0" w:color="auto"/>
                  </w:divBdr>
                  <w:divsChild>
                    <w:div w:id="746027677">
                      <w:marLeft w:val="0"/>
                      <w:marRight w:val="0"/>
                      <w:marTop w:val="0"/>
                      <w:marBottom w:val="0"/>
                      <w:divBdr>
                        <w:top w:val="none" w:sz="0" w:space="0" w:color="auto"/>
                        <w:left w:val="none" w:sz="0" w:space="0" w:color="auto"/>
                        <w:bottom w:val="none" w:sz="0" w:space="0" w:color="auto"/>
                        <w:right w:val="none" w:sz="0" w:space="0" w:color="auto"/>
                      </w:divBdr>
                      <w:divsChild>
                        <w:div w:id="1395162208">
                          <w:marLeft w:val="0"/>
                          <w:marRight w:val="0"/>
                          <w:marTop w:val="0"/>
                          <w:marBottom w:val="0"/>
                          <w:divBdr>
                            <w:top w:val="none" w:sz="0" w:space="0" w:color="auto"/>
                            <w:left w:val="none" w:sz="0" w:space="0" w:color="auto"/>
                            <w:bottom w:val="none" w:sz="0" w:space="0" w:color="auto"/>
                            <w:right w:val="none" w:sz="0" w:space="0" w:color="auto"/>
                          </w:divBdr>
                          <w:divsChild>
                            <w:div w:id="417362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8387794">
      <w:bodyDiv w:val="1"/>
      <w:marLeft w:val="0"/>
      <w:marRight w:val="0"/>
      <w:marTop w:val="0"/>
      <w:marBottom w:val="0"/>
      <w:divBdr>
        <w:top w:val="none" w:sz="0" w:space="0" w:color="auto"/>
        <w:left w:val="none" w:sz="0" w:space="0" w:color="auto"/>
        <w:bottom w:val="none" w:sz="0" w:space="0" w:color="auto"/>
        <w:right w:val="none" w:sz="0" w:space="0" w:color="auto"/>
      </w:divBdr>
      <w:divsChild>
        <w:div w:id="663777571">
          <w:marLeft w:val="0"/>
          <w:marRight w:val="0"/>
          <w:marTop w:val="0"/>
          <w:marBottom w:val="0"/>
          <w:divBdr>
            <w:top w:val="none" w:sz="0" w:space="0" w:color="auto"/>
            <w:left w:val="none" w:sz="0" w:space="0" w:color="auto"/>
            <w:bottom w:val="none" w:sz="0" w:space="0" w:color="auto"/>
            <w:right w:val="none" w:sz="0" w:space="0" w:color="auto"/>
          </w:divBdr>
          <w:divsChild>
            <w:div w:id="1221869670">
              <w:marLeft w:val="0"/>
              <w:marRight w:val="0"/>
              <w:marTop w:val="0"/>
              <w:marBottom w:val="0"/>
              <w:divBdr>
                <w:top w:val="none" w:sz="0" w:space="0" w:color="auto"/>
                <w:left w:val="none" w:sz="0" w:space="0" w:color="auto"/>
                <w:bottom w:val="none" w:sz="0" w:space="0" w:color="auto"/>
                <w:right w:val="none" w:sz="0" w:space="0" w:color="auto"/>
              </w:divBdr>
              <w:divsChild>
                <w:div w:id="1489633982">
                  <w:marLeft w:val="0"/>
                  <w:marRight w:val="0"/>
                  <w:marTop w:val="0"/>
                  <w:marBottom w:val="0"/>
                  <w:divBdr>
                    <w:top w:val="none" w:sz="0" w:space="0" w:color="auto"/>
                    <w:left w:val="none" w:sz="0" w:space="0" w:color="auto"/>
                    <w:bottom w:val="none" w:sz="0" w:space="0" w:color="auto"/>
                    <w:right w:val="none" w:sz="0" w:space="0" w:color="auto"/>
                  </w:divBdr>
                  <w:divsChild>
                    <w:div w:id="996229590">
                      <w:marLeft w:val="0"/>
                      <w:marRight w:val="0"/>
                      <w:marTop w:val="0"/>
                      <w:marBottom w:val="0"/>
                      <w:divBdr>
                        <w:top w:val="none" w:sz="0" w:space="0" w:color="auto"/>
                        <w:left w:val="none" w:sz="0" w:space="0" w:color="auto"/>
                        <w:bottom w:val="none" w:sz="0" w:space="0" w:color="auto"/>
                        <w:right w:val="none" w:sz="0" w:space="0" w:color="auto"/>
                      </w:divBdr>
                      <w:divsChild>
                        <w:div w:id="1945266688">
                          <w:marLeft w:val="0"/>
                          <w:marRight w:val="0"/>
                          <w:marTop w:val="0"/>
                          <w:marBottom w:val="0"/>
                          <w:divBdr>
                            <w:top w:val="none" w:sz="0" w:space="0" w:color="auto"/>
                            <w:left w:val="none" w:sz="0" w:space="0" w:color="auto"/>
                            <w:bottom w:val="none" w:sz="0" w:space="0" w:color="auto"/>
                            <w:right w:val="none" w:sz="0" w:space="0" w:color="auto"/>
                          </w:divBdr>
                          <w:divsChild>
                            <w:div w:id="969751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2124734">
      <w:bodyDiv w:val="1"/>
      <w:marLeft w:val="0"/>
      <w:marRight w:val="0"/>
      <w:marTop w:val="0"/>
      <w:marBottom w:val="0"/>
      <w:divBdr>
        <w:top w:val="none" w:sz="0" w:space="0" w:color="auto"/>
        <w:left w:val="none" w:sz="0" w:space="0" w:color="auto"/>
        <w:bottom w:val="none" w:sz="0" w:space="0" w:color="auto"/>
        <w:right w:val="none" w:sz="0" w:space="0" w:color="auto"/>
      </w:divBdr>
      <w:divsChild>
        <w:div w:id="624701923">
          <w:marLeft w:val="547"/>
          <w:marRight w:val="0"/>
          <w:marTop w:val="96"/>
          <w:marBottom w:val="0"/>
          <w:divBdr>
            <w:top w:val="none" w:sz="0" w:space="0" w:color="auto"/>
            <w:left w:val="none" w:sz="0" w:space="0" w:color="auto"/>
            <w:bottom w:val="none" w:sz="0" w:space="0" w:color="auto"/>
            <w:right w:val="none" w:sz="0" w:space="0" w:color="auto"/>
          </w:divBdr>
        </w:div>
        <w:div w:id="2116245158">
          <w:marLeft w:val="547"/>
          <w:marRight w:val="0"/>
          <w:marTop w:val="96"/>
          <w:marBottom w:val="0"/>
          <w:divBdr>
            <w:top w:val="none" w:sz="0" w:space="0" w:color="auto"/>
            <w:left w:val="none" w:sz="0" w:space="0" w:color="auto"/>
            <w:bottom w:val="none" w:sz="0" w:space="0" w:color="auto"/>
            <w:right w:val="none" w:sz="0" w:space="0" w:color="auto"/>
          </w:divBdr>
        </w:div>
        <w:div w:id="1359089244">
          <w:marLeft w:val="547"/>
          <w:marRight w:val="0"/>
          <w:marTop w:val="96"/>
          <w:marBottom w:val="0"/>
          <w:divBdr>
            <w:top w:val="none" w:sz="0" w:space="0" w:color="auto"/>
            <w:left w:val="none" w:sz="0" w:space="0" w:color="auto"/>
            <w:bottom w:val="none" w:sz="0" w:space="0" w:color="auto"/>
            <w:right w:val="none" w:sz="0" w:space="0" w:color="auto"/>
          </w:divBdr>
        </w:div>
        <w:div w:id="614793334">
          <w:marLeft w:val="547"/>
          <w:marRight w:val="0"/>
          <w:marTop w:val="96"/>
          <w:marBottom w:val="0"/>
          <w:divBdr>
            <w:top w:val="none" w:sz="0" w:space="0" w:color="auto"/>
            <w:left w:val="none" w:sz="0" w:space="0" w:color="auto"/>
            <w:bottom w:val="none" w:sz="0" w:space="0" w:color="auto"/>
            <w:right w:val="none" w:sz="0" w:space="0" w:color="auto"/>
          </w:divBdr>
        </w:div>
        <w:div w:id="1994024733">
          <w:marLeft w:val="547"/>
          <w:marRight w:val="0"/>
          <w:marTop w:val="96"/>
          <w:marBottom w:val="0"/>
          <w:divBdr>
            <w:top w:val="none" w:sz="0" w:space="0" w:color="auto"/>
            <w:left w:val="none" w:sz="0" w:space="0" w:color="auto"/>
            <w:bottom w:val="none" w:sz="0" w:space="0" w:color="auto"/>
            <w:right w:val="none" w:sz="0" w:space="0" w:color="auto"/>
          </w:divBdr>
        </w:div>
      </w:divsChild>
    </w:div>
    <w:div w:id="2087992592">
      <w:bodyDiv w:val="1"/>
      <w:marLeft w:val="0"/>
      <w:marRight w:val="0"/>
      <w:marTop w:val="0"/>
      <w:marBottom w:val="0"/>
      <w:divBdr>
        <w:top w:val="none" w:sz="0" w:space="0" w:color="auto"/>
        <w:left w:val="none" w:sz="0" w:space="0" w:color="auto"/>
        <w:bottom w:val="none" w:sz="0" w:space="0" w:color="auto"/>
        <w:right w:val="none" w:sz="0" w:space="0" w:color="auto"/>
      </w:divBdr>
      <w:divsChild>
        <w:div w:id="1063914770">
          <w:marLeft w:val="0"/>
          <w:marRight w:val="0"/>
          <w:marTop w:val="0"/>
          <w:marBottom w:val="0"/>
          <w:divBdr>
            <w:top w:val="none" w:sz="0" w:space="0" w:color="auto"/>
            <w:left w:val="none" w:sz="0" w:space="0" w:color="auto"/>
            <w:bottom w:val="none" w:sz="0" w:space="0" w:color="auto"/>
            <w:right w:val="none" w:sz="0" w:space="0" w:color="auto"/>
          </w:divBdr>
          <w:divsChild>
            <w:div w:id="597254629">
              <w:marLeft w:val="0"/>
              <w:marRight w:val="0"/>
              <w:marTop w:val="0"/>
              <w:marBottom w:val="0"/>
              <w:divBdr>
                <w:top w:val="none" w:sz="0" w:space="0" w:color="auto"/>
                <w:left w:val="none" w:sz="0" w:space="0" w:color="auto"/>
                <w:bottom w:val="none" w:sz="0" w:space="0" w:color="auto"/>
                <w:right w:val="none" w:sz="0" w:space="0" w:color="auto"/>
              </w:divBdr>
              <w:divsChild>
                <w:div w:id="904412642">
                  <w:marLeft w:val="0"/>
                  <w:marRight w:val="0"/>
                  <w:marTop w:val="0"/>
                  <w:marBottom w:val="0"/>
                  <w:divBdr>
                    <w:top w:val="none" w:sz="0" w:space="0" w:color="auto"/>
                    <w:left w:val="none" w:sz="0" w:space="0" w:color="auto"/>
                    <w:bottom w:val="none" w:sz="0" w:space="0" w:color="auto"/>
                    <w:right w:val="none" w:sz="0" w:space="0" w:color="auto"/>
                  </w:divBdr>
                  <w:divsChild>
                    <w:div w:id="643122923">
                      <w:marLeft w:val="0"/>
                      <w:marRight w:val="0"/>
                      <w:marTop w:val="0"/>
                      <w:marBottom w:val="0"/>
                      <w:divBdr>
                        <w:top w:val="none" w:sz="0" w:space="0" w:color="auto"/>
                        <w:left w:val="none" w:sz="0" w:space="0" w:color="auto"/>
                        <w:bottom w:val="none" w:sz="0" w:space="0" w:color="auto"/>
                        <w:right w:val="none" w:sz="0" w:space="0" w:color="auto"/>
                      </w:divBdr>
                      <w:divsChild>
                        <w:div w:id="747504428">
                          <w:marLeft w:val="0"/>
                          <w:marRight w:val="0"/>
                          <w:marTop w:val="0"/>
                          <w:marBottom w:val="0"/>
                          <w:divBdr>
                            <w:top w:val="none" w:sz="0" w:space="0" w:color="auto"/>
                            <w:left w:val="none" w:sz="0" w:space="0" w:color="auto"/>
                            <w:bottom w:val="none" w:sz="0" w:space="0" w:color="auto"/>
                            <w:right w:val="none" w:sz="0" w:space="0" w:color="auto"/>
                          </w:divBdr>
                          <w:divsChild>
                            <w:div w:id="143759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7993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Tide" TargetMode="External"/><Relationship Id="rId21" Type="http://schemas.openxmlformats.org/officeDocument/2006/relationships/hyperlink" Target="http://en.wikipedia.org/wiki/Navigation" TargetMode="External"/><Relationship Id="rId42" Type="http://schemas.openxmlformats.org/officeDocument/2006/relationships/image" Target="media/image15.tiff"/><Relationship Id="rId47" Type="http://schemas.openxmlformats.org/officeDocument/2006/relationships/image" Target="media/image19.png"/><Relationship Id="rId63" Type="http://schemas.openxmlformats.org/officeDocument/2006/relationships/image" Target="media/image35.png"/><Relationship Id="rId68" Type="http://schemas.openxmlformats.org/officeDocument/2006/relationships/image" Target="media/image40.png"/><Relationship Id="rId84" Type="http://schemas.openxmlformats.org/officeDocument/2006/relationships/image" Target="media/image56.png"/><Relationship Id="rId89" Type="http://schemas.openxmlformats.org/officeDocument/2006/relationships/image" Target="media/image61.png"/><Relationship Id="rId112" Type="http://schemas.openxmlformats.org/officeDocument/2006/relationships/customXml" Target="../customXml/item4.xml"/><Relationship Id="rId16" Type="http://schemas.openxmlformats.org/officeDocument/2006/relationships/footer" Target="footer1.xml"/><Relationship Id="rId107" Type="http://schemas.openxmlformats.org/officeDocument/2006/relationships/image" Target="media/image79.png"/><Relationship Id="rId11" Type="http://schemas.openxmlformats.org/officeDocument/2006/relationships/image" Target="media/image1.jpeg"/><Relationship Id="rId32" Type="http://schemas.openxmlformats.org/officeDocument/2006/relationships/image" Target="media/image6.tiff"/><Relationship Id="rId37" Type="http://schemas.openxmlformats.org/officeDocument/2006/relationships/footer" Target="footer4.xml"/><Relationship Id="rId53" Type="http://schemas.openxmlformats.org/officeDocument/2006/relationships/image" Target="media/image25.tiff"/><Relationship Id="rId58" Type="http://schemas.openxmlformats.org/officeDocument/2006/relationships/image" Target="media/image30.emf"/><Relationship Id="rId74" Type="http://schemas.openxmlformats.org/officeDocument/2006/relationships/image" Target="media/image46.png"/><Relationship Id="rId79" Type="http://schemas.openxmlformats.org/officeDocument/2006/relationships/image" Target="media/image51.png"/><Relationship Id="rId102" Type="http://schemas.openxmlformats.org/officeDocument/2006/relationships/image" Target="media/image74.png"/><Relationship Id="rId5" Type="http://schemas.openxmlformats.org/officeDocument/2006/relationships/styles" Target="styles.xml"/><Relationship Id="rId90" Type="http://schemas.openxmlformats.org/officeDocument/2006/relationships/image" Target="media/image62.png"/><Relationship Id="rId95" Type="http://schemas.openxmlformats.org/officeDocument/2006/relationships/image" Target="media/image67.png"/><Relationship Id="rId22" Type="http://schemas.openxmlformats.org/officeDocument/2006/relationships/hyperlink" Target="http://en.wikipedia.org/wiki/Sediment-water_interface" TargetMode="External"/><Relationship Id="rId27" Type="http://schemas.openxmlformats.org/officeDocument/2006/relationships/header" Target="header2.xml"/><Relationship Id="rId43" Type="http://schemas.openxmlformats.org/officeDocument/2006/relationships/image" Target="media/image16.tiff"/><Relationship Id="rId48" Type="http://schemas.openxmlformats.org/officeDocument/2006/relationships/image" Target="media/image20.png"/><Relationship Id="rId64" Type="http://schemas.openxmlformats.org/officeDocument/2006/relationships/image" Target="media/image36.png"/><Relationship Id="rId69" Type="http://schemas.openxmlformats.org/officeDocument/2006/relationships/image" Target="media/image41.png"/><Relationship Id="rId113" Type="http://schemas.openxmlformats.org/officeDocument/2006/relationships/customXml" Target="../customXml/item5.xml"/><Relationship Id="rId80" Type="http://schemas.openxmlformats.org/officeDocument/2006/relationships/image" Target="media/image52.png"/><Relationship Id="rId85" Type="http://schemas.openxmlformats.org/officeDocument/2006/relationships/image" Target="media/image57.png"/><Relationship Id="rId12" Type="http://schemas.openxmlformats.org/officeDocument/2006/relationships/image" Target="media/image2.jpeg"/><Relationship Id="rId17" Type="http://schemas.openxmlformats.org/officeDocument/2006/relationships/hyperlink" Target="http://en.wikipedia.org/wiki/Ocean_floor" TargetMode="External"/><Relationship Id="rId33" Type="http://schemas.openxmlformats.org/officeDocument/2006/relationships/image" Target="media/image7.tiff"/><Relationship Id="rId38" Type="http://schemas.openxmlformats.org/officeDocument/2006/relationships/image" Target="media/image11.tiff"/><Relationship Id="rId59" Type="http://schemas.openxmlformats.org/officeDocument/2006/relationships/image" Target="media/image31.emf"/><Relationship Id="rId103" Type="http://schemas.openxmlformats.org/officeDocument/2006/relationships/image" Target="media/image75.png"/><Relationship Id="rId108" Type="http://schemas.openxmlformats.org/officeDocument/2006/relationships/image" Target="media/image80.png"/><Relationship Id="rId54" Type="http://schemas.openxmlformats.org/officeDocument/2006/relationships/image" Target="media/image26.tiff"/><Relationship Id="rId70" Type="http://schemas.openxmlformats.org/officeDocument/2006/relationships/image" Target="media/image42.png"/><Relationship Id="rId75" Type="http://schemas.openxmlformats.org/officeDocument/2006/relationships/image" Target="media/image47.png"/><Relationship Id="rId91" Type="http://schemas.openxmlformats.org/officeDocument/2006/relationships/image" Target="media/image63.png"/><Relationship Id="rId96" Type="http://schemas.openxmlformats.org/officeDocument/2006/relationships/image" Target="media/image68.png"/><Relationship Id="rId1" Type="http://schemas.openxmlformats.org/officeDocument/2006/relationships/customXml" Target="../customXml/item1.xml"/><Relationship Id="rId6" Type="http://schemas.microsoft.com/office/2007/relationships/stylesWithEffects" Target="stylesWithEffects.xml"/><Relationship Id="rId15" Type="http://schemas.openxmlformats.org/officeDocument/2006/relationships/hyperlink" Target="mailto:info@gbrmpa.gov.au" TargetMode="External"/><Relationship Id="rId23" Type="http://schemas.openxmlformats.org/officeDocument/2006/relationships/hyperlink" Target="http://en.wikipedia.org/wiki/Sediment" TargetMode="External"/><Relationship Id="rId28" Type="http://schemas.openxmlformats.org/officeDocument/2006/relationships/footer" Target="footer2.xml"/><Relationship Id="rId36" Type="http://schemas.openxmlformats.org/officeDocument/2006/relationships/image" Target="media/image10.tiff"/><Relationship Id="rId49" Type="http://schemas.openxmlformats.org/officeDocument/2006/relationships/image" Target="media/image21.tiff"/><Relationship Id="rId57" Type="http://schemas.openxmlformats.org/officeDocument/2006/relationships/image" Target="media/image29.emf"/><Relationship Id="rId106" Type="http://schemas.openxmlformats.org/officeDocument/2006/relationships/image" Target="media/image78.png"/><Relationship Id="rId114" Type="http://schemas.openxmlformats.org/officeDocument/2006/relationships/customXml" Target="../customXml/item6.xml"/><Relationship Id="rId10" Type="http://schemas.openxmlformats.org/officeDocument/2006/relationships/endnotes" Target="endnotes.xml"/><Relationship Id="rId31" Type="http://schemas.openxmlformats.org/officeDocument/2006/relationships/image" Target="media/image5.png"/><Relationship Id="rId44" Type="http://schemas.openxmlformats.org/officeDocument/2006/relationships/image" Target="media/image17.tiff"/><Relationship Id="rId52" Type="http://schemas.openxmlformats.org/officeDocument/2006/relationships/image" Target="media/image24.tiff"/><Relationship Id="rId60" Type="http://schemas.openxmlformats.org/officeDocument/2006/relationships/image" Target="media/image32.emf"/><Relationship Id="rId65" Type="http://schemas.openxmlformats.org/officeDocument/2006/relationships/image" Target="media/image37.png"/><Relationship Id="rId73" Type="http://schemas.openxmlformats.org/officeDocument/2006/relationships/image" Target="media/image45.png"/><Relationship Id="rId78" Type="http://schemas.openxmlformats.org/officeDocument/2006/relationships/image" Target="media/image50.png"/><Relationship Id="rId81" Type="http://schemas.openxmlformats.org/officeDocument/2006/relationships/image" Target="media/image53.png"/><Relationship Id="rId86" Type="http://schemas.openxmlformats.org/officeDocument/2006/relationships/image" Target="media/image58.png"/><Relationship Id="rId94" Type="http://schemas.openxmlformats.org/officeDocument/2006/relationships/image" Target="media/image66.png"/><Relationship Id="rId99" Type="http://schemas.openxmlformats.org/officeDocument/2006/relationships/image" Target="media/image71.png"/><Relationship Id="rId101" Type="http://schemas.openxmlformats.org/officeDocument/2006/relationships/image" Target="media/image73.png"/><Relationship Id="rId4" Type="http://schemas.openxmlformats.org/officeDocument/2006/relationships/numbering" Target="numbering.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hyperlink" Target="http://en.wikipedia.org/wiki/Hydrography" TargetMode="External"/><Relationship Id="rId39" Type="http://schemas.openxmlformats.org/officeDocument/2006/relationships/image" Target="media/image12.tiff"/><Relationship Id="rId109" Type="http://schemas.openxmlformats.org/officeDocument/2006/relationships/image" Target="media/image81.png"/><Relationship Id="rId34" Type="http://schemas.openxmlformats.org/officeDocument/2006/relationships/image" Target="media/image8.tiff"/><Relationship Id="rId50" Type="http://schemas.openxmlformats.org/officeDocument/2006/relationships/image" Target="media/image22.png"/><Relationship Id="rId55" Type="http://schemas.openxmlformats.org/officeDocument/2006/relationships/image" Target="media/image27.tiff"/><Relationship Id="rId76" Type="http://schemas.openxmlformats.org/officeDocument/2006/relationships/image" Target="media/image48.png"/><Relationship Id="rId97" Type="http://schemas.openxmlformats.org/officeDocument/2006/relationships/image" Target="media/image69.png"/><Relationship Id="rId104" Type="http://schemas.openxmlformats.org/officeDocument/2006/relationships/image" Target="media/image76.png"/><Relationship Id="rId7" Type="http://schemas.openxmlformats.org/officeDocument/2006/relationships/settings" Target="settings.xml"/><Relationship Id="rId71" Type="http://schemas.openxmlformats.org/officeDocument/2006/relationships/image" Target="media/image43.png"/><Relationship Id="rId92" Type="http://schemas.openxmlformats.org/officeDocument/2006/relationships/image" Target="media/image64.png"/><Relationship Id="rId2" Type="http://schemas.openxmlformats.org/officeDocument/2006/relationships/customXml" Target="../customXml/item2.xml"/><Relationship Id="rId29" Type="http://schemas.openxmlformats.org/officeDocument/2006/relationships/footer" Target="footer3.xml"/><Relationship Id="rId24" Type="http://schemas.openxmlformats.org/officeDocument/2006/relationships/hyperlink" Target="http://en.wikipedia.org/wiki/Fluid" TargetMode="External"/><Relationship Id="rId40" Type="http://schemas.openxmlformats.org/officeDocument/2006/relationships/image" Target="media/image13.tiff"/><Relationship Id="rId45" Type="http://schemas.openxmlformats.org/officeDocument/2006/relationships/hyperlink" Target="http://topex-www.jpl.nasa.gov/mission/topex.html" TargetMode="External"/><Relationship Id="rId66" Type="http://schemas.openxmlformats.org/officeDocument/2006/relationships/image" Target="media/image38.png"/><Relationship Id="rId87" Type="http://schemas.openxmlformats.org/officeDocument/2006/relationships/image" Target="media/image59.png"/><Relationship Id="rId110" Type="http://schemas.openxmlformats.org/officeDocument/2006/relationships/fontTable" Target="fontTable.xml"/><Relationship Id="rId61" Type="http://schemas.openxmlformats.org/officeDocument/2006/relationships/image" Target="media/image33.emf"/><Relationship Id="rId82" Type="http://schemas.openxmlformats.org/officeDocument/2006/relationships/image" Target="media/image54.png"/><Relationship Id="rId19" Type="http://schemas.openxmlformats.org/officeDocument/2006/relationships/hyperlink" Target="http://en.wikipedia.org/wiki/Terrain" TargetMode="External"/><Relationship Id="rId14" Type="http://schemas.openxmlformats.org/officeDocument/2006/relationships/image" Target="media/image3.jpg"/><Relationship Id="rId30" Type="http://schemas.openxmlformats.org/officeDocument/2006/relationships/image" Target="media/image4.png"/><Relationship Id="rId35" Type="http://schemas.openxmlformats.org/officeDocument/2006/relationships/image" Target="media/image9.tiff"/><Relationship Id="rId56" Type="http://schemas.openxmlformats.org/officeDocument/2006/relationships/image" Target="media/image28.tiff"/><Relationship Id="rId77" Type="http://schemas.openxmlformats.org/officeDocument/2006/relationships/image" Target="media/image49.png"/><Relationship Id="rId100" Type="http://schemas.openxmlformats.org/officeDocument/2006/relationships/image" Target="media/image72.png"/><Relationship Id="rId105" Type="http://schemas.openxmlformats.org/officeDocument/2006/relationships/image" Target="media/image77.png"/><Relationship Id="rId8" Type="http://schemas.openxmlformats.org/officeDocument/2006/relationships/webSettings" Target="webSettings.xml"/><Relationship Id="rId51" Type="http://schemas.openxmlformats.org/officeDocument/2006/relationships/image" Target="media/image23.png"/><Relationship Id="rId72" Type="http://schemas.openxmlformats.org/officeDocument/2006/relationships/image" Target="media/image44.png"/><Relationship Id="rId93" Type="http://schemas.openxmlformats.org/officeDocument/2006/relationships/image" Target="media/image65.png"/><Relationship Id="rId98" Type="http://schemas.openxmlformats.org/officeDocument/2006/relationships/image" Target="media/image70.png"/><Relationship Id="rId3" Type="http://schemas.openxmlformats.org/officeDocument/2006/relationships/customXml" Target="../customXml/item3.xml"/><Relationship Id="rId25" Type="http://schemas.openxmlformats.org/officeDocument/2006/relationships/hyperlink" Target="http://en.wikipedia.org/wiki/Current_(fluid)" TargetMode="External"/><Relationship Id="rId46" Type="http://schemas.openxmlformats.org/officeDocument/2006/relationships/image" Target="media/image18.png"/><Relationship Id="rId67" Type="http://schemas.openxmlformats.org/officeDocument/2006/relationships/image" Target="media/image39.png"/><Relationship Id="rId20" Type="http://schemas.openxmlformats.org/officeDocument/2006/relationships/hyperlink" Target="http://en.wikipedia.org/wiki/Contour_lines" TargetMode="External"/><Relationship Id="rId41" Type="http://schemas.openxmlformats.org/officeDocument/2006/relationships/image" Target="media/image14.tiff"/><Relationship Id="rId62" Type="http://schemas.openxmlformats.org/officeDocument/2006/relationships/image" Target="media/image34.gif"/><Relationship Id="rId83" Type="http://schemas.openxmlformats.org/officeDocument/2006/relationships/image" Target="media/image55.png"/><Relationship Id="rId88" Type="http://schemas.openxmlformats.org/officeDocument/2006/relationships/image" Target="media/image60.png"/><Relationship Id="rId111"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kmw\Templates\Proposal%20-%20Portrai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88984309824B1146AAD399139940223E" ma:contentTypeVersion="6" ma:contentTypeDescription="Create a new document." ma:contentTypeScope="" ma:versionID="fb9091c4133060688c268c0bf67af37d">
  <xsd:schema xmlns:xsd="http://www.w3.org/2001/XMLSchema" xmlns:xs="http://www.w3.org/2001/XMLSchema" xmlns:p="http://schemas.microsoft.com/office/2006/metadata/properties" xmlns:ns1="http://schemas.microsoft.com/sharepoint/v3" xmlns:ns2="deda4f78-c946-4019-9afe-72b647367a98" xmlns:ns3="d3d3a9f2-d6b9-4ac6-938b-c1d69a470220" targetNamespace="http://schemas.microsoft.com/office/2006/metadata/properties" ma:root="true" ma:fieldsID="a53a83e65b02302350f7007a8d08f9b5" ns1:_="" ns2:_="" ns3:_="">
    <xsd:import namespace="http://schemas.microsoft.com/sharepoint/v3"/>
    <xsd:import namespace="deda4f78-c946-4019-9afe-72b647367a98"/>
    <xsd:import namespace="d3d3a9f2-d6b9-4ac6-938b-c1d69a470220"/>
    <xsd:element name="properties">
      <xsd:complexType>
        <xsd:sequence>
          <xsd:element name="documentManagement">
            <xsd:complexType>
              <xsd:all>
                <xsd:element ref="ns2:Departmental_x0020_Keywords" minOccurs="0"/>
                <xsd:element ref="ns3:Publishing_x0020_Section"/>
                <xsd:element ref="ns3:Keywords1" minOccurs="0"/>
                <xsd:element ref="ns3:Themes"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9" nillable="true" ma:displayName="Scheduling Start Date" ma:description="" ma:hidden="true" ma:internalName="PublishingStartDate">
      <xsd:simpleType>
        <xsd:restriction base="dms:Unknown"/>
      </xsd:simpleType>
    </xsd:element>
    <xsd:element name="PublishingExpirationDate" ma:index="10" nillable="true" ma:displayName="Scheduling End Date"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eda4f78-c946-4019-9afe-72b647367a98" elementFormDefault="qualified">
    <xsd:import namespace="http://schemas.microsoft.com/office/2006/documentManagement/types"/>
    <xsd:import namespace="http://schemas.microsoft.com/office/infopath/2007/PartnerControls"/>
    <xsd:element name="Departmental_x0020_Keywords" ma:index="2" nillable="true" ma:displayName="Departmental Keywords" ma:internalName="Departmental_x0020_Keyword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3d3a9f2-d6b9-4ac6-938b-c1d69a470220" elementFormDefault="qualified">
    <xsd:import namespace="http://schemas.microsoft.com/office/2006/documentManagement/types"/>
    <xsd:import namespace="http://schemas.microsoft.com/office/infopath/2007/PartnerControls"/>
    <xsd:element name="Publishing_x0020_Section" ma:index="3" ma:displayName="Publishing Section" ma:description="Select a departmental owner" ma:format="Dropdown" ma:internalName="Publishing_x0020_Section">
      <xsd:simpleType>
        <xsd:restriction base="dms:Choice">
          <xsd:enumeration value="All Department"/>
          <xsd:enumeration value="Australian Antarctic Division"/>
          <xsd:enumeration value="Biodiversity Conservation Division"/>
          <xsd:enumeration value="Business Improvement Division"/>
          <xsd:enumeration value="Corporate Strategies Division"/>
          <xsd:enumeration value="Department of Climate Change"/>
          <xsd:enumeration value="Director of National Parks"/>
          <xsd:enumeration value="Environment Assessment and Compliance Division"/>
          <xsd:enumeration value="Environment Quality Division"/>
          <xsd:enumeration value="Executive"/>
          <xsd:enumeration value="Great Barrier Reef Marine Park Authority"/>
          <xsd:enumeration value="Heritage and Wildlife Division"/>
          <xsd:enumeration value="Information Management Division"/>
          <xsd:enumeration value="Marine Division"/>
          <xsd:enumeration value="National Water Commission"/>
          <xsd:enumeration value="Natural Resource Management Programs Division"/>
          <xsd:enumeration value="Office of the Renewable Energy Regulator"/>
          <xsd:enumeration value="Parks Australia"/>
          <xsd:enumeration value="Policy and Communications Division"/>
          <xsd:enumeration value="Renewable &amp; Energy Efficiency Division"/>
          <xsd:enumeration value="Supervising Scientist Division"/>
          <xsd:enumeration value="Sustainability Policy and Analysis Division"/>
          <xsd:enumeration value="Sustainable Population Division"/>
          <xsd:enumeration value="Sydney Harbour Federation Trust"/>
          <xsd:enumeration value="Water Group"/>
        </xsd:restriction>
      </xsd:simpleType>
    </xsd:element>
    <xsd:element name="Keywords1" ma:index="4" nillable="true" ma:displayName="Category keywords" ma:internalName="Keywords1">
      <xsd:simpleType>
        <xsd:restriction base="dms:Text">
          <xsd:maxLength value="255"/>
        </xsd:restriction>
      </xsd:simpleType>
    </xsd:element>
    <xsd:element name="Themes" ma:index="6" nillable="true" ma:displayName="Themes" ma:default="" ma:description="Select a theme that applies" ma:internalName="Themes">
      <xsd:complexType>
        <xsd:complexContent>
          <xsd:extension base="dms:MultiChoice">
            <xsd:sequence>
              <xsd:element name="Value" maxOccurs="unbounded" minOccurs="0" nillable="true">
                <xsd:simpleType>
                  <xsd:restriction base="dms:Choice">
                    <xsd:enumeration value="Arts and Culture"/>
                    <xsd:enumeration value="Atmosphere"/>
                    <xsd:enumeration value="Biodiversity"/>
                    <xsd:enumeration value="Coasts and Oceans"/>
                    <xsd:enumeration value="Education for Sustainability"/>
                    <xsd:enumeration value="Energy"/>
                    <xsd:enumeration value="EPBC Act"/>
                    <xsd:enumeration value="Heritage"/>
                    <xsd:enumeration value="Indigenous"/>
                    <xsd:enumeration value="Land management"/>
                    <xsd:enumeration value="Natural Resource Management"/>
                    <xsd:enumeration value="Parks and reserves"/>
                    <xsd:enumeration value="Water"/>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ma:index="5"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Publishing_x0020_Section xmlns="d3d3a9f2-d6b9-4ac6-938b-c1d69a470220">Environment Assessment and Compliance Division</Publishing_x0020_Section>
    <Keywords1 xmlns="d3d3a9f2-d6b9-4ac6-938b-c1d69a470220" xsi:nil="true"/>
    <PublishingExpirationDate xmlns="http://schemas.microsoft.com/sharepoint/v3" xsi:nil="true"/>
    <Departmental_x0020_Keywords xmlns="deda4f78-c946-4019-9afe-72b647367a98" xsi:nil="true"/>
    <PublishingStartDate xmlns="http://schemas.microsoft.com/sharepoint/v3" xsi:nil="true"/>
    <Themes xmlns="d3d3a9f2-d6b9-4ac6-938b-c1d69a470220"/>
  </documentManagement>
</p:properties>
</file>

<file path=customXml/itemProps1.xml><?xml version="1.0" encoding="utf-8"?>
<ds:datastoreItem xmlns:ds="http://schemas.openxmlformats.org/officeDocument/2006/customXml" ds:itemID="{89AD3DE5-452D-4016-BB90-0D76054CF912}"/>
</file>

<file path=customXml/itemProps2.xml><?xml version="1.0" encoding="utf-8"?>
<ds:datastoreItem xmlns:ds="http://schemas.openxmlformats.org/officeDocument/2006/customXml" ds:itemID="{798C263B-5383-4492-86F3-A82F87A6D73B}"/>
</file>

<file path=customXml/itemProps3.xml><?xml version="1.0" encoding="utf-8"?>
<ds:datastoreItem xmlns:ds="http://schemas.openxmlformats.org/officeDocument/2006/customXml" ds:itemID="{ABE57DD9-DBED-4402-A5F5-390A2CA6F5B1}"/>
</file>

<file path=customXml/itemProps4.xml><?xml version="1.0" encoding="utf-8"?>
<ds:datastoreItem xmlns:ds="http://schemas.openxmlformats.org/officeDocument/2006/customXml" ds:itemID="{32CB98BB-C6A2-43C3-869B-6145B61F9DCD}"/>
</file>

<file path=customXml/itemProps5.xml><?xml version="1.0" encoding="utf-8"?>
<ds:datastoreItem xmlns:ds="http://schemas.openxmlformats.org/officeDocument/2006/customXml" ds:itemID="{98FC350F-5ABF-41E5-B313-B793C2C70AE2}"/>
</file>

<file path=customXml/itemProps6.xml><?xml version="1.0" encoding="utf-8"?>
<ds:datastoreItem xmlns:ds="http://schemas.openxmlformats.org/officeDocument/2006/customXml" ds:itemID="{EA9123FA-A1FF-41A9-B26E-DB9FD2AD6A72}"/>
</file>

<file path=docProps/app.xml><?xml version="1.0" encoding="utf-8"?>
<Properties xmlns="http://schemas.openxmlformats.org/officeDocument/2006/extended-properties" xmlns:vt="http://schemas.openxmlformats.org/officeDocument/2006/docPropsVTypes">
  <Template>Proposal - Portrait</Template>
  <TotalTime>1</TotalTime>
  <Pages>94</Pages>
  <Words>17526</Words>
  <Characters>99901</Characters>
  <Application>Microsoft Office Word</Application>
  <DocSecurity>0</DocSecurity>
  <Lines>832</Lines>
  <Paragraphs>234</Paragraphs>
  <ScaleCrop>false</ScaleCrop>
  <HeadingPairs>
    <vt:vector size="2" baseType="variant">
      <vt:variant>
        <vt:lpstr>Title</vt:lpstr>
      </vt:variant>
      <vt:variant>
        <vt:i4>1</vt:i4>
      </vt:variant>
    </vt:vector>
  </HeadingPairs>
  <TitlesOfParts>
    <vt:vector size="1" baseType="lpstr">
      <vt:lpstr/>
    </vt:vector>
  </TitlesOfParts>
  <Manager>Version 5.9.0</Manager>
  <Company>Sinclair Knight Merz</Company>
  <LinksUpToDate>false</LinksUpToDate>
  <CharactersWithSpaces>117193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Attachment C - Word</dc:title>
  <dc:creator>Caitlin Suchocki</dc:creator>
  <dc:description/>
  <cp:lastModifiedBy>Katrina Goudkamp</cp:lastModifiedBy>
  <cp:revision>2</cp:revision>
  <cp:lastPrinted>2013-07-19T02:09:00Z</cp:lastPrinted>
  <dcterms:created xsi:type="dcterms:W3CDTF">2013-07-19T06:51:00Z</dcterms:created>
  <dcterms:modified xsi:type="dcterms:W3CDTF">2013-07-19T06:51:00Z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 version">
    <vt:lpwstr>6.4.0</vt:lpwstr>
  </property>
  <property fmtid="{D5CDD505-2E9C-101B-9397-08002B2CF9AE}" pid="3" name="doc version">
    <vt:lpwstr>6.4.0</vt:lpwstr>
  </property>
  <property fmtid="{D5CDD505-2E9C-101B-9397-08002B2CF9AE}" pid="4" name="Job No">
    <vt:lpwstr/>
  </property>
  <property fmtid="{D5CDD505-2E9C-101B-9397-08002B2CF9AE}" pid="5" name="WiSE Document Type">
    <vt:lpwstr>Report</vt:lpwstr>
  </property>
  <property fmtid="{D5CDD505-2E9C-101B-9397-08002B2CF9AE}" pid="6" name="WiSE Document Sub Type">
    <vt:lpwstr> </vt:lpwstr>
  </property>
  <property fmtid="{D5CDD505-2E9C-101B-9397-08002B2CF9AE}" pid="7" name="WiSE Control ID">
    <vt:lpwstr> </vt:lpwstr>
  </property>
  <property fmtid="{D5CDD505-2E9C-101B-9397-08002B2CF9AE}" pid="8" name="WiSE Correspondence ID">
    <vt:lpwstr> </vt:lpwstr>
  </property>
  <property fmtid="{D5CDD505-2E9C-101B-9397-08002B2CF9AE}" pid="9" name="WiSE From">
    <vt:lpwstr>Sinclair Knight Merz</vt:lpwstr>
  </property>
  <property fmtid="{D5CDD505-2E9C-101B-9397-08002B2CF9AE}" pid="10" name="WiSE To">
    <vt:lpwstr> </vt:lpwstr>
  </property>
  <property fmtid="{D5CDD505-2E9C-101B-9397-08002B2CF9AE}" pid="11" name="WiSE Node ID">
    <vt:lpwstr> </vt:lpwstr>
  </property>
  <property fmtid="{D5CDD505-2E9C-101B-9397-08002B2CF9AE}" pid="12" name="WiSE Document ID">
    <vt:lpwstr> </vt:lpwstr>
  </property>
  <property fmtid="{D5CDD505-2E9C-101B-9397-08002B2CF9AE}" pid="13" name="Revision">
    <vt:lpwstr/>
  </property>
  <property fmtid="{D5CDD505-2E9C-101B-9397-08002B2CF9AE}" pid="14" name="ContentTypeId">
    <vt:lpwstr>0x01010088984309824B1146AAD399139940223E</vt:lpwstr>
  </property>
</Properties>
</file>